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0E6BFC65" w:rsidR="005F3B2E" w:rsidRPr="00BA642E" w:rsidRDefault="00906600" w:rsidP="001923DC">
      <w:pPr>
        <w:jc w:val="center"/>
        <w:rPr>
          <w:rFonts w:ascii="Times New Roman" w:hAnsi="Times New Roman" w:cs="Times New Roman"/>
        </w:rPr>
      </w:pPr>
      <w:r w:rsidRPr="00906600">
        <w:rPr>
          <w:rFonts w:ascii="Times New Roman" w:hAnsi="Times New Roman" w:cs="Times New Roman"/>
          <w:b/>
          <w:bCs/>
        </w:rPr>
        <w:t>Gobernanza institucional y alfabetización en IA: primeros resultados en una universidad pública del conurbano bonaerense</w:t>
      </w:r>
    </w:p>
    <w:p w14:paraId="4E738780" w14:textId="3792DEA3" w:rsidR="005F3B2E" w:rsidRPr="00BA642E" w:rsidRDefault="00906600" w:rsidP="005F3B2E">
      <w:pPr>
        <w:spacing w:after="0" w:line="240" w:lineRule="auto"/>
        <w:jc w:val="right"/>
        <w:rPr>
          <w:rFonts w:ascii="Times New Roman" w:hAnsi="Times New Roman" w:cs="Times New Roman"/>
        </w:rPr>
      </w:pPr>
      <w:proofErr w:type="spellStart"/>
      <w:r>
        <w:rPr>
          <w:rFonts w:ascii="Times New Roman" w:hAnsi="Times New Roman" w:cs="Times New Roman"/>
        </w:rPr>
        <w:t>Kanobel</w:t>
      </w:r>
      <w:proofErr w:type="spellEnd"/>
      <w:r>
        <w:rPr>
          <w:rFonts w:ascii="Times New Roman" w:hAnsi="Times New Roman" w:cs="Times New Roman"/>
        </w:rPr>
        <w:t xml:space="preserve"> María Cristina</w:t>
      </w:r>
      <w:r w:rsidR="005F3B2E" w:rsidRPr="00BA642E">
        <w:rPr>
          <w:rFonts w:ascii="Times New Roman" w:hAnsi="Times New Roman" w:cs="Times New Roman"/>
        </w:rPr>
        <w:t xml:space="preserve"> 1</w:t>
      </w:r>
    </w:p>
    <w:p w14:paraId="6C2AECCA" w14:textId="1BF2D16E" w:rsidR="005F3B2E" w:rsidRPr="00BA642E" w:rsidRDefault="00906600" w:rsidP="005F3B2E">
      <w:pPr>
        <w:spacing w:after="0" w:line="240" w:lineRule="auto"/>
        <w:jc w:val="right"/>
        <w:rPr>
          <w:rFonts w:ascii="Times New Roman" w:hAnsi="Times New Roman" w:cs="Times New Roman"/>
        </w:rPr>
      </w:pPr>
      <w:r>
        <w:rPr>
          <w:rFonts w:ascii="Times New Roman" w:hAnsi="Times New Roman" w:cs="Times New Roman"/>
        </w:rPr>
        <w:t>Universidad Nacional de Avellaneda</w:t>
      </w:r>
      <w:r w:rsidR="005F3B2E" w:rsidRPr="00BA642E">
        <w:rPr>
          <w:rFonts w:ascii="Times New Roman" w:hAnsi="Times New Roman" w:cs="Times New Roman"/>
        </w:rPr>
        <w:t>1</w:t>
      </w:r>
    </w:p>
    <w:p w14:paraId="7D0026CD" w14:textId="4F02FEA1" w:rsidR="005F3B2E" w:rsidRPr="00BA642E" w:rsidRDefault="00906600" w:rsidP="005F3B2E">
      <w:pPr>
        <w:spacing w:after="0" w:line="240" w:lineRule="auto"/>
        <w:jc w:val="right"/>
        <w:rPr>
          <w:rFonts w:ascii="Times New Roman" w:hAnsi="Times New Roman" w:cs="Times New Roman"/>
        </w:rPr>
      </w:pPr>
      <w:r>
        <w:rPr>
          <w:rFonts w:ascii="Times New Roman" w:hAnsi="Times New Roman" w:cs="Times New Roman"/>
        </w:rPr>
        <w:t>mckanobel@undav.edu.ar</w:t>
      </w:r>
      <w:r w:rsidR="005F3B2E" w:rsidRPr="00BA642E">
        <w:rPr>
          <w:rFonts w:ascii="Times New Roman" w:hAnsi="Times New Roman" w:cs="Times New Roman"/>
        </w:rPr>
        <w:t xml:space="preserve"> 1</w:t>
      </w:r>
    </w:p>
    <w:p w14:paraId="1FA0F857" w14:textId="77777777" w:rsidR="005F3B2E" w:rsidRPr="00BA642E" w:rsidRDefault="005F3B2E" w:rsidP="005F3B2E">
      <w:pP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35A6682C" w14:textId="42B521F5" w:rsidR="00BA642E" w:rsidRPr="00B84ECC" w:rsidRDefault="00BA642E" w:rsidP="00B84ECC">
      <w:pPr>
        <w:spacing w:after="120"/>
        <w:jc w:val="both"/>
      </w:pPr>
      <w:r w:rsidRPr="004A6A12">
        <w:rPr>
          <w:rFonts w:ascii="Times New Roman" w:hAnsi="Times New Roman" w:cs="Times New Roman"/>
          <w:b/>
          <w:bCs/>
          <w:lang w:val="es-ES"/>
        </w:rPr>
        <w:t>Resumen:</w:t>
      </w:r>
      <w:r w:rsidR="007B5B5F" w:rsidRPr="004A6A12">
        <w:rPr>
          <w:rFonts w:ascii="Times New Roman" w:hAnsi="Times New Roman" w:cs="Times New Roman"/>
          <w:b/>
          <w:bCs/>
          <w:lang w:val="es-ES"/>
        </w:rPr>
        <w:t xml:space="preserve"> </w:t>
      </w:r>
      <w:r w:rsidR="004A6A12">
        <w:rPr>
          <w:rFonts w:ascii="Times New Roman" w:eastAsia="Times New Roman" w:hAnsi="Times New Roman" w:cs="Times New Roman"/>
        </w:rPr>
        <w:t xml:space="preserve">La expansión acelerada de la inteligencia artificial en la educación superior ha reconfigurado no solo las prácticas de enseñanza y aprendizaje, sino también los marcos institucionales que orientan su adopción, regulación y uso. En contextos de alta diversidad social como el conurbano bonaerense, esta reconfiguración adquiere una densidad particular, dado que las desigualdades estructurales condicionan diferencialmente las posibilidades de apropiación crítica de las tecnologías emergentes. Esta ponencia presenta avances de un proyecto de investigación posdoctoral en curso que analiza los procesos de gobernanza institucional de la </w:t>
      </w:r>
      <w:r w:rsidR="00E95802">
        <w:rPr>
          <w:rFonts w:ascii="Times New Roman" w:eastAsia="Times New Roman" w:hAnsi="Times New Roman" w:cs="Times New Roman"/>
        </w:rPr>
        <w:t>inteligencia artificial</w:t>
      </w:r>
      <w:r w:rsidR="004A6A12">
        <w:rPr>
          <w:rFonts w:ascii="Times New Roman" w:eastAsia="Times New Roman" w:hAnsi="Times New Roman" w:cs="Times New Roman"/>
        </w:rPr>
        <w:t xml:space="preserve"> en la Universidad Nacional de Avellaned</w:t>
      </w:r>
      <w:r w:rsidR="00C63251">
        <w:rPr>
          <w:rFonts w:ascii="Times New Roman" w:eastAsia="Times New Roman" w:hAnsi="Times New Roman" w:cs="Times New Roman"/>
        </w:rPr>
        <w:t>a</w:t>
      </w:r>
      <w:r w:rsidR="004A6A12">
        <w:rPr>
          <w:rFonts w:ascii="Times New Roman" w:eastAsia="Times New Roman" w:hAnsi="Times New Roman" w:cs="Times New Roman"/>
        </w:rPr>
        <w:t xml:space="preserve"> y sus efectos sobre el desarrollo de alfabetización crítica </w:t>
      </w:r>
      <w:r w:rsidR="006A7395">
        <w:rPr>
          <w:rFonts w:ascii="Times New Roman" w:eastAsia="Times New Roman" w:hAnsi="Times New Roman" w:cs="Times New Roman"/>
        </w:rPr>
        <w:t>de esta tecnología</w:t>
      </w:r>
      <w:r w:rsidR="004A6A12">
        <w:rPr>
          <w:rFonts w:ascii="Times New Roman" w:eastAsia="Times New Roman" w:hAnsi="Times New Roman" w:cs="Times New Roman"/>
        </w:rPr>
        <w:t xml:space="preserve"> entendida como derecho educativo fundamental. El estudio adopta un diseño mixto que combina análisis documental y encuestas a docentes y estudiantes, tomando como caso paradigmático la experiencia de la Comisión para el Uso y la Aplicación de la Inteligencia Artificial (CUAIA), creada en 2024 y la experiencia de los participantes de la primera cohorte de la Diplomatura Superior en Estrategias para la Transformación Digital mediada por IA (docentes y graduados de UNDAV). El componente cuantitativo replica y adapta al contexto argentino un instrumento de relevamiento internacional aplicado en 16 países con 3839 estudiantes de nivel superior, lo que habilita un análisis comparativo situado entre los patrones globales de uso, percepciones y demandas estudiantiles respecto de la IA y las condiciones específicas de una universidad pública del sur global. El marco teórico articula perspectivas de la teoría crítica de la tecnología (</w:t>
      </w:r>
      <w:proofErr w:type="spellStart"/>
      <w:r w:rsidR="004A6A12">
        <w:rPr>
          <w:rFonts w:ascii="Times New Roman" w:eastAsia="Times New Roman" w:hAnsi="Times New Roman" w:cs="Times New Roman"/>
        </w:rPr>
        <w:t>Feenberg</w:t>
      </w:r>
      <w:proofErr w:type="spellEnd"/>
      <w:r w:rsidR="004A6A12">
        <w:rPr>
          <w:rFonts w:ascii="Times New Roman" w:eastAsia="Times New Roman" w:hAnsi="Times New Roman" w:cs="Times New Roman"/>
        </w:rPr>
        <w:t xml:space="preserve">, 2002, 2017), los estudios sobre mediaciones culturales (Martín-Barbero, 2003), la pedagogía crítica </w:t>
      </w:r>
      <w:proofErr w:type="spellStart"/>
      <w:r w:rsidR="004A6A12">
        <w:rPr>
          <w:rFonts w:ascii="Times New Roman" w:eastAsia="Times New Roman" w:hAnsi="Times New Roman" w:cs="Times New Roman"/>
        </w:rPr>
        <w:t>freireana</w:t>
      </w:r>
      <w:proofErr w:type="spellEnd"/>
      <w:r w:rsidR="004A6A12">
        <w:rPr>
          <w:rFonts w:ascii="Times New Roman" w:eastAsia="Times New Roman" w:hAnsi="Times New Roman" w:cs="Times New Roman"/>
        </w:rPr>
        <w:t xml:space="preserve"> y los desarrollos sobre justicia algorítmica, entendida como la distribución equitativa de beneficios y riesgos de los sistemas de IA sin reproducir sesgos estructurales (</w:t>
      </w:r>
      <w:proofErr w:type="spellStart"/>
      <w:r w:rsidR="004A6A12">
        <w:rPr>
          <w:rFonts w:ascii="Times New Roman" w:eastAsia="Times New Roman" w:hAnsi="Times New Roman" w:cs="Times New Roman"/>
        </w:rPr>
        <w:t>Benjamin</w:t>
      </w:r>
      <w:proofErr w:type="spellEnd"/>
      <w:r w:rsidR="004A6A12">
        <w:rPr>
          <w:rFonts w:ascii="Times New Roman" w:eastAsia="Times New Roman" w:hAnsi="Times New Roman" w:cs="Times New Roman"/>
        </w:rPr>
        <w:t xml:space="preserve">, 2019; Noble, 2018; </w:t>
      </w:r>
      <w:proofErr w:type="spellStart"/>
      <w:r w:rsidR="004A6A12">
        <w:rPr>
          <w:rFonts w:ascii="Times New Roman" w:eastAsia="Times New Roman" w:hAnsi="Times New Roman" w:cs="Times New Roman"/>
        </w:rPr>
        <w:t>D'Ignazio</w:t>
      </w:r>
      <w:proofErr w:type="spellEnd"/>
      <w:r w:rsidR="004A6A12">
        <w:rPr>
          <w:rFonts w:ascii="Times New Roman" w:eastAsia="Times New Roman" w:hAnsi="Times New Roman" w:cs="Times New Roman"/>
        </w:rPr>
        <w:t xml:space="preserve"> y Klein, 2020), con aportes </w:t>
      </w:r>
      <w:proofErr w:type="spellStart"/>
      <w:r w:rsidR="004A6A12">
        <w:rPr>
          <w:rFonts w:ascii="Times New Roman" w:eastAsia="Times New Roman" w:hAnsi="Times New Roman" w:cs="Times New Roman"/>
        </w:rPr>
        <w:t>decoloniales</w:t>
      </w:r>
      <w:proofErr w:type="spellEnd"/>
      <w:r w:rsidR="004A6A12">
        <w:rPr>
          <w:rFonts w:ascii="Times New Roman" w:eastAsia="Times New Roman" w:hAnsi="Times New Roman" w:cs="Times New Roman"/>
        </w:rPr>
        <w:t xml:space="preserve"> que problematizan la adopción acrítica de tecnologías diseñadas desde lógicas ajenas a los contextos del sur global. Se conceptualiza la gobernanza institucional de la IA no como proceso meramente técnico-normativo sino como arena de disputa por el sentido, la inclusión y la democratización del conocimiento. Los primeros resultados del relevamiento, cuyos datos se encuentran en proceso de análisis, permiten explorar </w:t>
      </w:r>
      <w:r w:rsidR="004A6A12">
        <w:rPr>
          <w:rFonts w:ascii="Times New Roman" w:eastAsia="Times New Roman" w:hAnsi="Times New Roman" w:cs="Times New Roman"/>
        </w:rPr>
        <w:lastRenderedPageBreak/>
        <w:t>dimensiones vinculadas a los usos de herramientas de IA, las percepciones sobre su impacto en los procesos educativos y los niveles de alfabetización en sus dimensiones instrumental, crítica y ética, identificando convergencias y tensiones entre los marcos normativos institucionales y las prácticas cotidianas de docentes y estudiantes, y aportando evidencia situada para el diseño de políticas universitarias que promuevan la equidad digital y la justicia algorítmica en la educación superior pública argentina.</w:t>
      </w:r>
    </w:p>
    <w:p w14:paraId="2994BAB3" w14:textId="38273BED" w:rsidR="00BA642E" w:rsidRPr="00E66F3E" w:rsidRDefault="00BA642E" w:rsidP="007B5B5F">
      <w:pPr>
        <w:spacing w:line="240" w:lineRule="auto"/>
        <w:jc w:val="both"/>
        <w:rPr>
          <w:rFonts w:ascii="Times New Roman" w:hAnsi="Times New Roman" w:cs="Times New Roman"/>
          <w:b/>
          <w:bCs/>
          <w:lang w:val="es-ES"/>
        </w:rPr>
      </w:pPr>
      <w:r w:rsidRPr="00E66F3E">
        <w:rPr>
          <w:rFonts w:ascii="Times New Roman" w:hAnsi="Times New Roman" w:cs="Times New Roman"/>
          <w:b/>
          <w:bCs/>
          <w:lang w:val="es-ES"/>
        </w:rPr>
        <w:t xml:space="preserve">Palabras clave: </w:t>
      </w:r>
      <w:r w:rsidR="00E66F3E">
        <w:rPr>
          <w:rFonts w:ascii="Times New Roman" w:hAnsi="Times New Roman" w:cs="Times New Roman"/>
          <w:lang w:val="es-ES"/>
        </w:rPr>
        <w:t>G</w:t>
      </w:r>
      <w:r w:rsidR="00E66F3E" w:rsidRPr="00E66F3E">
        <w:rPr>
          <w:rFonts w:ascii="Times New Roman" w:hAnsi="Times New Roman" w:cs="Times New Roman"/>
          <w:lang w:val="es-ES"/>
        </w:rPr>
        <w:t xml:space="preserve">obernanza de la </w:t>
      </w:r>
      <w:r w:rsidR="00E66F3E">
        <w:rPr>
          <w:rFonts w:ascii="Times New Roman" w:hAnsi="Times New Roman" w:cs="Times New Roman"/>
          <w:lang w:val="es-ES"/>
        </w:rPr>
        <w:t>IA</w:t>
      </w:r>
      <w:r w:rsidR="00E66F3E" w:rsidRPr="00E66F3E">
        <w:rPr>
          <w:rFonts w:ascii="Times New Roman" w:hAnsi="Times New Roman" w:cs="Times New Roman"/>
          <w:lang w:val="es-ES"/>
        </w:rPr>
        <w:t xml:space="preserve">, </w:t>
      </w:r>
      <w:r w:rsidR="00E66F3E">
        <w:rPr>
          <w:rFonts w:ascii="Times New Roman" w:hAnsi="Times New Roman" w:cs="Times New Roman"/>
          <w:lang w:val="es-ES"/>
        </w:rPr>
        <w:t>A</w:t>
      </w:r>
      <w:r w:rsidR="00E66F3E" w:rsidRPr="00E66F3E">
        <w:rPr>
          <w:rFonts w:ascii="Times New Roman" w:hAnsi="Times New Roman" w:cs="Times New Roman"/>
          <w:lang w:val="es-ES"/>
        </w:rPr>
        <w:t xml:space="preserve">lfabetización crítica, </w:t>
      </w:r>
      <w:r w:rsidR="00E66F3E">
        <w:rPr>
          <w:rFonts w:ascii="Times New Roman" w:hAnsi="Times New Roman" w:cs="Times New Roman"/>
          <w:lang w:val="es-ES"/>
        </w:rPr>
        <w:t>J</w:t>
      </w:r>
      <w:r w:rsidR="00E66F3E" w:rsidRPr="00E66F3E">
        <w:rPr>
          <w:rFonts w:ascii="Times New Roman" w:hAnsi="Times New Roman" w:cs="Times New Roman"/>
          <w:lang w:val="es-ES"/>
        </w:rPr>
        <w:t xml:space="preserve">usticia algorítmica, </w:t>
      </w:r>
      <w:r w:rsidR="00E66F3E">
        <w:rPr>
          <w:rFonts w:ascii="Times New Roman" w:hAnsi="Times New Roman" w:cs="Times New Roman"/>
          <w:lang w:val="es-ES"/>
        </w:rPr>
        <w:t>E</w:t>
      </w:r>
      <w:r w:rsidR="00E66F3E" w:rsidRPr="00E66F3E">
        <w:rPr>
          <w:rFonts w:ascii="Times New Roman" w:hAnsi="Times New Roman" w:cs="Times New Roman"/>
          <w:lang w:val="es-ES"/>
        </w:rPr>
        <w:t xml:space="preserve">ducación superior, </w:t>
      </w:r>
      <w:r w:rsidR="00E66F3E">
        <w:rPr>
          <w:rFonts w:ascii="Times New Roman" w:hAnsi="Times New Roman" w:cs="Times New Roman"/>
          <w:lang w:val="es-ES"/>
        </w:rPr>
        <w:t>C</w:t>
      </w:r>
      <w:r w:rsidR="00E66F3E" w:rsidRPr="00E66F3E">
        <w:rPr>
          <w:rFonts w:ascii="Times New Roman" w:hAnsi="Times New Roman" w:cs="Times New Roman"/>
          <w:lang w:val="es-ES"/>
        </w:rPr>
        <w:t>onurbano bonaerense</w:t>
      </w:r>
      <w:r w:rsidRPr="00E66F3E">
        <w:rPr>
          <w:rFonts w:ascii="Times New Roman" w:hAnsi="Times New Roman" w:cs="Times New Roman"/>
          <w:lang w:val="es-ES"/>
        </w:rPr>
        <w:t xml:space="preserve">. </w:t>
      </w:r>
    </w:p>
    <w:p w14:paraId="6A5547A1" w14:textId="36B7FAC2" w:rsidR="00BA642E" w:rsidRPr="00906600" w:rsidRDefault="00BA642E" w:rsidP="007B5B5F">
      <w:pPr>
        <w:spacing w:line="240" w:lineRule="auto"/>
        <w:rPr>
          <w:rFonts w:ascii="Times New Roman" w:hAnsi="Times New Roman" w:cs="Times New Roman"/>
          <w:b/>
          <w:bCs/>
          <w:lang w:val="en-GB"/>
        </w:rPr>
      </w:pPr>
      <w:r w:rsidRPr="00906600">
        <w:rPr>
          <w:rFonts w:ascii="Times New Roman" w:hAnsi="Times New Roman" w:cs="Times New Roman"/>
          <w:b/>
          <w:bCs/>
          <w:lang w:val="en-GB"/>
        </w:rPr>
        <w:t>Introducción</w:t>
      </w:r>
    </w:p>
    <w:p w14:paraId="38953AC1" w14:textId="77777777" w:rsidR="00C354AA" w:rsidRPr="00C354AA" w:rsidRDefault="00C354AA" w:rsidP="00C354AA">
      <w:pPr>
        <w:spacing w:line="240" w:lineRule="auto"/>
        <w:jc w:val="both"/>
        <w:rPr>
          <w:rFonts w:ascii="Times New Roman" w:hAnsi="Times New Roman" w:cs="Times New Roman"/>
          <w:lang w:val="es-ES"/>
        </w:rPr>
      </w:pPr>
      <w:r w:rsidRPr="00C354AA">
        <w:rPr>
          <w:rFonts w:ascii="Times New Roman" w:hAnsi="Times New Roman" w:cs="Times New Roman"/>
          <w:lang w:val="es-ES"/>
        </w:rPr>
        <w:t>La inteligencia artificial (IA) ha irrumpido en la educación superior con una velocidad que desborda los tiempos institucionales de la universidad pública. En el ámbito latinoamericano, esta irrupción plantea desafíos específicos que se superponen a desigualdades estructurales preexistentes: la brecha digital, la concentración corporativa de las infraestructuras tecnológicas y la heterogeneidad de los cuerpos docentes ante el fenómeno configuran un escenario que no puede abordarse desde marcos neutros ni desde la mera adopción instrumental de las herramientas disponibles.</w:t>
      </w:r>
    </w:p>
    <w:p w14:paraId="4FFBC7EB" w14:textId="77777777" w:rsidR="00C354AA" w:rsidRPr="00C354AA" w:rsidRDefault="00C354AA" w:rsidP="00C354AA">
      <w:pPr>
        <w:spacing w:line="240" w:lineRule="auto"/>
        <w:jc w:val="both"/>
        <w:rPr>
          <w:rFonts w:ascii="Times New Roman" w:hAnsi="Times New Roman" w:cs="Times New Roman"/>
          <w:lang w:val="es-ES"/>
        </w:rPr>
      </w:pPr>
      <w:r w:rsidRPr="00C354AA">
        <w:rPr>
          <w:rFonts w:ascii="Times New Roman" w:hAnsi="Times New Roman" w:cs="Times New Roman"/>
          <w:lang w:val="es-ES"/>
        </w:rPr>
        <w:t>Esta ponencia presenta los primeros resultados de un relevamiento docente realizado en mayo de 2026 en la Universidad Nacional de Avellaneda (UNDAV), una universidad pública del conurbano bonaerense creada en 2009 con un mandato explícitamente democratizador y orientada a sectores de la población históricamente excluidos del sistema universitario. La UNDAV constituye un caso de particular interés para el estudio de la gobernanza institucional de la IA: desde 2024 cuenta con la Comisión para el Uso y la Aplicación de la Inteligencia Artificial (CUAIA), creada por Resolución N.° 670/2024, que ha producido dos documentos institucionales aprobados por unanimidad del Consejo Superior y ha impulsado la creación de la Diplomatura Superior en Estrategias para la Transformación Digital mediada por IA (Resolución C.S. N.° 147/2025).</w:t>
      </w:r>
    </w:p>
    <w:p w14:paraId="093158FE" w14:textId="072C784B" w:rsidR="00C354AA" w:rsidRPr="00C354AA" w:rsidRDefault="00C354AA" w:rsidP="00C354AA">
      <w:pPr>
        <w:spacing w:line="240" w:lineRule="auto"/>
        <w:jc w:val="both"/>
        <w:rPr>
          <w:rFonts w:ascii="Times New Roman" w:hAnsi="Times New Roman" w:cs="Times New Roman"/>
          <w:lang w:val="es-ES"/>
        </w:rPr>
      </w:pPr>
      <w:r w:rsidRPr="00C354AA">
        <w:rPr>
          <w:rFonts w:ascii="Times New Roman" w:hAnsi="Times New Roman" w:cs="Times New Roman"/>
          <w:lang w:val="es-ES"/>
        </w:rPr>
        <w:t xml:space="preserve">El relevamiento, realizado sobre una muestra de N=434 docentes universitarios distribuidos en los siete departamentos académicos, adapta localmente un instrumento aplicado regionalmente a 7.319 docentes de 29 instituciones latinoamericanas en el marco de la Encuesta sobre IA en la Educación Superior en América Latina 2026 del Digital </w:t>
      </w:r>
      <w:proofErr w:type="spellStart"/>
      <w:r w:rsidRPr="00C354AA">
        <w:rPr>
          <w:rFonts w:ascii="Times New Roman" w:hAnsi="Times New Roman" w:cs="Times New Roman"/>
          <w:lang w:val="es-ES"/>
        </w:rPr>
        <w:t>Education</w:t>
      </w:r>
      <w:proofErr w:type="spellEnd"/>
      <w:r w:rsidRPr="00C354AA">
        <w:rPr>
          <w:rFonts w:ascii="Times New Roman" w:hAnsi="Times New Roman" w:cs="Times New Roman"/>
          <w:lang w:val="es-ES"/>
        </w:rPr>
        <w:t xml:space="preserve"> Council (DEC). Esta doble base empírica</w:t>
      </w:r>
      <w:r w:rsidR="00467C0D">
        <w:rPr>
          <w:rFonts w:ascii="Times New Roman" w:hAnsi="Times New Roman" w:cs="Times New Roman"/>
          <w:lang w:val="es-ES"/>
        </w:rPr>
        <w:t xml:space="preserve"> l</w:t>
      </w:r>
      <w:r w:rsidRPr="00C354AA">
        <w:rPr>
          <w:rFonts w:ascii="Times New Roman" w:hAnsi="Times New Roman" w:cs="Times New Roman"/>
          <w:lang w:val="es-ES"/>
        </w:rPr>
        <w:t>ocal y comparativa</w:t>
      </w:r>
      <w:r w:rsidR="00467C0D">
        <w:rPr>
          <w:rFonts w:ascii="Times New Roman" w:hAnsi="Times New Roman" w:cs="Times New Roman"/>
          <w:lang w:val="es-ES"/>
        </w:rPr>
        <w:t xml:space="preserve"> </w:t>
      </w:r>
      <w:r w:rsidRPr="00C354AA">
        <w:rPr>
          <w:rFonts w:ascii="Times New Roman" w:hAnsi="Times New Roman" w:cs="Times New Roman"/>
          <w:lang w:val="es-ES"/>
        </w:rPr>
        <w:t>permite situar a la UNDAV dentro del panorama regional e identificar qué aspectos de su perfil docente ante la IA son compartidos con la región y cuáles son rasgos institucionales propios.</w:t>
      </w:r>
    </w:p>
    <w:p w14:paraId="13C27DE8" w14:textId="4FB7EAFC" w:rsidR="00BA642E" w:rsidRPr="00C354AA" w:rsidRDefault="00C354AA" w:rsidP="00C354AA">
      <w:pPr>
        <w:spacing w:line="240" w:lineRule="auto"/>
        <w:jc w:val="both"/>
        <w:rPr>
          <w:rFonts w:ascii="Times New Roman" w:hAnsi="Times New Roman" w:cs="Times New Roman"/>
          <w:lang w:val="es-ES"/>
        </w:rPr>
      </w:pPr>
      <w:r w:rsidRPr="00C354AA">
        <w:rPr>
          <w:rFonts w:ascii="Times New Roman" w:hAnsi="Times New Roman" w:cs="Times New Roman"/>
          <w:lang w:val="es-ES"/>
        </w:rPr>
        <w:t>El trabajo se inscribe en un proyecto de investigación posdoctoral más amplio (PEP/UNTREF 2026) que analiza los procesos de gobernanza institucional de la IA en la UNDAV y sus efectos sobre el desarrollo de alfabetización crítica en IA entendida como derecho educativo fundamental. En est</w:t>
      </w:r>
      <w:r w:rsidR="0082185A">
        <w:rPr>
          <w:rFonts w:ascii="Times New Roman" w:hAnsi="Times New Roman" w:cs="Times New Roman"/>
          <w:lang w:val="es-ES"/>
        </w:rPr>
        <w:t>e</w:t>
      </w:r>
      <w:r w:rsidR="00A6792A">
        <w:rPr>
          <w:rFonts w:ascii="Times New Roman" w:hAnsi="Times New Roman" w:cs="Times New Roman"/>
          <w:lang w:val="es-ES"/>
        </w:rPr>
        <w:t xml:space="preserve"> trabajo</w:t>
      </w:r>
      <w:r w:rsidRPr="00C354AA">
        <w:rPr>
          <w:rFonts w:ascii="Times New Roman" w:hAnsi="Times New Roman" w:cs="Times New Roman"/>
          <w:lang w:val="es-ES"/>
        </w:rPr>
        <w:t xml:space="preserve"> se presenta el componente cuantitativo del estudio: los resultados del relevamiento docente, su análisis comparativo con el panorama regional y las implicancias para el diseño de políticas institucionales.</w:t>
      </w:r>
      <w:r w:rsidR="004D7F97">
        <w:rPr>
          <w:rFonts w:ascii="Times New Roman" w:hAnsi="Times New Roman" w:cs="Times New Roman"/>
          <w:lang w:val="es-ES"/>
        </w:rPr>
        <w:t xml:space="preserve"> En este sentido, la</w:t>
      </w:r>
      <w:r w:rsidRPr="00C354AA">
        <w:rPr>
          <w:rFonts w:ascii="Times New Roman" w:hAnsi="Times New Roman" w:cs="Times New Roman"/>
          <w:lang w:val="es-ES"/>
        </w:rPr>
        <w:t xml:space="preserve"> pregunta que orienta est</w:t>
      </w:r>
      <w:r w:rsidR="007A3836">
        <w:rPr>
          <w:rFonts w:ascii="Times New Roman" w:hAnsi="Times New Roman" w:cs="Times New Roman"/>
          <w:lang w:val="es-ES"/>
        </w:rPr>
        <w:t>a investigación</w:t>
      </w:r>
      <w:r w:rsidR="009C4D54">
        <w:rPr>
          <w:rFonts w:ascii="Times New Roman" w:hAnsi="Times New Roman" w:cs="Times New Roman"/>
          <w:lang w:val="es-ES"/>
        </w:rPr>
        <w:t xml:space="preserve"> es</w:t>
      </w:r>
      <w:r w:rsidRPr="00C354AA">
        <w:rPr>
          <w:rFonts w:ascii="Times New Roman" w:hAnsi="Times New Roman" w:cs="Times New Roman"/>
          <w:lang w:val="es-ES"/>
        </w:rPr>
        <w:t>: ¿</w:t>
      </w:r>
      <w:r w:rsidR="009C4D54">
        <w:rPr>
          <w:rFonts w:ascii="Times New Roman" w:hAnsi="Times New Roman" w:cs="Times New Roman"/>
          <w:lang w:val="es-ES"/>
        </w:rPr>
        <w:t>c</w:t>
      </w:r>
      <w:r w:rsidRPr="00C354AA">
        <w:rPr>
          <w:rFonts w:ascii="Times New Roman" w:hAnsi="Times New Roman" w:cs="Times New Roman"/>
          <w:lang w:val="es-ES"/>
        </w:rPr>
        <w:t xml:space="preserve">ómo se configura la relación del </w:t>
      </w:r>
      <w:r w:rsidRPr="00C354AA">
        <w:rPr>
          <w:rFonts w:ascii="Times New Roman" w:hAnsi="Times New Roman" w:cs="Times New Roman"/>
          <w:lang w:val="es-ES"/>
        </w:rPr>
        <w:lastRenderedPageBreak/>
        <w:t xml:space="preserve">cuerpo docente de la UNDAV con la inteligencia artificial </w:t>
      </w:r>
      <w:r w:rsidR="009C4D54">
        <w:rPr>
          <w:rFonts w:ascii="Times New Roman" w:hAnsi="Times New Roman" w:cs="Times New Roman"/>
          <w:lang w:val="es-ES"/>
        </w:rPr>
        <w:t>(</w:t>
      </w:r>
      <w:r w:rsidRPr="00C354AA">
        <w:rPr>
          <w:rFonts w:ascii="Times New Roman" w:hAnsi="Times New Roman" w:cs="Times New Roman"/>
          <w:lang w:val="es-ES"/>
        </w:rPr>
        <w:t>en términos de usos, actitudes, competencias y percepción del acompañamiento institucional</w:t>
      </w:r>
      <w:r w:rsidR="009C4D54">
        <w:rPr>
          <w:rFonts w:ascii="Times New Roman" w:hAnsi="Times New Roman" w:cs="Times New Roman"/>
          <w:lang w:val="es-ES"/>
        </w:rPr>
        <w:t>)</w:t>
      </w:r>
      <w:r w:rsidRPr="00C354AA">
        <w:rPr>
          <w:rFonts w:ascii="Times New Roman" w:hAnsi="Times New Roman" w:cs="Times New Roman"/>
          <w:lang w:val="es-ES"/>
        </w:rPr>
        <w:t xml:space="preserve"> y qué convergencias y diferencias se observan respecto del panorama latinoamericano? </w:t>
      </w:r>
    </w:p>
    <w:p w14:paraId="2FD138AD" w14:textId="5AEA6456" w:rsidR="005F3B2E" w:rsidRPr="00140362" w:rsidRDefault="00140362" w:rsidP="007B5B5F">
      <w:pPr>
        <w:spacing w:line="240" w:lineRule="auto"/>
        <w:rPr>
          <w:rFonts w:ascii="Times New Roman" w:hAnsi="Times New Roman" w:cs="Times New Roman"/>
          <w:b/>
          <w:bCs/>
          <w:lang w:val="es-ES"/>
        </w:rPr>
      </w:pPr>
      <w:r>
        <w:rPr>
          <w:rFonts w:ascii="Times New Roman" w:hAnsi="Times New Roman" w:cs="Times New Roman"/>
          <w:b/>
          <w:bCs/>
          <w:lang w:val="es-ES"/>
        </w:rPr>
        <w:t>Marco teórico</w:t>
      </w:r>
    </w:p>
    <w:p w14:paraId="2A8E934D" w14:textId="77777777" w:rsidR="00B84ECC" w:rsidRDefault="00140362" w:rsidP="00140362">
      <w:pPr>
        <w:spacing w:after="120"/>
        <w:jc w:val="both"/>
      </w:pPr>
      <w:r>
        <w:rPr>
          <w:rFonts w:ascii="Times New Roman" w:eastAsia="Times New Roman" w:hAnsi="Times New Roman" w:cs="Times New Roman"/>
        </w:rPr>
        <w:t>El estudio se sitúa en la intersección de tres tradiciones teóricas que permiten abordar la gobernanza institucional de la IA desde una perspectiva crítica y situada.</w:t>
      </w:r>
      <w:r w:rsidR="00B84ECC">
        <w:t xml:space="preserve"> </w:t>
      </w:r>
    </w:p>
    <w:p w14:paraId="1888B098" w14:textId="6EA5F2AA" w:rsidR="00140362" w:rsidRDefault="00140362" w:rsidP="00140362">
      <w:pPr>
        <w:spacing w:after="120"/>
        <w:jc w:val="both"/>
      </w:pPr>
      <w:r>
        <w:rPr>
          <w:rFonts w:ascii="Times New Roman" w:eastAsia="Times New Roman" w:hAnsi="Times New Roman" w:cs="Times New Roman"/>
        </w:rPr>
        <w:t xml:space="preserve">La primera es la teoría crítica de la tecnología, cuyo principal exponente contemporáneo es Andrew </w:t>
      </w:r>
      <w:proofErr w:type="spellStart"/>
      <w:r>
        <w:rPr>
          <w:rFonts w:ascii="Times New Roman" w:eastAsia="Times New Roman" w:hAnsi="Times New Roman" w:cs="Times New Roman"/>
        </w:rPr>
        <w:t>Feenberg</w:t>
      </w:r>
      <w:proofErr w:type="spellEnd"/>
      <w:r>
        <w:rPr>
          <w:rFonts w:ascii="Times New Roman" w:eastAsia="Times New Roman" w:hAnsi="Times New Roman" w:cs="Times New Roman"/>
        </w:rPr>
        <w:t xml:space="preserve"> (2002, 2017). </w:t>
      </w:r>
      <w:proofErr w:type="spellStart"/>
      <w:r>
        <w:rPr>
          <w:rFonts w:ascii="Times New Roman" w:eastAsia="Times New Roman" w:hAnsi="Times New Roman" w:cs="Times New Roman"/>
        </w:rPr>
        <w:t>Feenberg</w:t>
      </w:r>
      <w:proofErr w:type="spellEnd"/>
      <w:r>
        <w:rPr>
          <w:rFonts w:ascii="Times New Roman" w:eastAsia="Times New Roman" w:hAnsi="Times New Roman" w:cs="Times New Roman"/>
        </w:rPr>
        <w:t xml:space="preserve"> sostiene que las tecnologías no son </w:t>
      </w:r>
      <w:r w:rsidR="00B84ECC">
        <w:rPr>
          <w:rFonts w:ascii="Times New Roman" w:eastAsia="Times New Roman" w:hAnsi="Times New Roman" w:cs="Times New Roman"/>
        </w:rPr>
        <w:t>neutrales,</w:t>
      </w:r>
      <w:r>
        <w:rPr>
          <w:rFonts w:ascii="Times New Roman" w:eastAsia="Times New Roman" w:hAnsi="Times New Roman" w:cs="Times New Roman"/>
        </w:rPr>
        <w:t xml:space="preserve"> sino que incorporan valores, jerarquías y relaciones de poder en su propio diseño. Esta perspectiva, articulada con los aportes de </w:t>
      </w:r>
      <w:proofErr w:type="spellStart"/>
      <w:r>
        <w:rPr>
          <w:rFonts w:ascii="Times New Roman" w:eastAsia="Times New Roman" w:hAnsi="Times New Roman" w:cs="Times New Roman"/>
        </w:rPr>
        <w:t>Winner</w:t>
      </w:r>
      <w:proofErr w:type="spellEnd"/>
      <w:r>
        <w:rPr>
          <w:rFonts w:ascii="Times New Roman" w:eastAsia="Times New Roman" w:hAnsi="Times New Roman" w:cs="Times New Roman"/>
        </w:rPr>
        <w:t xml:space="preserve"> (1980) sobre la política de los artefactos, permite analizar la adopción de IA en la universidad no como un proceso técnico-administrativo sino como una arena de disputa en la que se negocian sentidos, inclusiones y exclusiones. En el contexto latinoamericano, esta tradición ha sido actualizada y enriquecida por los estudios sobre </w:t>
      </w:r>
      <w:proofErr w:type="spellStart"/>
      <w:r>
        <w:rPr>
          <w:rFonts w:ascii="Times New Roman" w:eastAsia="Times New Roman" w:hAnsi="Times New Roman" w:cs="Times New Roman"/>
        </w:rPr>
        <w:t>colonialidad</w:t>
      </w:r>
      <w:proofErr w:type="spellEnd"/>
      <w:r>
        <w:rPr>
          <w:rFonts w:ascii="Times New Roman" w:eastAsia="Times New Roman" w:hAnsi="Times New Roman" w:cs="Times New Roman"/>
        </w:rPr>
        <w:t xml:space="preserve"> digital y soberanía tecnológica (Escobar, 2018; Mohamed et al., 2020), que problematizan la dependencia de infraestructuras de IA diseñadas y controladas desde el Norte global y sus implicancias para las universidades del sur.</w:t>
      </w:r>
    </w:p>
    <w:p w14:paraId="4EEB8704" w14:textId="7F9DC338" w:rsidR="00140362" w:rsidRDefault="00140362" w:rsidP="00140362">
      <w:pPr>
        <w:spacing w:after="120"/>
        <w:jc w:val="both"/>
      </w:pPr>
      <w:r>
        <w:rPr>
          <w:rFonts w:ascii="Times New Roman" w:eastAsia="Times New Roman" w:hAnsi="Times New Roman" w:cs="Times New Roman"/>
        </w:rPr>
        <w:t xml:space="preserve">La segunda tradición es la de los estudios sobre mediaciones culturales y ecología de los medios (Martín-Barbero, 2003; </w:t>
      </w:r>
      <w:proofErr w:type="spellStart"/>
      <w:r>
        <w:rPr>
          <w:rFonts w:ascii="Times New Roman" w:eastAsia="Times New Roman" w:hAnsi="Times New Roman" w:cs="Times New Roman"/>
        </w:rPr>
        <w:t>Scolari</w:t>
      </w:r>
      <w:proofErr w:type="spellEnd"/>
      <w:r>
        <w:rPr>
          <w:rFonts w:ascii="Times New Roman" w:eastAsia="Times New Roman" w:hAnsi="Times New Roman" w:cs="Times New Roman"/>
        </w:rPr>
        <w:t>, 2008, 2015). Desde esta perspectiva, los sistemas de IA no se limitan a ser herramientas que los docentes usan o no usan: configuran entornos que transforman las prácticas pedagógicas, las relaciones con el saber y las formas de producción y circulación del conocimiento. El concepto de mediación tecnológica</w:t>
      </w:r>
      <w:r w:rsidR="004461D6">
        <w:rPr>
          <w:rFonts w:ascii="Times New Roman" w:eastAsia="Times New Roman" w:hAnsi="Times New Roman" w:cs="Times New Roman"/>
        </w:rPr>
        <w:t xml:space="preserve"> p</w:t>
      </w:r>
      <w:r>
        <w:rPr>
          <w:rFonts w:ascii="Times New Roman" w:eastAsia="Times New Roman" w:hAnsi="Times New Roman" w:cs="Times New Roman"/>
        </w:rPr>
        <w:t xml:space="preserve">ara los entornos digitales, resulta pertinente para comprender cómo la incorporación de IA en la enseñanza universitaria no es un fenómeno de adopción sino de transformación constitutiva de las prácticas. En Argentina, esta perspectiva ha sido retomada por investigadores del campo de la comunicación y la educación (Benítez </w:t>
      </w:r>
      <w:proofErr w:type="spellStart"/>
      <w:r>
        <w:rPr>
          <w:rFonts w:ascii="Times New Roman" w:eastAsia="Times New Roman" w:hAnsi="Times New Roman" w:cs="Times New Roman"/>
        </w:rPr>
        <w:t>Larghi</w:t>
      </w:r>
      <w:proofErr w:type="spellEnd"/>
      <w:r>
        <w:rPr>
          <w:rFonts w:ascii="Times New Roman" w:eastAsia="Times New Roman" w:hAnsi="Times New Roman" w:cs="Times New Roman"/>
        </w:rPr>
        <w:t xml:space="preserve"> et al., 2019; </w:t>
      </w: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e Quevedo, 2010) para analizar la apropiación diferencial de tecnologías digitales en contextos de desigualdad.</w:t>
      </w:r>
    </w:p>
    <w:p w14:paraId="3CA78F74" w14:textId="451D764A" w:rsidR="00140362" w:rsidRDefault="00140362" w:rsidP="00140362">
      <w:pPr>
        <w:spacing w:after="120"/>
        <w:jc w:val="both"/>
      </w:pPr>
      <w:r>
        <w:rPr>
          <w:rFonts w:ascii="Times New Roman" w:eastAsia="Times New Roman" w:hAnsi="Times New Roman" w:cs="Times New Roman"/>
        </w:rPr>
        <w:t xml:space="preserve">La tercera tradición es la de la pedagogía crítica y la alfabetización en IA como derecho educativo. Retomando los aportes de Freire (1970, 1997) sobre la alfabetización como práctica de la libertad y los desarrollos de </w:t>
      </w:r>
      <w:proofErr w:type="spellStart"/>
      <w:r>
        <w:rPr>
          <w:rFonts w:ascii="Times New Roman" w:eastAsia="Times New Roman" w:hAnsi="Times New Roman" w:cs="Times New Roman"/>
        </w:rPr>
        <w:t>Giroux</w:t>
      </w:r>
      <w:proofErr w:type="spellEnd"/>
      <w:r>
        <w:rPr>
          <w:rFonts w:ascii="Times New Roman" w:eastAsia="Times New Roman" w:hAnsi="Times New Roman" w:cs="Times New Roman"/>
        </w:rPr>
        <w:t xml:space="preserve"> (2003, 2015) sobre la pedagogía crítica como práctica </w:t>
      </w:r>
      <w:proofErr w:type="spellStart"/>
      <w:r>
        <w:rPr>
          <w:rFonts w:ascii="Times New Roman" w:eastAsia="Times New Roman" w:hAnsi="Times New Roman" w:cs="Times New Roman"/>
        </w:rPr>
        <w:t>contrahegemónica</w:t>
      </w:r>
      <w:proofErr w:type="spellEnd"/>
      <w:r>
        <w:rPr>
          <w:rFonts w:ascii="Times New Roman" w:eastAsia="Times New Roman" w:hAnsi="Times New Roman" w:cs="Times New Roman"/>
        </w:rPr>
        <w:t xml:space="preserve">, se conceptualiza la alfabetización crítica en IA como la construcción de capacidades para decodificar críticamente las estructuras de poder, valores y sesgos incorporados en los sistemas algorítmicos. En América Latina, esta perspectiva ha sido articulada con los debates sobre justicia cognitiva y epistemologías del sur (de Sousa Santos, 2009; </w:t>
      </w:r>
      <w:proofErr w:type="spellStart"/>
      <w:r>
        <w:rPr>
          <w:rFonts w:ascii="Times New Roman" w:eastAsia="Times New Roman" w:hAnsi="Times New Roman" w:cs="Times New Roman"/>
        </w:rPr>
        <w:t>Visvanathan</w:t>
      </w:r>
      <w:proofErr w:type="spellEnd"/>
      <w:r>
        <w:rPr>
          <w:rFonts w:ascii="Times New Roman" w:eastAsia="Times New Roman" w:hAnsi="Times New Roman" w:cs="Times New Roman"/>
        </w:rPr>
        <w:t xml:space="preserve">, 2009), generando marcos conceptuales que problematizan la hegemonía del conocimiento técnico-científico occidental en el diseño </w:t>
      </w:r>
      <w:r>
        <w:rPr>
          <w:rFonts w:ascii="Times New Roman" w:eastAsia="Times New Roman" w:hAnsi="Times New Roman" w:cs="Times New Roman"/>
        </w:rPr>
        <w:lastRenderedPageBreak/>
        <w:t>e implementación de sistemas de IA. En Argentina</w:t>
      </w:r>
      <w:r w:rsidR="001302C7">
        <w:rPr>
          <w:rFonts w:ascii="Times New Roman" w:eastAsia="Times New Roman" w:hAnsi="Times New Roman" w:cs="Times New Roman"/>
        </w:rPr>
        <w:t>, l</w:t>
      </w:r>
      <w:r>
        <w:rPr>
          <w:rFonts w:ascii="Times New Roman" w:eastAsia="Times New Roman" w:hAnsi="Times New Roman" w:cs="Times New Roman"/>
        </w:rPr>
        <w:t xml:space="preserve">os trabajos de </w:t>
      </w:r>
      <w:proofErr w:type="spellStart"/>
      <w:r>
        <w:rPr>
          <w:rFonts w:ascii="Times New Roman" w:eastAsia="Times New Roman" w:hAnsi="Times New Roman" w:cs="Times New Roman"/>
        </w:rPr>
        <w:t>Copertari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Sgreccia</w:t>
      </w:r>
      <w:proofErr w:type="spellEnd"/>
      <w:r>
        <w:rPr>
          <w:rFonts w:ascii="Times New Roman" w:eastAsia="Times New Roman" w:hAnsi="Times New Roman" w:cs="Times New Roman"/>
        </w:rPr>
        <w:t xml:space="preserve"> (2021) sobre formación docente y tecnologías digitales, y los de </w:t>
      </w:r>
      <w:proofErr w:type="spellStart"/>
      <w:r>
        <w:rPr>
          <w:rFonts w:ascii="Times New Roman" w:eastAsia="Times New Roman" w:hAnsi="Times New Roman" w:cs="Times New Roman"/>
        </w:rPr>
        <w:t>Maggio</w:t>
      </w:r>
      <w:proofErr w:type="spellEnd"/>
      <w:r>
        <w:rPr>
          <w:rFonts w:ascii="Times New Roman" w:eastAsia="Times New Roman" w:hAnsi="Times New Roman" w:cs="Times New Roman"/>
        </w:rPr>
        <w:t xml:space="preserve"> (2012, 2021) sobre la reinvención de la enseñanza en entornos digitales, ofrecen anclajes conceptuales para pensar la apropiación pedagógica de la IA en el contexto universitario local.</w:t>
      </w:r>
    </w:p>
    <w:p w14:paraId="0337174E" w14:textId="4BE0DA3F" w:rsidR="00140362" w:rsidRDefault="00140362" w:rsidP="00140362">
      <w:pPr>
        <w:spacing w:after="120"/>
        <w:jc w:val="both"/>
      </w:pPr>
      <w:r>
        <w:rPr>
          <w:rFonts w:ascii="Times New Roman" w:eastAsia="Times New Roman" w:hAnsi="Times New Roman" w:cs="Times New Roman"/>
        </w:rPr>
        <w:t>A estas tres tradiciones se agrega el enfoque de los estudios sobre justicia algorítmica (</w:t>
      </w:r>
      <w:proofErr w:type="spellStart"/>
      <w:r>
        <w:rPr>
          <w:rFonts w:ascii="Times New Roman" w:eastAsia="Times New Roman" w:hAnsi="Times New Roman" w:cs="Times New Roman"/>
        </w:rPr>
        <w:t>Benjamin</w:t>
      </w:r>
      <w:proofErr w:type="spellEnd"/>
      <w:r>
        <w:rPr>
          <w:rFonts w:ascii="Times New Roman" w:eastAsia="Times New Roman" w:hAnsi="Times New Roman" w:cs="Times New Roman"/>
        </w:rPr>
        <w:t xml:space="preserve">, 2019; Noble, 2018; </w:t>
      </w:r>
      <w:proofErr w:type="spellStart"/>
      <w:r>
        <w:rPr>
          <w:rFonts w:ascii="Times New Roman" w:eastAsia="Times New Roman" w:hAnsi="Times New Roman" w:cs="Times New Roman"/>
        </w:rPr>
        <w:t>D'Ignazio</w:t>
      </w:r>
      <w:proofErr w:type="spellEnd"/>
      <w:r>
        <w:rPr>
          <w:rFonts w:ascii="Times New Roman" w:eastAsia="Times New Roman" w:hAnsi="Times New Roman" w:cs="Times New Roman"/>
        </w:rPr>
        <w:t xml:space="preserve"> y Klein, 2020; </w:t>
      </w:r>
      <w:proofErr w:type="spellStart"/>
      <w:r>
        <w:rPr>
          <w:rFonts w:ascii="Times New Roman" w:eastAsia="Times New Roman" w:hAnsi="Times New Roman" w:cs="Times New Roman"/>
        </w:rPr>
        <w:t>Eubanks</w:t>
      </w:r>
      <w:proofErr w:type="spellEnd"/>
      <w:r>
        <w:rPr>
          <w:rFonts w:ascii="Times New Roman" w:eastAsia="Times New Roman" w:hAnsi="Times New Roman" w:cs="Times New Roman"/>
        </w:rPr>
        <w:t>, 2018), entendida como la distribución equitativa de beneficios y riesgos de los sistemas de IA sin reproducir sesgos estructurales de clase, género, raza y territorio. En el contexto de una universidad pública del conurbano bonaerense cuya población estudiantil proviene mayoritariamente de sectores de primera generación universitaria, la justicia algorítmica</w:t>
      </w:r>
      <w:r w:rsidR="009D2AE6">
        <w:rPr>
          <w:rFonts w:ascii="Times New Roman" w:eastAsia="Times New Roman" w:hAnsi="Times New Roman" w:cs="Times New Roman"/>
        </w:rPr>
        <w:t xml:space="preserve"> se plantea como</w:t>
      </w:r>
      <w:r>
        <w:rPr>
          <w:rFonts w:ascii="Times New Roman" w:eastAsia="Times New Roman" w:hAnsi="Times New Roman" w:cs="Times New Roman"/>
        </w:rPr>
        <w:t xml:space="preserve"> una dimensión concreta de la política educativa.</w:t>
      </w:r>
    </w:p>
    <w:p w14:paraId="7385CDB8" w14:textId="04C7C6CE" w:rsidR="00140362" w:rsidRDefault="00140362" w:rsidP="00140362">
      <w:pPr>
        <w:spacing w:after="120"/>
        <w:jc w:val="both"/>
      </w:pPr>
      <w:r>
        <w:rPr>
          <w:rFonts w:ascii="Times New Roman" w:eastAsia="Times New Roman" w:hAnsi="Times New Roman" w:cs="Times New Roman"/>
        </w:rPr>
        <w:t>Finalmente, el concepto de gobernanza participativa (</w:t>
      </w:r>
      <w:proofErr w:type="spellStart"/>
      <w:r>
        <w:rPr>
          <w:rFonts w:ascii="Times New Roman" w:eastAsia="Times New Roman" w:hAnsi="Times New Roman" w:cs="Times New Roman"/>
        </w:rPr>
        <w:t>Arnstein</w:t>
      </w:r>
      <w:proofErr w:type="spellEnd"/>
      <w:r>
        <w:rPr>
          <w:rFonts w:ascii="Times New Roman" w:eastAsia="Times New Roman" w:hAnsi="Times New Roman" w:cs="Times New Roman"/>
        </w:rPr>
        <w:t xml:space="preserve">, 1969; </w:t>
      </w:r>
      <w:proofErr w:type="spellStart"/>
      <w:r>
        <w:rPr>
          <w:rFonts w:ascii="Times New Roman" w:eastAsia="Times New Roman" w:hAnsi="Times New Roman" w:cs="Times New Roman"/>
        </w:rPr>
        <w:t>Pateman</w:t>
      </w:r>
      <w:proofErr w:type="spellEnd"/>
      <w:r>
        <w:rPr>
          <w:rFonts w:ascii="Times New Roman" w:eastAsia="Times New Roman" w:hAnsi="Times New Roman" w:cs="Times New Roman"/>
        </w:rPr>
        <w:t xml:space="preserve">, 1970; </w:t>
      </w:r>
      <w:proofErr w:type="spellStart"/>
      <w:r>
        <w:rPr>
          <w:rFonts w:ascii="Times New Roman" w:eastAsia="Times New Roman" w:hAnsi="Times New Roman" w:cs="Times New Roman"/>
        </w:rPr>
        <w:t>Fung</w:t>
      </w:r>
      <w:proofErr w:type="spellEnd"/>
      <w:r>
        <w:rPr>
          <w:rFonts w:ascii="Times New Roman" w:eastAsia="Times New Roman" w:hAnsi="Times New Roman" w:cs="Times New Roman"/>
        </w:rPr>
        <w:t xml:space="preserve">, 2006) orienta el análisis de los mecanismos institucionales de toma de decisiones sobre IA. En el contexto argentino, la experiencia de la CUAIA </w:t>
      </w:r>
      <w:r w:rsidR="00B84ECC">
        <w:rPr>
          <w:rFonts w:ascii="Times New Roman" w:eastAsia="Times New Roman" w:hAnsi="Times New Roman" w:cs="Times New Roman"/>
        </w:rPr>
        <w:t>(</w:t>
      </w:r>
      <w:r>
        <w:rPr>
          <w:rFonts w:ascii="Times New Roman" w:eastAsia="Times New Roman" w:hAnsi="Times New Roman" w:cs="Times New Roman"/>
        </w:rPr>
        <w:t>conformada por representantes de todos los claustros</w:t>
      </w:r>
      <w:r w:rsidR="00B84ECC">
        <w:rPr>
          <w:rFonts w:ascii="Times New Roman" w:eastAsia="Times New Roman" w:hAnsi="Times New Roman" w:cs="Times New Roman"/>
        </w:rPr>
        <w:t>)</w:t>
      </w:r>
      <w:r>
        <w:rPr>
          <w:rFonts w:ascii="Times New Roman" w:eastAsia="Times New Roman" w:hAnsi="Times New Roman" w:cs="Times New Roman"/>
        </w:rPr>
        <w:t xml:space="preserve"> representa un modelo de gobernanza que pretende superar los enfoques tecnocráticos para integrar dimensiones éticas, políticas y sociales en las decisiones sobre tecnologías emergentes. La investigación sobre educación superior en Argentina (García, 2023; </w:t>
      </w:r>
      <w:proofErr w:type="spellStart"/>
      <w:r>
        <w:rPr>
          <w:rFonts w:ascii="Times New Roman" w:eastAsia="Times New Roman" w:hAnsi="Times New Roman" w:cs="Times New Roman"/>
        </w:rPr>
        <w:t>Garatte</w:t>
      </w:r>
      <w:proofErr w:type="spellEnd"/>
      <w:r>
        <w:rPr>
          <w:rFonts w:ascii="Times New Roman" w:eastAsia="Times New Roman" w:hAnsi="Times New Roman" w:cs="Times New Roman"/>
        </w:rPr>
        <w:t xml:space="preserve">, 2023; </w:t>
      </w: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2009; Pérez-</w:t>
      </w:r>
      <w:proofErr w:type="spellStart"/>
      <w:r>
        <w:rPr>
          <w:rFonts w:ascii="Times New Roman" w:eastAsia="Times New Roman" w:hAnsi="Times New Roman" w:cs="Times New Roman"/>
        </w:rPr>
        <w:t>Rasetti</w:t>
      </w:r>
      <w:proofErr w:type="spellEnd"/>
      <w:r>
        <w:rPr>
          <w:rFonts w:ascii="Times New Roman" w:eastAsia="Times New Roman" w:hAnsi="Times New Roman" w:cs="Times New Roman"/>
        </w:rPr>
        <w:t>, 2012) ofrece marcos contextualizados para comprender el mandato incluyente de las nuevas universidades del conurbano y sus desafíos específicos para democratizar el acceso al conocimiento.</w:t>
      </w:r>
    </w:p>
    <w:p w14:paraId="5A073534" w14:textId="77777777" w:rsidR="00061C38" w:rsidRDefault="00061C38" w:rsidP="00061C38">
      <w:pPr>
        <w:spacing w:before="240" w:after="120"/>
      </w:pPr>
      <w:r>
        <w:rPr>
          <w:rFonts w:ascii="Times New Roman" w:eastAsia="Times New Roman" w:hAnsi="Times New Roman" w:cs="Times New Roman"/>
          <w:b/>
          <w:bCs/>
        </w:rPr>
        <w:t>Metodología</w:t>
      </w:r>
    </w:p>
    <w:p w14:paraId="6191014D" w14:textId="0B5144AE" w:rsidR="00061C38" w:rsidRDefault="00061C38" w:rsidP="00061C38">
      <w:pPr>
        <w:spacing w:after="120"/>
        <w:jc w:val="both"/>
      </w:pPr>
      <w:r>
        <w:rPr>
          <w:rFonts w:ascii="Times New Roman" w:eastAsia="Times New Roman" w:hAnsi="Times New Roman" w:cs="Times New Roman"/>
        </w:rPr>
        <w:t xml:space="preserve">El relevamiento se realizó durante mayo de 2026 mediante una encuesta </w:t>
      </w:r>
      <w:proofErr w:type="spellStart"/>
      <w:r>
        <w:rPr>
          <w:rFonts w:ascii="Times New Roman" w:eastAsia="Times New Roman" w:hAnsi="Times New Roman" w:cs="Times New Roman"/>
        </w:rPr>
        <w:t>autoadministrada</w:t>
      </w:r>
      <w:proofErr w:type="spellEnd"/>
      <w:r>
        <w:rPr>
          <w:rFonts w:ascii="Times New Roman" w:eastAsia="Times New Roman" w:hAnsi="Times New Roman" w:cs="Times New Roman"/>
        </w:rPr>
        <w:t xml:space="preserve"> en línea aplicada al cuerpo docente universitario de la UNDAV. Se obtuvieron 438 respuestas, de las cuales se excluyeron 4 correspondientes a la Escuela Secundaria Técnica, trabajando con N=434 docentes universitarios. La muestra es </w:t>
      </w:r>
      <w:r w:rsidR="00617561">
        <w:rPr>
          <w:rFonts w:ascii="Times New Roman" w:eastAsia="Times New Roman" w:hAnsi="Times New Roman" w:cs="Times New Roman"/>
        </w:rPr>
        <w:t xml:space="preserve">intencional </w:t>
      </w:r>
      <w:r>
        <w:rPr>
          <w:rFonts w:ascii="Times New Roman" w:eastAsia="Times New Roman" w:hAnsi="Times New Roman" w:cs="Times New Roman"/>
        </w:rPr>
        <w:t xml:space="preserve">no probabilística y surge de las respuestas de los docentes que completaron voluntariamente la encuesta adaptada del instrumento implementado por el Digital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Council (DEC) en </w:t>
      </w:r>
      <w:r w:rsidR="00977D28">
        <w:rPr>
          <w:rFonts w:ascii="Times New Roman" w:eastAsia="Times New Roman" w:hAnsi="Times New Roman" w:cs="Times New Roman"/>
        </w:rPr>
        <w:t xml:space="preserve">universidades de </w:t>
      </w:r>
      <w:r>
        <w:rPr>
          <w:rFonts w:ascii="Times New Roman" w:eastAsia="Times New Roman" w:hAnsi="Times New Roman" w:cs="Times New Roman"/>
        </w:rPr>
        <w:t xml:space="preserve">América Latina. La muestra </w:t>
      </w:r>
      <w:r w:rsidR="0077013C">
        <w:rPr>
          <w:rFonts w:ascii="Times New Roman" w:eastAsia="Times New Roman" w:hAnsi="Times New Roman" w:cs="Times New Roman"/>
        </w:rPr>
        <w:t>abarca</w:t>
      </w:r>
      <w:r>
        <w:rPr>
          <w:rFonts w:ascii="Times New Roman" w:eastAsia="Times New Roman" w:hAnsi="Times New Roman" w:cs="Times New Roman"/>
        </w:rPr>
        <w:t xml:space="preserve"> todos los departamentos académicos de la institución y constituye el relevamiento docente sobre IA más amplio realizado hasta la fecha en la UNDAV.</w:t>
      </w:r>
    </w:p>
    <w:p w14:paraId="12EBD904" w14:textId="654831B6" w:rsidR="00061C38" w:rsidRDefault="00061C38" w:rsidP="00061C38">
      <w:pPr>
        <w:spacing w:after="120"/>
        <w:jc w:val="both"/>
      </w:pPr>
      <w:r>
        <w:rPr>
          <w:rFonts w:ascii="Times New Roman" w:eastAsia="Times New Roman" w:hAnsi="Times New Roman" w:cs="Times New Roman"/>
        </w:rPr>
        <w:t>El instrumento adapta localmente la encuesta sobre IA en la Educación Superior en América Latina 2026 del DEC, aplicada a 7.319 docentes de 29 instituciones latinoamericanas. La adaptación incorporó tres dimensiones sin equivalente en el cuestionario regional, diseñadas para capturar aspectos específicos de la cultura institucional de la UNDAV: la percepción sobre la concentración corporativa de las herramientas de IA y sus implicancias para la soberanía tecnológica</w:t>
      </w:r>
      <w:r w:rsidR="00C71926">
        <w:rPr>
          <w:rFonts w:ascii="Times New Roman" w:eastAsia="Times New Roman" w:hAnsi="Times New Roman" w:cs="Times New Roman"/>
        </w:rPr>
        <w:t>,</w:t>
      </w:r>
      <w:r>
        <w:rPr>
          <w:rFonts w:ascii="Times New Roman" w:eastAsia="Times New Roman" w:hAnsi="Times New Roman" w:cs="Times New Roman"/>
        </w:rPr>
        <w:t xml:space="preserve"> la posición docente </w:t>
      </w:r>
      <w:r>
        <w:rPr>
          <w:rFonts w:ascii="Times New Roman" w:eastAsia="Times New Roman" w:hAnsi="Times New Roman" w:cs="Times New Roman"/>
        </w:rPr>
        <w:lastRenderedPageBreak/>
        <w:t>respecto de la obligación de declarar el uso de IA en la preparación de clases y evaluaciones; y la preocupación por el impacto de la IA en la capacidad del estudiantado para construir un posicionamiento cognitivo autónomo. Estas tres dimensiones se articulan con los marcos conceptuales de los Documentos N.° 1 y N.° 2 de la CUAIA.</w:t>
      </w:r>
    </w:p>
    <w:p w14:paraId="7CF13375" w14:textId="56E21945" w:rsidR="00061C38" w:rsidRDefault="00061C38" w:rsidP="00061C38">
      <w:pPr>
        <w:spacing w:after="120"/>
        <w:jc w:val="both"/>
      </w:pPr>
      <w:r>
        <w:rPr>
          <w:rFonts w:ascii="Times New Roman" w:eastAsia="Times New Roman" w:hAnsi="Times New Roman" w:cs="Times New Roman"/>
        </w:rPr>
        <w:t xml:space="preserve">El instrumento exploró nueve dimensiones. La primera relevó el perfil demográfico y laboral de los docentes: departamento académico, área de conocimiento, años de experiencia y tipo de dedicación (parcial o completa). La segunda dimensión indagó las actitudes generales hacia la IA en educación mediante una escala de opinión de cinco puntos y una pregunta dicotómica sobre si la IA representa primariamente un desafío o una oportunidad. La tercera dimensión relevó los usos actuales de la IA en la práctica docente, incluyendo las herramientas utilizadas, los propósitos de uso y las preferencias de integración pedagógica en el aula. La cuarta dimensión exploró las barreras para la adopción entre quienes declaran no utilizar IA, así como la expectativa de uso futuro. La quinta dimensión relevó las competencias docentes que el propio cuerpo docente considera necesarias en el contexto de la expansión de la IA. La sexta dimensión </w:t>
      </w:r>
      <w:r w:rsidR="009B3D93">
        <w:rPr>
          <w:rFonts w:ascii="Times New Roman" w:eastAsia="Times New Roman" w:hAnsi="Times New Roman" w:cs="Times New Roman"/>
        </w:rPr>
        <w:t>(</w:t>
      </w:r>
      <w:r>
        <w:rPr>
          <w:rFonts w:ascii="Times New Roman" w:eastAsia="Times New Roman" w:hAnsi="Times New Roman" w:cs="Times New Roman"/>
        </w:rPr>
        <w:t>central para los objetivos del estudio</w:t>
      </w:r>
      <w:r w:rsidR="009B3D93">
        <w:rPr>
          <w:rFonts w:ascii="Times New Roman" w:eastAsia="Times New Roman" w:hAnsi="Times New Roman" w:cs="Times New Roman"/>
        </w:rPr>
        <w:t xml:space="preserve">) </w:t>
      </w:r>
      <w:r>
        <w:rPr>
          <w:rFonts w:ascii="Times New Roman" w:eastAsia="Times New Roman" w:hAnsi="Times New Roman" w:cs="Times New Roman"/>
        </w:rPr>
        <w:t xml:space="preserve">midió los niveles de alfabetización en IA en cinco </w:t>
      </w:r>
      <w:proofErr w:type="spellStart"/>
      <w:r>
        <w:rPr>
          <w:rFonts w:ascii="Times New Roman" w:eastAsia="Times New Roman" w:hAnsi="Times New Roman" w:cs="Times New Roman"/>
        </w:rPr>
        <w:t>subdimensiones</w:t>
      </w:r>
      <w:proofErr w:type="spellEnd"/>
      <w:r>
        <w:rPr>
          <w:rFonts w:ascii="Times New Roman" w:eastAsia="Times New Roman" w:hAnsi="Times New Roman" w:cs="Times New Roman"/>
        </w:rPr>
        <w:t xml:space="preserve"> adaptadas de Long y </w:t>
      </w:r>
      <w:proofErr w:type="spellStart"/>
      <w:r>
        <w:rPr>
          <w:rFonts w:ascii="Times New Roman" w:eastAsia="Times New Roman" w:hAnsi="Times New Roman" w:cs="Times New Roman"/>
        </w:rPr>
        <w:t>Magerko</w:t>
      </w:r>
      <w:proofErr w:type="spellEnd"/>
      <w:r>
        <w:rPr>
          <w:rFonts w:ascii="Times New Roman" w:eastAsia="Times New Roman" w:hAnsi="Times New Roman" w:cs="Times New Roman"/>
        </w:rPr>
        <w:t xml:space="preserve"> (2020) y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 et al. (2021): comprensión técnica de la IA y los datos, pensamiento crítico sobre outputs generados por IA, uso ético y responsable, centralidad humana en el diseño e implementación de IA, y conocimiento del impacto de la IA en el propio campo disciplinar. La séptima dimensión exploró las preocupaciones pedagógicas del cuerpo docente respecto del uso estudiantil de la IA. La octava dimensión relevó el posicionamiento ético y político ante la IA, incluyendo las tres preguntas propias de la versión UNDAV mencionadas anteriormente. La novena dimensión exploró la percepción del acompañamiento institucional y la posición respecto de la necesidad de actualizar los métodos de evaluación estudiantil.</w:t>
      </w:r>
    </w:p>
    <w:p w14:paraId="4C501ADF" w14:textId="77777777" w:rsidR="00061C38" w:rsidRDefault="00061C38" w:rsidP="00061C38">
      <w:pPr>
        <w:spacing w:after="120"/>
        <w:jc w:val="both"/>
      </w:pPr>
      <w:r>
        <w:rPr>
          <w:rFonts w:ascii="Times New Roman" w:eastAsia="Times New Roman" w:hAnsi="Times New Roman" w:cs="Times New Roman"/>
        </w:rPr>
        <w:t>Los datos cuantitativos fueron analizados mediante estadística descriptiva. La comparación con la Encuesta DEC LATAM 2026 se realiza con las precauciones metodológicas correspondientes a la diferencia de escala (N=434 vs. N=7.319), tipo de institución y contexto nacional, y las diferencias entre los instrumentos aplicados. Las tres preguntas propias de la versión UNDAV no tienen equivalente en el cuestionario regional y no pueden compararse directamente.</w:t>
      </w:r>
    </w:p>
    <w:p w14:paraId="4C5024B2" w14:textId="5E77C840" w:rsidR="00061C38" w:rsidRDefault="00061C38" w:rsidP="003B2A65">
      <w:pPr>
        <w:spacing w:after="120"/>
        <w:jc w:val="both"/>
      </w:pPr>
      <w:r>
        <w:rPr>
          <w:rFonts w:ascii="Times New Roman" w:eastAsia="Times New Roman" w:hAnsi="Times New Roman" w:cs="Times New Roman"/>
        </w:rPr>
        <w:t>El análisis documental complementa el componente cuantitativo: los Documentos N.° 1 y N.° 2 de la CUAIA, aprobados por el Consejo Superior de la UNDAV, constituyen las fuentes primarias institucionales que permiten contrastar los marcos normativos declarados con la percepción docente relevada empíricamente.</w:t>
      </w:r>
    </w:p>
    <w:p w14:paraId="399CA059" w14:textId="77777777" w:rsidR="00061C38" w:rsidRDefault="00061C38" w:rsidP="00061C38">
      <w:pPr>
        <w:spacing w:before="240" w:after="120"/>
      </w:pPr>
      <w:r>
        <w:rPr>
          <w:rFonts w:ascii="Times New Roman" w:eastAsia="Times New Roman" w:hAnsi="Times New Roman" w:cs="Times New Roman"/>
          <w:b/>
          <w:bCs/>
        </w:rPr>
        <w:t>Resultados</w:t>
      </w:r>
    </w:p>
    <w:p w14:paraId="48C04E73" w14:textId="77777777" w:rsidR="00061C38" w:rsidRDefault="00061C38" w:rsidP="00061C38">
      <w:pPr>
        <w:spacing w:before="240" w:after="120"/>
      </w:pPr>
      <w:r>
        <w:rPr>
          <w:rFonts w:ascii="Times New Roman" w:eastAsia="Times New Roman" w:hAnsi="Times New Roman" w:cs="Times New Roman"/>
          <w:b/>
          <w:bCs/>
        </w:rPr>
        <w:lastRenderedPageBreak/>
        <w:t>Perfil del cuerpo docente relevado</w:t>
      </w:r>
    </w:p>
    <w:p w14:paraId="2512077E" w14:textId="77777777" w:rsidR="00B84ECC" w:rsidRDefault="00061C38" w:rsidP="003B2A65">
      <w:pPr>
        <w:spacing w:after="120"/>
        <w:jc w:val="both"/>
      </w:pPr>
      <w:r>
        <w:rPr>
          <w:rFonts w:ascii="Times New Roman" w:eastAsia="Times New Roman" w:hAnsi="Times New Roman" w:cs="Times New Roman"/>
        </w:rPr>
        <w:t xml:space="preserve">La distribución por departamento refleja la composición real de la planta docente de la UNDAV: el Departamento de Cultura, Arte y Comunicación concentra la mayor participación (25,1%), seguido por Ciencias Sociales (18,9%), Salud y Actividad Física (18,0%) y Arquitectura, Diseño y Urbanismo (16,4%). En términos de área de conocimiento, Artes, Humanidades y Ciencias Sociales constituye el grupo más numeroso (36,6%), seguido por Ciencia, Tecnología, Ingeniería y Matemáticas (16,1%) y Derecho (15,7%). Esta composición disciplinar </w:t>
      </w:r>
      <w:r w:rsidR="00B84ECC">
        <w:rPr>
          <w:rFonts w:ascii="Times New Roman" w:eastAsia="Times New Roman" w:hAnsi="Times New Roman" w:cs="Times New Roman"/>
        </w:rPr>
        <w:t>(</w:t>
      </w:r>
      <w:r>
        <w:rPr>
          <w:rFonts w:ascii="Times New Roman" w:eastAsia="Times New Roman" w:hAnsi="Times New Roman" w:cs="Times New Roman"/>
        </w:rPr>
        <w:t>donde las humanidades, las ciencias sociales y el derecho representan más de la mitad de la muestra</w:t>
      </w:r>
      <w:r w:rsidR="00B84ECC">
        <w:rPr>
          <w:rFonts w:ascii="Times New Roman" w:eastAsia="Times New Roman" w:hAnsi="Times New Roman" w:cs="Times New Roman"/>
        </w:rPr>
        <w:t>)</w:t>
      </w:r>
      <w:r>
        <w:rPr>
          <w:rFonts w:ascii="Times New Roman" w:eastAsia="Times New Roman" w:hAnsi="Times New Roman" w:cs="Times New Roman"/>
        </w:rPr>
        <w:t xml:space="preserve"> es central para interpretar las actitudes relevadas.</w:t>
      </w:r>
      <w:r w:rsidR="00B84ECC">
        <w:t xml:space="preserve"> </w:t>
      </w:r>
    </w:p>
    <w:p w14:paraId="58F9F7CB" w14:textId="760B2832" w:rsidR="00061C38" w:rsidRDefault="00061C38" w:rsidP="003B2A65">
      <w:pPr>
        <w:spacing w:after="120"/>
        <w:jc w:val="both"/>
      </w:pPr>
      <w:r>
        <w:rPr>
          <w:rFonts w:ascii="Times New Roman" w:eastAsia="Times New Roman" w:hAnsi="Times New Roman" w:cs="Times New Roman"/>
        </w:rPr>
        <w:t>El perfil de trayectoria revela un cuerpo docente con experiencia consolidada: el 32,0% acumula veinte años o más de antigüedad. La dedicación predominante es parcial: el 71,7% de los docentes encuestados ejerce a tiempo parcial. Este rasgo estructural es determinante para interpretar la brecha de comunicación institucional documentada más adelante: la mayoría del cuerpo docente no transita cotidianamente los circuitos institucionales donde circula información sobre políticas de IA.</w:t>
      </w:r>
    </w:p>
    <w:p w14:paraId="08A41D23" w14:textId="77777777" w:rsidR="00061C38" w:rsidRDefault="00061C38" w:rsidP="00061C38">
      <w:pPr>
        <w:spacing w:before="240" w:after="120"/>
      </w:pPr>
      <w:r>
        <w:rPr>
          <w:rFonts w:ascii="Times New Roman" w:eastAsia="Times New Roman" w:hAnsi="Times New Roman" w:cs="Times New Roman"/>
          <w:b/>
          <w:bCs/>
        </w:rPr>
        <w:t>Actitudes y usos: una adopción amplia pero cautelosa</w:t>
      </w:r>
    </w:p>
    <w:p w14:paraId="1AFE7AE5" w14:textId="77777777" w:rsidR="00061C38" w:rsidRDefault="00061C38" w:rsidP="00061C38">
      <w:pPr>
        <w:spacing w:after="120"/>
        <w:jc w:val="both"/>
      </w:pPr>
      <w:r>
        <w:rPr>
          <w:rFonts w:ascii="Times New Roman" w:eastAsia="Times New Roman" w:hAnsi="Times New Roman" w:cs="Times New Roman"/>
        </w:rPr>
        <w:t>La actitud predominante del cuerpo docente ante la IA es de cautela reflexiva, no de rechazo. El 45,2% expresa una opinión positiva o muy positiva, el 44,5% permanece en posición neutral y el 10,4% expresa una opinión negativa o muy negativa. Sin embargo, el dato más revelador emerge al preguntar si la IA representa primariamente un desafío o una oportunidad: el 60,4% elige desafío frente al 39,6% que elige oportunidad. Esta proporción, además, varía marcadamente entre departamentos: el Departamento de Tecnología y Administración es el único donde la oportunidad supera al desafío (59,6% frente a 40,4%), mientras que Cultura, Arte y Comunicación exhibe un 74,3% de percepción de desafío. La diferencia entre ambos extremos alcanza los 33,9 puntos porcentuales, lo que anticipa una conclusión central para la gestión: cualquier estrategia institucional uniforme sobre la IA estará desajustada para una parte significativa del cuerpo docente.</w:t>
      </w:r>
    </w:p>
    <w:p w14:paraId="2FBD58FE" w14:textId="77777777" w:rsidR="00061C38" w:rsidRDefault="00061C38" w:rsidP="00061C38">
      <w:pPr>
        <w:spacing w:after="120"/>
        <w:jc w:val="both"/>
      </w:pPr>
      <w:r>
        <w:rPr>
          <w:rFonts w:ascii="Times New Roman" w:eastAsia="Times New Roman" w:hAnsi="Times New Roman" w:cs="Times New Roman"/>
        </w:rPr>
        <w:t xml:space="preserve">Pese a la mayor frecuencia de la postura de desafío, la adopción efectiva de la IA en la práctica docente es extensa: el 69,6% de los docentes declara utilizarla. Entre quienes la usan, el 90,7% lo hace de manera mínima, limitada o moderada, y apenas el 9,2% declara un uso extensivo o integral. Los usos más frecuentes son la creación de materiales didácticos y evaluaciones (63,6% de los usuarios), la producción de material multimedia (51,7%) y el apoyo al trabajo administrativo (45,0%). En el extremo de menor frecuencia, la generación de comentarios sobre el trabajo estudiantil apenas alcanza al 15,2% de </w:t>
      </w:r>
      <w:r>
        <w:rPr>
          <w:rFonts w:ascii="Times New Roman" w:eastAsia="Times New Roman" w:hAnsi="Times New Roman" w:cs="Times New Roman"/>
        </w:rPr>
        <w:lastRenderedPageBreak/>
        <w:t>quienes usan IA, lo que confirma que su incorporación se concentra en la fase de preparación docente antes que en la de interacción evaluativa.</w:t>
      </w:r>
    </w:p>
    <w:p w14:paraId="7595AABE" w14:textId="721813BC" w:rsidR="00061C38" w:rsidRDefault="00061C38" w:rsidP="003B2A65">
      <w:pPr>
        <w:spacing w:after="120"/>
        <w:jc w:val="both"/>
      </w:pPr>
      <w:r>
        <w:rPr>
          <w:rFonts w:ascii="Times New Roman" w:eastAsia="Times New Roman" w:hAnsi="Times New Roman" w:cs="Times New Roman"/>
        </w:rPr>
        <w:t xml:space="preserve">Entre quienes no utilizan la IA, el 71,2% declara que se imagina haciéndolo en el futuro. </w:t>
      </w:r>
      <w:r w:rsidR="000500F6">
        <w:rPr>
          <w:rFonts w:ascii="Times New Roman" w:eastAsia="Times New Roman" w:hAnsi="Times New Roman" w:cs="Times New Roman"/>
        </w:rPr>
        <w:t>Se observa que la</w:t>
      </w:r>
      <w:r>
        <w:rPr>
          <w:rFonts w:ascii="Times New Roman" w:eastAsia="Times New Roman" w:hAnsi="Times New Roman" w:cs="Times New Roman"/>
        </w:rPr>
        <w:t xml:space="preserve">s barreras principales no son de acceso sino de saber práctico (30,3% no sabe cómo utilizarla en la enseñanza) y valorativas (28,8% percibe más riesgos que beneficios). Este hallazgo implica que las estrategias formativas deben combinar orientación práctica con espacios </w:t>
      </w:r>
      <w:r w:rsidR="009525E0">
        <w:rPr>
          <w:rFonts w:ascii="Times New Roman" w:eastAsia="Times New Roman" w:hAnsi="Times New Roman" w:cs="Times New Roman"/>
        </w:rPr>
        <w:t xml:space="preserve">de discusión </w:t>
      </w:r>
      <w:r w:rsidR="00683E10">
        <w:rPr>
          <w:rFonts w:ascii="Times New Roman" w:eastAsia="Times New Roman" w:hAnsi="Times New Roman" w:cs="Times New Roman"/>
        </w:rPr>
        <w:t xml:space="preserve">sobre </w:t>
      </w:r>
      <w:r>
        <w:rPr>
          <w:rFonts w:ascii="Times New Roman" w:eastAsia="Times New Roman" w:hAnsi="Times New Roman" w:cs="Times New Roman"/>
        </w:rPr>
        <w:t xml:space="preserve"> las razon</w:t>
      </w:r>
      <w:r w:rsidR="00683E10">
        <w:rPr>
          <w:rFonts w:ascii="Times New Roman" w:eastAsia="Times New Roman" w:hAnsi="Times New Roman" w:cs="Times New Roman"/>
        </w:rPr>
        <w:t>es de dicha</w:t>
      </w:r>
      <w:r>
        <w:rPr>
          <w:rFonts w:ascii="Times New Roman" w:eastAsia="Times New Roman" w:hAnsi="Times New Roman" w:cs="Times New Roman"/>
        </w:rPr>
        <w:t xml:space="preserve"> cautela, que son en buena medida éticas y políticas antes que técnicas.</w:t>
      </w:r>
    </w:p>
    <w:p w14:paraId="09C43B3B" w14:textId="77777777" w:rsidR="00061C38" w:rsidRDefault="00061C38" w:rsidP="00061C38">
      <w:pPr>
        <w:spacing w:before="240" w:after="120"/>
      </w:pPr>
      <w:r>
        <w:rPr>
          <w:rFonts w:ascii="Times New Roman" w:eastAsia="Times New Roman" w:hAnsi="Times New Roman" w:cs="Times New Roman"/>
          <w:b/>
          <w:bCs/>
        </w:rPr>
        <w:t>Niveles de alfabetización en IA por dimensión</w:t>
      </w:r>
    </w:p>
    <w:p w14:paraId="4820F1D1" w14:textId="77777777" w:rsidR="00061C38" w:rsidRDefault="00061C38" w:rsidP="00061C38">
      <w:pPr>
        <w:spacing w:after="120"/>
        <w:jc w:val="both"/>
      </w:pPr>
      <w:r>
        <w:rPr>
          <w:rFonts w:ascii="Times New Roman" w:eastAsia="Times New Roman" w:hAnsi="Times New Roman" w:cs="Times New Roman"/>
        </w:rPr>
        <w:t>El relevamiento exploró la alfabetización docente en IA en cinco dimensiones. El patrón es consistente en todas ellas: la mayoría del cuerpo docente se ubica en niveles básico-intermedios, con una minoría reducida (entre el 3% y el 6%) en niveles de liderazgo o dominio experto.</w:t>
      </w:r>
    </w:p>
    <w:p w14:paraId="32E9BF49" w14:textId="758398B1" w:rsidR="00061C38" w:rsidRPr="003B2A65" w:rsidRDefault="003B2A65" w:rsidP="00061C38">
      <w:pPr>
        <w:spacing w:after="120"/>
        <w:rPr>
          <w:rFonts w:ascii="Times New Roman" w:hAnsi="Times New Roman" w:cs="Times New Roman"/>
        </w:rPr>
      </w:pPr>
      <w:r w:rsidRPr="003B2A65">
        <w:rPr>
          <w:rFonts w:ascii="Times New Roman" w:hAnsi="Times New Roman" w:cs="Times New Roman"/>
        </w:rPr>
        <w:t>Tabla</w:t>
      </w:r>
      <w:r w:rsidR="004A6A12">
        <w:rPr>
          <w:rFonts w:ascii="Times New Roman" w:hAnsi="Times New Roman" w:cs="Times New Roman"/>
        </w:rPr>
        <w:t xml:space="preserve"> 1</w:t>
      </w:r>
      <w:r w:rsidR="00B84ECC">
        <w:rPr>
          <w:rFonts w:ascii="Times New Roman" w:hAnsi="Times New Roman" w:cs="Times New Roman"/>
        </w:rPr>
        <w:t>. Niveles de alfabetización en IA en docentes</w:t>
      </w:r>
    </w:p>
    <w:tbl>
      <w:tblPr>
        <w:tblW w:w="8784" w:type="dxa"/>
        <w:tblBorders>
          <w:top w:val="single" w:sz="4" w:space="0" w:color="auto"/>
          <w:bottom w:val="single" w:sz="4" w:space="0" w:color="auto"/>
          <w:insideH w:val="single" w:sz="4" w:space="0" w:color="auto"/>
        </w:tblBorders>
        <w:tblCellMar>
          <w:left w:w="10" w:type="dxa"/>
          <w:right w:w="10" w:type="dxa"/>
        </w:tblCellMar>
        <w:tblLook w:val="0000" w:firstRow="0" w:lastRow="0" w:firstColumn="0" w:lastColumn="0" w:noHBand="0" w:noVBand="0"/>
      </w:tblPr>
      <w:tblGrid>
        <w:gridCol w:w="3686"/>
        <w:gridCol w:w="1559"/>
        <w:gridCol w:w="1775"/>
        <w:gridCol w:w="1764"/>
      </w:tblGrid>
      <w:tr w:rsidR="00061C38" w14:paraId="1764AF52" w14:textId="77777777" w:rsidTr="003112F0">
        <w:tc>
          <w:tcPr>
            <w:tcW w:w="3686" w:type="dxa"/>
            <w:shd w:val="clear" w:color="auto" w:fill="FFFFFF" w:themeFill="background1"/>
          </w:tcPr>
          <w:p w14:paraId="4C5C1DA0" w14:textId="77777777" w:rsidR="00061C38" w:rsidRDefault="00061C38" w:rsidP="00404D5E">
            <w:r>
              <w:rPr>
                <w:rFonts w:ascii="Times New Roman" w:eastAsia="Times New Roman" w:hAnsi="Times New Roman" w:cs="Times New Roman"/>
                <w:b/>
                <w:bCs/>
                <w:sz w:val="20"/>
                <w:szCs w:val="20"/>
              </w:rPr>
              <w:t>Dimensión</w:t>
            </w:r>
          </w:p>
        </w:tc>
        <w:tc>
          <w:tcPr>
            <w:tcW w:w="1559" w:type="dxa"/>
            <w:shd w:val="clear" w:color="auto" w:fill="FFFFFF" w:themeFill="background1"/>
          </w:tcPr>
          <w:p w14:paraId="04E94F42" w14:textId="77777777" w:rsidR="00061C38" w:rsidRDefault="00061C38" w:rsidP="00404D5E">
            <w:r>
              <w:rPr>
                <w:rFonts w:ascii="Times New Roman" w:eastAsia="Times New Roman" w:hAnsi="Times New Roman" w:cs="Times New Roman"/>
                <w:b/>
                <w:bCs/>
                <w:sz w:val="20"/>
                <w:szCs w:val="20"/>
              </w:rPr>
              <w:t>Básico / Inicial (%)</w:t>
            </w:r>
          </w:p>
        </w:tc>
        <w:tc>
          <w:tcPr>
            <w:tcW w:w="1775" w:type="dxa"/>
            <w:shd w:val="clear" w:color="auto" w:fill="FFFFFF" w:themeFill="background1"/>
          </w:tcPr>
          <w:p w14:paraId="05923913" w14:textId="77777777" w:rsidR="00061C38" w:rsidRDefault="00061C38" w:rsidP="00404D5E">
            <w:r>
              <w:rPr>
                <w:rFonts w:ascii="Times New Roman" w:eastAsia="Times New Roman" w:hAnsi="Times New Roman" w:cs="Times New Roman"/>
                <w:b/>
                <w:bCs/>
                <w:sz w:val="20"/>
                <w:szCs w:val="20"/>
              </w:rPr>
              <w:t>Intermedio (%)</w:t>
            </w:r>
          </w:p>
        </w:tc>
        <w:tc>
          <w:tcPr>
            <w:tcW w:w="1764" w:type="dxa"/>
            <w:shd w:val="clear" w:color="auto" w:fill="FFFFFF" w:themeFill="background1"/>
          </w:tcPr>
          <w:p w14:paraId="55A433D1" w14:textId="77777777" w:rsidR="00061C38" w:rsidRDefault="00061C38" w:rsidP="00404D5E">
            <w:r>
              <w:rPr>
                <w:rFonts w:ascii="Times New Roman" w:eastAsia="Times New Roman" w:hAnsi="Times New Roman" w:cs="Times New Roman"/>
                <w:b/>
                <w:bCs/>
                <w:sz w:val="20"/>
                <w:szCs w:val="20"/>
              </w:rPr>
              <w:t>Avanzado / Liderazgo (%)</w:t>
            </w:r>
          </w:p>
        </w:tc>
      </w:tr>
      <w:tr w:rsidR="00061C38" w14:paraId="3BBB1E81" w14:textId="77777777" w:rsidTr="003112F0">
        <w:tc>
          <w:tcPr>
            <w:tcW w:w="3686" w:type="dxa"/>
          </w:tcPr>
          <w:p w14:paraId="0CA6A0D4" w14:textId="77777777" w:rsidR="00061C38" w:rsidRDefault="00061C38" w:rsidP="00404D5E">
            <w:r>
              <w:rPr>
                <w:rFonts w:ascii="Times New Roman" w:eastAsia="Times New Roman" w:hAnsi="Times New Roman" w:cs="Times New Roman"/>
                <w:sz w:val="20"/>
                <w:szCs w:val="20"/>
              </w:rPr>
              <w:t>D1: Comprensión de la IA y los datos</w:t>
            </w:r>
          </w:p>
        </w:tc>
        <w:tc>
          <w:tcPr>
            <w:tcW w:w="1559" w:type="dxa"/>
          </w:tcPr>
          <w:p w14:paraId="6F7495CB" w14:textId="77777777" w:rsidR="00061C38" w:rsidRDefault="00061C38" w:rsidP="00404D5E">
            <w:r>
              <w:rPr>
                <w:rFonts w:ascii="Times New Roman" w:eastAsia="Times New Roman" w:hAnsi="Times New Roman" w:cs="Times New Roman"/>
                <w:sz w:val="20"/>
                <w:szCs w:val="20"/>
              </w:rPr>
              <w:t>51,1</w:t>
            </w:r>
          </w:p>
        </w:tc>
        <w:tc>
          <w:tcPr>
            <w:tcW w:w="1775" w:type="dxa"/>
          </w:tcPr>
          <w:p w14:paraId="66A37019" w14:textId="77777777" w:rsidR="00061C38" w:rsidRDefault="00061C38" w:rsidP="00404D5E">
            <w:r>
              <w:rPr>
                <w:rFonts w:ascii="Times New Roman" w:eastAsia="Times New Roman" w:hAnsi="Times New Roman" w:cs="Times New Roman"/>
                <w:sz w:val="20"/>
                <w:szCs w:val="20"/>
              </w:rPr>
              <w:t>34,3</w:t>
            </w:r>
          </w:p>
        </w:tc>
        <w:tc>
          <w:tcPr>
            <w:tcW w:w="1764" w:type="dxa"/>
          </w:tcPr>
          <w:p w14:paraId="271069E4" w14:textId="77777777" w:rsidR="00061C38" w:rsidRDefault="00061C38" w:rsidP="00404D5E">
            <w:r>
              <w:rPr>
                <w:rFonts w:ascii="Times New Roman" w:eastAsia="Times New Roman" w:hAnsi="Times New Roman" w:cs="Times New Roman"/>
                <w:sz w:val="20"/>
                <w:szCs w:val="20"/>
              </w:rPr>
              <w:t>14,5</w:t>
            </w:r>
          </w:p>
        </w:tc>
      </w:tr>
      <w:tr w:rsidR="00061C38" w14:paraId="35F02B41" w14:textId="77777777" w:rsidTr="003112F0">
        <w:tc>
          <w:tcPr>
            <w:tcW w:w="3686" w:type="dxa"/>
          </w:tcPr>
          <w:p w14:paraId="148E0A11" w14:textId="77777777" w:rsidR="00061C38" w:rsidRDefault="00061C38" w:rsidP="00404D5E">
            <w:r>
              <w:rPr>
                <w:rFonts w:ascii="Times New Roman" w:eastAsia="Times New Roman" w:hAnsi="Times New Roman" w:cs="Times New Roman"/>
                <w:sz w:val="20"/>
                <w:szCs w:val="20"/>
              </w:rPr>
              <w:t>D2: Pensamiento crítico sobre outputs de IA</w:t>
            </w:r>
          </w:p>
        </w:tc>
        <w:tc>
          <w:tcPr>
            <w:tcW w:w="1559" w:type="dxa"/>
          </w:tcPr>
          <w:p w14:paraId="2824E16E" w14:textId="77777777" w:rsidR="00061C38" w:rsidRDefault="00061C38" w:rsidP="00404D5E">
            <w:r>
              <w:rPr>
                <w:rFonts w:ascii="Times New Roman" w:eastAsia="Times New Roman" w:hAnsi="Times New Roman" w:cs="Times New Roman"/>
                <w:sz w:val="20"/>
                <w:szCs w:val="20"/>
              </w:rPr>
              <w:t>49,3</w:t>
            </w:r>
          </w:p>
        </w:tc>
        <w:tc>
          <w:tcPr>
            <w:tcW w:w="1775" w:type="dxa"/>
          </w:tcPr>
          <w:p w14:paraId="29E8F5BB" w14:textId="77777777" w:rsidR="00061C38" w:rsidRDefault="00061C38" w:rsidP="00404D5E">
            <w:r>
              <w:rPr>
                <w:rFonts w:ascii="Times New Roman" w:eastAsia="Times New Roman" w:hAnsi="Times New Roman" w:cs="Times New Roman"/>
                <w:sz w:val="20"/>
                <w:szCs w:val="20"/>
              </w:rPr>
              <w:t>44,7</w:t>
            </w:r>
          </w:p>
        </w:tc>
        <w:tc>
          <w:tcPr>
            <w:tcW w:w="1764" w:type="dxa"/>
          </w:tcPr>
          <w:p w14:paraId="6927C652" w14:textId="77777777" w:rsidR="00061C38" w:rsidRDefault="00061C38" w:rsidP="00404D5E">
            <w:r>
              <w:rPr>
                <w:rFonts w:ascii="Times New Roman" w:eastAsia="Times New Roman" w:hAnsi="Times New Roman" w:cs="Times New Roman"/>
                <w:sz w:val="20"/>
                <w:szCs w:val="20"/>
              </w:rPr>
              <w:t>6,0</w:t>
            </w:r>
          </w:p>
        </w:tc>
      </w:tr>
      <w:tr w:rsidR="00061C38" w14:paraId="2E99E522" w14:textId="77777777" w:rsidTr="003112F0">
        <w:tc>
          <w:tcPr>
            <w:tcW w:w="3686" w:type="dxa"/>
          </w:tcPr>
          <w:p w14:paraId="59B832EE" w14:textId="77777777" w:rsidR="00061C38" w:rsidRDefault="00061C38" w:rsidP="00404D5E">
            <w:r>
              <w:rPr>
                <w:rFonts w:ascii="Times New Roman" w:eastAsia="Times New Roman" w:hAnsi="Times New Roman" w:cs="Times New Roman"/>
                <w:sz w:val="20"/>
                <w:szCs w:val="20"/>
              </w:rPr>
              <w:t>D3: Uso ético y responsable</w:t>
            </w:r>
          </w:p>
        </w:tc>
        <w:tc>
          <w:tcPr>
            <w:tcW w:w="1559" w:type="dxa"/>
          </w:tcPr>
          <w:p w14:paraId="0A86B7E5" w14:textId="77777777" w:rsidR="00061C38" w:rsidRDefault="00061C38" w:rsidP="00404D5E">
            <w:r>
              <w:rPr>
                <w:rFonts w:ascii="Times New Roman" w:eastAsia="Times New Roman" w:hAnsi="Times New Roman" w:cs="Times New Roman"/>
                <w:sz w:val="20"/>
                <w:szCs w:val="20"/>
              </w:rPr>
              <w:t>60,6</w:t>
            </w:r>
          </w:p>
        </w:tc>
        <w:tc>
          <w:tcPr>
            <w:tcW w:w="1775" w:type="dxa"/>
          </w:tcPr>
          <w:p w14:paraId="6D498117" w14:textId="77777777" w:rsidR="00061C38" w:rsidRDefault="00061C38" w:rsidP="00404D5E">
            <w:r>
              <w:rPr>
                <w:rFonts w:ascii="Times New Roman" w:eastAsia="Times New Roman" w:hAnsi="Times New Roman" w:cs="Times New Roman"/>
                <w:sz w:val="20"/>
                <w:szCs w:val="20"/>
              </w:rPr>
              <w:t>35,7</w:t>
            </w:r>
          </w:p>
        </w:tc>
        <w:tc>
          <w:tcPr>
            <w:tcW w:w="1764" w:type="dxa"/>
          </w:tcPr>
          <w:p w14:paraId="37EA3256" w14:textId="77777777" w:rsidR="00061C38" w:rsidRDefault="00061C38" w:rsidP="00404D5E">
            <w:r>
              <w:rPr>
                <w:rFonts w:ascii="Times New Roman" w:eastAsia="Times New Roman" w:hAnsi="Times New Roman" w:cs="Times New Roman"/>
                <w:sz w:val="20"/>
                <w:szCs w:val="20"/>
              </w:rPr>
              <w:t>3,7</w:t>
            </w:r>
          </w:p>
        </w:tc>
      </w:tr>
      <w:tr w:rsidR="00061C38" w14:paraId="126D83E2" w14:textId="77777777" w:rsidTr="003112F0">
        <w:tc>
          <w:tcPr>
            <w:tcW w:w="3686" w:type="dxa"/>
          </w:tcPr>
          <w:p w14:paraId="60F825A9" w14:textId="77777777" w:rsidR="00061C38" w:rsidRDefault="00061C38" w:rsidP="00404D5E">
            <w:r>
              <w:rPr>
                <w:rFonts w:ascii="Times New Roman" w:eastAsia="Times New Roman" w:hAnsi="Times New Roman" w:cs="Times New Roman"/>
                <w:sz w:val="20"/>
                <w:szCs w:val="20"/>
              </w:rPr>
              <w:t>D4: Centralidad humana</w:t>
            </w:r>
          </w:p>
        </w:tc>
        <w:tc>
          <w:tcPr>
            <w:tcW w:w="1559" w:type="dxa"/>
          </w:tcPr>
          <w:p w14:paraId="2AC9BC35" w14:textId="77777777" w:rsidR="00061C38" w:rsidRDefault="00061C38" w:rsidP="00404D5E">
            <w:r>
              <w:rPr>
                <w:rFonts w:ascii="Times New Roman" w:eastAsia="Times New Roman" w:hAnsi="Times New Roman" w:cs="Times New Roman"/>
                <w:sz w:val="20"/>
                <w:szCs w:val="20"/>
              </w:rPr>
              <w:t>49,3</w:t>
            </w:r>
          </w:p>
        </w:tc>
        <w:tc>
          <w:tcPr>
            <w:tcW w:w="1775" w:type="dxa"/>
          </w:tcPr>
          <w:p w14:paraId="184601BE" w14:textId="77777777" w:rsidR="00061C38" w:rsidRDefault="00061C38" w:rsidP="00404D5E">
            <w:r>
              <w:rPr>
                <w:rFonts w:ascii="Times New Roman" w:eastAsia="Times New Roman" w:hAnsi="Times New Roman" w:cs="Times New Roman"/>
                <w:sz w:val="20"/>
                <w:szCs w:val="20"/>
              </w:rPr>
              <w:t>27,4</w:t>
            </w:r>
          </w:p>
        </w:tc>
        <w:tc>
          <w:tcPr>
            <w:tcW w:w="1764" w:type="dxa"/>
          </w:tcPr>
          <w:p w14:paraId="50BD8A3F" w14:textId="77777777" w:rsidR="00061C38" w:rsidRDefault="00061C38" w:rsidP="00404D5E">
            <w:r>
              <w:rPr>
                <w:rFonts w:ascii="Times New Roman" w:eastAsia="Times New Roman" w:hAnsi="Times New Roman" w:cs="Times New Roman"/>
                <w:sz w:val="20"/>
                <w:szCs w:val="20"/>
              </w:rPr>
              <w:t>23,3</w:t>
            </w:r>
          </w:p>
        </w:tc>
      </w:tr>
      <w:tr w:rsidR="00061C38" w14:paraId="4C5FD73C" w14:textId="77777777" w:rsidTr="003112F0">
        <w:tc>
          <w:tcPr>
            <w:tcW w:w="3686" w:type="dxa"/>
          </w:tcPr>
          <w:p w14:paraId="0E692549" w14:textId="77777777" w:rsidR="00061C38" w:rsidRDefault="00061C38" w:rsidP="00404D5E">
            <w:r>
              <w:rPr>
                <w:rFonts w:ascii="Times New Roman" w:eastAsia="Times New Roman" w:hAnsi="Times New Roman" w:cs="Times New Roman"/>
                <w:sz w:val="20"/>
                <w:szCs w:val="20"/>
              </w:rPr>
              <w:t>D5: Conocimiento disciplinar</w:t>
            </w:r>
          </w:p>
        </w:tc>
        <w:tc>
          <w:tcPr>
            <w:tcW w:w="1559" w:type="dxa"/>
          </w:tcPr>
          <w:p w14:paraId="72C80D20" w14:textId="77777777" w:rsidR="00061C38" w:rsidRDefault="00061C38" w:rsidP="00404D5E">
            <w:r>
              <w:rPr>
                <w:rFonts w:ascii="Times New Roman" w:eastAsia="Times New Roman" w:hAnsi="Times New Roman" w:cs="Times New Roman"/>
                <w:sz w:val="20"/>
                <w:szCs w:val="20"/>
              </w:rPr>
              <w:t>50,6</w:t>
            </w:r>
          </w:p>
        </w:tc>
        <w:tc>
          <w:tcPr>
            <w:tcW w:w="1775" w:type="dxa"/>
          </w:tcPr>
          <w:p w14:paraId="7FAC79E2" w14:textId="77777777" w:rsidR="00061C38" w:rsidRDefault="00061C38" w:rsidP="00404D5E">
            <w:r>
              <w:rPr>
                <w:rFonts w:ascii="Times New Roman" w:eastAsia="Times New Roman" w:hAnsi="Times New Roman" w:cs="Times New Roman"/>
                <w:sz w:val="20"/>
                <w:szCs w:val="20"/>
              </w:rPr>
              <w:t>46,3</w:t>
            </w:r>
          </w:p>
        </w:tc>
        <w:tc>
          <w:tcPr>
            <w:tcW w:w="1764" w:type="dxa"/>
          </w:tcPr>
          <w:p w14:paraId="16CCDDA6" w14:textId="77777777" w:rsidR="00061C38" w:rsidRDefault="00061C38" w:rsidP="00404D5E">
            <w:r>
              <w:rPr>
                <w:rFonts w:ascii="Times New Roman" w:eastAsia="Times New Roman" w:hAnsi="Times New Roman" w:cs="Times New Roman"/>
                <w:sz w:val="20"/>
                <w:szCs w:val="20"/>
              </w:rPr>
              <w:t>3,0</w:t>
            </w:r>
          </w:p>
        </w:tc>
      </w:tr>
    </w:tbl>
    <w:p w14:paraId="13D0FFE7" w14:textId="4CDD39BC" w:rsidR="00061C38" w:rsidRPr="00B84ECC" w:rsidRDefault="00B84ECC" w:rsidP="00061C38">
      <w:pPr>
        <w:spacing w:after="120"/>
        <w:rPr>
          <w:rFonts w:ascii="Times New Roman" w:hAnsi="Times New Roman" w:cs="Times New Roman"/>
          <w:sz w:val="20"/>
          <w:szCs w:val="20"/>
        </w:rPr>
      </w:pPr>
      <w:r w:rsidRPr="00B84ECC">
        <w:rPr>
          <w:rFonts w:ascii="Times New Roman" w:hAnsi="Times New Roman" w:cs="Times New Roman"/>
          <w:sz w:val="20"/>
          <w:szCs w:val="20"/>
        </w:rPr>
        <w:t>Fuente: elaboración propia</w:t>
      </w:r>
    </w:p>
    <w:p w14:paraId="1D519C81" w14:textId="17074C2D" w:rsidR="00061C38" w:rsidRDefault="00061C38" w:rsidP="003112F0">
      <w:pPr>
        <w:spacing w:after="120"/>
        <w:jc w:val="both"/>
      </w:pPr>
      <w:r>
        <w:rPr>
          <w:rFonts w:ascii="Times New Roman" w:eastAsia="Times New Roman" w:hAnsi="Times New Roman" w:cs="Times New Roman"/>
        </w:rPr>
        <w:t>La Dimensión 2 (pensamiento crítico sobre outputs de IA) es la que presenta mayor necesidad de profundización formativa: solo el 6,0% alcanza el nivel de evaluación metodológicamente rigurosa. La Dimensión 3 (uso ético y responsable) muestra que apenas el 3,7% lidera procesos de gobernanza y políticas éticas de IA, lo que contrasta con la alta sensibilidad ética que el cuerpo docente expresa en sus actitudes generales. La distancia entre la conciencia ética declarada y la capacidad de liderazgo institucional en esa dimensión es uno de los hallazgos más relevantes del relevamiento.</w:t>
      </w:r>
    </w:p>
    <w:p w14:paraId="5EEDC4AC" w14:textId="77777777" w:rsidR="00061C38" w:rsidRDefault="00061C38" w:rsidP="00061C38">
      <w:pPr>
        <w:spacing w:before="240" w:after="120"/>
      </w:pPr>
      <w:r>
        <w:rPr>
          <w:rFonts w:ascii="Times New Roman" w:eastAsia="Times New Roman" w:hAnsi="Times New Roman" w:cs="Times New Roman"/>
          <w:b/>
          <w:bCs/>
        </w:rPr>
        <w:t>Preocupaciones pedagógicas y posicionamiento ético-político</w:t>
      </w:r>
    </w:p>
    <w:p w14:paraId="629EE315" w14:textId="4DE05FC6" w:rsidR="00061C38" w:rsidRDefault="00061C38" w:rsidP="00061C38">
      <w:pPr>
        <w:spacing w:after="120"/>
        <w:jc w:val="both"/>
      </w:pPr>
      <w:r>
        <w:rPr>
          <w:rFonts w:ascii="Times New Roman" w:eastAsia="Times New Roman" w:hAnsi="Times New Roman" w:cs="Times New Roman"/>
        </w:rPr>
        <w:t xml:space="preserve">Las preocupaciones del cuerpo docente exhiben un patrón </w:t>
      </w:r>
      <w:r w:rsidR="0013236F">
        <w:rPr>
          <w:rFonts w:ascii="Times New Roman" w:eastAsia="Times New Roman" w:hAnsi="Times New Roman" w:cs="Times New Roman"/>
        </w:rPr>
        <w:t>clar</w:t>
      </w:r>
      <w:r>
        <w:rPr>
          <w:rFonts w:ascii="Times New Roman" w:eastAsia="Times New Roman" w:hAnsi="Times New Roman" w:cs="Times New Roman"/>
        </w:rPr>
        <w:t xml:space="preserve">o: las inquietudes de orden pedagógico son masivas, mientras que la preocupación por la sustitución laboral es marginal. El 77,4% manifiesta preocupación por la dependencia excesiva de los </w:t>
      </w:r>
      <w:r>
        <w:rPr>
          <w:rFonts w:ascii="Times New Roman" w:eastAsia="Times New Roman" w:hAnsi="Times New Roman" w:cs="Times New Roman"/>
        </w:rPr>
        <w:lastRenderedPageBreak/>
        <w:t>estudiantes en la IA; el 73,7% se preocupa por su capacidad de evaluar críticamente los outputs de IA; el 72,1% expresa inquietud por el riesgo para el posicionamiento cognitivo autónomo; y el 70,0% señala los sesgos y la exactitud como motivo de preocupación. En contraste, solo el 8,1% percibe la IA como una amenaza para su propio trabajo docente.</w:t>
      </w:r>
    </w:p>
    <w:p w14:paraId="047A8C5A" w14:textId="77777777" w:rsidR="00061C38" w:rsidRDefault="00061C38" w:rsidP="00061C38">
      <w:pPr>
        <w:spacing w:after="120"/>
        <w:jc w:val="both"/>
      </w:pPr>
      <w:r>
        <w:rPr>
          <w:rFonts w:ascii="Times New Roman" w:eastAsia="Times New Roman" w:hAnsi="Times New Roman" w:cs="Times New Roman"/>
        </w:rPr>
        <w:t>Un hallazgo de particular relevancia concierne a la dimensión política de la tecnología. El 64,7% del cuerpo docente coincide en que la concentración de las herramientas de IA en manos de corporaciones privadas representa una amenaza en relación con el uso de los datos y una dependencia hacia actores externos al sistema nacional de ciencia y técnica. Esta dimensión fue incorporada como pregunta específica en la adaptación local del instrumento DEC, sin equivalente en la versión regional, y su nivel de acuerdo confirma cuantitativamente una sensibilidad que el Documento N.° 1 de la CUAIA formula en términos casi idénticos.</w:t>
      </w:r>
    </w:p>
    <w:p w14:paraId="474AF12B" w14:textId="1104EB2E" w:rsidR="00061C38" w:rsidRDefault="00061C38" w:rsidP="003112F0">
      <w:pPr>
        <w:spacing w:after="120"/>
        <w:jc w:val="both"/>
      </w:pPr>
      <w:r>
        <w:rPr>
          <w:rFonts w:ascii="Times New Roman" w:eastAsia="Times New Roman" w:hAnsi="Times New Roman" w:cs="Times New Roman"/>
        </w:rPr>
        <w:t xml:space="preserve">En materia de transparencia, el 83,6% considera que las herramientas de IA presentan sesgos que el profesorado debe señalar; el 80,0% sostiene que el uso estudiantil de IA debería declararse siempre; y el 71,9% afirma que los propios docentes deberían declarar cuando utilizan IA para preparar clases. Este consenso docente sobre la transparencia </w:t>
      </w:r>
      <w:r w:rsidR="00B84ECC">
        <w:rPr>
          <w:rFonts w:ascii="Times New Roman" w:eastAsia="Times New Roman" w:hAnsi="Times New Roman" w:cs="Times New Roman"/>
        </w:rPr>
        <w:t>(</w:t>
      </w:r>
      <w:r>
        <w:rPr>
          <w:rFonts w:ascii="Times New Roman" w:eastAsia="Times New Roman" w:hAnsi="Times New Roman" w:cs="Times New Roman"/>
        </w:rPr>
        <w:t>que se exige tanto a estudiantes como a sí mismos</w:t>
      </w:r>
      <w:r w:rsidR="00B84ECC">
        <w:rPr>
          <w:rFonts w:ascii="Times New Roman" w:eastAsia="Times New Roman" w:hAnsi="Times New Roman" w:cs="Times New Roman"/>
        </w:rPr>
        <w:t>)</w:t>
      </w:r>
      <w:r>
        <w:rPr>
          <w:rFonts w:ascii="Times New Roman" w:eastAsia="Times New Roman" w:hAnsi="Times New Roman" w:cs="Times New Roman"/>
        </w:rPr>
        <w:t xml:space="preserve"> es coherente con el principio de autoría aumentada formulado en el Documento N.° 2 de la CUAIA.</w:t>
      </w:r>
    </w:p>
    <w:p w14:paraId="2112C73B" w14:textId="77777777" w:rsidR="00061C38" w:rsidRDefault="00061C38" w:rsidP="00061C38">
      <w:pPr>
        <w:spacing w:before="240" w:after="120"/>
      </w:pPr>
      <w:r>
        <w:rPr>
          <w:rFonts w:ascii="Times New Roman" w:eastAsia="Times New Roman" w:hAnsi="Times New Roman" w:cs="Times New Roman"/>
          <w:b/>
          <w:bCs/>
        </w:rPr>
        <w:t>La brecha institucional: entre la producción normativa y el conocimiento docente</w:t>
      </w:r>
    </w:p>
    <w:p w14:paraId="6871D648" w14:textId="414E4370" w:rsidR="00061C38" w:rsidRDefault="00061C38" w:rsidP="00061C38">
      <w:pPr>
        <w:spacing w:after="120"/>
        <w:jc w:val="both"/>
      </w:pPr>
      <w:r>
        <w:rPr>
          <w:rFonts w:ascii="Times New Roman" w:eastAsia="Times New Roman" w:hAnsi="Times New Roman" w:cs="Times New Roman"/>
        </w:rPr>
        <w:t xml:space="preserve">El hallazgo más crítico del relevamiento concierne a la relación entre el cuerpo docente y la institución. Solo el 8,8% del cuerpo docente está de acuerdo en que la institución dispone de directrices exhaustivas sobre IA para la enseñanza. Un porcentaje casi idéntico, el 10,1, declara conocer las directrices institucionales existentes. La percepción </w:t>
      </w:r>
      <w:r w:rsidR="00582B83">
        <w:rPr>
          <w:rFonts w:ascii="Times New Roman" w:eastAsia="Times New Roman" w:hAnsi="Times New Roman" w:cs="Times New Roman"/>
        </w:rPr>
        <w:t>sobre</w:t>
      </w:r>
      <w:r>
        <w:rPr>
          <w:rFonts w:ascii="Times New Roman" w:eastAsia="Times New Roman" w:hAnsi="Times New Roman" w:cs="Times New Roman"/>
        </w:rPr>
        <w:t xml:space="preserve"> recursos es igualmente baja: apenas el 10,8% considera que la institución ha proporcionado recursos suficientes para desarrollar las competencias docentes en IA. Solo el 26,3% percibe que la institución solicita su opinión en la elaboración de directrices, y el 17,3% considera que se fomenta el intercambio de experiencias entre colegas.</w:t>
      </w:r>
    </w:p>
    <w:p w14:paraId="72367CAB" w14:textId="65850BBB" w:rsidR="00061C38" w:rsidRDefault="00061C38" w:rsidP="00061C38">
      <w:pPr>
        <w:spacing w:after="120"/>
        <w:jc w:val="both"/>
      </w:pPr>
      <w:r>
        <w:rPr>
          <w:rFonts w:ascii="Times New Roman" w:eastAsia="Times New Roman" w:hAnsi="Times New Roman" w:cs="Times New Roman"/>
        </w:rPr>
        <w:t xml:space="preserve">Estos </w:t>
      </w:r>
      <w:r w:rsidR="00095EB7">
        <w:rPr>
          <w:rFonts w:ascii="Times New Roman" w:eastAsia="Times New Roman" w:hAnsi="Times New Roman" w:cs="Times New Roman"/>
        </w:rPr>
        <w:t>datos</w:t>
      </w:r>
      <w:r>
        <w:rPr>
          <w:rFonts w:ascii="Times New Roman" w:eastAsia="Times New Roman" w:hAnsi="Times New Roman" w:cs="Times New Roman"/>
        </w:rPr>
        <w:t xml:space="preserve"> resultan difícilmente explicables: la UNDAV cuenta con la CUAIA desde 2024 y </w:t>
      </w:r>
      <w:r w:rsidR="00BB1749">
        <w:rPr>
          <w:rFonts w:ascii="Times New Roman" w:eastAsia="Times New Roman" w:hAnsi="Times New Roman" w:cs="Times New Roman"/>
        </w:rPr>
        <w:t xml:space="preserve">el Consejo Superior </w:t>
      </w:r>
      <w:r>
        <w:rPr>
          <w:rFonts w:ascii="Times New Roman" w:eastAsia="Times New Roman" w:hAnsi="Times New Roman" w:cs="Times New Roman"/>
        </w:rPr>
        <w:t>ha aprobado por unanimidad dos documentos institucionales sobre IA. La explicación más plausible remite a un problema de alcance y apropiación: los documentos existen y han sido sancionados con el máximo aval institucional, pero su contenido aún no ha permeado de manera generalizada en la práctica cotidiana del cuerpo docente. El perfil mayoritariamente parcial de la planta (71,7%) ofrece la clave de lectura más pertinente: la mayoría del cuerpo docente no transita con regularidad los circuitos institucionales donde la información sobre políticas suele circular.</w:t>
      </w:r>
    </w:p>
    <w:p w14:paraId="1B0D0251" w14:textId="1B92854B" w:rsidR="00061C38" w:rsidRDefault="00061C38" w:rsidP="004A6A12">
      <w:pPr>
        <w:spacing w:after="120"/>
        <w:jc w:val="both"/>
      </w:pPr>
      <w:r>
        <w:rPr>
          <w:rFonts w:ascii="Times New Roman" w:eastAsia="Times New Roman" w:hAnsi="Times New Roman" w:cs="Times New Roman"/>
        </w:rPr>
        <w:lastRenderedPageBreak/>
        <w:t>Este diagnóstico se refuerza con un dato aparentemente paradójico: a pesar de la baja percepción de directrices y recursos, el 55,1% afirma que le decepcionaría que se prohibiera el uso de la IA en la institución, frente a solo el 14,1% en desacuerdo. La combinación de adopción práctica extendida (69,6%), mayoría favorable a la permanencia de la IA (55,1%) y desconocimiento generalizado de los marcos normativos existentes (10,1% los conoce) configura una situación en la que la práctica docente avanza por delante de la apropiación institucional, no en contra de ella.</w:t>
      </w:r>
    </w:p>
    <w:p w14:paraId="5D1EA581" w14:textId="77777777" w:rsidR="00061C38" w:rsidRDefault="00061C38" w:rsidP="00061C38">
      <w:pPr>
        <w:spacing w:before="240" w:after="120"/>
      </w:pPr>
      <w:r>
        <w:rPr>
          <w:rFonts w:ascii="Times New Roman" w:eastAsia="Times New Roman" w:hAnsi="Times New Roman" w:cs="Times New Roman"/>
          <w:b/>
          <w:bCs/>
        </w:rPr>
        <w:t>La UNDAV en el contexto regional: convergencias y diferencias</w:t>
      </w:r>
    </w:p>
    <w:p w14:paraId="7BC03C06" w14:textId="77777777" w:rsidR="00061C38" w:rsidRDefault="00061C38" w:rsidP="00061C38">
      <w:pPr>
        <w:spacing w:after="120"/>
        <w:jc w:val="both"/>
      </w:pPr>
      <w:r>
        <w:rPr>
          <w:rFonts w:ascii="Times New Roman" w:eastAsia="Times New Roman" w:hAnsi="Times New Roman" w:cs="Times New Roman"/>
        </w:rPr>
        <w:t>La comparación con la Encuesta DEC LATAM 2026 (N=7.319 docentes, 29 instituciones) permite situar el perfil docente de la UNDAV dentro del panorama latinoamericano e identificar qué rasgos son compartidos y cuáles son específicos de la institución.</w:t>
      </w:r>
    </w:p>
    <w:p w14:paraId="18CB9D2E" w14:textId="75271919" w:rsidR="00061C38" w:rsidRPr="004A6A12" w:rsidRDefault="004A6A12" w:rsidP="00061C38">
      <w:pPr>
        <w:spacing w:after="120"/>
        <w:rPr>
          <w:rFonts w:ascii="Times New Roman" w:hAnsi="Times New Roman" w:cs="Times New Roman"/>
        </w:rPr>
      </w:pPr>
      <w:r w:rsidRPr="004A6A12">
        <w:rPr>
          <w:rFonts w:ascii="Times New Roman" w:hAnsi="Times New Roman" w:cs="Times New Roman"/>
        </w:rPr>
        <w:t>Tabla 2.</w:t>
      </w:r>
    </w:p>
    <w:tbl>
      <w:tblPr>
        <w:tblW w:w="8647" w:type="dxa"/>
        <w:tblBorders>
          <w:top w:val="single" w:sz="4" w:space="0" w:color="auto"/>
          <w:bottom w:val="single" w:sz="4" w:space="0" w:color="auto"/>
          <w:insideH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2977"/>
        <w:gridCol w:w="1559"/>
        <w:gridCol w:w="1985"/>
        <w:gridCol w:w="2126"/>
      </w:tblGrid>
      <w:tr w:rsidR="00061C38" w14:paraId="00801B36" w14:textId="77777777" w:rsidTr="00B84ECC">
        <w:tc>
          <w:tcPr>
            <w:tcW w:w="2977" w:type="dxa"/>
            <w:shd w:val="clear" w:color="auto" w:fill="FFFFFF" w:themeFill="background1"/>
          </w:tcPr>
          <w:p w14:paraId="5659AFDF" w14:textId="77777777" w:rsidR="00061C38" w:rsidRDefault="00061C38" w:rsidP="00404D5E">
            <w:r>
              <w:rPr>
                <w:rFonts w:ascii="Times New Roman" w:eastAsia="Times New Roman" w:hAnsi="Times New Roman" w:cs="Times New Roman"/>
                <w:b/>
                <w:bCs/>
                <w:sz w:val="20"/>
                <w:szCs w:val="20"/>
              </w:rPr>
              <w:t>Dimensión</w:t>
            </w:r>
          </w:p>
        </w:tc>
        <w:tc>
          <w:tcPr>
            <w:tcW w:w="1559" w:type="dxa"/>
            <w:shd w:val="clear" w:color="auto" w:fill="FFFFFF" w:themeFill="background1"/>
          </w:tcPr>
          <w:p w14:paraId="49BCE6C3" w14:textId="149FF3A6" w:rsidR="00061C38" w:rsidRPr="004A6A12" w:rsidRDefault="00061C38" w:rsidP="00404D5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UNDAV 2026 (N=434)</w:t>
            </w:r>
          </w:p>
        </w:tc>
        <w:tc>
          <w:tcPr>
            <w:tcW w:w="1985" w:type="dxa"/>
            <w:shd w:val="clear" w:color="auto" w:fill="FFFFFF" w:themeFill="background1"/>
          </w:tcPr>
          <w:p w14:paraId="6EED9E21" w14:textId="77777777" w:rsidR="00061C38" w:rsidRDefault="00061C38" w:rsidP="00404D5E">
            <w:r>
              <w:rPr>
                <w:rFonts w:ascii="Times New Roman" w:eastAsia="Times New Roman" w:hAnsi="Times New Roman" w:cs="Times New Roman"/>
                <w:b/>
                <w:bCs/>
                <w:sz w:val="20"/>
                <w:szCs w:val="20"/>
              </w:rPr>
              <w:t>DEC LATAM 2026 (N=7.319)</w:t>
            </w:r>
          </w:p>
        </w:tc>
        <w:tc>
          <w:tcPr>
            <w:tcW w:w="2126" w:type="dxa"/>
            <w:shd w:val="clear" w:color="auto" w:fill="FFFFFF" w:themeFill="background1"/>
          </w:tcPr>
          <w:p w14:paraId="2CD84948" w14:textId="77777777" w:rsidR="00061C38" w:rsidRDefault="00061C38" w:rsidP="00404D5E">
            <w:r>
              <w:rPr>
                <w:rFonts w:ascii="Times New Roman" w:eastAsia="Times New Roman" w:hAnsi="Times New Roman" w:cs="Times New Roman"/>
                <w:b/>
                <w:bCs/>
                <w:sz w:val="20"/>
                <w:szCs w:val="20"/>
              </w:rPr>
              <w:t>Observación</w:t>
            </w:r>
          </w:p>
        </w:tc>
      </w:tr>
      <w:tr w:rsidR="00061C38" w14:paraId="6D045F90" w14:textId="77777777" w:rsidTr="00B84ECC">
        <w:tc>
          <w:tcPr>
            <w:tcW w:w="2977" w:type="dxa"/>
            <w:shd w:val="clear" w:color="auto" w:fill="FFFFFF" w:themeFill="background1"/>
          </w:tcPr>
          <w:p w14:paraId="4DA0A81B" w14:textId="77777777" w:rsidR="00061C38" w:rsidRDefault="00061C38" w:rsidP="00404D5E">
            <w:r>
              <w:rPr>
                <w:rFonts w:ascii="Times New Roman" w:eastAsia="Times New Roman" w:hAnsi="Times New Roman" w:cs="Times New Roman"/>
                <w:sz w:val="20"/>
                <w:szCs w:val="20"/>
              </w:rPr>
              <w:t>Adopción de IA (uso actual)</w:t>
            </w:r>
          </w:p>
        </w:tc>
        <w:tc>
          <w:tcPr>
            <w:tcW w:w="1559" w:type="dxa"/>
            <w:shd w:val="clear" w:color="auto" w:fill="FFFFFF" w:themeFill="background1"/>
          </w:tcPr>
          <w:p w14:paraId="275DE436" w14:textId="77777777" w:rsidR="00061C38" w:rsidRDefault="00061C38" w:rsidP="00404D5E">
            <w:r>
              <w:rPr>
                <w:rFonts w:ascii="Times New Roman" w:eastAsia="Times New Roman" w:hAnsi="Times New Roman" w:cs="Times New Roman"/>
                <w:sz w:val="20"/>
                <w:szCs w:val="20"/>
              </w:rPr>
              <w:t>69,6%</w:t>
            </w:r>
          </w:p>
        </w:tc>
        <w:tc>
          <w:tcPr>
            <w:tcW w:w="1985" w:type="dxa"/>
            <w:shd w:val="clear" w:color="auto" w:fill="FFFFFF" w:themeFill="background1"/>
          </w:tcPr>
          <w:p w14:paraId="5808A6BC" w14:textId="77777777" w:rsidR="00061C38" w:rsidRDefault="00061C38" w:rsidP="00404D5E">
            <w:r>
              <w:rPr>
                <w:rFonts w:ascii="Times New Roman" w:eastAsia="Times New Roman" w:hAnsi="Times New Roman" w:cs="Times New Roman"/>
                <w:sz w:val="20"/>
                <w:szCs w:val="20"/>
              </w:rPr>
              <w:t>79%</w:t>
            </w:r>
          </w:p>
        </w:tc>
        <w:tc>
          <w:tcPr>
            <w:tcW w:w="2126" w:type="dxa"/>
            <w:shd w:val="clear" w:color="auto" w:fill="FFFFFF" w:themeFill="background1"/>
          </w:tcPr>
          <w:p w14:paraId="5EF16033" w14:textId="77777777" w:rsidR="00061C38" w:rsidRDefault="00061C38" w:rsidP="00404D5E">
            <w:r>
              <w:rPr>
                <w:rFonts w:ascii="Times New Roman" w:eastAsia="Times New Roman" w:hAnsi="Times New Roman" w:cs="Times New Roman"/>
                <w:sz w:val="20"/>
                <w:szCs w:val="20"/>
              </w:rPr>
              <w:t xml:space="preserve">DEC 9,4 </w:t>
            </w:r>
            <w:proofErr w:type="spellStart"/>
            <w:r>
              <w:rPr>
                <w:rFonts w:ascii="Times New Roman" w:eastAsia="Times New Roman" w:hAnsi="Times New Roman" w:cs="Times New Roman"/>
                <w:sz w:val="20"/>
                <w:szCs w:val="20"/>
              </w:rPr>
              <w:t>pp</w:t>
            </w:r>
            <w:proofErr w:type="spellEnd"/>
            <w:r>
              <w:rPr>
                <w:rFonts w:ascii="Times New Roman" w:eastAsia="Times New Roman" w:hAnsi="Times New Roman" w:cs="Times New Roman"/>
                <w:sz w:val="20"/>
                <w:szCs w:val="20"/>
              </w:rPr>
              <w:t xml:space="preserve"> más alto</w:t>
            </w:r>
          </w:p>
        </w:tc>
      </w:tr>
      <w:tr w:rsidR="00061C38" w14:paraId="0E9528F1" w14:textId="77777777" w:rsidTr="00B84ECC">
        <w:tc>
          <w:tcPr>
            <w:tcW w:w="2977" w:type="dxa"/>
            <w:shd w:val="clear" w:color="auto" w:fill="FFFFFF" w:themeFill="background1"/>
          </w:tcPr>
          <w:p w14:paraId="5BD30BC0" w14:textId="77777777" w:rsidR="00061C38" w:rsidRDefault="00061C38" w:rsidP="00404D5E">
            <w:r>
              <w:rPr>
                <w:rFonts w:ascii="Times New Roman" w:eastAsia="Times New Roman" w:hAnsi="Times New Roman" w:cs="Times New Roman"/>
                <w:sz w:val="20"/>
                <w:szCs w:val="20"/>
              </w:rPr>
              <w:t>Postura predominante</w:t>
            </w:r>
          </w:p>
        </w:tc>
        <w:tc>
          <w:tcPr>
            <w:tcW w:w="1559" w:type="dxa"/>
            <w:shd w:val="clear" w:color="auto" w:fill="FFFFFF" w:themeFill="background1"/>
          </w:tcPr>
          <w:p w14:paraId="4A76A914" w14:textId="77777777" w:rsidR="00061C38" w:rsidRDefault="00061C38" w:rsidP="00404D5E">
            <w:r>
              <w:rPr>
                <w:rFonts w:ascii="Times New Roman" w:eastAsia="Times New Roman" w:hAnsi="Times New Roman" w:cs="Times New Roman"/>
                <w:sz w:val="20"/>
                <w:szCs w:val="20"/>
              </w:rPr>
              <w:t>Desafío (60,4%)</w:t>
            </w:r>
          </w:p>
        </w:tc>
        <w:tc>
          <w:tcPr>
            <w:tcW w:w="1985" w:type="dxa"/>
            <w:shd w:val="clear" w:color="auto" w:fill="FFFFFF" w:themeFill="background1"/>
          </w:tcPr>
          <w:p w14:paraId="4541466C" w14:textId="77777777" w:rsidR="00061C38" w:rsidRDefault="00061C38" w:rsidP="00404D5E">
            <w:r>
              <w:rPr>
                <w:rFonts w:ascii="Times New Roman" w:eastAsia="Times New Roman" w:hAnsi="Times New Roman" w:cs="Times New Roman"/>
                <w:sz w:val="20"/>
                <w:szCs w:val="20"/>
              </w:rPr>
              <w:t>Oportunidad (~70%)</w:t>
            </w:r>
          </w:p>
        </w:tc>
        <w:tc>
          <w:tcPr>
            <w:tcW w:w="2126" w:type="dxa"/>
            <w:shd w:val="clear" w:color="auto" w:fill="FFFFFF" w:themeFill="background1"/>
          </w:tcPr>
          <w:p w14:paraId="7437751F" w14:textId="1A92DA99" w:rsidR="00061C38" w:rsidRDefault="00061C38" w:rsidP="00404D5E">
            <w:r>
              <w:rPr>
                <w:rFonts w:ascii="Times New Roman" w:eastAsia="Times New Roman" w:hAnsi="Times New Roman" w:cs="Times New Roman"/>
                <w:sz w:val="20"/>
                <w:szCs w:val="20"/>
              </w:rPr>
              <w:t>UNDAV más crítica</w:t>
            </w:r>
          </w:p>
        </w:tc>
      </w:tr>
      <w:tr w:rsidR="00061C38" w14:paraId="16C09517" w14:textId="77777777" w:rsidTr="00B84ECC">
        <w:tc>
          <w:tcPr>
            <w:tcW w:w="2977" w:type="dxa"/>
            <w:shd w:val="clear" w:color="auto" w:fill="FFFFFF" w:themeFill="background1"/>
          </w:tcPr>
          <w:p w14:paraId="0B5050A3" w14:textId="77777777" w:rsidR="00061C38" w:rsidRDefault="00061C38" w:rsidP="00404D5E">
            <w:r>
              <w:rPr>
                <w:rFonts w:ascii="Times New Roman" w:eastAsia="Times New Roman" w:hAnsi="Times New Roman" w:cs="Times New Roman"/>
                <w:sz w:val="20"/>
                <w:szCs w:val="20"/>
              </w:rPr>
              <w:t>Opinión positiva/muy positiva</w:t>
            </w:r>
          </w:p>
        </w:tc>
        <w:tc>
          <w:tcPr>
            <w:tcW w:w="1559" w:type="dxa"/>
            <w:shd w:val="clear" w:color="auto" w:fill="FFFFFF" w:themeFill="background1"/>
          </w:tcPr>
          <w:p w14:paraId="233241B4" w14:textId="77777777" w:rsidR="00061C38" w:rsidRDefault="00061C38" w:rsidP="00404D5E">
            <w:r>
              <w:rPr>
                <w:rFonts w:ascii="Times New Roman" w:eastAsia="Times New Roman" w:hAnsi="Times New Roman" w:cs="Times New Roman"/>
                <w:sz w:val="20"/>
                <w:szCs w:val="20"/>
              </w:rPr>
              <w:t>45,2%</w:t>
            </w:r>
          </w:p>
        </w:tc>
        <w:tc>
          <w:tcPr>
            <w:tcW w:w="1985" w:type="dxa"/>
            <w:shd w:val="clear" w:color="auto" w:fill="FFFFFF" w:themeFill="background1"/>
          </w:tcPr>
          <w:p w14:paraId="5A0F4A9D" w14:textId="77777777" w:rsidR="00061C38" w:rsidRDefault="00061C38" w:rsidP="00404D5E">
            <w:r>
              <w:rPr>
                <w:rFonts w:ascii="Times New Roman" w:eastAsia="Times New Roman" w:hAnsi="Times New Roman" w:cs="Times New Roman"/>
                <w:sz w:val="20"/>
                <w:szCs w:val="20"/>
              </w:rPr>
              <w:t>72%</w:t>
            </w:r>
          </w:p>
        </w:tc>
        <w:tc>
          <w:tcPr>
            <w:tcW w:w="2126" w:type="dxa"/>
            <w:shd w:val="clear" w:color="auto" w:fill="FFFFFF" w:themeFill="background1"/>
          </w:tcPr>
          <w:p w14:paraId="17AE5A08" w14:textId="77777777" w:rsidR="00061C38" w:rsidRDefault="00061C38" w:rsidP="00404D5E">
            <w:r>
              <w:rPr>
                <w:rFonts w:ascii="Times New Roman" w:eastAsia="Times New Roman" w:hAnsi="Times New Roman" w:cs="Times New Roman"/>
                <w:sz w:val="20"/>
                <w:szCs w:val="20"/>
              </w:rPr>
              <w:t xml:space="preserve">Diferencia de 26,8 </w:t>
            </w:r>
            <w:proofErr w:type="spellStart"/>
            <w:r>
              <w:rPr>
                <w:rFonts w:ascii="Times New Roman" w:eastAsia="Times New Roman" w:hAnsi="Times New Roman" w:cs="Times New Roman"/>
                <w:sz w:val="20"/>
                <w:szCs w:val="20"/>
              </w:rPr>
              <w:t>pp</w:t>
            </w:r>
            <w:proofErr w:type="spellEnd"/>
          </w:p>
        </w:tc>
      </w:tr>
      <w:tr w:rsidR="00061C38" w14:paraId="4EDFE9BD" w14:textId="77777777" w:rsidTr="00B84ECC">
        <w:tc>
          <w:tcPr>
            <w:tcW w:w="2977" w:type="dxa"/>
            <w:shd w:val="clear" w:color="auto" w:fill="FFFFFF" w:themeFill="background1"/>
          </w:tcPr>
          <w:p w14:paraId="75243EF6" w14:textId="7E6EB417" w:rsidR="00061C38" w:rsidRDefault="004A6A12" w:rsidP="00404D5E">
            <w:r>
              <w:rPr>
                <w:rFonts w:ascii="Times New Roman" w:eastAsia="Times New Roman" w:hAnsi="Times New Roman" w:cs="Times New Roman"/>
                <w:sz w:val="20"/>
                <w:szCs w:val="20"/>
              </w:rPr>
              <w:t>D</w:t>
            </w:r>
            <w:r w:rsidR="00061C38">
              <w:rPr>
                <w:rFonts w:ascii="Times New Roman" w:eastAsia="Times New Roman" w:hAnsi="Times New Roman" w:cs="Times New Roman"/>
                <w:sz w:val="20"/>
                <w:szCs w:val="20"/>
              </w:rPr>
              <w:t>ependencia excesiva</w:t>
            </w:r>
          </w:p>
        </w:tc>
        <w:tc>
          <w:tcPr>
            <w:tcW w:w="1559" w:type="dxa"/>
            <w:shd w:val="clear" w:color="auto" w:fill="FFFFFF" w:themeFill="background1"/>
          </w:tcPr>
          <w:p w14:paraId="0A9058A2" w14:textId="77777777" w:rsidR="00061C38" w:rsidRDefault="00061C38" w:rsidP="00404D5E">
            <w:r>
              <w:rPr>
                <w:rFonts w:ascii="Times New Roman" w:eastAsia="Times New Roman" w:hAnsi="Times New Roman" w:cs="Times New Roman"/>
                <w:sz w:val="20"/>
                <w:szCs w:val="20"/>
              </w:rPr>
              <w:t>77,4%</w:t>
            </w:r>
          </w:p>
        </w:tc>
        <w:tc>
          <w:tcPr>
            <w:tcW w:w="1985" w:type="dxa"/>
            <w:shd w:val="clear" w:color="auto" w:fill="FFFFFF" w:themeFill="background1"/>
          </w:tcPr>
          <w:p w14:paraId="5EA4FCAA" w14:textId="77777777" w:rsidR="00061C38" w:rsidRDefault="00061C38" w:rsidP="00404D5E">
            <w:r>
              <w:rPr>
                <w:rFonts w:ascii="Times New Roman" w:eastAsia="Times New Roman" w:hAnsi="Times New Roman" w:cs="Times New Roman"/>
                <w:sz w:val="20"/>
                <w:szCs w:val="20"/>
              </w:rPr>
              <w:t>76%</w:t>
            </w:r>
          </w:p>
        </w:tc>
        <w:tc>
          <w:tcPr>
            <w:tcW w:w="2126" w:type="dxa"/>
            <w:shd w:val="clear" w:color="auto" w:fill="FFFFFF" w:themeFill="background1"/>
          </w:tcPr>
          <w:p w14:paraId="7A7E0056" w14:textId="77777777" w:rsidR="00061C38" w:rsidRDefault="00061C38" w:rsidP="00404D5E">
            <w:r>
              <w:rPr>
                <w:rFonts w:ascii="Times New Roman" w:eastAsia="Times New Roman" w:hAnsi="Times New Roman" w:cs="Times New Roman"/>
                <w:sz w:val="20"/>
                <w:szCs w:val="20"/>
              </w:rPr>
              <w:t>Convergencia total</w:t>
            </w:r>
          </w:p>
        </w:tc>
      </w:tr>
      <w:tr w:rsidR="00061C38" w14:paraId="7BE0DCD5" w14:textId="77777777" w:rsidTr="00B84ECC">
        <w:tc>
          <w:tcPr>
            <w:tcW w:w="2977" w:type="dxa"/>
            <w:shd w:val="clear" w:color="auto" w:fill="FFFFFF" w:themeFill="background1"/>
          </w:tcPr>
          <w:p w14:paraId="7F16D34B" w14:textId="35518170" w:rsidR="00061C38" w:rsidRDefault="004A6A12" w:rsidP="00404D5E">
            <w:r>
              <w:rPr>
                <w:rFonts w:ascii="Times New Roman" w:eastAsia="Times New Roman" w:hAnsi="Times New Roman" w:cs="Times New Roman"/>
                <w:sz w:val="20"/>
                <w:szCs w:val="20"/>
              </w:rPr>
              <w:t>E</w:t>
            </w:r>
            <w:r w:rsidR="00061C38">
              <w:rPr>
                <w:rFonts w:ascii="Times New Roman" w:eastAsia="Times New Roman" w:hAnsi="Times New Roman" w:cs="Times New Roman"/>
                <w:sz w:val="20"/>
                <w:szCs w:val="20"/>
              </w:rPr>
              <w:t>valuación crítica de outputs</w:t>
            </w:r>
          </w:p>
        </w:tc>
        <w:tc>
          <w:tcPr>
            <w:tcW w:w="1559" w:type="dxa"/>
            <w:shd w:val="clear" w:color="auto" w:fill="FFFFFF" w:themeFill="background1"/>
          </w:tcPr>
          <w:p w14:paraId="29B4EA12" w14:textId="77777777" w:rsidR="00061C38" w:rsidRDefault="00061C38" w:rsidP="00404D5E">
            <w:r>
              <w:rPr>
                <w:rFonts w:ascii="Times New Roman" w:eastAsia="Times New Roman" w:hAnsi="Times New Roman" w:cs="Times New Roman"/>
                <w:sz w:val="20"/>
                <w:szCs w:val="20"/>
              </w:rPr>
              <w:t>73,7%</w:t>
            </w:r>
          </w:p>
        </w:tc>
        <w:tc>
          <w:tcPr>
            <w:tcW w:w="1985" w:type="dxa"/>
            <w:shd w:val="clear" w:color="auto" w:fill="FFFFFF" w:themeFill="background1"/>
          </w:tcPr>
          <w:p w14:paraId="1C8477E7" w14:textId="77777777" w:rsidR="00061C38" w:rsidRDefault="00061C38" w:rsidP="00404D5E">
            <w:r>
              <w:rPr>
                <w:rFonts w:ascii="Times New Roman" w:eastAsia="Times New Roman" w:hAnsi="Times New Roman" w:cs="Times New Roman"/>
                <w:sz w:val="20"/>
                <w:szCs w:val="20"/>
              </w:rPr>
              <w:t>78%</w:t>
            </w:r>
          </w:p>
        </w:tc>
        <w:tc>
          <w:tcPr>
            <w:tcW w:w="2126" w:type="dxa"/>
            <w:shd w:val="clear" w:color="auto" w:fill="FFFFFF" w:themeFill="background1"/>
          </w:tcPr>
          <w:p w14:paraId="20F897B6" w14:textId="77777777" w:rsidR="00061C38" w:rsidRDefault="00061C38" w:rsidP="00404D5E">
            <w:r>
              <w:rPr>
                <w:rFonts w:ascii="Times New Roman" w:eastAsia="Times New Roman" w:hAnsi="Times New Roman" w:cs="Times New Roman"/>
                <w:sz w:val="20"/>
                <w:szCs w:val="20"/>
              </w:rPr>
              <w:t>Convergencia alta</w:t>
            </w:r>
          </w:p>
        </w:tc>
      </w:tr>
      <w:tr w:rsidR="00061C38" w14:paraId="4A278F52" w14:textId="77777777" w:rsidTr="00B84ECC">
        <w:tc>
          <w:tcPr>
            <w:tcW w:w="2977" w:type="dxa"/>
            <w:shd w:val="clear" w:color="auto" w:fill="FFFFFF" w:themeFill="background1"/>
          </w:tcPr>
          <w:p w14:paraId="7C84CEA9" w14:textId="4BF1FBB7" w:rsidR="00061C38" w:rsidRDefault="004A6A12" w:rsidP="00404D5E">
            <w:r>
              <w:rPr>
                <w:rFonts w:ascii="Times New Roman" w:eastAsia="Times New Roman" w:hAnsi="Times New Roman" w:cs="Times New Roman"/>
                <w:sz w:val="20"/>
                <w:szCs w:val="20"/>
              </w:rPr>
              <w:t>S</w:t>
            </w:r>
            <w:r w:rsidR="00061C38">
              <w:rPr>
                <w:rFonts w:ascii="Times New Roman" w:eastAsia="Times New Roman" w:hAnsi="Times New Roman" w:cs="Times New Roman"/>
                <w:sz w:val="20"/>
                <w:szCs w:val="20"/>
              </w:rPr>
              <w:t>esgos y exactitud</w:t>
            </w:r>
          </w:p>
        </w:tc>
        <w:tc>
          <w:tcPr>
            <w:tcW w:w="1559" w:type="dxa"/>
            <w:shd w:val="clear" w:color="auto" w:fill="FFFFFF" w:themeFill="background1"/>
          </w:tcPr>
          <w:p w14:paraId="0DF93032" w14:textId="77777777" w:rsidR="00061C38" w:rsidRDefault="00061C38" w:rsidP="00404D5E">
            <w:r>
              <w:rPr>
                <w:rFonts w:ascii="Times New Roman" w:eastAsia="Times New Roman" w:hAnsi="Times New Roman" w:cs="Times New Roman"/>
                <w:sz w:val="20"/>
                <w:szCs w:val="20"/>
              </w:rPr>
              <w:t>70,0%</w:t>
            </w:r>
          </w:p>
        </w:tc>
        <w:tc>
          <w:tcPr>
            <w:tcW w:w="1985" w:type="dxa"/>
            <w:shd w:val="clear" w:color="auto" w:fill="FFFFFF" w:themeFill="background1"/>
          </w:tcPr>
          <w:p w14:paraId="2BBA98F3" w14:textId="77777777" w:rsidR="00061C38" w:rsidRDefault="00061C38" w:rsidP="00404D5E">
            <w:r>
              <w:rPr>
                <w:rFonts w:ascii="Times New Roman" w:eastAsia="Times New Roman" w:hAnsi="Times New Roman" w:cs="Times New Roman"/>
                <w:sz w:val="20"/>
                <w:szCs w:val="20"/>
              </w:rPr>
              <w:t>70%</w:t>
            </w:r>
          </w:p>
        </w:tc>
        <w:tc>
          <w:tcPr>
            <w:tcW w:w="2126" w:type="dxa"/>
            <w:shd w:val="clear" w:color="auto" w:fill="FFFFFF" w:themeFill="background1"/>
          </w:tcPr>
          <w:p w14:paraId="308A7141" w14:textId="77777777" w:rsidR="00061C38" w:rsidRDefault="00061C38" w:rsidP="00404D5E">
            <w:r>
              <w:rPr>
                <w:rFonts w:ascii="Times New Roman" w:eastAsia="Times New Roman" w:hAnsi="Times New Roman" w:cs="Times New Roman"/>
                <w:sz w:val="20"/>
                <w:szCs w:val="20"/>
              </w:rPr>
              <w:t>Convergencia exacta</w:t>
            </w:r>
          </w:p>
        </w:tc>
      </w:tr>
      <w:tr w:rsidR="00061C38" w14:paraId="1B06B0C8" w14:textId="77777777" w:rsidTr="00B84ECC">
        <w:tc>
          <w:tcPr>
            <w:tcW w:w="2977" w:type="dxa"/>
            <w:shd w:val="clear" w:color="auto" w:fill="FFFFFF" w:themeFill="background1"/>
          </w:tcPr>
          <w:p w14:paraId="6AB22C48" w14:textId="2E916315" w:rsidR="00061C38" w:rsidRDefault="004A6A12" w:rsidP="00404D5E">
            <w:r>
              <w:rPr>
                <w:rFonts w:ascii="Times New Roman" w:eastAsia="Times New Roman" w:hAnsi="Times New Roman" w:cs="Times New Roman"/>
                <w:sz w:val="20"/>
                <w:szCs w:val="20"/>
              </w:rPr>
              <w:t>A</w:t>
            </w:r>
            <w:r w:rsidR="00061C38">
              <w:rPr>
                <w:rFonts w:ascii="Times New Roman" w:eastAsia="Times New Roman" w:hAnsi="Times New Roman" w:cs="Times New Roman"/>
                <w:sz w:val="20"/>
                <w:szCs w:val="20"/>
              </w:rPr>
              <w:t>menaza al empleo docente</w:t>
            </w:r>
          </w:p>
        </w:tc>
        <w:tc>
          <w:tcPr>
            <w:tcW w:w="1559" w:type="dxa"/>
            <w:shd w:val="clear" w:color="auto" w:fill="FFFFFF" w:themeFill="background1"/>
          </w:tcPr>
          <w:p w14:paraId="5059AAC9" w14:textId="77777777" w:rsidR="00061C38" w:rsidRDefault="00061C38" w:rsidP="00404D5E">
            <w:r>
              <w:rPr>
                <w:rFonts w:ascii="Times New Roman" w:eastAsia="Times New Roman" w:hAnsi="Times New Roman" w:cs="Times New Roman"/>
                <w:sz w:val="20"/>
                <w:szCs w:val="20"/>
              </w:rPr>
              <w:t>8,1%</w:t>
            </w:r>
          </w:p>
        </w:tc>
        <w:tc>
          <w:tcPr>
            <w:tcW w:w="1985" w:type="dxa"/>
            <w:shd w:val="clear" w:color="auto" w:fill="FFFFFF" w:themeFill="background1"/>
          </w:tcPr>
          <w:p w14:paraId="1AF9B8B0" w14:textId="77777777" w:rsidR="00061C38" w:rsidRDefault="00061C38" w:rsidP="00404D5E">
            <w:r>
              <w:rPr>
                <w:rFonts w:ascii="Times New Roman" w:eastAsia="Times New Roman" w:hAnsi="Times New Roman" w:cs="Times New Roman"/>
                <w:sz w:val="20"/>
                <w:szCs w:val="20"/>
              </w:rPr>
              <w:t>12%</w:t>
            </w:r>
          </w:p>
        </w:tc>
        <w:tc>
          <w:tcPr>
            <w:tcW w:w="2126" w:type="dxa"/>
            <w:shd w:val="clear" w:color="auto" w:fill="FFFFFF" w:themeFill="background1"/>
          </w:tcPr>
          <w:p w14:paraId="792EFF57" w14:textId="77777777" w:rsidR="00061C38" w:rsidRDefault="00061C38" w:rsidP="00404D5E">
            <w:r>
              <w:rPr>
                <w:rFonts w:ascii="Times New Roman" w:eastAsia="Times New Roman" w:hAnsi="Times New Roman" w:cs="Times New Roman"/>
                <w:sz w:val="20"/>
                <w:szCs w:val="20"/>
              </w:rPr>
              <w:t>Ambos muy bajos</w:t>
            </w:r>
          </w:p>
        </w:tc>
      </w:tr>
      <w:tr w:rsidR="00061C38" w14:paraId="4A4FCEAF" w14:textId="77777777" w:rsidTr="00B84ECC">
        <w:tc>
          <w:tcPr>
            <w:tcW w:w="2977" w:type="dxa"/>
            <w:shd w:val="clear" w:color="auto" w:fill="FFFFFF" w:themeFill="background1"/>
          </w:tcPr>
          <w:p w14:paraId="6AB8AC04" w14:textId="77777777" w:rsidR="00061C38" w:rsidRDefault="00061C38" w:rsidP="00404D5E">
            <w:r>
              <w:rPr>
                <w:rFonts w:ascii="Times New Roman" w:eastAsia="Times New Roman" w:hAnsi="Times New Roman" w:cs="Times New Roman"/>
                <w:sz w:val="20"/>
                <w:szCs w:val="20"/>
              </w:rPr>
              <w:t>Conocen directrices institucionales</w:t>
            </w:r>
          </w:p>
        </w:tc>
        <w:tc>
          <w:tcPr>
            <w:tcW w:w="1559" w:type="dxa"/>
            <w:shd w:val="clear" w:color="auto" w:fill="FFFFFF" w:themeFill="background1"/>
          </w:tcPr>
          <w:p w14:paraId="49ABFA9B" w14:textId="77777777" w:rsidR="00061C38" w:rsidRDefault="00061C38" w:rsidP="00404D5E">
            <w:r>
              <w:rPr>
                <w:rFonts w:ascii="Times New Roman" w:eastAsia="Times New Roman" w:hAnsi="Times New Roman" w:cs="Times New Roman"/>
                <w:sz w:val="20"/>
                <w:szCs w:val="20"/>
              </w:rPr>
              <w:t>10,1%</w:t>
            </w:r>
          </w:p>
        </w:tc>
        <w:tc>
          <w:tcPr>
            <w:tcW w:w="1985" w:type="dxa"/>
            <w:shd w:val="clear" w:color="auto" w:fill="FFFFFF" w:themeFill="background1"/>
          </w:tcPr>
          <w:p w14:paraId="65B9EE63" w14:textId="77777777" w:rsidR="00061C38" w:rsidRDefault="00061C38" w:rsidP="00404D5E">
            <w:r>
              <w:rPr>
                <w:rFonts w:ascii="Times New Roman" w:eastAsia="Times New Roman" w:hAnsi="Times New Roman" w:cs="Times New Roman"/>
                <w:sz w:val="20"/>
                <w:szCs w:val="20"/>
              </w:rPr>
              <w:t>~17%</w:t>
            </w:r>
          </w:p>
        </w:tc>
        <w:tc>
          <w:tcPr>
            <w:tcW w:w="2126" w:type="dxa"/>
            <w:shd w:val="clear" w:color="auto" w:fill="FFFFFF" w:themeFill="background1"/>
          </w:tcPr>
          <w:p w14:paraId="28FB4341" w14:textId="77777777" w:rsidR="00061C38" w:rsidRDefault="00061C38" w:rsidP="00404D5E">
            <w:r>
              <w:rPr>
                <w:rFonts w:ascii="Times New Roman" w:eastAsia="Times New Roman" w:hAnsi="Times New Roman" w:cs="Times New Roman"/>
                <w:sz w:val="20"/>
                <w:szCs w:val="20"/>
              </w:rPr>
              <w:t>UNDAV más bajo</w:t>
            </w:r>
          </w:p>
        </w:tc>
      </w:tr>
      <w:tr w:rsidR="00061C38" w14:paraId="68387FF4" w14:textId="77777777" w:rsidTr="00B84ECC">
        <w:tc>
          <w:tcPr>
            <w:tcW w:w="2977" w:type="dxa"/>
            <w:shd w:val="clear" w:color="auto" w:fill="FFFFFF" w:themeFill="background1"/>
          </w:tcPr>
          <w:p w14:paraId="72B8E0A5" w14:textId="77777777" w:rsidR="00061C38" w:rsidRDefault="00061C38" w:rsidP="00404D5E">
            <w:r>
              <w:rPr>
                <w:rFonts w:ascii="Times New Roman" w:eastAsia="Times New Roman" w:hAnsi="Times New Roman" w:cs="Times New Roman"/>
                <w:sz w:val="20"/>
                <w:szCs w:val="20"/>
              </w:rPr>
              <w:t>Recursos institucionales suficientes</w:t>
            </w:r>
          </w:p>
        </w:tc>
        <w:tc>
          <w:tcPr>
            <w:tcW w:w="1559" w:type="dxa"/>
            <w:shd w:val="clear" w:color="auto" w:fill="FFFFFF" w:themeFill="background1"/>
          </w:tcPr>
          <w:p w14:paraId="398F0850" w14:textId="77777777" w:rsidR="00061C38" w:rsidRDefault="00061C38" w:rsidP="00404D5E">
            <w:r>
              <w:rPr>
                <w:rFonts w:ascii="Times New Roman" w:eastAsia="Times New Roman" w:hAnsi="Times New Roman" w:cs="Times New Roman"/>
                <w:sz w:val="20"/>
                <w:szCs w:val="20"/>
              </w:rPr>
              <w:t>10,8%</w:t>
            </w:r>
          </w:p>
        </w:tc>
        <w:tc>
          <w:tcPr>
            <w:tcW w:w="1985" w:type="dxa"/>
            <w:shd w:val="clear" w:color="auto" w:fill="FFFFFF" w:themeFill="background1"/>
          </w:tcPr>
          <w:p w14:paraId="3F3EADF8" w14:textId="77777777" w:rsidR="00061C38" w:rsidRDefault="00061C38" w:rsidP="00404D5E">
            <w:r>
              <w:rPr>
                <w:rFonts w:ascii="Times New Roman" w:eastAsia="Times New Roman" w:hAnsi="Times New Roman" w:cs="Times New Roman"/>
                <w:sz w:val="20"/>
                <w:szCs w:val="20"/>
              </w:rPr>
              <w:t>30%</w:t>
            </w:r>
          </w:p>
        </w:tc>
        <w:tc>
          <w:tcPr>
            <w:tcW w:w="2126" w:type="dxa"/>
            <w:shd w:val="clear" w:color="auto" w:fill="FFFFFF" w:themeFill="background1"/>
          </w:tcPr>
          <w:p w14:paraId="62A4D2D1" w14:textId="77777777" w:rsidR="00061C38" w:rsidRDefault="00061C38" w:rsidP="00404D5E">
            <w:r>
              <w:rPr>
                <w:rFonts w:ascii="Times New Roman" w:eastAsia="Times New Roman" w:hAnsi="Times New Roman" w:cs="Times New Roman"/>
                <w:sz w:val="20"/>
                <w:szCs w:val="20"/>
              </w:rPr>
              <w:t xml:space="preserve">Diferencia de 19,2 </w:t>
            </w:r>
            <w:proofErr w:type="spellStart"/>
            <w:r>
              <w:rPr>
                <w:rFonts w:ascii="Times New Roman" w:eastAsia="Times New Roman" w:hAnsi="Times New Roman" w:cs="Times New Roman"/>
                <w:sz w:val="20"/>
                <w:szCs w:val="20"/>
              </w:rPr>
              <w:t>pp</w:t>
            </w:r>
            <w:proofErr w:type="spellEnd"/>
          </w:p>
        </w:tc>
      </w:tr>
      <w:tr w:rsidR="00061C38" w14:paraId="15A876D0" w14:textId="77777777" w:rsidTr="00B84ECC">
        <w:tc>
          <w:tcPr>
            <w:tcW w:w="2977" w:type="dxa"/>
            <w:shd w:val="clear" w:color="auto" w:fill="FFFFFF" w:themeFill="background1"/>
          </w:tcPr>
          <w:p w14:paraId="5A91A049" w14:textId="77777777" w:rsidR="00061C38" w:rsidRDefault="00061C38" w:rsidP="00404D5E">
            <w:r>
              <w:rPr>
                <w:rFonts w:ascii="Times New Roman" w:eastAsia="Times New Roman" w:hAnsi="Times New Roman" w:cs="Times New Roman"/>
                <w:sz w:val="20"/>
                <w:szCs w:val="20"/>
              </w:rPr>
              <w:t>Cambios sig./urgentes en evaluación</w:t>
            </w:r>
          </w:p>
        </w:tc>
        <w:tc>
          <w:tcPr>
            <w:tcW w:w="1559" w:type="dxa"/>
            <w:shd w:val="clear" w:color="auto" w:fill="FFFFFF" w:themeFill="background1"/>
          </w:tcPr>
          <w:p w14:paraId="1FBEF8E6" w14:textId="77777777" w:rsidR="00061C38" w:rsidRDefault="00061C38" w:rsidP="00404D5E">
            <w:r>
              <w:rPr>
                <w:rFonts w:ascii="Times New Roman" w:eastAsia="Times New Roman" w:hAnsi="Times New Roman" w:cs="Times New Roman"/>
                <w:sz w:val="20"/>
                <w:szCs w:val="20"/>
              </w:rPr>
              <w:t>44,0%</w:t>
            </w:r>
          </w:p>
        </w:tc>
        <w:tc>
          <w:tcPr>
            <w:tcW w:w="1985" w:type="dxa"/>
            <w:shd w:val="clear" w:color="auto" w:fill="FFFFFF" w:themeFill="background1"/>
          </w:tcPr>
          <w:p w14:paraId="7C5F4400" w14:textId="77777777" w:rsidR="00061C38" w:rsidRDefault="00061C38" w:rsidP="00404D5E">
            <w:r>
              <w:rPr>
                <w:rFonts w:ascii="Times New Roman" w:eastAsia="Times New Roman" w:hAnsi="Times New Roman" w:cs="Times New Roman"/>
                <w:sz w:val="20"/>
                <w:szCs w:val="20"/>
              </w:rPr>
              <w:t>52%</w:t>
            </w:r>
          </w:p>
        </w:tc>
        <w:tc>
          <w:tcPr>
            <w:tcW w:w="2126" w:type="dxa"/>
            <w:shd w:val="clear" w:color="auto" w:fill="FFFFFF" w:themeFill="background1"/>
          </w:tcPr>
          <w:p w14:paraId="6DC0B9E5" w14:textId="77777777" w:rsidR="00061C38" w:rsidRDefault="00061C38" w:rsidP="00404D5E">
            <w:r>
              <w:rPr>
                <w:rFonts w:ascii="Times New Roman" w:eastAsia="Times New Roman" w:hAnsi="Times New Roman" w:cs="Times New Roman"/>
                <w:sz w:val="20"/>
                <w:szCs w:val="20"/>
              </w:rPr>
              <w:t>Convergencia alta</w:t>
            </w:r>
          </w:p>
        </w:tc>
      </w:tr>
    </w:tbl>
    <w:p w14:paraId="7AE2BD56" w14:textId="77777777" w:rsidR="00061C38" w:rsidRDefault="00061C38" w:rsidP="00061C38">
      <w:pPr>
        <w:spacing w:after="120"/>
      </w:pPr>
    </w:p>
    <w:p w14:paraId="678679C9" w14:textId="77777777" w:rsidR="00061C38" w:rsidRDefault="00061C38" w:rsidP="00061C38">
      <w:pPr>
        <w:spacing w:after="120"/>
        <w:jc w:val="both"/>
      </w:pPr>
      <w:r>
        <w:rPr>
          <w:rFonts w:ascii="Times New Roman" w:eastAsia="Times New Roman" w:hAnsi="Times New Roman" w:cs="Times New Roman"/>
        </w:rPr>
        <w:t>Las convergencias son notables en las preocupaciones pedagógicas centrales: la inquietud por la dependencia excesiva de los estudiantes en la IA (77,4% UNDAV vs. 76% DEC), por la evaluación crítica de outputs (73,7% vs. 78%) y por los sesgos y la exactitud (70,0% en ambos contextos) son prácticamente idénticas a pesar de la diferencia de escala y contexto. La marginalidad del temor a la sustitución laboral también converge (8,1% vs. 12%). Estos datos sugieren que las preocupaciones pedagógicas ante la IA trascienden los contextos institucionales específicos y configuran una sensibilidad docente de alcance regional.</w:t>
      </w:r>
    </w:p>
    <w:p w14:paraId="2CFB0370" w14:textId="65C11E1E" w:rsidR="00061C38" w:rsidRDefault="00061C38" w:rsidP="00061C38">
      <w:pPr>
        <w:spacing w:after="120"/>
        <w:jc w:val="both"/>
      </w:pPr>
      <w:r>
        <w:rPr>
          <w:rFonts w:ascii="Times New Roman" w:eastAsia="Times New Roman" w:hAnsi="Times New Roman" w:cs="Times New Roman"/>
        </w:rPr>
        <w:lastRenderedPageBreak/>
        <w:t xml:space="preserve">Las diferencias más marcadas conciernen a la valoración general de la IA y al apoyo institucional percibido. La brecha de 26,8 puntos porcentuales en la opinión positiva (45,2% vs. 72%) y la diferencia de 33,9 puntos entre los departamentos más y menos críticos de la UNDAV son demasiado amplias para ser atribuidas a variaciones </w:t>
      </w:r>
      <w:proofErr w:type="spellStart"/>
      <w:r>
        <w:rPr>
          <w:rFonts w:ascii="Times New Roman" w:eastAsia="Times New Roman" w:hAnsi="Times New Roman" w:cs="Times New Roman"/>
        </w:rPr>
        <w:t>muestrales</w:t>
      </w:r>
      <w:proofErr w:type="spellEnd"/>
      <w:r>
        <w:rPr>
          <w:rFonts w:ascii="Times New Roman" w:eastAsia="Times New Roman" w:hAnsi="Times New Roman" w:cs="Times New Roman"/>
        </w:rPr>
        <w:t xml:space="preserve">. Lejos de ser una debilidad institucional, esta posición más reservada es coherente con la fisonomía que el Documento N.° 1 de la CUAIA define para la UNDAV: una universidad pública que concibe la reflexión crítica como el fundamento desde el cual abordar la IA y que reivindica explícitamente que las tecnologías no son </w:t>
      </w:r>
      <w:r w:rsidR="00B84ECC">
        <w:rPr>
          <w:rFonts w:ascii="Times New Roman" w:eastAsia="Times New Roman" w:hAnsi="Times New Roman" w:cs="Times New Roman"/>
        </w:rPr>
        <w:t>neutrales,</w:t>
      </w:r>
      <w:r>
        <w:rPr>
          <w:rFonts w:ascii="Times New Roman" w:eastAsia="Times New Roman" w:hAnsi="Times New Roman" w:cs="Times New Roman"/>
        </w:rPr>
        <w:t xml:space="preserve"> sino que portan configuraciones políticas y sociales que deben examinarse críticamente.</w:t>
      </w:r>
    </w:p>
    <w:p w14:paraId="3ACFDB1F" w14:textId="06C54C94" w:rsidR="00061C38" w:rsidRDefault="00061C38" w:rsidP="004A6A12">
      <w:pPr>
        <w:spacing w:after="120"/>
        <w:jc w:val="both"/>
      </w:pPr>
      <w:r>
        <w:rPr>
          <w:rFonts w:ascii="Times New Roman" w:eastAsia="Times New Roman" w:hAnsi="Times New Roman" w:cs="Times New Roman"/>
        </w:rPr>
        <w:t>La brecha institucional, en cambio, sí representa un desafío: la diferencia de 19,2 puntos en la percepción de recursos institucionales suficientes (10,8% UNDAV vs. 30% DEC) señala que la tarea pendiente en materia de comunicación y acompañamiento institucional es más urgente en la UNDAV que en el promedio regional. Sin embargo, la UNDAV ya dispone de los documentos normativos que la región en conjunto aún no ha producido: la tarea no es de producción conceptual sino de alcance y apropiación.</w:t>
      </w:r>
    </w:p>
    <w:p w14:paraId="5315FB4B" w14:textId="77777777" w:rsidR="00061C38" w:rsidRDefault="00061C38" w:rsidP="00061C38">
      <w:pPr>
        <w:spacing w:before="240" w:after="120"/>
      </w:pPr>
      <w:r>
        <w:rPr>
          <w:rFonts w:ascii="Times New Roman" w:eastAsia="Times New Roman" w:hAnsi="Times New Roman" w:cs="Times New Roman"/>
          <w:b/>
          <w:bCs/>
        </w:rPr>
        <w:t>Conclusiones</w:t>
      </w:r>
    </w:p>
    <w:p w14:paraId="0D564D95" w14:textId="5B956D05" w:rsidR="00061C38" w:rsidRDefault="00875F03" w:rsidP="00061C38">
      <w:pPr>
        <w:spacing w:after="120"/>
        <w:jc w:val="both"/>
      </w:pPr>
      <w:r>
        <w:rPr>
          <w:rFonts w:ascii="Times New Roman" w:eastAsia="Times New Roman" w:hAnsi="Times New Roman" w:cs="Times New Roman"/>
        </w:rPr>
        <w:t>El análisis de los datos del relevamiento,</w:t>
      </w:r>
      <w:r w:rsidR="00061C38">
        <w:rPr>
          <w:rFonts w:ascii="Times New Roman" w:eastAsia="Times New Roman" w:hAnsi="Times New Roman" w:cs="Times New Roman"/>
        </w:rPr>
        <w:t xml:space="preserve"> la UNDAV presenta un perfil docente ante la IA que es más crítico que el promedio latinoamericano, coherente con su mandato democratizador y con la composición disciplinar predominante de su cuerpo docente. Al mismo tiempo, enfrenta una brecha pronunciada entre la producción normativa institucional y el conocimiento efectivo de esa normativa por parte del cuerpo docente.</w:t>
      </w:r>
    </w:p>
    <w:p w14:paraId="42EAFEBB" w14:textId="4414D5A9" w:rsidR="00061C38" w:rsidRDefault="00061C38" w:rsidP="00061C38">
      <w:pPr>
        <w:spacing w:after="120"/>
        <w:jc w:val="both"/>
      </w:pPr>
      <w:r>
        <w:rPr>
          <w:rFonts w:ascii="Times New Roman" w:eastAsia="Times New Roman" w:hAnsi="Times New Roman" w:cs="Times New Roman"/>
        </w:rPr>
        <w:t>Este diagnóstico señala que la principal tarea institucional no es convencer a una comunidad resistente sino acompañar con marcos claros a una comunidad que ya actúa y que demanda orientación. La práctica docente ha avanzado por delante del marco instituciona</w:t>
      </w:r>
      <w:r w:rsidR="00954E91">
        <w:rPr>
          <w:rFonts w:ascii="Times New Roman" w:eastAsia="Times New Roman" w:hAnsi="Times New Roman" w:cs="Times New Roman"/>
        </w:rPr>
        <w:t>l</w:t>
      </w:r>
      <w:r>
        <w:rPr>
          <w:rFonts w:ascii="Times New Roman" w:eastAsia="Times New Roman" w:hAnsi="Times New Roman" w:cs="Times New Roman"/>
        </w:rPr>
        <w:t>: el 69,6% ya usa IA, el 55,1% se opondría a su prohibición y el 80,4% demanda algún nivel de actualización de los métodos de evaluación. La institución tiene marcos normativos sólidos; el desafío es hacerlos llegar al 71,7% de docentes con dedicación parcial que no transita cotidianamente los circuitos institucionales donde esa información circula.</w:t>
      </w:r>
    </w:p>
    <w:p w14:paraId="4C3B2F37" w14:textId="1DE44BD5" w:rsidR="00061C38" w:rsidRDefault="00061C38" w:rsidP="00061C38">
      <w:pPr>
        <w:spacing w:after="120"/>
        <w:jc w:val="both"/>
      </w:pPr>
      <w:r>
        <w:rPr>
          <w:rFonts w:ascii="Times New Roman" w:eastAsia="Times New Roman" w:hAnsi="Times New Roman" w:cs="Times New Roman"/>
        </w:rPr>
        <w:t xml:space="preserve">Tres orientaciones emergen directamente de los datos. La primera concierne a la formación docente: los trayectos deben diferenciarse por área disciplinar </w:t>
      </w:r>
      <w:r w:rsidR="00B84ECC">
        <w:rPr>
          <w:rFonts w:ascii="Times New Roman" w:eastAsia="Times New Roman" w:hAnsi="Times New Roman" w:cs="Times New Roman"/>
        </w:rPr>
        <w:t>(</w:t>
      </w:r>
      <w:r>
        <w:rPr>
          <w:rFonts w:ascii="Times New Roman" w:eastAsia="Times New Roman" w:hAnsi="Times New Roman" w:cs="Times New Roman"/>
        </w:rPr>
        <w:t>la diferencia de 33,9 puntos entre departamentos vuelve ineficaz cualquier propuesta estandarizada</w:t>
      </w:r>
      <w:r w:rsidR="00B84ECC">
        <w:rPr>
          <w:rFonts w:ascii="Times New Roman" w:eastAsia="Times New Roman" w:hAnsi="Times New Roman" w:cs="Times New Roman"/>
        </w:rPr>
        <w:t>)</w:t>
      </w:r>
      <w:r>
        <w:rPr>
          <w:rFonts w:ascii="Times New Roman" w:eastAsia="Times New Roman" w:hAnsi="Times New Roman" w:cs="Times New Roman"/>
        </w:rPr>
        <w:t>, orientarse prioritariamente al pensamiento crítico sobre outputs de IA (donde solo el 6,0% alcanza nivel avanzado) y contemplar la elaboración de las razones valorativas que sostienen la cautela docente, que son en buena medida éticas y políticas antes que técnicas.</w:t>
      </w:r>
    </w:p>
    <w:p w14:paraId="158F1E4F" w14:textId="54F05871" w:rsidR="00061C38" w:rsidRDefault="00061C38" w:rsidP="00061C38">
      <w:pPr>
        <w:spacing w:after="120"/>
        <w:jc w:val="both"/>
      </w:pPr>
      <w:r>
        <w:rPr>
          <w:rFonts w:ascii="Times New Roman" w:eastAsia="Times New Roman" w:hAnsi="Times New Roman" w:cs="Times New Roman"/>
        </w:rPr>
        <w:lastRenderedPageBreak/>
        <w:t xml:space="preserve">La segunda orientación concierne a la comunicación institucional: los canales deben diseñarse específicamente para el 71,7% de docentes con dedicación parcial. Los documentos de la CUAIA </w:t>
      </w:r>
      <w:r w:rsidR="00B84ECC">
        <w:rPr>
          <w:rFonts w:ascii="Times New Roman" w:eastAsia="Times New Roman" w:hAnsi="Times New Roman" w:cs="Times New Roman"/>
        </w:rPr>
        <w:t>(</w:t>
      </w:r>
      <w:r>
        <w:rPr>
          <w:rFonts w:ascii="Times New Roman" w:eastAsia="Times New Roman" w:hAnsi="Times New Roman" w:cs="Times New Roman"/>
        </w:rPr>
        <w:t>que contienen marcos ya aprobados sobre autoría, criterios de evaluación y principios éticos</w:t>
      </w:r>
      <w:r w:rsidR="00B84ECC">
        <w:rPr>
          <w:rFonts w:ascii="Times New Roman" w:eastAsia="Times New Roman" w:hAnsi="Times New Roman" w:cs="Times New Roman"/>
        </w:rPr>
        <w:t>)</w:t>
      </w:r>
      <w:r>
        <w:rPr>
          <w:rFonts w:ascii="Times New Roman" w:eastAsia="Times New Roman" w:hAnsi="Times New Roman" w:cs="Times New Roman"/>
        </w:rPr>
        <w:t xml:space="preserve"> necesitan traducirse en instancias situadas en los propios espacios de cátedra y departamento.</w:t>
      </w:r>
    </w:p>
    <w:p w14:paraId="2E8A818F" w14:textId="77777777" w:rsidR="00061C38" w:rsidRDefault="00061C38" w:rsidP="00061C38">
      <w:pPr>
        <w:spacing w:after="120"/>
        <w:jc w:val="both"/>
      </w:pPr>
      <w:r>
        <w:rPr>
          <w:rFonts w:ascii="Times New Roman" w:eastAsia="Times New Roman" w:hAnsi="Times New Roman" w:cs="Times New Roman"/>
        </w:rPr>
        <w:t>La tercera orientación es de carácter político: el 64,7% de acuerdo sobre la amenaza de dependencia corporativa, junto con la orientación del Documento N.° 1 de la CUAIA hacia alternativas públicas y colaborativas, ofrece a la UNDAV una base de legitimidad poco frecuente para vincular su política de IA con una agenda de soberanía tecnológica. Este es el activo más distintivo de la institución respecto del panorama regional y una contribución específica que las universidades públicas del sur pueden hacer al debate internacional sobre gobernanza de la IA.</w:t>
      </w:r>
    </w:p>
    <w:p w14:paraId="12992205" w14:textId="79439811" w:rsidR="00061C38" w:rsidRDefault="00061C38" w:rsidP="00061C38">
      <w:pPr>
        <w:spacing w:after="120"/>
        <w:jc w:val="both"/>
        <w:rPr>
          <w:rFonts w:ascii="Times New Roman" w:eastAsia="Times New Roman" w:hAnsi="Times New Roman" w:cs="Times New Roman"/>
        </w:rPr>
      </w:pPr>
      <w:r>
        <w:rPr>
          <w:rFonts w:ascii="Times New Roman" w:eastAsia="Times New Roman" w:hAnsi="Times New Roman" w:cs="Times New Roman"/>
        </w:rPr>
        <w:t xml:space="preserve">Finalmente, los datos de este relevamiento contribuyen a una línea de investigación más amplia sobre gobernanza institucional de la IA en la educación superior latinoamericana. La experiencia de la UNDAV </w:t>
      </w:r>
      <w:r w:rsidR="00B84ECC">
        <w:rPr>
          <w:rFonts w:ascii="Times New Roman" w:eastAsia="Times New Roman" w:hAnsi="Times New Roman" w:cs="Times New Roman"/>
        </w:rPr>
        <w:t>(</w:t>
      </w:r>
      <w:r>
        <w:rPr>
          <w:rFonts w:ascii="Times New Roman" w:eastAsia="Times New Roman" w:hAnsi="Times New Roman" w:cs="Times New Roman"/>
        </w:rPr>
        <w:t>con su modelo de gobernanza participativa, su producción normativa temprana y su cultura institucional crítica</w:t>
      </w:r>
      <w:r w:rsidR="00B84ECC">
        <w:rPr>
          <w:rFonts w:ascii="Times New Roman" w:eastAsia="Times New Roman" w:hAnsi="Times New Roman" w:cs="Times New Roman"/>
        </w:rPr>
        <w:t>)</w:t>
      </w:r>
      <w:r>
        <w:rPr>
          <w:rFonts w:ascii="Times New Roman" w:eastAsia="Times New Roman" w:hAnsi="Times New Roman" w:cs="Times New Roman"/>
        </w:rPr>
        <w:t xml:space="preserve"> puede constituir un referente para otras universidades públicas que busquen desarrollar marcos propios de gestión ética e inclusiva de las tecnologías emergentes.</w:t>
      </w:r>
    </w:p>
    <w:p w14:paraId="2E3911B9" w14:textId="77777777" w:rsidR="001016AB" w:rsidRPr="001016AB" w:rsidRDefault="00731457" w:rsidP="001016AB">
      <w:pPr>
        <w:spacing w:after="120"/>
        <w:jc w:val="both"/>
        <w:rPr>
          <w:rFonts w:ascii="Times New Roman" w:eastAsia="Times New Roman" w:hAnsi="Times New Roman" w:cs="Times New Roman"/>
          <w:b/>
          <w:bCs/>
        </w:rPr>
      </w:pPr>
      <w:r w:rsidRPr="001016AB">
        <w:rPr>
          <w:rFonts w:ascii="Times New Roman" w:eastAsia="Times New Roman" w:hAnsi="Times New Roman" w:cs="Times New Roman"/>
          <w:b/>
          <w:bCs/>
        </w:rPr>
        <w:t>Declaración de uso de IA</w:t>
      </w:r>
    </w:p>
    <w:p w14:paraId="4FE4FF73" w14:textId="5B74E319" w:rsidR="004A6A12" w:rsidRPr="001016AB" w:rsidRDefault="00DD3BA8" w:rsidP="001016AB">
      <w:pPr>
        <w:spacing w:after="120"/>
        <w:jc w:val="both"/>
        <w:rPr>
          <w:rFonts w:ascii="Times New Roman" w:eastAsia="Times New Roman" w:hAnsi="Times New Roman" w:cs="Times New Roman"/>
        </w:rPr>
      </w:pPr>
      <w:r w:rsidRPr="00DD3BA8">
        <w:t xml:space="preserve">Para la elaboración de este trabajo se utilizó </w:t>
      </w:r>
      <w:r w:rsidR="005B181C">
        <w:t>IA</w:t>
      </w:r>
      <w:r w:rsidRPr="00DD3BA8">
        <w:t xml:space="preserve"> generativa (Claude, de </w:t>
      </w:r>
      <w:proofErr w:type="spellStart"/>
      <w:r w:rsidRPr="00DD3BA8">
        <w:t>Anthropic</w:t>
      </w:r>
      <w:proofErr w:type="spellEnd"/>
      <w:r w:rsidRPr="00DD3BA8">
        <w:t>) como asistente en la reorganización y revisión del texto. Todos los análisis, interpretaciones, decisiones metodológicas y argumentos son de autoría de la investigadora. El uso del sistema de IA se declara en coherencia con el principio de autoría</w:t>
      </w:r>
      <w:r w:rsidR="0047287E">
        <w:t xml:space="preserve"> aumentada</w:t>
      </w:r>
      <w:r w:rsidRPr="00DD3BA8">
        <w:t xml:space="preserve"> sostenido en este trabajo y con los marcos éticos de transparencia promovidos por la CUAIA de la UNDAV</w:t>
      </w:r>
    </w:p>
    <w:p w14:paraId="7E595B35" w14:textId="5A176E08" w:rsidR="00E23A8D" w:rsidRDefault="00E23A8D" w:rsidP="00E23A8D">
      <w:pPr>
        <w:spacing w:before="240" w:after="120"/>
      </w:pPr>
      <w:r>
        <w:rPr>
          <w:rFonts w:ascii="Times New Roman" w:eastAsia="Times New Roman" w:hAnsi="Times New Roman" w:cs="Times New Roman"/>
          <w:b/>
          <w:bCs/>
        </w:rPr>
        <w:t>Referencias bibliográficas</w:t>
      </w:r>
    </w:p>
    <w:p w14:paraId="450CF6F1" w14:textId="77777777" w:rsidR="00E23A8D" w:rsidRPr="00240E6A" w:rsidRDefault="00E23A8D" w:rsidP="00E23A8D">
      <w:pPr>
        <w:spacing w:after="120"/>
        <w:jc w:val="both"/>
        <w:rPr>
          <w:lang w:val="en-GB"/>
        </w:rPr>
      </w:pPr>
      <w:proofErr w:type="spellStart"/>
      <w:r>
        <w:rPr>
          <w:rFonts w:ascii="Times New Roman" w:eastAsia="Times New Roman" w:hAnsi="Times New Roman" w:cs="Times New Roman"/>
        </w:rPr>
        <w:t>Arnstein</w:t>
      </w:r>
      <w:proofErr w:type="spellEnd"/>
      <w:r>
        <w:rPr>
          <w:rFonts w:ascii="Times New Roman" w:eastAsia="Times New Roman" w:hAnsi="Times New Roman" w:cs="Times New Roman"/>
        </w:rPr>
        <w:t xml:space="preserve">, S. R. (1969). </w:t>
      </w:r>
      <w:r w:rsidRPr="00240E6A">
        <w:rPr>
          <w:rFonts w:ascii="Times New Roman" w:eastAsia="Times New Roman" w:hAnsi="Times New Roman" w:cs="Times New Roman"/>
          <w:lang w:val="en-GB"/>
        </w:rPr>
        <w:t xml:space="preserve">A ladder of citizen participation. </w:t>
      </w:r>
      <w:r w:rsidRPr="00E23A8D">
        <w:rPr>
          <w:rFonts w:ascii="Times New Roman" w:eastAsia="Times New Roman" w:hAnsi="Times New Roman" w:cs="Times New Roman"/>
          <w:i/>
          <w:iCs/>
          <w:lang w:val="en-GB"/>
        </w:rPr>
        <w:t xml:space="preserve">Journal of the American Institute of Planners, </w:t>
      </w:r>
      <w:r w:rsidRPr="00240E6A">
        <w:rPr>
          <w:rFonts w:ascii="Times New Roman" w:eastAsia="Times New Roman" w:hAnsi="Times New Roman" w:cs="Times New Roman"/>
          <w:lang w:val="en-GB"/>
        </w:rPr>
        <w:t>35(4), 216-224. https://doi.org/10.1080/01944366908977225</w:t>
      </w:r>
    </w:p>
    <w:p w14:paraId="1D6A4A9A" w14:textId="77777777" w:rsidR="00E23A8D" w:rsidRDefault="00E23A8D" w:rsidP="00E23A8D">
      <w:pPr>
        <w:spacing w:after="120"/>
        <w:jc w:val="both"/>
      </w:pPr>
      <w:r w:rsidRPr="00240E6A">
        <w:rPr>
          <w:rFonts w:ascii="Times New Roman" w:eastAsia="Times New Roman" w:hAnsi="Times New Roman" w:cs="Times New Roman"/>
          <w:lang w:val="en-GB"/>
        </w:rPr>
        <w:t xml:space="preserve">Benjamin, R. (2019). </w:t>
      </w:r>
      <w:r w:rsidRPr="00E23A8D">
        <w:rPr>
          <w:rFonts w:ascii="Times New Roman" w:eastAsia="Times New Roman" w:hAnsi="Times New Roman" w:cs="Times New Roman"/>
          <w:i/>
          <w:iCs/>
          <w:lang w:val="en-GB"/>
        </w:rPr>
        <w:t>Race after technology: Abolitionist tools for the new Jim Code</w:t>
      </w:r>
      <w:r w:rsidRPr="00240E6A">
        <w:rPr>
          <w:rFonts w:ascii="Times New Roman" w:eastAsia="Times New Roman" w:hAnsi="Times New Roman" w:cs="Times New Roman"/>
          <w:lang w:val="en-GB"/>
        </w:rPr>
        <w:t xml:space="preserve">. </w:t>
      </w:r>
      <w:proofErr w:type="spellStart"/>
      <w:r>
        <w:rPr>
          <w:rFonts w:ascii="Times New Roman" w:eastAsia="Times New Roman" w:hAnsi="Times New Roman" w:cs="Times New Roman"/>
        </w:rPr>
        <w:t>Polity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w:t>
      </w:r>
    </w:p>
    <w:p w14:paraId="4D623DE8" w14:textId="2998C4EA" w:rsidR="00940295" w:rsidRDefault="00E23A8D" w:rsidP="00E23A8D">
      <w:pPr>
        <w:spacing w:after="120"/>
        <w:jc w:val="both"/>
      </w:pPr>
      <w:r>
        <w:rPr>
          <w:rFonts w:ascii="Times New Roman" w:eastAsia="Times New Roman" w:hAnsi="Times New Roman" w:cs="Times New Roman"/>
        </w:rPr>
        <w:t xml:space="preserve">Benítez </w:t>
      </w:r>
      <w:proofErr w:type="spellStart"/>
      <w:r>
        <w:rPr>
          <w:rFonts w:ascii="Times New Roman" w:eastAsia="Times New Roman" w:hAnsi="Times New Roman" w:cs="Times New Roman"/>
        </w:rPr>
        <w:t>Larghi</w:t>
      </w:r>
      <w:proofErr w:type="spellEnd"/>
      <w:r>
        <w:rPr>
          <w:rFonts w:ascii="Times New Roman" w:eastAsia="Times New Roman" w:hAnsi="Times New Roman" w:cs="Times New Roman"/>
        </w:rPr>
        <w:t xml:space="preserve">, S., Lemus, M., </w:t>
      </w:r>
      <w:proofErr w:type="spellStart"/>
      <w:r>
        <w:rPr>
          <w:rFonts w:ascii="Times New Roman" w:eastAsia="Times New Roman" w:hAnsi="Times New Roman" w:cs="Times New Roman"/>
        </w:rPr>
        <w:t>Moguillansky</w:t>
      </w:r>
      <w:proofErr w:type="spellEnd"/>
      <w:r>
        <w:rPr>
          <w:rFonts w:ascii="Times New Roman" w:eastAsia="Times New Roman" w:hAnsi="Times New Roman" w:cs="Times New Roman"/>
        </w:rPr>
        <w:t xml:space="preserve">, M., y </w:t>
      </w:r>
      <w:proofErr w:type="spellStart"/>
      <w:r>
        <w:rPr>
          <w:rFonts w:ascii="Times New Roman" w:eastAsia="Times New Roman" w:hAnsi="Times New Roman" w:cs="Times New Roman"/>
        </w:rPr>
        <w:t>Welschinger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Lascano</w:t>
      </w:r>
      <w:proofErr w:type="spellEnd"/>
      <w:r>
        <w:rPr>
          <w:rFonts w:ascii="Times New Roman" w:eastAsia="Times New Roman" w:hAnsi="Times New Roman" w:cs="Times New Roman"/>
        </w:rPr>
        <w:t xml:space="preserve">, N. (2019). Desigualdades digitales y sociales: la apropiación de las TIC entre jóvenes de sectores populares en Argentina. </w:t>
      </w:r>
      <w:r w:rsidRPr="00E23A8D">
        <w:rPr>
          <w:rFonts w:ascii="Times New Roman" w:eastAsia="Times New Roman" w:hAnsi="Times New Roman" w:cs="Times New Roman"/>
          <w:i/>
          <w:iCs/>
        </w:rPr>
        <w:t>Comunicación y Sociedad, (</w:t>
      </w:r>
      <w:r>
        <w:rPr>
          <w:rFonts w:ascii="Times New Roman" w:eastAsia="Times New Roman" w:hAnsi="Times New Roman" w:cs="Times New Roman"/>
        </w:rPr>
        <w:t>35), 93-115.</w:t>
      </w:r>
      <w:r w:rsidR="00940295" w:rsidRPr="00940295">
        <w:t xml:space="preserve"> </w:t>
      </w:r>
      <w:hyperlink r:id="rId6" w:history="1">
        <w:r w:rsidR="00940295" w:rsidRPr="00782610">
          <w:rPr>
            <w:rStyle w:val="Hipervnculo"/>
          </w:rPr>
          <w:t>http://hdl.handle.net/11336/77552</w:t>
        </w:r>
      </w:hyperlink>
    </w:p>
    <w:p w14:paraId="79CA25D9" w14:textId="460CB70E" w:rsidR="006650DE" w:rsidRDefault="00E23A8D" w:rsidP="00E23A8D">
      <w:pPr>
        <w:spacing w:after="120"/>
        <w:jc w:val="both"/>
      </w:pPr>
      <w:proofErr w:type="spellStart"/>
      <w:r>
        <w:rPr>
          <w:rFonts w:ascii="Times New Roman" w:eastAsia="Times New Roman" w:hAnsi="Times New Roman" w:cs="Times New Roman"/>
        </w:rPr>
        <w:lastRenderedPageBreak/>
        <w:t>Chiroleu</w:t>
      </w:r>
      <w:proofErr w:type="spellEnd"/>
      <w:r>
        <w:rPr>
          <w:rFonts w:ascii="Times New Roman" w:eastAsia="Times New Roman" w:hAnsi="Times New Roman" w:cs="Times New Roman"/>
        </w:rPr>
        <w:t xml:space="preserve">, A. (2009). La inclusión en la educación superior como política pública: tres experiencias en América Latina. </w:t>
      </w:r>
      <w:r w:rsidRPr="00E23A8D">
        <w:rPr>
          <w:rFonts w:ascii="Times New Roman" w:eastAsia="Times New Roman" w:hAnsi="Times New Roman" w:cs="Times New Roman"/>
          <w:i/>
          <w:iCs/>
        </w:rPr>
        <w:t>Revista Iberoamericana de Educación</w:t>
      </w:r>
      <w:r>
        <w:rPr>
          <w:rFonts w:ascii="Times New Roman" w:eastAsia="Times New Roman" w:hAnsi="Times New Roman" w:cs="Times New Roman"/>
        </w:rPr>
        <w:t>, 48(5), 1-15.</w:t>
      </w:r>
      <w:r w:rsidR="00B10A0D">
        <w:rPr>
          <w:rFonts w:ascii="Times New Roman" w:eastAsia="Times New Roman" w:hAnsi="Times New Roman" w:cs="Times New Roman"/>
        </w:rPr>
        <w:t xml:space="preserve"> </w:t>
      </w:r>
      <w:hyperlink r:id="rId7" w:history="1">
        <w:r w:rsidR="006650DE" w:rsidRPr="00782610">
          <w:rPr>
            <w:rStyle w:val="Hipervnculo"/>
          </w:rPr>
          <w:t>https://rieoei.org/historico/deloslectores/2740Chiroleu.pdf</w:t>
        </w:r>
      </w:hyperlink>
    </w:p>
    <w:p w14:paraId="3275E95B" w14:textId="70D77843" w:rsidR="00E23A8D" w:rsidRDefault="00E23A8D" w:rsidP="00E23A8D">
      <w:pPr>
        <w:spacing w:after="120"/>
        <w:jc w:val="both"/>
      </w:pPr>
      <w:r>
        <w:rPr>
          <w:rFonts w:ascii="Times New Roman" w:eastAsia="Times New Roman" w:hAnsi="Times New Roman" w:cs="Times New Roman"/>
        </w:rPr>
        <w:t xml:space="preserve">Comisión para el Uso y la Aplicación de la Inteligencia Artificial [CUAIA]. (2024). Documento N.° 1: </w:t>
      </w:r>
      <w:r w:rsidRPr="00E23A8D">
        <w:rPr>
          <w:rFonts w:ascii="Times New Roman" w:eastAsia="Times New Roman" w:hAnsi="Times New Roman" w:cs="Times New Roman"/>
          <w:i/>
          <w:iCs/>
        </w:rPr>
        <w:t>Inteligencia Artificial en la Universidad Nacional de Avellaneda: Marco institucional para una inclusión crítica y democrática</w:t>
      </w:r>
      <w:r>
        <w:rPr>
          <w:rFonts w:ascii="Times New Roman" w:eastAsia="Times New Roman" w:hAnsi="Times New Roman" w:cs="Times New Roman"/>
        </w:rPr>
        <w:t>. UNDAV. Aprobado por Resolución C.S. N.° 242/2025.</w:t>
      </w:r>
      <w:r w:rsidR="006650DE">
        <w:rPr>
          <w:rFonts w:ascii="Times New Roman" w:eastAsia="Times New Roman" w:hAnsi="Times New Roman" w:cs="Times New Roman"/>
        </w:rPr>
        <w:t xml:space="preserve"> </w:t>
      </w:r>
    </w:p>
    <w:p w14:paraId="70861C33" w14:textId="77777777" w:rsidR="00E23A8D" w:rsidRDefault="00E23A8D" w:rsidP="00E23A8D">
      <w:pPr>
        <w:spacing w:after="120"/>
        <w:jc w:val="both"/>
      </w:pPr>
      <w:r>
        <w:rPr>
          <w:rFonts w:ascii="Times New Roman" w:eastAsia="Times New Roman" w:hAnsi="Times New Roman" w:cs="Times New Roman"/>
        </w:rPr>
        <w:t xml:space="preserve">Comisión para el Uso y la Aplicación de la Inteligencia Artificial [CUAIA]. (2025). Documento N.° 2: </w:t>
      </w:r>
      <w:r w:rsidRPr="00E23A8D">
        <w:rPr>
          <w:rFonts w:ascii="Times New Roman" w:eastAsia="Times New Roman" w:hAnsi="Times New Roman" w:cs="Times New Roman"/>
          <w:i/>
          <w:iCs/>
        </w:rPr>
        <w:t>Aspectos éticos y orientaciones para el uso responsable de la inteligencia artificial en espacios académicos.</w:t>
      </w:r>
      <w:r>
        <w:rPr>
          <w:rFonts w:ascii="Times New Roman" w:eastAsia="Times New Roman" w:hAnsi="Times New Roman" w:cs="Times New Roman"/>
        </w:rPr>
        <w:t xml:space="preserve"> UNDAV.</w:t>
      </w:r>
    </w:p>
    <w:p w14:paraId="63F4D00E" w14:textId="77777777" w:rsidR="00E23A8D" w:rsidRPr="00240E6A" w:rsidRDefault="00E23A8D" w:rsidP="00E23A8D">
      <w:pPr>
        <w:spacing w:after="120"/>
        <w:jc w:val="both"/>
        <w:rPr>
          <w:lang w:val="en-GB"/>
        </w:rPr>
      </w:pPr>
      <w:proofErr w:type="spellStart"/>
      <w:r>
        <w:rPr>
          <w:rFonts w:ascii="Times New Roman" w:eastAsia="Times New Roman" w:hAnsi="Times New Roman" w:cs="Times New Roman"/>
        </w:rPr>
        <w:t>Copertari</w:t>
      </w:r>
      <w:proofErr w:type="spellEnd"/>
      <w:r>
        <w:rPr>
          <w:rFonts w:ascii="Times New Roman" w:eastAsia="Times New Roman" w:hAnsi="Times New Roman" w:cs="Times New Roman"/>
        </w:rPr>
        <w:t xml:space="preserve">, S., y </w:t>
      </w:r>
      <w:proofErr w:type="spellStart"/>
      <w:r>
        <w:rPr>
          <w:rFonts w:ascii="Times New Roman" w:eastAsia="Times New Roman" w:hAnsi="Times New Roman" w:cs="Times New Roman"/>
        </w:rPr>
        <w:t>Sgreccia</w:t>
      </w:r>
      <w:proofErr w:type="spellEnd"/>
      <w:r>
        <w:rPr>
          <w:rFonts w:ascii="Times New Roman" w:eastAsia="Times New Roman" w:hAnsi="Times New Roman" w:cs="Times New Roman"/>
        </w:rPr>
        <w:t>, N.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xml:space="preserve">.). (2021). </w:t>
      </w:r>
      <w:r w:rsidRPr="00E23A8D">
        <w:rPr>
          <w:rFonts w:ascii="Times New Roman" w:eastAsia="Times New Roman" w:hAnsi="Times New Roman" w:cs="Times New Roman"/>
          <w:i/>
          <w:iCs/>
        </w:rPr>
        <w:t xml:space="preserve">Formación docente, TIC y virtualidad en educación superior. </w:t>
      </w:r>
      <w:r w:rsidRPr="00240E6A">
        <w:rPr>
          <w:rFonts w:ascii="Times New Roman" w:eastAsia="Times New Roman" w:hAnsi="Times New Roman" w:cs="Times New Roman"/>
          <w:lang w:val="en-GB"/>
        </w:rPr>
        <w:t>Laborde Editor.</w:t>
      </w:r>
    </w:p>
    <w:p w14:paraId="41DE88EB" w14:textId="77777777" w:rsidR="00E23A8D" w:rsidRPr="00240E6A" w:rsidRDefault="00E23A8D" w:rsidP="00E23A8D">
      <w:pPr>
        <w:spacing w:after="120"/>
        <w:jc w:val="both"/>
        <w:rPr>
          <w:lang w:val="en-GB"/>
        </w:rPr>
      </w:pPr>
      <w:r w:rsidRPr="00240E6A">
        <w:rPr>
          <w:rFonts w:ascii="Times New Roman" w:eastAsia="Times New Roman" w:hAnsi="Times New Roman" w:cs="Times New Roman"/>
          <w:lang w:val="en-GB"/>
        </w:rPr>
        <w:t xml:space="preserve">D'Ignazio, C., y Klein, L. F. (2020). </w:t>
      </w:r>
      <w:r w:rsidRPr="00E23A8D">
        <w:rPr>
          <w:rFonts w:ascii="Times New Roman" w:eastAsia="Times New Roman" w:hAnsi="Times New Roman" w:cs="Times New Roman"/>
          <w:i/>
          <w:iCs/>
          <w:lang w:val="en-GB"/>
        </w:rPr>
        <w:t xml:space="preserve">Data feminism. </w:t>
      </w:r>
      <w:r w:rsidRPr="00240E6A">
        <w:rPr>
          <w:rFonts w:ascii="Times New Roman" w:eastAsia="Times New Roman" w:hAnsi="Times New Roman" w:cs="Times New Roman"/>
          <w:lang w:val="en-GB"/>
        </w:rPr>
        <w:t>MIT Press. https://doi.org/10.7551/mitpress/11805.001.0001</w:t>
      </w:r>
    </w:p>
    <w:p w14:paraId="1137856D" w14:textId="77777777" w:rsidR="00E23A8D" w:rsidRDefault="00E23A8D" w:rsidP="00E23A8D">
      <w:pPr>
        <w:spacing w:after="120"/>
        <w:jc w:val="both"/>
      </w:pPr>
      <w:r>
        <w:rPr>
          <w:rFonts w:ascii="Times New Roman" w:eastAsia="Times New Roman" w:hAnsi="Times New Roman" w:cs="Times New Roman"/>
        </w:rPr>
        <w:t xml:space="preserve">de Sousa Santos, B. (2009). </w:t>
      </w:r>
      <w:r w:rsidRPr="00E23A8D">
        <w:rPr>
          <w:rFonts w:ascii="Times New Roman" w:eastAsia="Times New Roman" w:hAnsi="Times New Roman" w:cs="Times New Roman"/>
          <w:i/>
          <w:iCs/>
        </w:rPr>
        <w:t xml:space="preserve">Una epistemología del sur: la reinvención del conocimiento y la emancipación social. </w:t>
      </w:r>
      <w:r>
        <w:rPr>
          <w:rFonts w:ascii="Times New Roman" w:eastAsia="Times New Roman" w:hAnsi="Times New Roman" w:cs="Times New Roman"/>
        </w:rPr>
        <w:t>Siglo XXI / CLACSO.</w:t>
      </w:r>
    </w:p>
    <w:p w14:paraId="1A066936" w14:textId="77777777" w:rsidR="00E23A8D" w:rsidRDefault="00E23A8D" w:rsidP="00E23A8D">
      <w:pPr>
        <w:spacing w:after="120"/>
        <w:jc w:val="both"/>
      </w:pPr>
      <w:r>
        <w:rPr>
          <w:rFonts w:ascii="Times New Roman" w:eastAsia="Times New Roman" w:hAnsi="Times New Roman" w:cs="Times New Roman"/>
        </w:rPr>
        <w:t xml:space="preserve">Digital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Council [DEC]. (2026). </w:t>
      </w:r>
      <w:r w:rsidRPr="00E23A8D">
        <w:rPr>
          <w:rFonts w:ascii="Times New Roman" w:eastAsia="Times New Roman" w:hAnsi="Times New Roman" w:cs="Times New Roman"/>
          <w:i/>
          <w:iCs/>
        </w:rPr>
        <w:t>Encuesta sobre IA en la Educación Superior en América Latina 2026.</w:t>
      </w:r>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Council.</w:t>
      </w:r>
    </w:p>
    <w:p w14:paraId="02FF0274" w14:textId="77777777" w:rsidR="00E23A8D" w:rsidRPr="00240E6A" w:rsidRDefault="00E23A8D" w:rsidP="00E23A8D">
      <w:pPr>
        <w:spacing w:after="120"/>
        <w:jc w:val="both"/>
        <w:rPr>
          <w:lang w:val="en-GB"/>
        </w:rPr>
      </w:pP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I., y Quevedo, L. A. (2010). </w:t>
      </w:r>
      <w:r w:rsidRPr="00E23A8D">
        <w:rPr>
          <w:rFonts w:ascii="Times New Roman" w:eastAsia="Times New Roman" w:hAnsi="Times New Roman" w:cs="Times New Roman"/>
          <w:i/>
          <w:iCs/>
        </w:rPr>
        <w:t>Educación y nuevas tecnologías: los desafíos pedagógicos ante el mundo digital</w:t>
      </w:r>
      <w:r>
        <w:rPr>
          <w:rFonts w:ascii="Times New Roman" w:eastAsia="Times New Roman" w:hAnsi="Times New Roman" w:cs="Times New Roman"/>
        </w:rPr>
        <w:t xml:space="preserve">. </w:t>
      </w:r>
      <w:r w:rsidRPr="00240E6A">
        <w:rPr>
          <w:rFonts w:ascii="Times New Roman" w:eastAsia="Times New Roman" w:hAnsi="Times New Roman" w:cs="Times New Roman"/>
          <w:lang w:val="en-GB"/>
        </w:rPr>
        <w:t>Santillana.</w:t>
      </w:r>
    </w:p>
    <w:p w14:paraId="0C0DDAB6" w14:textId="77777777" w:rsidR="00E23A8D" w:rsidRPr="00240E6A" w:rsidRDefault="00E23A8D" w:rsidP="00E23A8D">
      <w:pPr>
        <w:spacing w:after="120"/>
        <w:jc w:val="both"/>
        <w:rPr>
          <w:lang w:val="en-GB"/>
        </w:rPr>
      </w:pPr>
      <w:r w:rsidRPr="00240E6A">
        <w:rPr>
          <w:rFonts w:ascii="Times New Roman" w:eastAsia="Times New Roman" w:hAnsi="Times New Roman" w:cs="Times New Roman"/>
          <w:lang w:val="en-GB"/>
        </w:rPr>
        <w:t xml:space="preserve">Escobar, A. (2018). </w:t>
      </w:r>
      <w:r w:rsidRPr="00E23A8D">
        <w:rPr>
          <w:rFonts w:ascii="Times New Roman" w:eastAsia="Times New Roman" w:hAnsi="Times New Roman" w:cs="Times New Roman"/>
          <w:i/>
          <w:iCs/>
          <w:lang w:val="en-GB"/>
        </w:rPr>
        <w:t>Designs for the pluriverse: Radical interdependence, autonomy, and the making of worlds</w:t>
      </w:r>
      <w:r w:rsidRPr="00240E6A">
        <w:rPr>
          <w:rFonts w:ascii="Times New Roman" w:eastAsia="Times New Roman" w:hAnsi="Times New Roman" w:cs="Times New Roman"/>
          <w:lang w:val="en-GB"/>
        </w:rPr>
        <w:t>. Duke University Press. https://doi.org/10.1215/9780822371816</w:t>
      </w:r>
    </w:p>
    <w:p w14:paraId="14A56D16" w14:textId="6C136FF0" w:rsidR="00CA631C" w:rsidRDefault="00E23A8D" w:rsidP="00E23A8D">
      <w:pPr>
        <w:spacing w:after="120"/>
        <w:jc w:val="both"/>
        <w:rPr>
          <w:rFonts w:ascii="Arial" w:eastAsia="Times New Roman" w:hAnsi="Arial" w:cs="Arial"/>
          <w:color w:val="212529"/>
          <w:shd w:val="clear" w:color="auto" w:fill="FFFFFF"/>
        </w:rPr>
      </w:pPr>
      <w:r w:rsidRPr="00240E6A">
        <w:rPr>
          <w:rFonts w:ascii="Times New Roman" w:eastAsia="Times New Roman" w:hAnsi="Times New Roman" w:cs="Times New Roman"/>
          <w:lang w:val="en-GB"/>
        </w:rPr>
        <w:t xml:space="preserve">Eubanks, V. (2018). </w:t>
      </w:r>
      <w:r w:rsidRPr="00D466BF">
        <w:rPr>
          <w:rFonts w:ascii="Times New Roman" w:eastAsia="Times New Roman" w:hAnsi="Times New Roman" w:cs="Times New Roman"/>
          <w:i/>
          <w:iCs/>
          <w:lang w:val="en-GB"/>
        </w:rPr>
        <w:t>Automating inequality: How high-tech tools profile, police, and punish the poor.</w:t>
      </w:r>
      <w:r w:rsidRPr="00240E6A">
        <w:rPr>
          <w:rFonts w:ascii="Times New Roman" w:eastAsia="Times New Roman" w:hAnsi="Times New Roman" w:cs="Times New Roman"/>
          <w:lang w:val="en-GB"/>
        </w:rPr>
        <w:t xml:space="preserve"> St. Martin's Press.</w:t>
      </w:r>
      <w:r w:rsidR="00CA631C">
        <w:rPr>
          <w:rFonts w:ascii="Times New Roman" w:eastAsia="Times New Roman" w:hAnsi="Times New Roman" w:cs="Times New Roman"/>
          <w:lang w:val="en-GB"/>
        </w:rPr>
        <w:t xml:space="preserve"> </w:t>
      </w:r>
      <w:hyperlink r:id="rId8" w:history="1">
        <w:r w:rsidR="00CA631C" w:rsidRPr="00782610">
          <w:rPr>
            <w:rStyle w:val="Hipervnculo"/>
            <w:rFonts w:ascii="Arial" w:eastAsia="Times New Roman" w:hAnsi="Arial" w:cs="Arial"/>
            <w:shd w:val="clear" w:color="auto" w:fill="FFFFFF"/>
          </w:rPr>
          <w:t>https://doi.org/10.5204/lthj.v1i0.1386</w:t>
        </w:r>
      </w:hyperlink>
    </w:p>
    <w:p w14:paraId="3C8B84BE" w14:textId="1C556F8E" w:rsidR="00E23A8D" w:rsidRPr="00240E6A" w:rsidRDefault="00E23A8D" w:rsidP="00E23A8D">
      <w:pPr>
        <w:spacing w:after="120"/>
        <w:jc w:val="both"/>
        <w:rPr>
          <w:lang w:val="en-GB"/>
        </w:rPr>
      </w:pPr>
      <w:r w:rsidRPr="00240E6A">
        <w:rPr>
          <w:rFonts w:ascii="Times New Roman" w:eastAsia="Times New Roman" w:hAnsi="Times New Roman" w:cs="Times New Roman"/>
          <w:lang w:val="en-GB"/>
        </w:rPr>
        <w:t xml:space="preserve">Feenberg, A. (2002). </w:t>
      </w:r>
      <w:r w:rsidRPr="00E23A8D">
        <w:rPr>
          <w:rFonts w:ascii="Times New Roman" w:eastAsia="Times New Roman" w:hAnsi="Times New Roman" w:cs="Times New Roman"/>
          <w:i/>
          <w:iCs/>
          <w:lang w:val="en-GB"/>
        </w:rPr>
        <w:t>Transforming technology: A critical theory revisited</w:t>
      </w:r>
      <w:r w:rsidRPr="00240E6A">
        <w:rPr>
          <w:rFonts w:ascii="Times New Roman" w:eastAsia="Times New Roman" w:hAnsi="Times New Roman" w:cs="Times New Roman"/>
          <w:lang w:val="en-GB"/>
        </w:rPr>
        <w:t>. Oxford University Press.</w:t>
      </w:r>
    </w:p>
    <w:p w14:paraId="4F703402" w14:textId="77777777" w:rsidR="00E23A8D" w:rsidRDefault="00E23A8D" w:rsidP="00E23A8D">
      <w:pPr>
        <w:spacing w:after="120"/>
        <w:jc w:val="both"/>
      </w:pPr>
      <w:r w:rsidRPr="00240E6A">
        <w:rPr>
          <w:rFonts w:ascii="Times New Roman" w:eastAsia="Times New Roman" w:hAnsi="Times New Roman" w:cs="Times New Roman"/>
          <w:lang w:val="en-GB"/>
        </w:rPr>
        <w:t xml:space="preserve">Feenberg, A. (2017). A critical theory of technology. En U. Felt, R. Fouché, C. A. Miller, y L. Smith-Doerr (Eds.), </w:t>
      </w:r>
      <w:r w:rsidRPr="00E23A8D">
        <w:rPr>
          <w:rFonts w:ascii="Times New Roman" w:eastAsia="Times New Roman" w:hAnsi="Times New Roman" w:cs="Times New Roman"/>
          <w:i/>
          <w:iCs/>
          <w:lang w:val="en-GB"/>
        </w:rPr>
        <w:t>The handbook of science and technology studies</w:t>
      </w:r>
      <w:r w:rsidRPr="00240E6A">
        <w:rPr>
          <w:rFonts w:ascii="Times New Roman" w:eastAsia="Times New Roman" w:hAnsi="Times New Roman" w:cs="Times New Roman"/>
          <w:lang w:val="en-GB"/>
        </w:rPr>
        <w:t xml:space="preserve"> (4.ª ed., pp. 635-663). </w:t>
      </w:r>
      <w:r>
        <w:rPr>
          <w:rFonts w:ascii="Times New Roman" w:eastAsia="Times New Roman" w:hAnsi="Times New Roman" w:cs="Times New Roman"/>
        </w:rPr>
        <w:t xml:space="preserve">MIT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w:t>
      </w:r>
    </w:p>
    <w:p w14:paraId="1E881283" w14:textId="77777777" w:rsidR="00E23A8D" w:rsidRDefault="00E23A8D" w:rsidP="00E23A8D">
      <w:pPr>
        <w:spacing w:after="120"/>
        <w:jc w:val="both"/>
      </w:pPr>
      <w:r>
        <w:rPr>
          <w:rFonts w:ascii="Times New Roman" w:eastAsia="Times New Roman" w:hAnsi="Times New Roman" w:cs="Times New Roman"/>
        </w:rPr>
        <w:t xml:space="preserve">Freire, P. (1970). </w:t>
      </w:r>
      <w:r w:rsidRPr="00E23A8D">
        <w:rPr>
          <w:rFonts w:ascii="Times New Roman" w:eastAsia="Times New Roman" w:hAnsi="Times New Roman" w:cs="Times New Roman"/>
          <w:i/>
          <w:iCs/>
        </w:rPr>
        <w:t>Pedagogía del oprimido</w:t>
      </w:r>
      <w:r>
        <w:rPr>
          <w:rFonts w:ascii="Times New Roman" w:eastAsia="Times New Roman" w:hAnsi="Times New Roman" w:cs="Times New Roman"/>
        </w:rPr>
        <w:t>. Tierra Nueva.</w:t>
      </w:r>
    </w:p>
    <w:p w14:paraId="653AE0A3" w14:textId="77777777" w:rsidR="00E23A8D" w:rsidRPr="00240E6A" w:rsidRDefault="00E23A8D" w:rsidP="00E23A8D">
      <w:pPr>
        <w:spacing w:after="120"/>
        <w:jc w:val="both"/>
        <w:rPr>
          <w:lang w:val="en-GB"/>
        </w:rPr>
      </w:pPr>
      <w:proofErr w:type="spellStart"/>
      <w:r>
        <w:rPr>
          <w:rFonts w:ascii="Times New Roman" w:eastAsia="Times New Roman" w:hAnsi="Times New Roman" w:cs="Times New Roman"/>
        </w:rPr>
        <w:t>Fung</w:t>
      </w:r>
      <w:proofErr w:type="spellEnd"/>
      <w:r>
        <w:rPr>
          <w:rFonts w:ascii="Times New Roman" w:eastAsia="Times New Roman" w:hAnsi="Times New Roman" w:cs="Times New Roman"/>
        </w:rPr>
        <w:t xml:space="preserve">, A. (2006). </w:t>
      </w:r>
      <w:r w:rsidRPr="00240E6A">
        <w:rPr>
          <w:rFonts w:ascii="Times New Roman" w:eastAsia="Times New Roman" w:hAnsi="Times New Roman" w:cs="Times New Roman"/>
          <w:lang w:val="en-GB"/>
        </w:rPr>
        <w:t xml:space="preserve">Varieties of participation in complex governance. </w:t>
      </w:r>
      <w:r w:rsidRPr="00E23A8D">
        <w:rPr>
          <w:rFonts w:ascii="Times New Roman" w:eastAsia="Times New Roman" w:hAnsi="Times New Roman" w:cs="Times New Roman"/>
          <w:i/>
          <w:iCs/>
          <w:lang w:val="en-GB"/>
        </w:rPr>
        <w:t xml:space="preserve">Public Administration Review, 66(S1), </w:t>
      </w:r>
      <w:r w:rsidRPr="00240E6A">
        <w:rPr>
          <w:rFonts w:ascii="Times New Roman" w:eastAsia="Times New Roman" w:hAnsi="Times New Roman" w:cs="Times New Roman"/>
          <w:lang w:val="en-GB"/>
        </w:rPr>
        <w:t>66-75. https://doi.org/10.1111/j.1540-6210.2006.00667.x</w:t>
      </w:r>
    </w:p>
    <w:p w14:paraId="1EC8BE22" w14:textId="77777777" w:rsidR="00E23A8D" w:rsidRDefault="00E23A8D" w:rsidP="00E23A8D">
      <w:pPr>
        <w:spacing w:after="120"/>
        <w:jc w:val="both"/>
      </w:pPr>
      <w:r w:rsidRPr="00E23A8D">
        <w:rPr>
          <w:rFonts w:ascii="Times New Roman" w:eastAsia="Times New Roman" w:hAnsi="Times New Roman" w:cs="Times New Roman"/>
          <w:lang w:val="es-ES"/>
        </w:rPr>
        <w:lastRenderedPageBreak/>
        <w:t xml:space="preserve">García, P. D. (2023). </w:t>
      </w:r>
      <w:r>
        <w:rPr>
          <w:rFonts w:ascii="Times New Roman" w:eastAsia="Times New Roman" w:hAnsi="Times New Roman" w:cs="Times New Roman"/>
        </w:rPr>
        <w:t>Nuevos ingresantes a las universidades del Conurbano Bonaerense: características y tendencias para pensar los inicios en la universidad</w:t>
      </w:r>
      <w:r w:rsidRPr="00E23A8D">
        <w:rPr>
          <w:rFonts w:ascii="Times New Roman" w:eastAsia="Times New Roman" w:hAnsi="Times New Roman" w:cs="Times New Roman"/>
          <w:i/>
          <w:iCs/>
        </w:rPr>
        <w:t>. Revista Confluencia de Saberes,</w:t>
      </w:r>
      <w:r>
        <w:rPr>
          <w:rFonts w:ascii="Times New Roman" w:eastAsia="Times New Roman" w:hAnsi="Times New Roman" w:cs="Times New Roman"/>
        </w:rPr>
        <w:t xml:space="preserve"> 7, 6-30.</w:t>
      </w:r>
    </w:p>
    <w:p w14:paraId="1632EDEE" w14:textId="77777777" w:rsidR="00E23A8D" w:rsidRDefault="00E23A8D" w:rsidP="00E23A8D">
      <w:pPr>
        <w:spacing w:after="120"/>
        <w:jc w:val="both"/>
      </w:pPr>
      <w:proofErr w:type="spellStart"/>
      <w:r>
        <w:rPr>
          <w:rFonts w:ascii="Times New Roman" w:eastAsia="Times New Roman" w:hAnsi="Times New Roman" w:cs="Times New Roman"/>
        </w:rPr>
        <w:t>Garatte</w:t>
      </w:r>
      <w:proofErr w:type="spellEnd"/>
      <w:r>
        <w:rPr>
          <w:rFonts w:ascii="Times New Roman" w:eastAsia="Times New Roman" w:hAnsi="Times New Roman" w:cs="Times New Roman"/>
        </w:rPr>
        <w:t xml:space="preserve">, M. L. (2023). Trayectorias y experiencias de formación de docentes que enseñan pedagogía en Ciencias de la Educación en la Universidad Nacional de La Plata. </w:t>
      </w:r>
      <w:r w:rsidRPr="00E23A8D">
        <w:rPr>
          <w:rFonts w:ascii="Times New Roman" w:eastAsia="Times New Roman" w:hAnsi="Times New Roman" w:cs="Times New Roman"/>
          <w:i/>
          <w:iCs/>
        </w:rPr>
        <w:t>Revista de la Escuela de Ciencias de la Educación,</w:t>
      </w:r>
      <w:r>
        <w:rPr>
          <w:rFonts w:ascii="Times New Roman" w:eastAsia="Times New Roman" w:hAnsi="Times New Roman" w:cs="Times New Roman"/>
        </w:rPr>
        <w:t xml:space="preserve"> 2(18), 48-65.</w:t>
      </w:r>
    </w:p>
    <w:p w14:paraId="3ADE7331" w14:textId="77777777" w:rsidR="00E23A8D" w:rsidRDefault="00E23A8D" w:rsidP="00E23A8D">
      <w:pPr>
        <w:spacing w:after="120"/>
        <w:jc w:val="both"/>
      </w:pPr>
      <w:proofErr w:type="spellStart"/>
      <w:r>
        <w:rPr>
          <w:rFonts w:ascii="Times New Roman" w:eastAsia="Times New Roman" w:hAnsi="Times New Roman" w:cs="Times New Roman"/>
        </w:rPr>
        <w:t>Giroux</w:t>
      </w:r>
      <w:proofErr w:type="spellEnd"/>
      <w:r>
        <w:rPr>
          <w:rFonts w:ascii="Times New Roman" w:eastAsia="Times New Roman" w:hAnsi="Times New Roman" w:cs="Times New Roman"/>
        </w:rPr>
        <w:t xml:space="preserve">, H. A. (2003). </w:t>
      </w:r>
      <w:r w:rsidRPr="00E23A8D">
        <w:rPr>
          <w:rFonts w:ascii="Times New Roman" w:eastAsia="Times New Roman" w:hAnsi="Times New Roman" w:cs="Times New Roman"/>
          <w:i/>
          <w:iCs/>
          <w:lang w:val="en-GB"/>
        </w:rPr>
        <w:t>The abandoned generation: Democracy beyond the culture of fear.</w:t>
      </w:r>
      <w:r w:rsidRPr="00240E6A">
        <w:rPr>
          <w:rFonts w:ascii="Times New Roman" w:eastAsia="Times New Roman" w:hAnsi="Times New Roman" w:cs="Times New Roman"/>
          <w:lang w:val="en-GB"/>
        </w:rPr>
        <w:t xml:space="preserve"> </w:t>
      </w:r>
      <w:proofErr w:type="spellStart"/>
      <w:r>
        <w:rPr>
          <w:rFonts w:ascii="Times New Roman" w:eastAsia="Times New Roman" w:hAnsi="Times New Roman" w:cs="Times New Roman"/>
        </w:rPr>
        <w:t>Palgrave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Macmillan</w:t>
      </w:r>
      <w:proofErr w:type="spellEnd"/>
      <w:r>
        <w:rPr>
          <w:rFonts w:ascii="Times New Roman" w:eastAsia="Times New Roman" w:hAnsi="Times New Roman" w:cs="Times New Roman"/>
        </w:rPr>
        <w:t>.</w:t>
      </w:r>
    </w:p>
    <w:p w14:paraId="02F5ED54" w14:textId="77777777" w:rsidR="00E23A8D" w:rsidRDefault="00E23A8D" w:rsidP="00E23A8D">
      <w:pPr>
        <w:spacing w:after="120"/>
        <w:jc w:val="both"/>
      </w:pPr>
      <w:proofErr w:type="spellStart"/>
      <w:r>
        <w:rPr>
          <w:rFonts w:ascii="Times New Roman" w:eastAsia="Times New Roman" w:hAnsi="Times New Roman" w:cs="Times New Roman"/>
        </w:rPr>
        <w:t>Maggio</w:t>
      </w:r>
      <w:proofErr w:type="spellEnd"/>
      <w:r>
        <w:rPr>
          <w:rFonts w:ascii="Times New Roman" w:eastAsia="Times New Roman" w:hAnsi="Times New Roman" w:cs="Times New Roman"/>
        </w:rPr>
        <w:t xml:space="preserve">, M. (2012). </w:t>
      </w:r>
      <w:r w:rsidRPr="00E23A8D">
        <w:rPr>
          <w:rFonts w:ascii="Times New Roman" w:eastAsia="Times New Roman" w:hAnsi="Times New Roman" w:cs="Times New Roman"/>
          <w:i/>
          <w:iCs/>
        </w:rPr>
        <w:t>Enriquecer la enseñanza: los ambientes con alta disposición tecnológica como oportunidad</w:t>
      </w:r>
      <w:r>
        <w:rPr>
          <w:rFonts w:ascii="Times New Roman" w:eastAsia="Times New Roman" w:hAnsi="Times New Roman" w:cs="Times New Roman"/>
        </w:rPr>
        <w:t>. Paidós.</w:t>
      </w:r>
    </w:p>
    <w:p w14:paraId="2F9E70C8" w14:textId="77777777" w:rsidR="00E23A8D" w:rsidRDefault="00E23A8D" w:rsidP="00E23A8D">
      <w:pPr>
        <w:spacing w:after="120"/>
        <w:jc w:val="both"/>
      </w:pPr>
      <w:proofErr w:type="spellStart"/>
      <w:r>
        <w:rPr>
          <w:rFonts w:ascii="Times New Roman" w:eastAsia="Times New Roman" w:hAnsi="Times New Roman" w:cs="Times New Roman"/>
        </w:rPr>
        <w:t>Maggio</w:t>
      </w:r>
      <w:proofErr w:type="spellEnd"/>
      <w:r>
        <w:rPr>
          <w:rFonts w:ascii="Times New Roman" w:eastAsia="Times New Roman" w:hAnsi="Times New Roman" w:cs="Times New Roman"/>
        </w:rPr>
        <w:t xml:space="preserve">, M. (2021). </w:t>
      </w:r>
      <w:r w:rsidRPr="00E23A8D">
        <w:rPr>
          <w:rFonts w:ascii="Times New Roman" w:eastAsia="Times New Roman" w:hAnsi="Times New Roman" w:cs="Times New Roman"/>
          <w:i/>
          <w:iCs/>
        </w:rPr>
        <w:t xml:space="preserve">Educación en pandemia: crisis como oportunidad de innovación educativa. </w:t>
      </w:r>
      <w:r>
        <w:rPr>
          <w:rFonts w:ascii="Times New Roman" w:eastAsia="Times New Roman" w:hAnsi="Times New Roman" w:cs="Times New Roman"/>
        </w:rPr>
        <w:t>Paidós.</w:t>
      </w:r>
    </w:p>
    <w:p w14:paraId="6C596426" w14:textId="77777777" w:rsidR="00E23A8D" w:rsidRDefault="00E23A8D" w:rsidP="00E23A8D">
      <w:pPr>
        <w:spacing w:after="120"/>
        <w:jc w:val="both"/>
      </w:pPr>
      <w:r>
        <w:rPr>
          <w:rFonts w:ascii="Times New Roman" w:eastAsia="Times New Roman" w:hAnsi="Times New Roman" w:cs="Times New Roman"/>
        </w:rPr>
        <w:t>Martín-Barbero, J. (2003). De los medios a las mediaciones: comunicación, cultura y hegemonía. Convenio Andrés Bello.</w:t>
      </w:r>
    </w:p>
    <w:p w14:paraId="3C63FF30" w14:textId="77777777" w:rsidR="00E23A8D" w:rsidRPr="00240E6A" w:rsidRDefault="00E23A8D" w:rsidP="00E23A8D">
      <w:pPr>
        <w:spacing w:after="120"/>
        <w:jc w:val="both"/>
        <w:rPr>
          <w:lang w:val="en-GB"/>
        </w:rPr>
      </w:pPr>
      <w:r>
        <w:rPr>
          <w:rFonts w:ascii="Times New Roman" w:eastAsia="Times New Roman" w:hAnsi="Times New Roman" w:cs="Times New Roman"/>
        </w:rPr>
        <w:t xml:space="preserve">Mohamed, S., </w:t>
      </w:r>
      <w:proofErr w:type="spellStart"/>
      <w:r>
        <w:rPr>
          <w:rFonts w:ascii="Times New Roman" w:eastAsia="Times New Roman" w:hAnsi="Times New Roman" w:cs="Times New Roman"/>
        </w:rPr>
        <w:t>Png</w:t>
      </w:r>
      <w:proofErr w:type="spellEnd"/>
      <w:r>
        <w:rPr>
          <w:rFonts w:ascii="Times New Roman" w:eastAsia="Times New Roman" w:hAnsi="Times New Roman" w:cs="Times New Roman"/>
        </w:rPr>
        <w:t xml:space="preserve">, M. T., y Isaac, W. (2020). </w:t>
      </w:r>
      <w:r w:rsidRPr="00240E6A">
        <w:rPr>
          <w:rFonts w:ascii="Times New Roman" w:eastAsia="Times New Roman" w:hAnsi="Times New Roman" w:cs="Times New Roman"/>
          <w:lang w:val="en-GB"/>
        </w:rPr>
        <w:t xml:space="preserve">Decolonial AI: Decolonial theory as sociotechnical foresight in artificial intelligence. </w:t>
      </w:r>
      <w:r w:rsidRPr="00E23A8D">
        <w:rPr>
          <w:rFonts w:ascii="Times New Roman" w:eastAsia="Times New Roman" w:hAnsi="Times New Roman" w:cs="Times New Roman"/>
          <w:i/>
          <w:iCs/>
          <w:lang w:val="en-GB"/>
        </w:rPr>
        <w:t xml:space="preserve">Philosophy &amp; Technology, </w:t>
      </w:r>
      <w:r w:rsidRPr="00240E6A">
        <w:rPr>
          <w:rFonts w:ascii="Times New Roman" w:eastAsia="Times New Roman" w:hAnsi="Times New Roman" w:cs="Times New Roman"/>
          <w:lang w:val="en-GB"/>
        </w:rPr>
        <w:t>33, 659-684. https://doi.org/10.1007/s13347-020-00405-8</w:t>
      </w:r>
    </w:p>
    <w:p w14:paraId="6341B82A" w14:textId="77777777" w:rsidR="00E23A8D" w:rsidRPr="00240E6A" w:rsidRDefault="00E23A8D" w:rsidP="00E23A8D">
      <w:pPr>
        <w:spacing w:after="120"/>
        <w:jc w:val="both"/>
        <w:rPr>
          <w:lang w:val="en-GB"/>
        </w:rPr>
      </w:pPr>
      <w:r w:rsidRPr="00240E6A">
        <w:rPr>
          <w:rFonts w:ascii="Times New Roman" w:eastAsia="Times New Roman" w:hAnsi="Times New Roman" w:cs="Times New Roman"/>
          <w:lang w:val="en-GB"/>
        </w:rPr>
        <w:t xml:space="preserve">Noble, S. U. (2018). </w:t>
      </w:r>
      <w:r w:rsidRPr="00E23A8D">
        <w:rPr>
          <w:rFonts w:ascii="Times New Roman" w:eastAsia="Times New Roman" w:hAnsi="Times New Roman" w:cs="Times New Roman"/>
          <w:i/>
          <w:iCs/>
          <w:lang w:val="en-GB"/>
        </w:rPr>
        <w:t>Algorithms of oppression: How search engines reinforce racism.</w:t>
      </w:r>
      <w:r w:rsidRPr="00240E6A">
        <w:rPr>
          <w:rFonts w:ascii="Times New Roman" w:eastAsia="Times New Roman" w:hAnsi="Times New Roman" w:cs="Times New Roman"/>
          <w:lang w:val="en-GB"/>
        </w:rPr>
        <w:t xml:space="preserve"> NYU Press.</w:t>
      </w:r>
    </w:p>
    <w:p w14:paraId="6B431A64" w14:textId="77777777" w:rsidR="00E23A8D" w:rsidRPr="00240E6A" w:rsidRDefault="00E23A8D" w:rsidP="00E23A8D">
      <w:pPr>
        <w:spacing w:after="120"/>
        <w:jc w:val="both"/>
        <w:rPr>
          <w:lang w:val="en-GB"/>
        </w:rPr>
      </w:pPr>
      <w:r w:rsidRPr="00240E6A">
        <w:rPr>
          <w:rFonts w:ascii="Times New Roman" w:eastAsia="Times New Roman" w:hAnsi="Times New Roman" w:cs="Times New Roman"/>
          <w:lang w:val="en-GB"/>
        </w:rPr>
        <w:t xml:space="preserve">Pateman, C. (1970). </w:t>
      </w:r>
      <w:r w:rsidRPr="00E23A8D">
        <w:rPr>
          <w:rFonts w:ascii="Times New Roman" w:eastAsia="Times New Roman" w:hAnsi="Times New Roman" w:cs="Times New Roman"/>
          <w:i/>
          <w:iCs/>
          <w:lang w:val="en-GB"/>
        </w:rPr>
        <w:t>Participation and democratic theory</w:t>
      </w:r>
      <w:r w:rsidRPr="00240E6A">
        <w:rPr>
          <w:rFonts w:ascii="Times New Roman" w:eastAsia="Times New Roman" w:hAnsi="Times New Roman" w:cs="Times New Roman"/>
          <w:lang w:val="en-GB"/>
        </w:rPr>
        <w:t>. Cambridge University Press.</w:t>
      </w:r>
    </w:p>
    <w:p w14:paraId="08586731" w14:textId="77777777" w:rsidR="00E23A8D" w:rsidRDefault="00E23A8D" w:rsidP="00E23A8D">
      <w:pPr>
        <w:spacing w:after="120"/>
        <w:jc w:val="both"/>
      </w:pPr>
      <w:r>
        <w:rPr>
          <w:rFonts w:ascii="Times New Roman" w:eastAsia="Times New Roman" w:hAnsi="Times New Roman" w:cs="Times New Roman"/>
        </w:rPr>
        <w:t>Pérez-</w:t>
      </w:r>
      <w:proofErr w:type="spellStart"/>
      <w:r>
        <w:rPr>
          <w:rFonts w:ascii="Times New Roman" w:eastAsia="Times New Roman" w:hAnsi="Times New Roman" w:cs="Times New Roman"/>
        </w:rPr>
        <w:t>Rasetti</w:t>
      </w:r>
      <w:proofErr w:type="spellEnd"/>
      <w:r>
        <w:rPr>
          <w:rFonts w:ascii="Times New Roman" w:eastAsia="Times New Roman" w:hAnsi="Times New Roman" w:cs="Times New Roman"/>
        </w:rPr>
        <w:t>, C. (2012). Las nuevas universidades: una política de inclusión. Debate Universitario, 1(1), 27-51.</w:t>
      </w:r>
    </w:p>
    <w:p w14:paraId="427B75D4" w14:textId="77777777" w:rsidR="00E23A8D" w:rsidRDefault="00E23A8D" w:rsidP="00E23A8D">
      <w:pPr>
        <w:spacing w:after="120"/>
        <w:jc w:val="both"/>
      </w:pPr>
      <w:proofErr w:type="spellStart"/>
      <w:r>
        <w:rPr>
          <w:rFonts w:ascii="Times New Roman" w:eastAsia="Times New Roman" w:hAnsi="Times New Roman" w:cs="Times New Roman"/>
        </w:rPr>
        <w:t>Scolari</w:t>
      </w:r>
      <w:proofErr w:type="spellEnd"/>
      <w:r>
        <w:rPr>
          <w:rFonts w:ascii="Times New Roman" w:eastAsia="Times New Roman" w:hAnsi="Times New Roman" w:cs="Times New Roman"/>
        </w:rPr>
        <w:t xml:space="preserve">, C. A. (2008). </w:t>
      </w:r>
      <w:proofErr w:type="spellStart"/>
      <w:r w:rsidRPr="00E23A8D">
        <w:rPr>
          <w:rFonts w:ascii="Times New Roman" w:eastAsia="Times New Roman" w:hAnsi="Times New Roman" w:cs="Times New Roman"/>
          <w:i/>
          <w:iCs/>
        </w:rPr>
        <w:t>Hipermediaciones</w:t>
      </w:r>
      <w:proofErr w:type="spellEnd"/>
      <w:r w:rsidRPr="00E23A8D">
        <w:rPr>
          <w:rFonts w:ascii="Times New Roman" w:eastAsia="Times New Roman" w:hAnsi="Times New Roman" w:cs="Times New Roman"/>
          <w:i/>
          <w:iCs/>
        </w:rPr>
        <w:t>: Elementos para una teoría de la comunicación digital interactiva</w:t>
      </w:r>
      <w:r>
        <w:rPr>
          <w:rFonts w:ascii="Times New Roman" w:eastAsia="Times New Roman" w:hAnsi="Times New Roman" w:cs="Times New Roman"/>
        </w:rPr>
        <w:t xml:space="preserve">. </w:t>
      </w:r>
      <w:proofErr w:type="spellStart"/>
      <w:r>
        <w:rPr>
          <w:rFonts w:ascii="Times New Roman" w:eastAsia="Times New Roman" w:hAnsi="Times New Roman" w:cs="Times New Roman"/>
        </w:rPr>
        <w:t>Gedisa</w:t>
      </w:r>
      <w:proofErr w:type="spellEnd"/>
      <w:r>
        <w:rPr>
          <w:rFonts w:ascii="Times New Roman" w:eastAsia="Times New Roman" w:hAnsi="Times New Roman" w:cs="Times New Roman"/>
        </w:rPr>
        <w:t>.</w:t>
      </w:r>
    </w:p>
    <w:p w14:paraId="1564143E" w14:textId="77777777" w:rsidR="00E23A8D" w:rsidRDefault="00E23A8D" w:rsidP="00E23A8D">
      <w:pPr>
        <w:spacing w:after="120"/>
        <w:jc w:val="both"/>
      </w:pPr>
      <w:proofErr w:type="spellStart"/>
      <w:r>
        <w:rPr>
          <w:rFonts w:ascii="Times New Roman" w:eastAsia="Times New Roman" w:hAnsi="Times New Roman" w:cs="Times New Roman"/>
        </w:rPr>
        <w:t>Scolari</w:t>
      </w:r>
      <w:proofErr w:type="spellEnd"/>
      <w:r>
        <w:rPr>
          <w:rFonts w:ascii="Times New Roman" w:eastAsia="Times New Roman" w:hAnsi="Times New Roman" w:cs="Times New Roman"/>
        </w:rPr>
        <w:t xml:space="preserve">, C. A. (2015). </w:t>
      </w:r>
      <w:r w:rsidRPr="00E23A8D">
        <w:rPr>
          <w:rFonts w:ascii="Times New Roman" w:eastAsia="Times New Roman" w:hAnsi="Times New Roman" w:cs="Times New Roman"/>
          <w:i/>
          <w:iCs/>
        </w:rPr>
        <w:t>Ecología de los medios: entornos, evoluciones e interpretaciones</w:t>
      </w:r>
      <w:r>
        <w:rPr>
          <w:rFonts w:ascii="Times New Roman" w:eastAsia="Times New Roman" w:hAnsi="Times New Roman" w:cs="Times New Roman"/>
        </w:rPr>
        <w:t xml:space="preserve">. </w:t>
      </w:r>
      <w:proofErr w:type="spellStart"/>
      <w:r>
        <w:rPr>
          <w:rFonts w:ascii="Times New Roman" w:eastAsia="Times New Roman" w:hAnsi="Times New Roman" w:cs="Times New Roman"/>
        </w:rPr>
        <w:t>Gedisa</w:t>
      </w:r>
      <w:proofErr w:type="spellEnd"/>
      <w:r>
        <w:rPr>
          <w:rFonts w:ascii="Times New Roman" w:eastAsia="Times New Roman" w:hAnsi="Times New Roman" w:cs="Times New Roman"/>
        </w:rPr>
        <w:t>.</w:t>
      </w:r>
    </w:p>
    <w:p w14:paraId="3B695A47" w14:textId="77777777" w:rsidR="00E23A8D" w:rsidRDefault="00E23A8D" w:rsidP="00E23A8D">
      <w:pPr>
        <w:spacing w:after="120"/>
        <w:jc w:val="both"/>
      </w:pPr>
      <w:r>
        <w:rPr>
          <w:rFonts w:ascii="Times New Roman" w:eastAsia="Times New Roman" w:hAnsi="Times New Roman" w:cs="Times New Roman"/>
        </w:rPr>
        <w:t xml:space="preserve">UNESCO. (2021). </w:t>
      </w:r>
      <w:r w:rsidRPr="00E23A8D">
        <w:rPr>
          <w:rFonts w:ascii="Times New Roman" w:eastAsia="Times New Roman" w:hAnsi="Times New Roman" w:cs="Times New Roman"/>
          <w:i/>
          <w:iCs/>
        </w:rPr>
        <w:t>Recomendación sobre la ética de la inteligencia artificial</w:t>
      </w:r>
      <w:r>
        <w:rPr>
          <w:rFonts w:ascii="Times New Roman" w:eastAsia="Times New Roman" w:hAnsi="Times New Roman" w:cs="Times New Roman"/>
        </w:rPr>
        <w:t>. UNESCO.</w:t>
      </w:r>
    </w:p>
    <w:p w14:paraId="53B921C5" w14:textId="77777777" w:rsidR="00E23A8D" w:rsidRDefault="00E23A8D" w:rsidP="00E23A8D">
      <w:pPr>
        <w:spacing w:after="120"/>
        <w:jc w:val="both"/>
      </w:pPr>
      <w:r>
        <w:rPr>
          <w:rFonts w:ascii="Times New Roman" w:eastAsia="Times New Roman" w:hAnsi="Times New Roman" w:cs="Times New Roman"/>
        </w:rPr>
        <w:t xml:space="preserve">Universidad Nacional de Avellaneda [UNDAV]. (2024). Resolución R. N.° 670/2024: </w:t>
      </w:r>
      <w:r w:rsidRPr="00E23A8D">
        <w:rPr>
          <w:rFonts w:ascii="Times New Roman" w:eastAsia="Times New Roman" w:hAnsi="Times New Roman" w:cs="Times New Roman"/>
          <w:i/>
          <w:iCs/>
        </w:rPr>
        <w:t>Creación de la Comisión para el Uso y la Aplicación de la Inteligencia Artificial</w:t>
      </w:r>
      <w:r>
        <w:rPr>
          <w:rFonts w:ascii="Times New Roman" w:eastAsia="Times New Roman" w:hAnsi="Times New Roman" w:cs="Times New Roman"/>
        </w:rPr>
        <w:t xml:space="preserve"> (CUAIA). UNDAV.</w:t>
      </w:r>
    </w:p>
    <w:p w14:paraId="00516374" w14:textId="77777777" w:rsidR="00E23A8D" w:rsidRPr="00240E6A" w:rsidRDefault="00E23A8D" w:rsidP="00E23A8D">
      <w:pPr>
        <w:spacing w:after="120"/>
        <w:jc w:val="both"/>
        <w:rPr>
          <w:lang w:val="en-GB"/>
        </w:rPr>
      </w:pPr>
      <w:r>
        <w:rPr>
          <w:rFonts w:ascii="Times New Roman" w:eastAsia="Times New Roman" w:hAnsi="Times New Roman" w:cs="Times New Roman"/>
        </w:rPr>
        <w:t xml:space="preserve">Universidad Nacional de Avellaneda [UNDAV]. (2025). Resolución C.S. N.° 147/2025: </w:t>
      </w:r>
      <w:r w:rsidRPr="00E23A8D">
        <w:rPr>
          <w:rFonts w:ascii="Times New Roman" w:eastAsia="Times New Roman" w:hAnsi="Times New Roman" w:cs="Times New Roman"/>
          <w:i/>
          <w:iCs/>
        </w:rPr>
        <w:t xml:space="preserve">Diplomatura Superior en Estrategias para la Transformación Digital mediada por Inteligencia Artificial. </w:t>
      </w:r>
      <w:r w:rsidRPr="00E23A8D">
        <w:rPr>
          <w:rFonts w:ascii="Times New Roman" w:eastAsia="Times New Roman" w:hAnsi="Times New Roman" w:cs="Times New Roman"/>
          <w:i/>
          <w:iCs/>
          <w:lang w:val="en-GB"/>
        </w:rPr>
        <w:t>UNDAV</w:t>
      </w:r>
      <w:r w:rsidRPr="00240E6A">
        <w:rPr>
          <w:rFonts w:ascii="Times New Roman" w:eastAsia="Times New Roman" w:hAnsi="Times New Roman" w:cs="Times New Roman"/>
          <w:lang w:val="en-GB"/>
        </w:rPr>
        <w:t>.</w:t>
      </w:r>
    </w:p>
    <w:p w14:paraId="4D61074C" w14:textId="77777777" w:rsidR="00E23A8D" w:rsidRPr="00E23A8D" w:rsidRDefault="00E23A8D" w:rsidP="00E23A8D">
      <w:pPr>
        <w:spacing w:after="120"/>
        <w:jc w:val="both"/>
        <w:rPr>
          <w:i/>
          <w:iCs/>
          <w:lang w:val="en-GB"/>
        </w:rPr>
      </w:pPr>
      <w:r w:rsidRPr="00240E6A">
        <w:rPr>
          <w:rFonts w:ascii="Times New Roman" w:eastAsia="Times New Roman" w:hAnsi="Times New Roman" w:cs="Times New Roman"/>
          <w:lang w:val="en-GB"/>
        </w:rPr>
        <w:lastRenderedPageBreak/>
        <w:t>Visvanathan, S. (2009). The search for cognitive justice</w:t>
      </w:r>
      <w:r w:rsidRPr="00E23A8D">
        <w:rPr>
          <w:rFonts w:ascii="Times New Roman" w:eastAsia="Times New Roman" w:hAnsi="Times New Roman" w:cs="Times New Roman"/>
          <w:i/>
          <w:iCs/>
          <w:lang w:val="en-GB"/>
        </w:rPr>
        <w:t>. India Seminar, 597.</w:t>
      </w:r>
    </w:p>
    <w:p w14:paraId="1E61C442" w14:textId="77777777" w:rsidR="00E23A8D" w:rsidRDefault="00E23A8D" w:rsidP="00E23A8D">
      <w:pPr>
        <w:spacing w:after="120"/>
        <w:jc w:val="both"/>
      </w:pPr>
      <w:r w:rsidRPr="00240E6A">
        <w:rPr>
          <w:rFonts w:ascii="Times New Roman" w:eastAsia="Times New Roman" w:hAnsi="Times New Roman" w:cs="Times New Roman"/>
          <w:lang w:val="en-GB"/>
        </w:rPr>
        <w:t xml:space="preserve">Winner, L. (1980). Do artifacts have politics? </w:t>
      </w:r>
      <w:proofErr w:type="spellStart"/>
      <w:r w:rsidRPr="00E23A8D">
        <w:rPr>
          <w:rFonts w:ascii="Times New Roman" w:eastAsia="Times New Roman" w:hAnsi="Times New Roman" w:cs="Times New Roman"/>
          <w:i/>
          <w:iCs/>
        </w:rPr>
        <w:t>Daedalus</w:t>
      </w:r>
      <w:proofErr w:type="spellEnd"/>
      <w:r w:rsidRPr="00E23A8D">
        <w:rPr>
          <w:rFonts w:ascii="Times New Roman" w:eastAsia="Times New Roman" w:hAnsi="Times New Roman" w:cs="Times New Roman"/>
          <w:i/>
          <w:iCs/>
        </w:rPr>
        <w:t>,</w:t>
      </w:r>
      <w:r>
        <w:rPr>
          <w:rFonts w:ascii="Times New Roman" w:eastAsia="Times New Roman" w:hAnsi="Times New Roman" w:cs="Times New Roman"/>
        </w:rPr>
        <w:t xml:space="preserve"> 109(1), 121-136.</w:t>
      </w:r>
    </w:p>
    <w:p w14:paraId="7E83515B" w14:textId="1C72E21E" w:rsidR="001923DC" w:rsidRPr="00BA642E" w:rsidRDefault="001923DC" w:rsidP="00E23A8D">
      <w:pPr>
        <w:spacing w:line="240" w:lineRule="auto"/>
        <w:jc w:val="both"/>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343A" w14:textId="77777777" w:rsidR="00A351AD" w:rsidRPr="00BA642E" w:rsidRDefault="00A351AD" w:rsidP="00C802F5">
      <w:pPr>
        <w:spacing w:after="0" w:line="240" w:lineRule="auto"/>
      </w:pPr>
      <w:r w:rsidRPr="00BA642E">
        <w:separator/>
      </w:r>
    </w:p>
  </w:endnote>
  <w:endnote w:type="continuationSeparator" w:id="0">
    <w:p w14:paraId="66292757" w14:textId="77777777" w:rsidR="00A351AD" w:rsidRPr="00BA642E" w:rsidRDefault="00A351A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1B0A9" w14:textId="77777777" w:rsidR="00A351AD" w:rsidRPr="00BA642E" w:rsidRDefault="00A351AD" w:rsidP="00C802F5">
      <w:pPr>
        <w:spacing w:after="0" w:line="240" w:lineRule="auto"/>
      </w:pPr>
      <w:r w:rsidRPr="00BA642E">
        <w:separator/>
      </w:r>
    </w:p>
  </w:footnote>
  <w:footnote w:type="continuationSeparator" w:id="0">
    <w:p w14:paraId="151B28C4" w14:textId="77777777" w:rsidR="00A351AD" w:rsidRPr="00BA642E" w:rsidRDefault="00A351A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0B1E"/>
    <w:rsid w:val="00041635"/>
    <w:rsid w:val="000500F6"/>
    <w:rsid w:val="00061C38"/>
    <w:rsid w:val="00095EB7"/>
    <w:rsid w:val="001016AB"/>
    <w:rsid w:val="001302C7"/>
    <w:rsid w:val="0013236F"/>
    <w:rsid w:val="00140362"/>
    <w:rsid w:val="001816D6"/>
    <w:rsid w:val="00185F5E"/>
    <w:rsid w:val="001923DC"/>
    <w:rsid w:val="002327C3"/>
    <w:rsid w:val="003112F0"/>
    <w:rsid w:val="00312392"/>
    <w:rsid w:val="003B2A65"/>
    <w:rsid w:val="004040C0"/>
    <w:rsid w:val="00437E9C"/>
    <w:rsid w:val="004461D6"/>
    <w:rsid w:val="00467C0D"/>
    <w:rsid w:val="0047287E"/>
    <w:rsid w:val="00486ADD"/>
    <w:rsid w:val="004A6A12"/>
    <w:rsid w:val="004D7F97"/>
    <w:rsid w:val="00550766"/>
    <w:rsid w:val="00582B83"/>
    <w:rsid w:val="00584932"/>
    <w:rsid w:val="005B181C"/>
    <w:rsid w:val="005F3B2E"/>
    <w:rsid w:val="00617561"/>
    <w:rsid w:val="006650DE"/>
    <w:rsid w:val="00683E10"/>
    <w:rsid w:val="006A7395"/>
    <w:rsid w:val="006C1061"/>
    <w:rsid w:val="006F2CF7"/>
    <w:rsid w:val="00701F64"/>
    <w:rsid w:val="00731457"/>
    <w:rsid w:val="0077013C"/>
    <w:rsid w:val="007A3836"/>
    <w:rsid w:val="007B5B5F"/>
    <w:rsid w:val="007C07A3"/>
    <w:rsid w:val="007D233B"/>
    <w:rsid w:val="0082185A"/>
    <w:rsid w:val="0085070B"/>
    <w:rsid w:val="00875F03"/>
    <w:rsid w:val="008A6A3F"/>
    <w:rsid w:val="008C067E"/>
    <w:rsid w:val="00906600"/>
    <w:rsid w:val="00940295"/>
    <w:rsid w:val="009525E0"/>
    <w:rsid w:val="00954E91"/>
    <w:rsid w:val="00977D28"/>
    <w:rsid w:val="0098289D"/>
    <w:rsid w:val="009A53D9"/>
    <w:rsid w:val="009A6DA5"/>
    <w:rsid w:val="009B3D93"/>
    <w:rsid w:val="009C4D54"/>
    <w:rsid w:val="009D2AE6"/>
    <w:rsid w:val="009F774D"/>
    <w:rsid w:val="00A17247"/>
    <w:rsid w:val="00A351AD"/>
    <w:rsid w:val="00A52936"/>
    <w:rsid w:val="00A6792A"/>
    <w:rsid w:val="00B10A0D"/>
    <w:rsid w:val="00B4714A"/>
    <w:rsid w:val="00B84ECC"/>
    <w:rsid w:val="00BA642E"/>
    <w:rsid w:val="00BB1749"/>
    <w:rsid w:val="00BC236F"/>
    <w:rsid w:val="00C036F2"/>
    <w:rsid w:val="00C354AA"/>
    <w:rsid w:val="00C63251"/>
    <w:rsid w:val="00C71926"/>
    <w:rsid w:val="00C802F5"/>
    <w:rsid w:val="00C96B2C"/>
    <w:rsid w:val="00CA631C"/>
    <w:rsid w:val="00CC04C1"/>
    <w:rsid w:val="00D339BD"/>
    <w:rsid w:val="00D466BF"/>
    <w:rsid w:val="00D54CE4"/>
    <w:rsid w:val="00D843EC"/>
    <w:rsid w:val="00D8508A"/>
    <w:rsid w:val="00DD3BA8"/>
    <w:rsid w:val="00E1451B"/>
    <w:rsid w:val="00E17DDF"/>
    <w:rsid w:val="00E23A8D"/>
    <w:rsid w:val="00E500D0"/>
    <w:rsid w:val="00E66F3E"/>
    <w:rsid w:val="00E95802"/>
    <w:rsid w:val="00EF65BF"/>
    <w:rsid w:val="00F435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04/lthj.v1i0.1386" TargetMode="External" /><Relationship Id="rId3" Type="http://schemas.openxmlformats.org/officeDocument/2006/relationships/webSettings" Target="webSettings.xml" /><Relationship Id="rId7" Type="http://schemas.openxmlformats.org/officeDocument/2006/relationships/hyperlink" Target="https://rieoei.org/historico/deloslectores/2740Chiroleu.pdf" TargetMode="External"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hdl.handle.net/11336/77552" TargetMode="External"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footer" Target="footer1.xml" /><Relationship Id="rId4" Type="http://schemas.openxmlformats.org/officeDocument/2006/relationships/footnotes" Target="footnotes.xml" /><Relationship Id="rId9" Type="http://schemas.openxmlformats.org/officeDocument/2006/relationships/header" Target="header1.xml" /></Relationships>
</file>

<file path=word/_rels/footer1.xml.rels><?xml version="1.0" encoding="UTF-8" standalone="yes"?>
<Relationships xmlns="http://schemas.openxmlformats.org/package/2006/relationships"><Relationship Id="rId1" Type="http://schemas.openxmlformats.org/officeDocument/2006/relationships/image" Target="media/image2.pn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5057</Words>
  <Characters>29600</Characters>
  <Application>Microsoft Office Word</Application>
  <DocSecurity>0</DocSecurity>
  <Lines>516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María Cristina Kanobel</cp:lastModifiedBy>
  <cp:revision>55</cp:revision>
  <dcterms:created xsi:type="dcterms:W3CDTF">2026-07-18T18:02:00Z</dcterms:created>
  <dcterms:modified xsi:type="dcterms:W3CDTF">2026-07-18T22:55:00Z</dcterms:modified>
</cp:coreProperties>
</file>