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B09DB" w14:textId="77777777" w:rsidR="00537C0E" w:rsidRPr="00537C0E" w:rsidRDefault="00537C0E" w:rsidP="00537C0E">
      <w:pPr>
        <w:spacing w:after="0" w:line="240" w:lineRule="auto"/>
        <w:jc w:val="both"/>
        <w:rPr>
          <w:rFonts w:ascii="Times New Roman" w:eastAsia="Calibri" w:hAnsi="Times New Roman" w:cs="Times New Roman"/>
          <w:b/>
          <w:kern w:val="0"/>
          <w:lang w:val="es-AR"/>
          <w14:ligatures w14:val="none"/>
        </w:rPr>
      </w:pPr>
      <w:r w:rsidRPr="00537C0E">
        <w:rPr>
          <w:rFonts w:ascii="Times New Roman" w:eastAsia="Calibri" w:hAnsi="Times New Roman" w:cs="Times New Roman"/>
          <w:b/>
          <w:kern w:val="0"/>
          <w:lang w:val="es-AR"/>
          <w14:ligatures w14:val="none"/>
        </w:rPr>
        <w:t>Trayectorias estudiantiles y democratización universitaria: aportes desde una experiencia institucional en la Universidad Nacional de Tucumán</w:t>
      </w:r>
    </w:p>
    <w:p w14:paraId="7D560CA4"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692FF9F8" w14:textId="77777777" w:rsidR="00537C0E" w:rsidRPr="00537C0E" w:rsidRDefault="00537C0E" w:rsidP="00537C0E">
      <w:pPr>
        <w:spacing w:after="0" w:line="240" w:lineRule="auto"/>
        <w:jc w:val="right"/>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Melina Lazarte Bader</w:t>
      </w:r>
    </w:p>
    <w:p w14:paraId="70958BD0" w14:textId="77777777" w:rsidR="00537C0E" w:rsidRPr="00537C0E" w:rsidRDefault="00537C0E" w:rsidP="00537C0E">
      <w:pPr>
        <w:spacing w:after="0" w:line="240" w:lineRule="auto"/>
        <w:jc w:val="right"/>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Universidad Nacional de Tucumán-Subsecretaría Académica </w:t>
      </w:r>
    </w:p>
    <w:p w14:paraId="342199E8" w14:textId="77777777" w:rsidR="00537C0E" w:rsidRPr="00537C0E" w:rsidRDefault="00537C0E" w:rsidP="00537C0E">
      <w:pPr>
        <w:spacing w:after="0" w:line="240" w:lineRule="auto"/>
        <w:jc w:val="right"/>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 </w:t>
      </w:r>
      <w:hyperlink r:id="rId6" w:history="1">
        <w:r w:rsidRPr="00537C0E">
          <w:rPr>
            <w:rFonts w:ascii="Times New Roman" w:eastAsia="Calibri" w:hAnsi="Times New Roman" w:cs="Times New Roman"/>
            <w:color w:val="0563C1"/>
            <w:kern w:val="0"/>
            <w:u w:val="single"/>
            <w:lang w:val="es-AR"/>
            <w14:ligatures w14:val="none"/>
          </w:rPr>
          <w:t>melinalazarte@filo.unt.edu.ar</w:t>
        </w:r>
      </w:hyperlink>
    </w:p>
    <w:p w14:paraId="081A3020" w14:textId="77777777" w:rsidR="00537C0E" w:rsidRPr="00537C0E" w:rsidRDefault="00537C0E" w:rsidP="00537C0E">
      <w:pPr>
        <w:spacing w:after="0" w:line="240" w:lineRule="auto"/>
        <w:jc w:val="right"/>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Carolina Abdala </w:t>
      </w:r>
    </w:p>
    <w:p w14:paraId="6FB5031B" w14:textId="77777777" w:rsidR="00537C0E" w:rsidRPr="00537C0E" w:rsidRDefault="00537C0E" w:rsidP="00537C0E">
      <w:pPr>
        <w:spacing w:after="0" w:line="240" w:lineRule="auto"/>
        <w:jc w:val="right"/>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Universidad Nacional de Tucumán-Secretaría Académica </w:t>
      </w:r>
    </w:p>
    <w:p w14:paraId="0E450797" w14:textId="77777777" w:rsidR="00537C0E" w:rsidRPr="00537C0E" w:rsidRDefault="00537C0E" w:rsidP="00537C0E">
      <w:pPr>
        <w:spacing w:after="0" w:line="240" w:lineRule="auto"/>
        <w:jc w:val="right"/>
        <w:rPr>
          <w:rFonts w:ascii="Times New Roman" w:eastAsia="Calibri" w:hAnsi="Times New Roman" w:cs="Times New Roman"/>
          <w:kern w:val="0"/>
          <w:lang w:val="es-AR"/>
          <w14:ligatures w14:val="none"/>
        </w:rPr>
      </w:pPr>
      <w:hyperlink r:id="rId7" w:history="1">
        <w:r w:rsidRPr="00537C0E">
          <w:rPr>
            <w:rFonts w:ascii="Times New Roman" w:eastAsia="Calibri" w:hAnsi="Times New Roman" w:cs="Times New Roman"/>
            <w:color w:val="0563C1"/>
            <w:kern w:val="0"/>
            <w:u w:val="single"/>
            <w:lang w:val="es-AR"/>
            <w14:ligatures w14:val="none"/>
          </w:rPr>
          <w:t>karoabdala@gmail.com</w:t>
        </w:r>
      </w:hyperlink>
    </w:p>
    <w:p w14:paraId="0940EB2C"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1A8ABD1F" w14:textId="77777777" w:rsidR="00537C0E" w:rsidRPr="00537C0E" w:rsidRDefault="00537C0E" w:rsidP="00537C0E">
      <w:pPr>
        <w:spacing w:after="0" w:line="240" w:lineRule="auto"/>
        <w:jc w:val="both"/>
        <w:rPr>
          <w:rFonts w:ascii="Times New Roman" w:eastAsia="Calibri" w:hAnsi="Times New Roman" w:cs="Times New Roman"/>
          <w:b/>
          <w:kern w:val="0"/>
          <w:lang w:val="es-AR"/>
          <w14:ligatures w14:val="none"/>
        </w:rPr>
      </w:pPr>
      <w:r w:rsidRPr="00537C0E">
        <w:rPr>
          <w:rFonts w:ascii="Times New Roman" w:eastAsia="Calibri" w:hAnsi="Times New Roman" w:cs="Times New Roman"/>
          <w:b/>
          <w:kern w:val="0"/>
          <w:lang w:val="es-AR"/>
          <w14:ligatures w14:val="none"/>
        </w:rPr>
        <w:t>Resumen</w:t>
      </w:r>
    </w:p>
    <w:p w14:paraId="57860256"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En las últimas décadas, la expansión del acceso a la educación superior en Argentina y en América Latina ha consolidado progresivamente la concepción de la universidad como un derecho social. Este proceso, asociado a políticas de democratización del ingreso, ha generado nuevos desafíos para las instituciones universitarias, particularmente en relación con la permanencia y el egreso de los estudiantes. En este marco, la presente ponencia se propone reflexionar sobre las características que asumen trayectorias estudiantiles en la Universidad Nacional de Tucumán y analizar el papel que las instituciones desempeñan en la configuración de dichas trayectorias. Para ello se focalizará en dispositivos institucionales de acompañamiento a las trayectorias estudiantiles desarrollados en la Universidad Nacional de Tucumán, impulsado desde la Secretaría Académica de la institución; particularmente en el Programa Potenciar Graduación, y en los datos relevados a partir de la implementación de una encuesta destinada a estudiantes universitarios.  El trabajo parte de una perspectiva conceptual que entiende las trayectorias estudiantiles como procesos abiertos y dinámicos, que se construyen en la intersección entre biografías educativas, condiciones sociales e institucionales y prácticas pedagógicas. Desde este enfoque, se busca problematizar interpretaciones que explican las dificultades en el avance o en la graduación únicamente a partir de supuestos déficits individuales de los estudiantes, y poner en discusión el lugar que ocupan las decisiones institucionales, las culturas académicas y las condiciones de enseñanza en la producción de esas trayectorias. Desde el punto de vista metodológico, el trabajo articula un análisis conceptual con el examen de información empírica proveniente de la implementación del Programa Potenciar Graduación, un dispositivo institucional de acompañamiento a las trayectorias estudiantiles orientado a promover el egreso, y asimismo, se analizan datos producidos en el marco de la encuesta institucional “Mi trayectoria académica en la UNT”, realizada entre 2025 y 2026 que fue respondida por 3.281 estudiantes de la institución. Los resultados preliminares permiten advertir la creciente heterogeneidad de la población estudiantil universitaria, caracterizada por trayectorias educativas diversas, presencia significativa de estudiantes que trabajan y una proporción importante de primera generación universitaria en sus familias. Al mismo tiempo, el análisis de la información relevada permite identificar ciertas condiciones institucionales que inciden en la continuidad de los estudios, entre ellas los sistemas de correlatividades, la organización de los horarios de cursado y la articulación entre estudio, trabajo y responsabilidades de cuidado. A partir de estos hallazgos, la ponencia sostiene la relevancia de fortalecer dispositivos institucionales de acompañamiento que, desde una </w:t>
      </w:r>
      <w:r w:rsidRPr="00537C0E">
        <w:rPr>
          <w:rFonts w:ascii="Times New Roman" w:eastAsia="Calibri" w:hAnsi="Times New Roman" w:cs="Times New Roman"/>
          <w:kern w:val="0"/>
          <w:lang w:val="es-AR"/>
          <w14:ligatures w14:val="none"/>
        </w:rPr>
        <w:lastRenderedPageBreak/>
        <w:t>perspectiva de derecho a la educación superior, contribuyan a generar condiciones más equitativas para el acceso, la permanencia y la graduación en la universidad pública, al tiempo que permitan producir conocimiento sobre las trayectorias estudiantiles y orientar procesos de revisión institucional.</w:t>
      </w:r>
    </w:p>
    <w:p w14:paraId="4B14804C"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6C8AC264"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22506DEA"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Palabras clave: TRAYECTORIAS ESTUDIANTILES, DERECHO A LA EDUCACION SUPERIOR, POLITICA INSTITUCIONAL</w:t>
      </w:r>
    </w:p>
    <w:p w14:paraId="02957FF4"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p>
    <w:p w14:paraId="3C5A743B"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1.Introducción</w:t>
      </w:r>
    </w:p>
    <w:p w14:paraId="7529C4F0"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las últimas décadas, la expansión de la educación superior en América Latina ha consolidado progresivamente una nueva manera de comprender a la universidad pública. La ampliación del acceso, impulsada por políticas orientadas a garantizar mayores niveles de inclusión educativa, desplazó el eje de las discusiones desde el ingreso hacia la permanencia y la graduación de quienes acceden a este nivel de enseñanza. En este escenario, la afirmación de la educación superior como derecho humano y bien público social —consagrada por la Conferencia Regional de Educación Superior de Cartagena de Indias (2008)— implicó una transformación sustantiva en el modo de pensar las responsabilidades de las instituciones universitarias.</w:t>
      </w:r>
    </w:p>
    <w:p w14:paraId="5E75234C"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Asumir que la educación superior constituye un derecho supone reconocer que las desigualdades educativas no pueden ser interpretadas únicamente como resultado de las condiciones individuales de los estudiantes ni de sus trayectorias escolares previas. Por el contrario, exige interrogar las condiciones institucionales, pedagógicas y organizacionales que hacen posible —o dificultan— el ejercicio efectivo de ese derecho. Desde esta perspectiva, el desafío de las universidades públicas ya no consiste solamente en ampliar las oportunidades de acceso, sino también en generar las condiciones necesarias para que las trayectorias estudiantiles puedan sostenerse hasta la graduación.</w:t>
      </w:r>
    </w:p>
    <w:p w14:paraId="4ED7FB0B"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este contexto, el concepto de trayectorias estudiantiles ha adquirido una relevancia creciente para comprender la complejidad de los recorridos universitarios contemporáneos. Lejos de entenderlas como secuencias lineales determinadas exclusivamente por los atributos individuales de los estudiantes, las trayectorias constituyen procesos abiertos y dinámicos, configurados por la interacción entre biografías personales, condiciones sociales, culturas institucionales y prácticas pedagógicas. Esta perspectiva permite desplazar interpretaciones centradas en los déficits individuales hacia un análisis que incorpora la responsabilidad de las instituciones en la producción de oportunidades, obstáculos y condiciones de permanencia.</w:t>
      </w:r>
    </w:p>
    <w:p w14:paraId="4EC6A611"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En el caso de la Universidad Nacional de Tucumán, esta preocupación se inscribe en un marco político-institucional más amplio, expresado en el </w:t>
      </w:r>
      <w:r w:rsidRPr="00537C0E">
        <w:rPr>
          <w:rFonts w:ascii="Times New Roman" w:eastAsia="Calibri" w:hAnsi="Times New Roman" w:cs="Times New Roman"/>
          <w:bCs/>
          <w:kern w:val="0"/>
          <w:lang w:val="es-AR"/>
          <w14:ligatures w14:val="none"/>
        </w:rPr>
        <w:t>Plan Estratégico Institucional (PEI) 2021–2030</w:t>
      </w:r>
      <w:r w:rsidRPr="00537C0E">
        <w:rPr>
          <w:rFonts w:ascii="Times New Roman" w:eastAsia="Calibri" w:hAnsi="Times New Roman" w:cs="Times New Roman"/>
          <w:kern w:val="0"/>
          <w:lang w:val="es-AR"/>
          <w14:ligatures w14:val="none"/>
        </w:rPr>
        <w:t xml:space="preserve">, que constituye el principal instrumento de planificación de mediano plazo de la universidad. El PEI asume explícitamente a la educación superior como un derecho humano, un bien público y una responsabilidad del Estado, y establece como eje prioritario de la gestión académica el fortalecimiento de las condiciones de acceso, permanencia, rendimiento y graduación del estudiantado. En este marco, la UNT </w:t>
      </w:r>
      <w:r w:rsidRPr="00537C0E">
        <w:rPr>
          <w:rFonts w:ascii="Times New Roman" w:eastAsia="Calibri" w:hAnsi="Times New Roman" w:cs="Times New Roman"/>
          <w:kern w:val="0"/>
          <w:lang w:val="es-AR"/>
          <w14:ligatures w14:val="none"/>
        </w:rPr>
        <w:lastRenderedPageBreak/>
        <w:t xml:space="preserve">reconoce que la mejora de los indicadores académicos requiere no solo ampliar oportunidades de ingreso, sino también promover transformaciones institucionales vinculadas con la enseñanza, los diseños curriculares, las estrategias pedagógicas y la producción sistemática de información para la toma de decisiones. En este sentido, la relación planteada por el propio PEI entre inclusión, retención, rendimiento y graduación sintetiza con claridad una definición estratégica central: democratizar la universidad implica también intervenir sobre las condiciones que hacen </w:t>
      </w:r>
      <w:proofErr w:type="gramStart"/>
      <w:r w:rsidRPr="00537C0E">
        <w:rPr>
          <w:rFonts w:ascii="Times New Roman" w:eastAsia="Calibri" w:hAnsi="Times New Roman" w:cs="Times New Roman"/>
          <w:kern w:val="0"/>
          <w:lang w:val="es-AR"/>
          <w14:ligatures w14:val="none"/>
        </w:rPr>
        <w:t>posible trayectorias estudiantiles</w:t>
      </w:r>
      <w:proofErr w:type="gramEnd"/>
      <w:r w:rsidRPr="00537C0E">
        <w:rPr>
          <w:rFonts w:ascii="Times New Roman" w:eastAsia="Calibri" w:hAnsi="Times New Roman" w:cs="Times New Roman"/>
          <w:kern w:val="0"/>
          <w:lang w:val="es-AR"/>
          <w14:ligatures w14:val="none"/>
        </w:rPr>
        <w:t xml:space="preserve"> más continuas, sostenidas y significativas. </w:t>
      </w:r>
    </w:p>
    <w:p w14:paraId="35DDC88C"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La presente ponencia se inscribe en esta línea de reflexión y tiene como propósito analizar las características que asumen las trayectorias estudiantiles en la Universidad Nacional de Tucumán y discutir el papel que desempeñan las políticas académicas institucionales en la construcción de condiciones que favorezcan el derecho a la graduación. El trabajo recupera la experiencia desarrollada por la Secretaría Académica de la Universidad Nacional de Tucumán (UNT) a través del Programa Potenciar Graduación y los resultados obtenidos mediante la encuesta institucional </w:t>
      </w:r>
      <w:r w:rsidRPr="00537C0E">
        <w:rPr>
          <w:rFonts w:ascii="Times New Roman" w:eastAsia="Calibri" w:hAnsi="Times New Roman" w:cs="Times New Roman"/>
          <w:i/>
          <w:iCs/>
          <w:kern w:val="0"/>
          <w:lang w:val="es-AR"/>
          <w14:ligatures w14:val="none"/>
        </w:rPr>
        <w:t>Mi trayectoria académica en la UNT</w:t>
      </w:r>
      <w:r w:rsidRPr="00537C0E">
        <w:rPr>
          <w:rFonts w:ascii="Times New Roman" w:eastAsia="Calibri" w:hAnsi="Times New Roman" w:cs="Times New Roman"/>
          <w:kern w:val="0"/>
          <w:lang w:val="es-AR"/>
          <w14:ligatures w14:val="none"/>
        </w:rPr>
        <w:t>, implementada entre 2025 y 2026 y respondida por 3.281 estudiantes.</w:t>
      </w:r>
    </w:p>
    <w:p w14:paraId="18636BB1"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Desde el punto de vista metodológico, se adopta un enfoque cualitativo basado en el análisis de una experiencia institucional, articulando la reconstrucción de una política académica con el examen de información empírica producida en el marco de su implementación. El estudio combina el análisis documental del Programa Potenciar Graduación con el procesamiento e interpretación de datos provenientes de la encuesta institucional, procurando identificar aquellos rasgos de las trayectorias estudiantiles que resultan relevantes para la formulación y revisión de políticas universitarias.</w:t>
      </w:r>
    </w:p>
    <w:p w14:paraId="39272E0F"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Más que presentar una evaluación del Programa Potenciar Graduación, el trabajo busca mostrar cómo una política académica puede constituirse, simultáneamente, en un dispositivo de acompañamiento a las trayectorias estudiantiles y en una estrategia de producción de conocimiento institucional. En este sentido, se sostiene que la construcción sistemática de información sobre las condiciones de estudio, las barreras institucionales y las experiencias de los estudiantes constituye un insumo fundamental para orientar procesos de democratización universitaria y revisar críticamente las prácticas pedagógicas e institucionales desde una perspectiva de derecho.</w:t>
      </w:r>
    </w:p>
    <w:p w14:paraId="2F1EB73D"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
    <w:p w14:paraId="48686511"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2.La educación superior como derecho y las trayectorias estudiantiles como analizador institucional</w:t>
      </w:r>
    </w:p>
    <w:p w14:paraId="67FA2912"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Durante las últimas décadas, la expansión de la educación superior en América Latina ha estado acompañada por una profunda transformación en la manera de comprender el papel de las universidades públicas. La </w:t>
      </w:r>
      <w:r w:rsidRPr="00537C0E">
        <w:rPr>
          <w:rFonts w:ascii="Times New Roman" w:eastAsia="Calibri" w:hAnsi="Times New Roman" w:cs="Times New Roman"/>
          <w:bCs/>
          <w:kern w:val="0"/>
          <w:lang w:val="es-AR"/>
          <w14:ligatures w14:val="none"/>
        </w:rPr>
        <w:t>Conferencia Regional de Educación Superior (CRES, 2008)</w:t>
      </w:r>
      <w:r w:rsidRPr="00537C0E">
        <w:rPr>
          <w:rFonts w:ascii="Times New Roman" w:eastAsia="Calibri" w:hAnsi="Times New Roman" w:cs="Times New Roman"/>
          <w:kern w:val="0"/>
          <w:lang w:val="es-AR"/>
          <w14:ligatures w14:val="none"/>
        </w:rPr>
        <w:t xml:space="preserve"> constituyó un punto de inflexión al reconocer a la educación superior como un </w:t>
      </w:r>
      <w:r w:rsidRPr="00537C0E">
        <w:rPr>
          <w:rFonts w:ascii="Times New Roman" w:eastAsia="Calibri" w:hAnsi="Times New Roman" w:cs="Times New Roman"/>
          <w:bCs/>
          <w:kern w:val="0"/>
          <w:lang w:val="es-AR"/>
          <w14:ligatures w14:val="none"/>
        </w:rPr>
        <w:t>bien público social, un derecho humano universal y un deber del Estado</w:t>
      </w:r>
      <w:r w:rsidRPr="00537C0E">
        <w:rPr>
          <w:rFonts w:ascii="Times New Roman" w:eastAsia="Calibri" w:hAnsi="Times New Roman" w:cs="Times New Roman"/>
          <w:kern w:val="0"/>
          <w:lang w:val="es-AR"/>
          <w14:ligatures w14:val="none"/>
        </w:rPr>
        <w:t>, desplazando el eje de las políticas universitarias desde la ampliación del acceso hacia la construcción de condiciones que garanticen la permanencia y la graduación de quienes ingresan a este nivel educativo.</w:t>
      </w:r>
    </w:p>
    <w:p w14:paraId="030686F6"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lastRenderedPageBreak/>
        <w:t xml:space="preserve">En Argentina, este cambio de paradigma implicó revisar las formas tradicionales de comprender la democratización universitaria. Tal como señalan </w:t>
      </w:r>
      <w:proofErr w:type="spellStart"/>
      <w:r w:rsidRPr="00537C0E">
        <w:rPr>
          <w:rFonts w:ascii="Times New Roman" w:eastAsia="Calibri" w:hAnsi="Times New Roman" w:cs="Times New Roman"/>
          <w:bCs/>
          <w:kern w:val="0"/>
          <w:lang w:val="es-AR"/>
          <w14:ligatures w14:val="none"/>
        </w:rPr>
        <w:t>Paparini</w:t>
      </w:r>
      <w:proofErr w:type="spellEnd"/>
      <w:r w:rsidRPr="00537C0E">
        <w:rPr>
          <w:rFonts w:ascii="Times New Roman" w:eastAsia="Calibri" w:hAnsi="Times New Roman" w:cs="Times New Roman"/>
          <w:bCs/>
          <w:kern w:val="0"/>
          <w:lang w:val="es-AR"/>
          <w14:ligatures w14:val="none"/>
        </w:rPr>
        <w:t xml:space="preserve"> y </w:t>
      </w:r>
      <w:proofErr w:type="spellStart"/>
      <w:r w:rsidRPr="00537C0E">
        <w:rPr>
          <w:rFonts w:ascii="Times New Roman" w:eastAsia="Calibri" w:hAnsi="Times New Roman" w:cs="Times New Roman"/>
          <w:bCs/>
          <w:kern w:val="0"/>
          <w:lang w:val="es-AR"/>
          <w14:ligatures w14:val="none"/>
        </w:rPr>
        <w:t>Ozollo</w:t>
      </w:r>
      <w:proofErr w:type="spellEnd"/>
      <w:r w:rsidRPr="00537C0E">
        <w:rPr>
          <w:rFonts w:ascii="Times New Roman" w:eastAsia="Calibri" w:hAnsi="Times New Roman" w:cs="Times New Roman"/>
          <w:bCs/>
          <w:kern w:val="0"/>
          <w:lang w:val="es-AR"/>
          <w14:ligatures w14:val="none"/>
        </w:rPr>
        <w:t xml:space="preserve"> (2015)</w:t>
      </w:r>
      <w:r w:rsidRPr="00537C0E">
        <w:rPr>
          <w:rFonts w:ascii="Times New Roman" w:eastAsia="Calibri" w:hAnsi="Times New Roman" w:cs="Times New Roman"/>
          <w:kern w:val="0"/>
          <w:lang w:val="es-AR"/>
          <w14:ligatures w14:val="none"/>
        </w:rPr>
        <w:t>, el sistema universitario transita desde un modelo sustentado en la idea de igualdad de oportunidades hacia otro que reconoce la igualdad como un derecho. Comprender la complejidad de esta transición supone advertir que el acceso constituye apenas el punto de partida del derecho a la educación superior. Su ejercicio efectivo requiere que las instituciones desarrollen políticas y prácticas orientadas a generar condiciones que posibiliten la continuidad de los estudios y la graduación.</w:t>
      </w:r>
    </w:p>
    <w:p w14:paraId="2C7442AA"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Desde esta perspectiva, democratizar la universidad ya no significa únicamente ampliar el ingreso de sectores históricamente excluidos. Implica también revisar las condiciones institucionales, curriculares y pedagógicas que configuran las experiencias de formación y que, muchas veces de manera poco visible, favorecen o dificultan las trayectorias de quienes habitan la universidad. Como sostiene </w:t>
      </w:r>
      <w:proofErr w:type="spellStart"/>
      <w:r w:rsidRPr="00537C0E">
        <w:rPr>
          <w:rFonts w:ascii="Times New Roman" w:eastAsia="Calibri" w:hAnsi="Times New Roman" w:cs="Times New Roman"/>
          <w:bCs/>
          <w:kern w:val="0"/>
          <w:lang w:val="es-AR"/>
          <w14:ligatures w14:val="none"/>
        </w:rPr>
        <w:t>Rinesi</w:t>
      </w:r>
      <w:proofErr w:type="spellEnd"/>
      <w:r w:rsidRPr="00537C0E">
        <w:rPr>
          <w:rFonts w:ascii="Times New Roman" w:eastAsia="Calibri" w:hAnsi="Times New Roman" w:cs="Times New Roman"/>
          <w:bCs/>
          <w:kern w:val="0"/>
          <w:lang w:val="es-AR"/>
          <w14:ligatures w14:val="none"/>
        </w:rPr>
        <w:t xml:space="preserve"> (2022)</w:t>
      </w:r>
      <w:r w:rsidRPr="00537C0E">
        <w:rPr>
          <w:rFonts w:ascii="Times New Roman" w:eastAsia="Calibri" w:hAnsi="Times New Roman" w:cs="Times New Roman"/>
          <w:kern w:val="0"/>
          <w:lang w:val="es-AR"/>
          <w14:ligatures w14:val="none"/>
        </w:rPr>
        <w:t>, reconocer la educación superior como un derecho obliga a desplazar la pregunta acerca de quiénes logran ingresar a la universidad hacia otra más compleja: ¿qué responsabilidades asumen las instituciones para que quienes ingresan puedan aprender, permanecer y graduarse? De aquí que, tal como afirma Adriana Chiroleu (2026) la democratización del nivel superior constituya un enorme desafío para una institución tradicionalmente elitista y jerárquica como la universidad (p.44).</w:t>
      </w:r>
    </w:p>
    <w:p w14:paraId="032E4F8D"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Este desplazamiento sitúa a las </w:t>
      </w:r>
      <w:r w:rsidRPr="00537C0E">
        <w:rPr>
          <w:rFonts w:ascii="Times New Roman" w:eastAsia="Calibri" w:hAnsi="Times New Roman" w:cs="Times New Roman"/>
          <w:bCs/>
          <w:kern w:val="0"/>
          <w:lang w:val="es-AR"/>
          <w14:ligatures w14:val="none"/>
        </w:rPr>
        <w:t>trayectorias estudiantiles</w:t>
      </w:r>
      <w:r w:rsidRPr="00537C0E">
        <w:rPr>
          <w:rFonts w:ascii="Times New Roman" w:eastAsia="Calibri" w:hAnsi="Times New Roman" w:cs="Times New Roman"/>
          <w:kern w:val="0"/>
          <w:lang w:val="es-AR"/>
          <w14:ligatures w14:val="none"/>
        </w:rPr>
        <w:t xml:space="preserve"> como una categoría central para comprender la universidad contemporánea. Lejos de concebirlas como recorridos lineales definidos exclusivamente por las capacidades individuales o por el cumplimiento de un itinerario curricular previamente establecido, las trayectorias constituyen procesos abiertos, dinámicos y contingentes. Como plantea </w:t>
      </w:r>
      <w:r w:rsidRPr="00537C0E">
        <w:rPr>
          <w:rFonts w:ascii="Times New Roman" w:eastAsia="Calibri" w:hAnsi="Times New Roman" w:cs="Times New Roman"/>
          <w:bCs/>
          <w:kern w:val="0"/>
          <w:lang w:val="es-AR"/>
          <w14:ligatures w14:val="none"/>
        </w:rPr>
        <w:t>Ardoino (2005)</w:t>
      </w:r>
      <w:r w:rsidRPr="00537C0E">
        <w:rPr>
          <w:rFonts w:ascii="Times New Roman" w:eastAsia="Calibri" w:hAnsi="Times New Roman" w:cs="Times New Roman"/>
          <w:kern w:val="0"/>
          <w:lang w:val="es-AR"/>
          <w14:ligatures w14:val="none"/>
        </w:rPr>
        <w:t>, se trata de recorridos en permanente construcción que no pueden anticiparse completamente ni responder mecánicamente a regulaciones preestablecidas, ya que se desarrollan en el tiempo de la vida de las personas y se encuentran atravesados por múltiples dimensiones que interactúan de manera permanente.</w:t>
      </w:r>
    </w:p>
    <w:p w14:paraId="22AE8BE6"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Los aportes de </w:t>
      </w:r>
      <w:r w:rsidRPr="00537C0E">
        <w:rPr>
          <w:rFonts w:ascii="Times New Roman" w:eastAsia="Calibri" w:hAnsi="Times New Roman" w:cs="Times New Roman"/>
          <w:bCs/>
          <w:kern w:val="0"/>
          <w:lang w:val="es-AR"/>
          <w14:ligatures w14:val="none"/>
        </w:rPr>
        <w:t>Flavia Terigi</w:t>
      </w:r>
      <w:r w:rsidRPr="00537C0E">
        <w:rPr>
          <w:rFonts w:ascii="Times New Roman" w:eastAsia="Calibri" w:hAnsi="Times New Roman" w:cs="Times New Roman"/>
          <w:kern w:val="0"/>
          <w:lang w:val="es-AR"/>
          <w14:ligatures w14:val="none"/>
        </w:rPr>
        <w:t xml:space="preserve"> (2014) permitieron resignificar esta categoría al mostrar que las trayectorias reales rara vez coinciden con las trayectorias teóricas previstas por los sistemas educativos. Trasladada al ámbito universitario, esta perspectiva posibilita abandonar explicaciones simplificadoras sobre el abandono, la </w:t>
      </w:r>
      <w:proofErr w:type="spellStart"/>
      <w:r w:rsidRPr="00537C0E">
        <w:rPr>
          <w:rFonts w:ascii="Times New Roman" w:eastAsia="Calibri" w:hAnsi="Times New Roman" w:cs="Times New Roman"/>
          <w:kern w:val="0"/>
          <w:lang w:val="es-AR"/>
          <w14:ligatures w14:val="none"/>
        </w:rPr>
        <w:t>lentificación</w:t>
      </w:r>
      <w:proofErr w:type="spellEnd"/>
      <w:r w:rsidRPr="00537C0E">
        <w:rPr>
          <w:rFonts w:ascii="Times New Roman" w:eastAsia="Calibri" w:hAnsi="Times New Roman" w:cs="Times New Roman"/>
          <w:kern w:val="0"/>
          <w:lang w:val="es-AR"/>
          <w14:ligatures w14:val="none"/>
        </w:rPr>
        <w:t xml:space="preserve"> o la baja graduación para comprender estos fenómenos como procesos complejos en los que confluyen dimensiones estructurales, biográficas, institucionales y </w:t>
      </w:r>
      <w:proofErr w:type="spellStart"/>
      <w:r w:rsidRPr="00537C0E">
        <w:rPr>
          <w:rFonts w:ascii="Times New Roman" w:eastAsia="Calibri" w:hAnsi="Times New Roman" w:cs="Times New Roman"/>
          <w:kern w:val="0"/>
          <w:lang w:val="es-AR"/>
          <w14:ligatures w14:val="none"/>
        </w:rPr>
        <w:t>sociohistóricas</w:t>
      </w:r>
      <w:proofErr w:type="spellEnd"/>
      <w:r w:rsidRPr="00537C0E">
        <w:rPr>
          <w:rFonts w:ascii="Times New Roman" w:eastAsia="Calibri" w:hAnsi="Times New Roman" w:cs="Times New Roman"/>
          <w:kern w:val="0"/>
          <w:lang w:val="es-AR"/>
          <w14:ligatures w14:val="none"/>
        </w:rPr>
        <w:t>.</w:t>
      </w:r>
    </w:p>
    <w:p w14:paraId="1D39A876"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Durante mucho tiempo, las dificultades en los recorridos universitarios fueron interpretadas principalmente desde enfoques que atribuían la responsabilidad a las condiciones materiales de existencia de los estudiantes o a sus trayectorias educativas previas. Sin desconocer el peso de estos factores, estas perspectivas resultan insuficientes para explicar la diversidad de experiencias que hoy observamos en las universidades. Las interpretaciones que establecen una relación lineal entre desigualdades sociales y desigualdades educativas encuentran dificultades para comprender, por ejemplo, por qué estudiantes provenientes de sectores populares logran trayectorias continuas y graduaciones exitosas, mientras que otros con mayores niveles de capital cultural experimentan recorridos discontinuos o abandonan sus estudios. Del mismo modo, las </w:t>
      </w:r>
      <w:r w:rsidRPr="00537C0E">
        <w:rPr>
          <w:rFonts w:ascii="Times New Roman" w:eastAsia="Calibri" w:hAnsi="Times New Roman" w:cs="Times New Roman"/>
          <w:kern w:val="0"/>
          <w:lang w:val="es-AR"/>
          <w14:ligatures w14:val="none"/>
        </w:rPr>
        <w:lastRenderedPageBreak/>
        <w:t xml:space="preserve">categorías de "éxito" y "fracaso" educativo terminan individualizando responsabilidades e </w:t>
      </w:r>
      <w:proofErr w:type="spellStart"/>
      <w:r w:rsidRPr="00537C0E">
        <w:rPr>
          <w:rFonts w:ascii="Times New Roman" w:eastAsia="Calibri" w:hAnsi="Times New Roman" w:cs="Times New Roman"/>
          <w:kern w:val="0"/>
          <w:lang w:val="es-AR"/>
          <w14:ligatures w14:val="none"/>
        </w:rPr>
        <w:t>invisibilizando</w:t>
      </w:r>
      <w:proofErr w:type="spellEnd"/>
      <w:r w:rsidRPr="00537C0E">
        <w:rPr>
          <w:rFonts w:ascii="Times New Roman" w:eastAsia="Calibri" w:hAnsi="Times New Roman" w:cs="Times New Roman"/>
          <w:kern w:val="0"/>
          <w:lang w:val="es-AR"/>
          <w14:ligatures w14:val="none"/>
        </w:rPr>
        <w:t xml:space="preserve"> el papel que desempeñan las instituciones en la configuración de esas experiencias.</w:t>
      </w:r>
    </w:p>
    <w:p w14:paraId="4800804C"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Asumir la perspectiva de las trayectorias implica, precisamente, superar la falsa dicotomía entre determinación estructural y voluntarismo individual. Las trayectorias no son únicamente el producto de las condiciones sociales de origen ni el resultado exclusivo de las decisiones personales de los estudiantes. Constituyen procesos relacionales en los que interactúan, de manera permanente, al menos cuatro dimensiones analíticas.</w:t>
      </w:r>
    </w:p>
    <w:p w14:paraId="5646BDBF"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La primera refiere a las </w:t>
      </w:r>
      <w:r w:rsidRPr="00537C0E">
        <w:rPr>
          <w:rFonts w:ascii="Times New Roman" w:eastAsia="Calibri" w:hAnsi="Times New Roman" w:cs="Times New Roman"/>
          <w:bCs/>
          <w:kern w:val="0"/>
          <w:lang w:val="es-AR"/>
          <w14:ligatures w14:val="none"/>
        </w:rPr>
        <w:t>condiciones estructurales</w:t>
      </w:r>
      <w:r w:rsidRPr="00537C0E">
        <w:rPr>
          <w:rFonts w:ascii="Times New Roman" w:eastAsia="Calibri" w:hAnsi="Times New Roman" w:cs="Times New Roman"/>
          <w:kern w:val="0"/>
          <w:lang w:val="es-AR"/>
          <w14:ligatures w14:val="none"/>
        </w:rPr>
        <w:t xml:space="preserve">, vinculadas con las desigualdades económicas, sociales y culturales que atraviesan las biografías de los estudiantes y condicionan sus posibilidades de acceso, permanencia y graduación. La segunda comprende la </w:t>
      </w:r>
      <w:r w:rsidRPr="00537C0E">
        <w:rPr>
          <w:rFonts w:ascii="Times New Roman" w:eastAsia="Calibri" w:hAnsi="Times New Roman" w:cs="Times New Roman"/>
          <w:bCs/>
          <w:kern w:val="0"/>
          <w:lang w:val="es-AR"/>
          <w14:ligatures w14:val="none"/>
        </w:rPr>
        <w:t>dimensión biográfica</w:t>
      </w:r>
      <w:r w:rsidRPr="00537C0E">
        <w:rPr>
          <w:rFonts w:ascii="Times New Roman" w:eastAsia="Calibri" w:hAnsi="Times New Roman" w:cs="Times New Roman"/>
          <w:kern w:val="0"/>
          <w:lang w:val="es-AR"/>
          <w14:ligatures w14:val="none"/>
        </w:rPr>
        <w:t xml:space="preserve">, que remite a las experiencias, estrategias, expectativas, proyectos y modos singulares en que cada estudiante construye su recorrido universitario. Esta dimensión permite comprender las trayectorias desde la perspectiva de los propios sujetos, aunque evitando reducirlas a una cuestión exclusivamente individual. Una tercera dimensión corresponde al plano </w:t>
      </w:r>
      <w:r w:rsidRPr="00537C0E">
        <w:rPr>
          <w:rFonts w:ascii="Times New Roman" w:eastAsia="Calibri" w:hAnsi="Times New Roman" w:cs="Times New Roman"/>
          <w:bCs/>
          <w:kern w:val="0"/>
          <w:lang w:val="es-AR"/>
          <w14:ligatures w14:val="none"/>
        </w:rPr>
        <w:t>institucional</w:t>
      </w:r>
      <w:r w:rsidRPr="00537C0E">
        <w:rPr>
          <w:rFonts w:ascii="Times New Roman" w:eastAsia="Calibri" w:hAnsi="Times New Roman" w:cs="Times New Roman"/>
          <w:kern w:val="0"/>
          <w:lang w:val="es-AR"/>
          <w14:ligatures w14:val="none"/>
        </w:rPr>
        <w:t>, entendiendo que las trayectorias siempre se desarrollan dentro de organizaciones concretas que producen determinadas condiciones para el aprendizaje. En este sentido, los recorridos estudiantiles se encuentran configurados por las regulaciones académicas, los regímenes de enseñanza y evaluación, las estructuras curriculares, las correlatividades, la organización de los planes de estudio, las prácticas pedagógicas, las culturas disciplinares y las políticas de acompañamiento implementadas por las universidades. La duración real de las carreras, las posibilidades de continuidad y las estrategias que despliegan los estudiantes no dependen únicamente de sus condiciones personales, sino también de las oportunidades y restricciones que ofrecen las propias instituciones.</w:t>
      </w:r>
    </w:p>
    <w:p w14:paraId="72EA35EE"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Finalmente, las trayectorias deben comprenderse en relación con una cuarta dimensión, de carácter </w:t>
      </w:r>
      <w:proofErr w:type="spellStart"/>
      <w:r w:rsidRPr="00537C0E">
        <w:rPr>
          <w:rFonts w:ascii="Times New Roman" w:eastAsia="Calibri" w:hAnsi="Times New Roman" w:cs="Times New Roman"/>
          <w:bCs/>
          <w:kern w:val="0"/>
          <w:lang w:val="es-AR"/>
          <w14:ligatures w14:val="none"/>
        </w:rPr>
        <w:t>sociohistórico</w:t>
      </w:r>
      <w:proofErr w:type="spellEnd"/>
      <w:r w:rsidRPr="00537C0E">
        <w:rPr>
          <w:rFonts w:ascii="Times New Roman" w:eastAsia="Calibri" w:hAnsi="Times New Roman" w:cs="Times New Roman"/>
          <w:bCs/>
          <w:kern w:val="0"/>
          <w:lang w:val="es-AR"/>
          <w14:ligatures w14:val="none"/>
        </w:rPr>
        <w:t xml:space="preserve"> o </w:t>
      </w:r>
      <w:proofErr w:type="spellStart"/>
      <w:r w:rsidRPr="00537C0E">
        <w:rPr>
          <w:rFonts w:ascii="Times New Roman" w:eastAsia="Calibri" w:hAnsi="Times New Roman" w:cs="Times New Roman"/>
          <w:bCs/>
          <w:kern w:val="0"/>
          <w:lang w:val="es-AR"/>
          <w14:ligatures w14:val="none"/>
        </w:rPr>
        <w:t>epocal</w:t>
      </w:r>
      <w:proofErr w:type="spellEnd"/>
      <w:r w:rsidRPr="00537C0E">
        <w:rPr>
          <w:rFonts w:ascii="Times New Roman" w:eastAsia="Calibri" w:hAnsi="Times New Roman" w:cs="Times New Roman"/>
          <w:kern w:val="0"/>
          <w:lang w:val="es-AR"/>
          <w14:ligatures w14:val="none"/>
        </w:rPr>
        <w:t xml:space="preserve">, que remite a las profundas transformaciones culturales y tecnológicas que atraviesan las sociedades contemporáneas. Los aportes de </w:t>
      </w:r>
      <w:proofErr w:type="spellStart"/>
      <w:r w:rsidRPr="00537C0E">
        <w:rPr>
          <w:rFonts w:ascii="Times New Roman" w:eastAsia="Calibri" w:hAnsi="Times New Roman" w:cs="Times New Roman"/>
          <w:bCs/>
          <w:kern w:val="0"/>
          <w:lang w:val="es-AR"/>
          <w14:ligatures w14:val="none"/>
        </w:rPr>
        <w:t>Bauman</w:t>
      </w:r>
      <w:proofErr w:type="spellEnd"/>
      <w:r w:rsidRPr="00537C0E">
        <w:rPr>
          <w:rFonts w:ascii="Times New Roman" w:eastAsia="Calibri" w:hAnsi="Times New Roman" w:cs="Times New Roman"/>
          <w:bCs/>
          <w:kern w:val="0"/>
          <w:lang w:val="es-AR"/>
          <w14:ligatures w14:val="none"/>
        </w:rPr>
        <w:t xml:space="preserve"> (1999)</w:t>
      </w:r>
      <w:r w:rsidRPr="00537C0E">
        <w:rPr>
          <w:rFonts w:ascii="Times New Roman" w:eastAsia="Calibri" w:hAnsi="Times New Roman" w:cs="Times New Roman"/>
          <w:kern w:val="0"/>
          <w:lang w:val="es-AR"/>
          <w14:ligatures w14:val="none"/>
        </w:rPr>
        <w:t xml:space="preserve"> sobre la aceleración del tiempo social y la lógica de la inmediatez, las reflexiones de </w:t>
      </w:r>
      <w:proofErr w:type="spellStart"/>
      <w:r w:rsidRPr="00537C0E">
        <w:rPr>
          <w:rFonts w:ascii="Times New Roman" w:eastAsia="Calibri" w:hAnsi="Times New Roman" w:cs="Times New Roman"/>
          <w:bCs/>
          <w:kern w:val="0"/>
          <w:lang w:val="es-AR"/>
          <w14:ligatures w14:val="none"/>
        </w:rPr>
        <w:t>Byung-Chul</w:t>
      </w:r>
      <w:proofErr w:type="spellEnd"/>
      <w:r w:rsidRPr="00537C0E">
        <w:rPr>
          <w:rFonts w:ascii="Times New Roman" w:eastAsia="Calibri" w:hAnsi="Times New Roman" w:cs="Times New Roman"/>
          <w:bCs/>
          <w:kern w:val="0"/>
          <w:lang w:val="es-AR"/>
          <w14:ligatures w14:val="none"/>
        </w:rPr>
        <w:t xml:space="preserve"> Han (2009, 2010)</w:t>
      </w:r>
      <w:r w:rsidRPr="00537C0E">
        <w:rPr>
          <w:rFonts w:ascii="Times New Roman" w:eastAsia="Calibri" w:hAnsi="Times New Roman" w:cs="Times New Roman"/>
          <w:kern w:val="0"/>
          <w:lang w:val="es-AR"/>
          <w14:ligatures w14:val="none"/>
        </w:rPr>
        <w:t xml:space="preserve"> acerca de la atomización temporal, la hiperactividad y la sociedad del rendimiento, junto con los análisis de </w:t>
      </w:r>
      <w:r w:rsidRPr="00537C0E">
        <w:rPr>
          <w:rFonts w:ascii="Times New Roman" w:eastAsia="Calibri" w:hAnsi="Times New Roman" w:cs="Times New Roman"/>
          <w:bCs/>
          <w:kern w:val="0"/>
          <w:lang w:val="es-AR"/>
          <w14:ligatures w14:val="none"/>
        </w:rPr>
        <w:t xml:space="preserve">Paula </w:t>
      </w:r>
      <w:proofErr w:type="spellStart"/>
      <w:r w:rsidRPr="00537C0E">
        <w:rPr>
          <w:rFonts w:ascii="Times New Roman" w:eastAsia="Calibri" w:hAnsi="Times New Roman" w:cs="Times New Roman"/>
          <w:bCs/>
          <w:kern w:val="0"/>
          <w:lang w:val="es-AR"/>
          <w14:ligatures w14:val="none"/>
        </w:rPr>
        <w:t>Sibilia</w:t>
      </w:r>
      <w:proofErr w:type="spellEnd"/>
      <w:r w:rsidRPr="00537C0E">
        <w:rPr>
          <w:rFonts w:ascii="Times New Roman" w:eastAsia="Calibri" w:hAnsi="Times New Roman" w:cs="Times New Roman"/>
          <w:bCs/>
          <w:kern w:val="0"/>
          <w:lang w:val="es-AR"/>
          <w14:ligatures w14:val="none"/>
        </w:rPr>
        <w:t xml:space="preserve"> (2012)</w:t>
      </w:r>
      <w:r w:rsidRPr="00537C0E">
        <w:rPr>
          <w:rFonts w:ascii="Times New Roman" w:eastAsia="Calibri" w:hAnsi="Times New Roman" w:cs="Times New Roman"/>
          <w:kern w:val="0"/>
          <w:lang w:val="es-AR"/>
          <w14:ligatures w14:val="none"/>
        </w:rPr>
        <w:t xml:space="preserve"> sobre las nuevas subjetividades configuradas por la cultura digital, permiten comprender que las experiencias universitarias actuales se desarrollan en escenarios profundamente diferentes de aquellos para los cuales fueron diseñadas muchas de nuestras instituciones. Las transformaciones en las formas de construir conocimiento, de relacionarse con el tiempo, de acceder a la información y de establecer vínculos pedagógicos reconfiguran las maneras de transitar la universidad y exigen revisar críticamente las respuestas institucionales.</w:t>
      </w:r>
    </w:p>
    <w:p w14:paraId="1E23DABB"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Desde esta perspectiva, las trayectorias estudiantiles dejan de ser únicamente un objeto de estudio para convertirse en un </w:t>
      </w:r>
      <w:r w:rsidRPr="00537C0E">
        <w:rPr>
          <w:rFonts w:ascii="Times New Roman" w:eastAsia="Calibri" w:hAnsi="Times New Roman" w:cs="Times New Roman"/>
          <w:bCs/>
          <w:kern w:val="0"/>
          <w:lang w:val="es-AR"/>
          <w14:ligatures w14:val="none"/>
        </w:rPr>
        <w:t>analizador institucional</w:t>
      </w:r>
      <w:r w:rsidRPr="00537C0E">
        <w:rPr>
          <w:rFonts w:ascii="Times New Roman" w:eastAsia="Calibri" w:hAnsi="Times New Roman" w:cs="Times New Roman"/>
          <w:kern w:val="0"/>
          <w:lang w:val="es-AR"/>
          <w14:ligatures w14:val="none"/>
        </w:rPr>
        <w:t xml:space="preserve">. La manera en que los estudiantes avanzan, interrumpen, reorganizan o prolongan sus recorridos no habla solamente de ellos mismos; constituye también una vía privilegiada para comprender el funcionamiento de la universidad. Las trayectorias permiten poner en evidencia cómo las </w:t>
      </w:r>
      <w:r w:rsidRPr="00537C0E">
        <w:rPr>
          <w:rFonts w:ascii="Times New Roman" w:eastAsia="Calibri" w:hAnsi="Times New Roman" w:cs="Times New Roman"/>
          <w:kern w:val="0"/>
          <w:lang w:val="es-AR"/>
          <w14:ligatures w14:val="none"/>
        </w:rPr>
        <w:lastRenderedPageBreak/>
        <w:t>regulaciones académicas, las decisiones curriculares, las culturas disciplinares, las prácticas de enseñanza y evaluación y las políticas institucionales producen determinadas condiciones para el ejercicio efectivo del derecho a la educación superior.</w:t>
      </w:r>
    </w:p>
    <w:p w14:paraId="608B07BB"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 precisamente desde este posicionamiento teórico que se inscribe la experiencia desarrollada por la Universidad Nacional de Tucumán. La implementación del Programa Potenciar Graduación y la encuesta institucional </w:t>
      </w:r>
      <w:r w:rsidRPr="00537C0E">
        <w:rPr>
          <w:rFonts w:ascii="Times New Roman" w:eastAsia="Calibri" w:hAnsi="Times New Roman" w:cs="Times New Roman"/>
          <w:i/>
          <w:iCs/>
          <w:kern w:val="0"/>
          <w:lang w:val="es-AR"/>
          <w14:ligatures w14:val="none"/>
        </w:rPr>
        <w:t>Mi trayectoria académica en la UNT</w:t>
      </w:r>
      <w:r w:rsidRPr="00537C0E">
        <w:rPr>
          <w:rFonts w:ascii="Times New Roman" w:eastAsia="Calibri" w:hAnsi="Times New Roman" w:cs="Times New Roman"/>
          <w:kern w:val="0"/>
          <w:lang w:val="es-AR"/>
          <w14:ligatures w14:val="none"/>
        </w:rPr>
        <w:t xml:space="preserve"> no tuvieron como propósito exclusivo conocer las características del estudiantado, sino producir evidencia acerca de las condiciones institucionales que configuran las trayectorias universitarias. En este sentido, la información construida no solo permite comprender las experiencias de los estudiantes, sino también interrogar críticamente a la propia institución y orientar procesos de revisión de las políticas académicas desde una perspectiva de democratización y de derecho a la educación superior.</w:t>
      </w:r>
    </w:p>
    <w:p w14:paraId="50B47BEE"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
    <w:p w14:paraId="370341FD"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3.Estrategia metodológica</w:t>
      </w:r>
    </w:p>
    <w:p w14:paraId="1307494D"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El trabajo adopta un enfoque cualitativo sustentado en el estudio de una experiencia institucional desarrollada en el ámbito de la Secretaría Académica de la UNT. Más que evaluar los resultados de un programa específico, el propósito del trabajo consiste en analizar cómo una política académica orientada al acompañamiento de las trayectorias estudiantiles puede constituirse, simultáneamente, en una estrategia de producción de conocimiento para la toma de decisiones institucionales.</w:t>
      </w:r>
    </w:p>
    <w:p w14:paraId="1993BFE7"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Desde esta perspectiva, el estudio recupera la experiencia del </w:t>
      </w:r>
      <w:r w:rsidRPr="00537C0E">
        <w:rPr>
          <w:rFonts w:ascii="Times New Roman" w:eastAsia="Calibri" w:hAnsi="Times New Roman" w:cs="Times New Roman"/>
          <w:bCs/>
          <w:kern w:val="0"/>
          <w:lang w:val="es-AR"/>
          <w14:ligatures w14:val="none"/>
        </w:rPr>
        <w:t>Potenciar Graduación</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bCs/>
          <w:kern w:val="0"/>
          <w:lang w:val="es-AR"/>
          <w14:ligatures w14:val="none"/>
        </w:rPr>
        <w:t>Programa (RES-DGD: 621 / 2023 y 10274/2025) cuyo propósito</w:t>
      </w:r>
      <w:r w:rsidRPr="00537C0E">
        <w:rPr>
          <w:rFonts w:ascii="Times New Roman" w:eastAsia="Calibri" w:hAnsi="Times New Roman" w:cs="Times New Roman"/>
          <w:kern w:val="0"/>
          <w:lang w:val="es-AR"/>
          <w14:ligatures w14:val="none"/>
        </w:rPr>
        <w:t xml:space="preserve"> en sus tres ediciones consecutivas desde el año 2021, fue fortalecer las trayectorias de estudiantes que, habiendo alcanzado los últimos tramos de sus carreras, encontraban dificultades para concretar su graduación. Sin embargo, la propuesta trascendió la lógica de un dispositivo exclusivamente tutorial para incorporar procesos sistemáticos de relevamiento, análisis e interpretación de información producida junto con estudiantes y docentes tutores, con el objetivo de comprender los factores que intervienen en las trayectorias académicas y orientar nuevas líneas de intervención institucional.</w:t>
      </w:r>
    </w:p>
    <w:p w14:paraId="5435CBD8"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En este sentido, la estrategia metodológica se inscribe en una perspectiva </w:t>
      </w:r>
      <w:r w:rsidRPr="00537C0E">
        <w:rPr>
          <w:rFonts w:ascii="Times New Roman" w:eastAsia="Calibri" w:hAnsi="Times New Roman" w:cs="Times New Roman"/>
          <w:bCs/>
          <w:kern w:val="0"/>
          <w:lang w:val="es-AR"/>
          <w14:ligatures w14:val="none"/>
        </w:rPr>
        <w:t>de alcance descriptivo (</w:t>
      </w:r>
      <w:proofErr w:type="spellStart"/>
      <w:r w:rsidRPr="00537C0E">
        <w:rPr>
          <w:rFonts w:ascii="Times New Roman" w:eastAsia="Calibri" w:hAnsi="Times New Roman" w:cs="Times New Roman"/>
          <w:bCs/>
          <w:kern w:val="0"/>
          <w:lang w:val="es-AR"/>
          <w14:ligatures w14:val="none"/>
        </w:rPr>
        <w:t>Vasilachis</w:t>
      </w:r>
      <w:proofErr w:type="spellEnd"/>
      <w:r w:rsidRPr="00537C0E">
        <w:rPr>
          <w:rFonts w:ascii="Times New Roman" w:eastAsia="Calibri" w:hAnsi="Times New Roman" w:cs="Times New Roman"/>
          <w:bCs/>
          <w:kern w:val="0"/>
          <w:lang w:val="es-AR"/>
          <w14:ligatures w14:val="none"/>
        </w:rPr>
        <w:t>, 2006) asumiendo que l</w:t>
      </w:r>
      <w:r w:rsidRPr="00537C0E">
        <w:rPr>
          <w:rFonts w:ascii="Times New Roman" w:eastAsia="Calibri" w:hAnsi="Times New Roman" w:cs="Times New Roman"/>
          <w:kern w:val="0"/>
          <w:lang w:val="es-AR"/>
          <w14:ligatures w14:val="none"/>
        </w:rPr>
        <w:t>a información producida al no constituir un insumo externo a la política académica, sino uno de sus componentes centrales, permite revisar supuestos, identificar problemáticas emergentes y redefinir las acciones desarrolladas. La construcción de la evidencia empírica recuperada en esta ponencia se apoyó en la triangulación de distintas fuentes de información, cuantitativas y cualitativas, producidas durante el desarrollo del Potenciar Graduación entre los años 2021 y 2025.</w:t>
      </w:r>
    </w:p>
    <w:p w14:paraId="2EDA0FE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En primer lugar, se realizó el análisis documental de los informes técnicos elaborados por el equipo de coordinación del Programa, en los que se sistematizan los principales resultados cuantitativos y cualitativos de las distintas ediciones implementadas. Estos documentos permiten reconstruir la evolución de la propuesta, las decisiones adoptadas y los aprendizajes institucionales derivados de su implementación. Entre otros resultados, el Programa registró </w:t>
      </w:r>
      <w:r w:rsidRPr="00537C0E">
        <w:rPr>
          <w:rFonts w:ascii="Times New Roman" w:eastAsia="Calibri" w:hAnsi="Times New Roman" w:cs="Times New Roman"/>
          <w:bCs/>
          <w:kern w:val="0"/>
          <w:lang w:val="es-AR"/>
          <w14:ligatures w14:val="none"/>
        </w:rPr>
        <w:t>1003 estudiantes inscriptos</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bCs/>
          <w:kern w:val="0"/>
          <w:lang w:val="es-AR"/>
          <w14:ligatures w14:val="none"/>
        </w:rPr>
        <w:t>618 participantes activos</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bCs/>
          <w:kern w:val="0"/>
          <w:lang w:val="es-AR"/>
          <w14:ligatures w14:val="none"/>
        </w:rPr>
        <w:t>236 estudiantes con avances significativos en sus trayectorias</w:t>
      </w:r>
      <w:r w:rsidRPr="00537C0E">
        <w:rPr>
          <w:rFonts w:ascii="Times New Roman" w:eastAsia="Calibri" w:hAnsi="Times New Roman" w:cs="Times New Roman"/>
          <w:kern w:val="0"/>
          <w:lang w:val="es-AR"/>
          <w14:ligatures w14:val="none"/>
        </w:rPr>
        <w:t xml:space="preserve"> y </w:t>
      </w:r>
      <w:r w:rsidRPr="00537C0E">
        <w:rPr>
          <w:rFonts w:ascii="Times New Roman" w:eastAsia="Calibri" w:hAnsi="Times New Roman" w:cs="Times New Roman"/>
          <w:bCs/>
          <w:kern w:val="0"/>
          <w:lang w:val="es-AR"/>
          <w14:ligatures w14:val="none"/>
        </w:rPr>
        <w:t>54 graduados</w:t>
      </w:r>
      <w:r w:rsidRPr="00537C0E">
        <w:rPr>
          <w:rFonts w:ascii="Times New Roman" w:eastAsia="Calibri" w:hAnsi="Times New Roman" w:cs="Times New Roman"/>
          <w:kern w:val="0"/>
          <w:lang w:val="es-AR"/>
          <w14:ligatures w14:val="none"/>
        </w:rPr>
        <w:t xml:space="preserve"> durante la </w:t>
      </w:r>
      <w:r w:rsidRPr="00537C0E">
        <w:rPr>
          <w:rFonts w:ascii="Times New Roman" w:eastAsia="Calibri" w:hAnsi="Times New Roman" w:cs="Times New Roman"/>
          <w:kern w:val="0"/>
          <w:lang w:val="es-AR"/>
          <w14:ligatures w14:val="none"/>
        </w:rPr>
        <w:lastRenderedPageBreak/>
        <w:t xml:space="preserve">edición 2023-2024, además de la participación de un total de 186 estudiantes en el ciclo de talleres "Cerca del Egreso". </w:t>
      </w:r>
    </w:p>
    <w:p w14:paraId="7EA038F3" w14:textId="1CD43294"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En segundo término, se incorporó el análisis de la encuesta </w:t>
      </w:r>
      <w:r w:rsidRPr="00537C0E">
        <w:rPr>
          <w:rFonts w:ascii="Times New Roman" w:eastAsia="Calibri" w:hAnsi="Times New Roman" w:cs="Times New Roman"/>
          <w:bCs/>
          <w:kern w:val="0"/>
          <w:lang w:val="es-AR"/>
          <w14:ligatures w14:val="none"/>
        </w:rPr>
        <w:t>"Mi trayectoria académica en la UNT" suministrada entre octubre 2025 y febrero 2026</w:t>
      </w:r>
      <w:r w:rsidRPr="00537C0E">
        <w:rPr>
          <w:rFonts w:ascii="Times New Roman" w:eastAsia="Calibri" w:hAnsi="Times New Roman" w:cs="Times New Roman"/>
          <w:kern w:val="0"/>
          <w:lang w:val="es-AR"/>
          <w14:ligatures w14:val="none"/>
        </w:rPr>
        <w:t xml:space="preserve">, y respondida por </w:t>
      </w:r>
      <w:r w:rsidRPr="00537C0E">
        <w:rPr>
          <w:rFonts w:ascii="Times New Roman" w:eastAsia="Calibri" w:hAnsi="Times New Roman" w:cs="Times New Roman"/>
          <w:bCs/>
          <w:kern w:val="0"/>
          <w:lang w:val="es-AR"/>
          <w14:ligatures w14:val="none"/>
        </w:rPr>
        <w:t>3.281 estudiantes universitarios, de carreras de grado y pregrado de toda la universidad</w:t>
      </w:r>
      <w:r w:rsidRPr="00537C0E">
        <w:rPr>
          <w:rFonts w:ascii="Times New Roman" w:eastAsia="Calibri" w:hAnsi="Times New Roman" w:cs="Times New Roman"/>
          <w:kern w:val="0"/>
          <w:lang w:val="es-AR"/>
          <w14:ligatures w14:val="none"/>
        </w:rPr>
        <w:t xml:space="preserve">, constituyéndose en una de las fuentes principales para identificar condiciones sociales, académicas e institucionales que </w:t>
      </w:r>
      <w:r w:rsidRPr="00537C0E">
        <w:rPr>
          <w:rFonts w:ascii="Times New Roman" w:eastAsia="Calibri" w:hAnsi="Times New Roman" w:cs="Times New Roman"/>
          <w:kern w:val="0"/>
          <w:lang w:val="es-AR"/>
          <w14:ligatures w14:val="none"/>
        </w:rPr>
        <w:t>incidirían</w:t>
      </w:r>
      <w:bookmarkStart w:id="0" w:name="_GoBack"/>
      <w:bookmarkEnd w:id="0"/>
      <w:r w:rsidRPr="00537C0E">
        <w:rPr>
          <w:rFonts w:ascii="Times New Roman" w:eastAsia="Calibri" w:hAnsi="Times New Roman" w:cs="Times New Roman"/>
          <w:kern w:val="0"/>
          <w:lang w:val="es-AR"/>
          <w14:ligatures w14:val="none"/>
        </w:rPr>
        <w:t xml:space="preserve"> tanto en la permanencia y el egreso universitario.</w:t>
      </w:r>
    </w:p>
    <w:p w14:paraId="63B5B909"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Como complemento, se analizaron los resultados de la encuesta </w:t>
      </w:r>
      <w:r w:rsidRPr="00537C0E">
        <w:rPr>
          <w:rFonts w:ascii="Times New Roman" w:eastAsia="Calibri" w:hAnsi="Times New Roman" w:cs="Times New Roman"/>
          <w:b/>
          <w:bCs/>
          <w:kern w:val="0"/>
          <w:lang w:val="es-AR"/>
          <w14:ligatures w14:val="none"/>
        </w:rPr>
        <w:t>"</w:t>
      </w:r>
      <w:r w:rsidRPr="00537C0E">
        <w:rPr>
          <w:rFonts w:ascii="Times New Roman" w:eastAsia="Calibri" w:hAnsi="Times New Roman" w:cs="Times New Roman"/>
          <w:bCs/>
          <w:kern w:val="0"/>
          <w:lang w:val="es-AR"/>
          <w14:ligatures w14:val="none"/>
        </w:rPr>
        <w:t>Hablemos de Evaluaciones en la UNT"</w:t>
      </w:r>
      <w:r w:rsidRPr="00537C0E">
        <w:rPr>
          <w:rFonts w:ascii="Times New Roman" w:eastAsia="Calibri" w:hAnsi="Times New Roman" w:cs="Times New Roman"/>
          <w:kern w:val="0"/>
          <w:lang w:val="es-AR"/>
          <w14:ligatures w14:val="none"/>
        </w:rPr>
        <w:t xml:space="preserve">, administrada a estudiantes participantes del Programa PG. Este relevamiento alcanzó </w:t>
      </w:r>
      <w:r w:rsidRPr="00537C0E">
        <w:rPr>
          <w:rFonts w:ascii="Times New Roman" w:eastAsia="Calibri" w:hAnsi="Times New Roman" w:cs="Times New Roman"/>
          <w:bCs/>
          <w:kern w:val="0"/>
          <w:lang w:val="es-AR"/>
          <w14:ligatures w14:val="none"/>
        </w:rPr>
        <w:t>392 estudiantes pertenecientes a todas las unidades académicas</w:t>
      </w:r>
      <w:r w:rsidRPr="00537C0E">
        <w:rPr>
          <w:rFonts w:ascii="Times New Roman" w:eastAsia="Calibri" w:hAnsi="Times New Roman" w:cs="Times New Roman"/>
          <w:kern w:val="0"/>
          <w:lang w:val="es-AR"/>
          <w14:ligatures w14:val="none"/>
        </w:rPr>
        <w:t xml:space="preserve"> y tuvo como propósito explorar las experiencias estudiantiles vinculadas con los procesos de evaluación. Sus resultados permitieron identificar aspectos significativos relacionados con las modalidades predominantes de evaluación, las experiencias emocionales asociadas a los exámenes y las necesidades de acompañamiento académico, constituyéndose posteriormente en insumo para el diseño de nuevas acciones institucionales. </w:t>
      </w:r>
    </w:p>
    <w:p w14:paraId="4D888ABA"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El análisis de la información se realizó desde la perspectiva conceptual de las trayectorias estudiantiles desarrollada en el apartado precedente. En consecuencia, los datos no fueron interpretados como atributos individuales de los estudiantes, sino como expresiones de procesos en los que convergen dimensiones estructurales, biográficas, institucionales y </w:t>
      </w:r>
      <w:proofErr w:type="spellStart"/>
      <w:r w:rsidRPr="00537C0E">
        <w:rPr>
          <w:rFonts w:ascii="Times New Roman" w:eastAsia="Calibri" w:hAnsi="Times New Roman" w:cs="Times New Roman"/>
          <w:kern w:val="0"/>
          <w:lang w:val="es-AR"/>
          <w14:ligatures w14:val="none"/>
        </w:rPr>
        <w:t>sociohistóricas</w:t>
      </w:r>
      <w:proofErr w:type="spellEnd"/>
      <w:r w:rsidRPr="00537C0E">
        <w:rPr>
          <w:rFonts w:ascii="Times New Roman" w:eastAsia="Calibri" w:hAnsi="Times New Roman" w:cs="Times New Roman"/>
          <w:kern w:val="0"/>
          <w:lang w:val="es-AR"/>
          <w14:ligatures w14:val="none"/>
        </w:rPr>
        <w:t>. Desde este enfoque, las voces estudiantiles constituyen una vía privilegiada para comprender no solo las experiencias de quienes transitan la universidad, sino también las condiciones institucionales que favorecen u obstaculizan el ejercicio efectivo del derecho a la educación superior.</w:t>
      </w:r>
    </w:p>
    <w:p w14:paraId="0A3ED019"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Por ultimo cabe señalar que los informes analizados corresponden a documentos técnicos elaborados por y desde la Secretaría Académica de la UNT tratándose de documentos de circulación institucional interna utilizados como insumos para la formulación y evaluación de políticas académicas.</w:t>
      </w:r>
    </w:p>
    <w:p w14:paraId="26C21059"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4. Resultados y discusión</w:t>
      </w:r>
    </w:p>
    <w:p w14:paraId="7DF9E1D2"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4.1. Las trayectorias estudiantiles en la UNT: entre la heterogeneidad biográfica y las condiciones estructurales</w:t>
      </w:r>
    </w:p>
    <w:p w14:paraId="76593E08"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Uno de los hallazgos más significativos del estudio refiere a la creciente heterogeneidad del estudiantado universitario y a la necesidad de revisar críticamente la figura implícita de estudiante sobre la cual continúan organizándose muchas prácticas institucionales. La encuesta respondida por más de tres mil </w:t>
      </w:r>
      <w:r w:rsidRPr="00537C0E">
        <w:rPr>
          <w:rFonts w:ascii="Times New Roman" w:eastAsia="Calibri" w:hAnsi="Times New Roman" w:cs="Times New Roman"/>
          <w:bCs/>
          <w:kern w:val="0"/>
          <w:lang w:val="es-AR"/>
          <w14:ligatures w14:val="none"/>
        </w:rPr>
        <w:t>estudiantes pertenecientes a 93 carreras</w:t>
      </w:r>
      <w:r w:rsidRPr="00537C0E">
        <w:rPr>
          <w:rFonts w:ascii="Times New Roman" w:eastAsia="Calibri" w:hAnsi="Times New Roman" w:cs="Times New Roman"/>
          <w:kern w:val="0"/>
          <w:lang w:val="es-AR"/>
          <w14:ligatures w14:val="none"/>
        </w:rPr>
        <w:t xml:space="preserve">, permite advertir que las trayectorias académicas se desarrollan bajo condiciones biográficas, sociales y materiales profundamente diversas, que tensionan con un modelo universitario históricamente estructurado en torno a un estudiante joven, con dedicación exclusiva al estudio y con disponibilidad horaria plena. </w:t>
      </w:r>
    </w:p>
    <w:p w14:paraId="58ADA5C7" w14:textId="77777777" w:rsidR="00537C0E" w:rsidRPr="00537C0E" w:rsidRDefault="00537C0E" w:rsidP="00537C0E">
      <w:pPr>
        <w:spacing w:line="240" w:lineRule="auto"/>
        <w:jc w:val="both"/>
        <w:rPr>
          <w:rFonts w:ascii="Times New Roman" w:eastAsia="Calibri" w:hAnsi="Times New Roman" w:cs="Times New Roman"/>
          <w:bCs/>
          <w:kern w:val="0"/>
          <w:lang w:val="es-AR"/>
          <w14:ligatures w14:val="none"/>
        </w:rPr>
      </w:pPr>
      <w:r w:rsidRPr="00537C0E">
        <w:rPr>
          <w:rFonts w:ascii="Times New Roman" w:eastAsia="Calibri" w:hAnsi="Times New Roman" w:cs="Times New Roman"/>
          <w:bCs/>
          <w:kern w:val="0"/>
          <w:lang w:val="es-AR"/>
          <w14:ligatures w14:val="none"/>
        </w:rPr>
        <w:t>a) Un sujeto adulto con responsabilidades múltiples</w:t>
      </w:r>
    </w:p>
    <w:p w14:paraId="18BD9A4A"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lastRenderedPageBreak/>
        <w:t xml:space="preserve">Un primer rasgo que emerge con fuerza es el progresivo corrimiento del perfil tradicional del estudiantado universitario. La edad promedio de quienes respondieron la encuesta es de </w:t>
      </w:r>
      <w:r w:rsidRPr="00537C0E">
        <w:rPr>
          <w:rFonts w:ascii="Times New Roman" w:eastAsia="Calibri" w:hAnsi="Times New Roman" w:cs="Times New Roman"/>
          <w:bCs/>
          <w:kern w:val="0"/>
          <w:lang w:val="es-AR"/>
          <w14:ligatures w14:val="none"/>
        </w:rPr>
        <w:t>29 años</w:t>
      </w:r>
      <w:r w:rsidRPr="00537C0E">
        <w:rPr>
          <w:rFonts w:ascii="Times New Roman" w:eastAsia="Calibri" w:hAnsi="Times New Roman" w:cs="Times New Roman"/>
          <w:kern w:val="0"/>
          <w:lang w:val="es-AR"/>
          <w14:ligatures w14:val="none"/>
        </w:rPr>
        <w:t xml:space="preserve">, con un rango que va de </w:t>
      </w:r>
      <w:r w:rsidRPr="00537C0E">
        <w:rPr>
          <w:rFonts w:ascii="Times New Roman" w:eastAsia="Calibri" w:hAnsi="Times New Roman" w:cs="Times New Roman"/>
          <w:bCs/>
          <w:kern w:val="0"/>
          <w:lang w:val="es-AR"/>
          <w14:ligatures w14:val="none"/>
        </w:rPr>
        <w:t>17 a 72 años</w:t>
      </w:r>
      <w:r w:rsidRPr="00537C0E">
        <w:rPr>
          <w:rFonts w:ascii="Times New Roman" w:eastAsia="Calibri" w:hAnsi="Times New Roman" w:cs="Times New Roman"/>
          <w:kern w:val="0"/>
          <w:lang w:val="es-AR"/>
          <w14:ligatures w14:val="none"/>
        </w:rPr>
        <w:t xml:space="preserve">, lo que evidencia que el sujeto pedagógico universitario ya no puede pensarse exclusivamente como un joven recién egresado del nivel secundario. Este dato resulta aún más significativo si se considera que, en la UNT, la población ingresante menor de 20 años representó en 2024 solo el </w:t>
      </w:r>
      <w:r w:rsidRPr="00537C0E">
        <w:rPr>
          <w:rFonts w:ascii="Times New Roman" w:eastAsia="Calibri" w:hAnsi="Times New Roman" w:cs="Times New Roman"/>
          <w:bCs/>
          <w:kern w:val="0"/>
          <w:lang w:val="es-AR"/>
          <w14:ligatures w14:val="none"/>
        </w:rPr>
        <w:t>39%</w:t>
      </w:r>
      <w:r w:rsidRPr="00537C0E">
        <w:rPr>
          <w:rFonts w:ascii="Times New Roman" w:eastAsia="Calibri" w:hAnsi="Times New Roman" w:cs="Times New Roman"/>
          <w:kern w:val="0"/>
          <w:lang w:val="es-AR"/>
          <w14:ligatures w14:val="none"/>
        </w:rPr>
        <w:t xml:space="preserve"> del total, fenómeno que sugiere un cierto envejecimiento de la población estudiantil y una creciente diversificación de las trayectorias de ingreso y permanencia.</w:t>
      </w:r>
    </w:p>
    <w:p w14:paraId="3CD4B7F0"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A ello se suma que una proporción significativa del estudiantado sostiene simultáneamente responsabilidades laborales. El </w:t>
      </w:r>
      <w:r w:rsidRPr="00537C0E">
        <w:rPr>
          <w:rFonts w:ascii="Times New Roman" w:eastAsia="Calibri" w:hAnsi="Times New Roman" w:cs="Times New Roman"/>
          <w:bCs/>
          <w:kern w:val="0"/>
          <w:lang w:val="es-AR"/>
          <w14:ligatures w14:val="none"/>
        </w:rPr>
        <w:t>60% trabaja</w:t>
      </w:r>
      <w:r w:rsidRPr="00537C0E">
        <w:rPr>
          <w:rFonts w:ascii="Times New Roman" w:eastAsia="Calibri" w:hAnsi="Times New Roman" w:cs="Times New Roman"/>
          <w:kern w:val="0"/>
          <w:lang w:val="es-AR"/>
          <w14:ligatures w14:val="none"/>
        </w:rPr>
        <w:t>, ya sea de manera regular durante la semana (</w:t>
      </w:r>
      <w:r w:rsidRPr="00537C0E">
        <w:rPr>
          <w:rFonts w:ascii="Times New Roman" w:eastAsia="Calibri" w:hAnsi="Times New Roman" w:cs="Times New Roman"/>
          <w:bCs/>
          <w:kern w:val="0"/>
          <w:lang w:val="es-AR"/>
          <w14:ligatures w14:val="none"/>
        </w:rPr>
        <w:t>39%</w:t>
      </w:r>
      <w:r w:rsidRPr="00537C0E">
        <w:rPr>
          <w:rFonts w:ascii="Times New Roman" w:eastAsia="Calibri" w:hAnsi="Times New Roman" w:cs="Times New Roman"/>
          <w:kern w:val="0"/>
          <w:lang w:val="es-AR"/>
          <w14:ligatures w14:val="none"/>
        </w:rPr>
        <w:t>), los fines de semana (</w:t>
      </w:r>
      <w:r w:rsidRPr="00537C0E">
        <w:rPr>
          <w:rFonts w:ascii="Times New Roman" w:eastAsia="Calibri" w:hAnsi="Times New Roman" w:cs="Times New Roman"/>
          <w:bCs/>
          <w:kern w:val="0"/>
          <w:lang w:val="es-AR"/>
          <w14:ligatures w14:val="none"/>
        </w:rPr>
        <w:t>5%</w:t>
      </w:r>
      <w:r w:rsidRPr="00537C0E">
        <w:rPr>
          <w:rFonts w:ascii="Times New Roman" w:eastAsia="Calibri" w:hAnsi="Times New Roman" w:cs="Times New Roman"/>
          <w:kern w:val="0"/>
          <w:lang w:val="es-AR"/>
          <w14:ligatures w14:val="none"/>
        </w:rPr>
        <w:t>) o eventualmente (</w:t>
      </w:r>
      <w:r w:rsidRPr="00537C0E">
        <w:rPr>
          <w:rFonts w:ascii="Times New Roman" w:eastAsia="Calibri" w:hAnsi="Times New Roman" w:cs="Times New Roman"/>
          <w:bCs/>
          <w:kern w:val="0"/>
          <w:lang w:val="es-AR"/>
          <w14:ligatures w14:val="none"/>
        </w:rPr>
        <w:t>16%</w:t>
      </w:r>
      <w:r w:rsidRPr="00537C0E">
        <w:rPr>
          <w:rFonts w:ascii="Times New Roman" w:eastAsia="Calibri" w:hAnsi="Times New Roman" w:cs="Times New Roman"/>
          <w:kern w:val="0"/>
          <w:lang w:val="es-AR"/>
          <w14:ligatures w14:val="none"/>
        </w:rPr>
        <w:t xml:space="preserve">). Además, un </w:t>
      </w:r>
      <w:r w:rsidRPr="00537C0E">
        <w:rPr>
          <w:rFonts w:ascii="Times New Roman" w:eastAsia="Calibri" w:hAnsi="Times New Roman" w:cs="Times New Roman"/>
          <w:bCs/>
          <w:kern w:val="0"/>
          <w:lang w:val="es-AR"/>
          <w14:ligatures w14:val="none"/>
        </w:rPr>
        <w:t>25%</w:t>
      </w:r>
      <w:r w:rsidRPr="00537C0E">
        <w:rPr>
          <w:rFonts w:ascii="Times New Roman" w:eastAsia="Calibri" w:hAnsi="Times New Roman" w:cs="Times New Roman"/>
          <w:kern w:val="0"/>
          <w:lang w:val="es-AR"/>
          <w14:ligatures w14:val="none"/>
        </w:rPr>
        <w:t xml:space="preserve"> no trabaja, pero se encuentra buscando empleo. Entre quienes trabajan, el </w:t>
      </w:r>
      <w:r w:rsidRPr="00537C0E">
        <w:rPr>
          <w:rFonts w:ascii="Times New Roman" w:eastAsia="Calibri" w:hAnsi="Times New Roman" w:cs="Times New Roman"/>
          <w:bCs/>
          <w:kern w:val="0"/>
          <w:lang w:val="es-AR"/>
          <w14:ligatures w14:val="none"/>
        </w:rPr>
        <w:t>73% dedica más de 10 horas semanales</w:t>
      </w:r>
      <w:r w:rsidRPr="00537C0E">
        <w:rPr>
          <w:rFonts w:ascii="Times New Roman" w:eastAsia="Calibri" w:hAnsi="Times New Roman" w:cs="Times New Roman"/>
          <w:kern w:val="0"/>
          <w:lang w:val="es-AR"/>
          <w14:ligatures w14:val="none"/>
        </w:rPr>
        <w:t xml:space="preserve"> a actividades laborales. </w:t>
      </w:r>
    </w:p>
    <w:p w14:paraId="47A14EB9"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Las condiciones de descanso y movilidad también aportan información relevante sobre la vida cotidiana estudiantil. El </w:t>
      </w:r>
      <w:r w:rsidRPr="00537C0E">
        <w:rPr>
          <w:rFonts w:ascii="Times New Roman" w:eastAsia="Calibri" w:hAnsi="Times New Roman" w:cs="Times New Roman"/>
          <w:bCs/>
          <w:kern w:val="0"/>
          <w:lang w:val="es-AR"/>
          <w14:ligatures w14:val="none"/>
        </w:rPr>
        <w:t>79% duerme entre 5 y 7 horas por día</w:t>
      </w:r>
      <w:r w:rsidRPr="00537C0E">
        <w:rPr>
          <w:rFonts w:ascii="Times New Roman" w:eastAsia="Calibri" w:hAnsi="Times New Roman" w:cs="Times New Roman"/>
          <w:kern w:val="0"/>
          <w:lang w:val="es-AR"/>
          <w14:ligatures w14:val="none"/>
        </w:rPr>
        <w:t xml:space="preserve">, cifra inferior a las recomendaciones de descanso saludable, mientras que más del </w:t>
      </w:r>
      <w:r w:rsidRPr="00537C0E">
        <w:rPr>
          <w:rFonts w:ascii="Times New Roman" w:eastAsia="Calibri" w:hAnsi="Times New Roman" w:cs="Times New Roman"/>
          <w:bCs/>
          <w:kern w:val="0"/>
          <w:lang w:val="es-AR"/>
          <w14:ligatures w14:val="none"/>
        </w:rPr>
        <w:t>40% tarda dos horas o más en trasladarse</w:t>
      </w:r>
      <w:r w:rsidRPr="00537C0E">
        <w:rPr>
          <w:rFonts w:ascii="Times New Roman" w:eastAsia="Calibri" w:hAnsi="Times New Roman" w:cs="Times New Roman"/>
          <w:kern w:val="0"/>
          <w:lang w:val="es-AR"/>
          <w14:ligatures w14:val="none"/>
        </w:rPr>
        <w:t xml:space="preserve">, y un </w:t>
      </w:r>
      <w:r w:rsidRPr="00537C0E">
        <w:rPr>
          <w:rFonts w:ascii="Times New Roman" w:eastAsia="Calibri" w:hAnsi="Times New Roman" w:cs="Times New Roman"/>
          <w:bCs/>
          <w:kern w:val="0"/>
          <w:lang w:val="es-AR"/>
          <w14:ligatures w14:val="none"/>
        </w:rPr>
        <w:t>15% invierte tres o más horas diarias</w:t>
      </w:r>
      <w:r w:rsidRPr="00537C0E">
        <w:rPr>
          <w:rFonts w:ascii="Times New Roman" w:eastAsia="Calibri" w:hAnsi="Times New Roman" w:cs="Times New Roman"/>
          <w:kern w:val="0"/>
          <w:lang w:val="es-AR"/>
          <w14:ligatures w14:val="none"/>
        </w:rPr>
        <w:t xml:space="preserve"> en traslados. La procedencia territorial refuerza esta complejidad: si bien el </w:t>
      </w:r>
      <w:r w:rsidRPr="00537C0E">
        <w:rPr>
          <w:rFonts w:ascii="Times New Roman" w:eastAsia="Calibri" w:hAnsi="Times New Roman" w:cs="Times New Roman"/>
          <w:bCs/>
          <w:kern w:val="0"/>
          <w:lang w:val="es-AR"/>
          <w14:ligatures w14:val="none"/>
        </w:rPr>
        <w:t>42% proviene de San Miguel de Tucumán</w:t>
      </w:r>
      <w:r w:rsidRPr="00537C0E">
        <w:rPr>
          <w:rFonts w:ascii="Times New Roman" w:eastAsia="Calibri" w:hAnsi="Times New Roman" w:cs="Times New Roman"/>
          <w:kern w:val="0"/>
          <w:lang w:val="es-AR"/>
          <w14:ligatures w14:val="none"/>
        </w:rPr>
        <w:t>, una proporción importante se traslada desde Tafí Viejo (</w:t>
      </w:r>
      <w:r w:rsidRPr="00537C0E">
        <w:rPr>
          <w:rFonts w:ascii="Times New Roman" w:eastAsia="Calibri" w:hAnsi="Times New Roman" w:cs="Times New Roman"/>
          <w:bCs/>
          <w:kern w:val="0"/>
          <w:lang w:val="es-AR"/>
          <w14:ligatures w14:val="none"/>
        </w:rPr>
        <w:t>9%</w:t>
      </w:r>
      <w:r w:rsidRPr="00537C0E">
        <w:rPr>
          <w:rFonts w:ascii="Times New Roman" w:eastAsia="Calibri" w:hAnsi="Times New Roman" w:cs="Times New Roman"/>
          <w:kern w:val="0"/>
          <w:lang w:val="es-AR"/>
          <w14:ligatures w14:val="none"/>
        </w:rPr>
        <w:t>), Cruz Alta (</w:t>
      </w:r>
      <w:r w:rsidRPr="00537C0E">
        <w:rPr>
          <w:rFonts w:ascii="Times New Roman" w:eastAsia="Calibri" w:hAnsi="Times New Roman" w:cs="Times New Roman"/>
          <w:bCs/>
          <w:kern w:val="0"/>
          <w:lang w:val="es-AR"/>
          <w14:ligatures w14:val="none"/>
        </w:rPr>
        <w:t>8%</w:t>
      </w:r>
      <w:r w:rsidRPr="00537C0E">
        <w:rPr>
          <w:rFonts w:ascii="Times New Roman" w:eastAsia="Calibri" w:hAnsi="Times New Roman" w:cs="Times New Roman"/>
          <w:kern w:val="0"/>
          <w:lang w:val="es-AR"/>
          <w14:ligatures w14:val="none"/>
        </w:rPr>
        <w:t>), Yerba Buena (</w:t>
      </w:r>
      <w:r w:rsidRPr="00537C0E">
        <w:rPr>
          <w:rFonts w:ascii="Times New Roman" w:eastAsia="Calibri" w:hAnsi="Times New Roman" w:cs="Times New Roman"/>
          <w:bCs/>
          <w:kern w:val="0"/>
          <w:lang w:val="es-AR"/>
          <w14:ligatures w14:val="none"/>
        </w:rPr>
        <w:t>8%</w:t>
      </w:r>
      <w:r w:rsidRPr="00537C0E">
        <w:rPr>
          <w:rFonts w:ascii="Times New Roman" w:eastAsia="Calibri" w:hAnsi="Times New Roman" w:cs="Times New Roman"/>
          <w:kern w:val="0"/>
          <w:lang w:val="es-AR"/>
          <w14:ligatures w14:val="none"/>
        </w:rPr>
        <w:t>), otros departamentos del interior (</w:t>
      </w:r>
      <w:r w:rsidRPr="00537C0E">
        <w:rPr>
          <w:rFonts w:ascii="Times New Roman" w:eastAsia="Calibri" w:hAnsi="Times New Roman" w:cs="Times New Roman"/>
          <w:bCs/>
          <w:kern w:val="0"/>
          <w:lang w:val="es-AR"/>
          <w14:ligatures w14:val="none"/>
        </w:rPr>
        <w:t>17%</w:t>
      </w:r>
      <w:r w:rsidRPr="00537C0E">
        <w:rPr>
          <w:rFonts w:ascii="Times New Roman" w:eastAsia="Calibri" w:hAnsi="Times New Roman" w:cs="Times New Roman"/>
          <w:kern w:val="0"/>
          <w:lang w:val="es-AR"/>
          <w14:ligatures w14:val="none"/>
        </w:rPr>
        <w:t>) e incluso otras provincias (</w:t>
      </w:r>
      <w:r w:rsidRPr="00537C0E">
        <w:rPr>
          <w:rFonts w:ascii="Times New Roman" w:eastAsia="Calibri" w:hAnsi="Times New Roman" w:cs="Times New Roman"/>
          <w:bCs/>
          <w:kern w:val="0"/>
          <w:lang w:val="es-AR"/>
          <w14:ligatures w14:val="none"/>
        </w:rPr>
        <w:t>14%</w:t>
      </w:r>
      <w:r w:rsidRPr="00537C0E">
        <w:rPr>
          <w:rFonts w:ascii="Times New Roman" w:eastAsia="Calibri" w:hAnsi="Times New Roman" w:cs="Times New Roman"/>
          <w:kern w:val="0"/>
          <w:lang w:val="es-AR"/>
          <w14:ligatures w14:val="none"/>
        </w:rPr>
        <w:t xml:space="preserve">). </w:t>
      </w:r>
    </w:p>
    <w:p w14:paraId="1255F590"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Estos datos muestran que el sujeto pedagógico que hoy habita la universidad no es únicamente “estudiante”. Se trata, en muchos casos, de un sujeto simultáneamente </w:t>
      </w:r>
      <w:r w:rsidRPr="00537C0E">
        <w:rPr>
          <w:rFonts w:ascii="Times New Roman" w:eastAsia="Calibri" w:hAnsi="Times New Roman" w:cs="Times New Roman"/>
          <w:bCs/>
          <w:kern w:val="0"/>
          <w:lang w:val="es-AR"/>
          <w14:ligatures w14:val="none"/>
        </w:rPr>
        <w:t>trabajador-cuidador-estudiante</w:t>
      </w:r>
      <w:r w:rsidRPr="00537C0E">
        <w:rPr>
          <w:rFonts w:ascii="Times New Roman" w:eastAsia="Calibri" w:hAnsi="Times New Roman" w:cs="Times New Roman"/>
          <w:kern w:val="0"/>
          <w:lang w:val="es-AR"/>
          <w14:ligatures w14:val="none"/>
        </w:rPr>
        <w:t>, que debe negociar de manera permanente entre exigencias laborales, responsabilidades familiares y demandas académicas. Esta realidad interpela directamente aquellas prácticas pedagógicas y curriculares que continúan suponiendo disponibilidad plena para estudiar y sostener trayectorias lineales.</w:t>
      </w:r>
    </w:p>
    <w:p w14:paraId="06BA4D70" w14:textId="77777777" w:rsidR="00537C0E" w:rsidRPr="00537C0E" w:rsidRDefault="00537C0E" w:rsidP="00537C0E">
      <w:pPr>
        <w:spacing w:line="240" w:lineRule="auto"/>
        <w:jc w:val="both"/>
        <w:rPr>
          <w:rFonts w:ascii="Times New Roman" w:eastAsia="Calibri" w:hAnsi="Times New Roman" w:cs="Times New Roman"/>
          <w:bCs/>
          <w:kern w:val="0"/>
          <w:lang w:val="es-AR"/>
          <w14:ligatures w14:val="none"/>
        </w:rPr>
      </w:pPr>
      <w:r w:rsidRPr="00537C0E">
        <w:rPr>
          <w:rFonts w:ascii="Times New Roman" w:eastAsia="Calibri" w:hAnsi="Times New Roman" w:cs="Times New Roman"/>
          <w:bCs/>
          <w:kern w:val="0"/>
          <w:lang w:val="es-AR"/>
          <w14:ligatures w14:val="none"/>
        </w:rPr>
        <w:t>b) Un sujeto de primera generación universitaria</w:t>
      </w:r>
    </w:p>
    <w:p w14:paraId="3439770A"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Un segundo rasgo relevante refiere al fuerte peso de estudiantes de primera generación universitaria. La encuesta muestra que el </w:t>
      </w:r>
      <w:r w:rsidRPr="00537C0E">
        <w:rPr>
          <w:rFonts w:ascii="Times New Roman" w:eastAsia="Calibri" w:hAnsi="Times New Roman" w:cs="Times New Roman"/>
          <w:bCs/>
          <w:kern w:val="0"/>
          <w:lang w:val="es-AR"/>
          <w14:ligatures w14:val="none"/>
        </w:rPr>
        <w:t>71%</w:t>
      </w:r>
      <w:r w:rsidRPr="00537C0E">
        <w:rPr>
          <w:rFonts w:ascii="Times New Roman" w:eastAsia="Calibri" w:hAnsi="Times New Roman" w:cs="Times New Roman"/>
          <w:kern w:val="0"/>
          <w:lang w:val="es-AR"/>
          <w14:ligatures w14:val="none"/>
        </w:rPr>
        <w:t xml:space="preserve"> constituye primera generación universitaria si se considera el nivel educativo del padre, y el </w:t>
      </w:r>
      <w:r w:rsidRPr="00537C0E">
        <w:rPr>
          <w:rFonts w:ascii="Times New Roman" w:eastAsia="Calibri" w:hAnsi="Times New Roman" w:cs="Times New Roman"/>
          <w:bCs/>
          <w:kern w:val="0"/>
          <w:lang w:val="es-AR"/>
          <w14:ligatures w14:val="none"/>
        </w:rPr>
        <w:t>61%</w:t>
      </w:r>
      <w:r w:rsidRPr="00537C0E">
        <w:rPr>
          <w:rFonts w:ascii="Times New Roman" w:eastAsia="Calibri" w:hAnsi="Times New Roman" w:cs="Times New Roman"/>
          <w:kern w:val="0"/>
          <w:lang w:val="es-AR"/>
          <w14:ligatures w14:val="none"/>
        </w:rPr>
        <w:t xml:space="preserve"> si se toma el de la madre. Asimismo, el </w:t>
      </w:r>
      <w:r w:rsidRPr="00537C0E">
        <w:rPr>
          <w:rFonts w:ascii="Times New Roman" w:eastAsia="Calibri" w:hAnsi="Times New Roman" w:cs="Times New Roman"/>
          <w:bCs/>
          <w:kern w:val="0"/>
          <w:lang w:val="es-AR"/>
          <w14:ligatures w14:val="none"/>
        </w:rPr>
        <w:t>53% proviene de escuelas secundarias estatales</w:t>
      </w:r>
      <w:r w:rsidRPr="00537C0E">
        <w:rPr>
          <w:rFonts w:ascii="Times New Roman" w:eastAsia="Calibri" w:hAnsi="Times New Roman" w:cs="Times New Roman"/>
          <w:kern w:val="0"/>
          <w:lang w:val="es-AR"/>
          <w14:ligatures w14:val="none"/>
        </w:rPr>
        <w:t xml:space="preserve">. </w:t>
      </w:r>
    </w:p>
    <w:p w14:paraId="1B987AB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Estos datos resultan especialmente significativos porque permiten advertir que una parte importante del estudiantado construye su condición universitaria sin contar con capital cultural heredado ni con trayectorias familiares previas de educación superior. Esto implica que el ingreso a la universidad supone, para muchos, no solo la incorporación a un nuevo espacio educativo, sino también el aprendizaje de códigos institucionales, lógicas académicas y formas de relación con el conocimiento que no forman parte de sus experiencias previas.</w:t>
      </w:r>
    </w:p>
    <w:p w14:paraId="43A7E41E"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A ello se suma una limitada cobertura de políticas de apoyo económico. El </w:t>
      </w:r>
      <w:r w:rsidRPr="00537C0E">
        <w:rPr>
          <w:rFonts w:ascii="Times New Roman" w:eastAsia="Calibri" w:hAnsi="Times New Roman" w:cs="Times New Roman"/>
          <w:bCs/>
          <w:kern w:val="0"/>
          <w:lang w:val="es-AR"/>
          <w14:ligatures w14:val="none"/>
        </w:rPr>
        <w:t>58% no accede a ningún sistema de becas</w:t>
      </w:r>
      <w:r w:rsidRPr="00537C0E">
        <w:rPr>
          <w:rFonts w:ascii="Times New Roman" w:eastAsia="Calibri" w:hAnsi="Times New Roman" w:cs="Times New Roman"/>
          <w:kern w:val="0"/>
          <w:lang w:val="es-AR"/>
          <w14:ligatures w14:val="none"/>
        </w:rPr>
        <w:t xml:space="preserve">, mientras que solo el </w:t>
      </w:r>
      <w:r w:rsidRPr="00537C0E">
        <w:rPr>
          <w:rFonts w:ascii="Times New Roman" w:eastAsia="Calibri" w:hAnsi="Times New Roman" w:cs="Times New Roman"/>
          <w:bCs/>
          <w:kern w:val="0"/>
          <w:lang w:val="es-AR"/>
          <w14:ligatures w14:val="none"/>
        </w:rPr>
        <w:t>30% cuenta con boleto estudiantil</w:t>
      </w:r>
      <w:r w:rsidRPr="00537C0E">
        <w:rPr>
          <w:rFonts w:ascii="Times New Roman" w:eastAsia="Calibri" w:hAnsi="Times New Roman" w:cs="Times New Roman"/>
          <w:kern w:val="0"/>
          <w:lang w:val="es-AR"/>
          <w14:ligatures w14:val="none"/>
        </w:rPr>
        <w:t xml:space="preserve"> y el </w:t>
      </w:r>
      <w:r w:rsidRPr="00537C0E">
        <w:rPr>
          <w:rFonts w:ascii="Times New Roman" w:eastAsia="Calibri" w:hAnsi="Times New Roman" w:cs="Times New Roman"/>
          <w:bCs/>
          <w:kern w:val="0"/>
          <w:lang w:val="es-AR"/>
          <w14:ligatures w14:val="none"/>
        </w:rPr>
        <w:t>15% recibe beca Progresar</w:t>
      </w:r>
      <w:r w:rsidRPr="00537C0E">
        <w:rPr>
          <w:rFonts w:ascii="Times New Roman" w:eastAsia="Calibri" w:hAnsi="Times New Roman" w:cs="Times New Roman"/>
          <w:kern w:val="0"/>
          <w:lang w:val="es-AR"/>
          <w14:ligatures w14:val="none"/>
        </w:rPr>
        <w:t xml:space="preserve">. </w:t>
      </w:r>
    </w:p>
    <w:p w14:paraId="1AE72A7E"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Este escenario refuerza la necesidad de recuperar, en términos de </w:t>
      </w:r>
      <w:r w:rsidRPr="00537C0E">
        <w:rPr>
          <w:rFonts w:ascii="Times New Roman" w:eastAsia="Calibri" w:hAnsi="Times New Roman" w:cs="Times New Roman"/>
          <w:bCs/>
          <w:kern w:val="0"/>
          <w:lang w:val="es-AR"/>
          <w14:ligatures w14:val="none"/>
        </w:rPr>
        <w:t>Adriana Puiggrós (2025)</w:t>
      </w:r>
      <w:r w:rsidRPr="00537C0E">
        <w:rPr>
          <w:rFonts w:ascii="Times New Roman" w:eastAsia="Calibri" w:hAnsi="Times New Roman" w:cs="Times New Roman"/>
          <w:kern w:val="0"/>
          <w:lang w:val="es-AR"/>
          <w14:ligatures w14:val="none"/>
        </w:rPr>
        <w:t xml:space="preserve"> la relación indisoluble entre derecho y sujeto pedagógico. Reconocer la educación superior como derecho implica asumir que la universidad no puede limitarse a abrir sus </w:t>
      </w:r>
      <w:r w:rsidRPr="00537C0E">
        <w:rPr>
          <w:rFonts w:ascii="Times New Roman" w:eastAsia="Calibri" w:hAnsi="Times New Roman" w:cs="Times New Roman"/>
          <w:kern w:val="0"/>
          <w:lang w:val="es-AR"/>
          <w14:ligatures w14:val="none"/>
        </w:rPr>
        <w:lastRenderedPageBreak/>
        <w:t>puertas: debe generar las condiciones para que estos sujetos puedan efectivamente constituirse como estudiantes universitarios. En otras palabras, no puede asumir que el sujeto pedagógico ya está dado; debe contribuir activamente a su construcción.</w:t>
      </w:r>
    </w:p>
    <w:p w14:paraId="3155E437"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4720CD8C" w14:textId="77777777" w:rsidR="00537C0E" w:rsidRPr="00537C0E" w:rsidRDefault="00537C0E" w:rsidP="00537C0E">
      <w:pPr>
        <w:spacing w:line="240" w:lineRule="auto"/>
        <w:jc w:val="both"/>
        <w:rPr>
          <w:rFonts w:ascii="Times New Roman" w:eastAsia="Calibri" w:hAnsi="Times New Roman" w:cs="Times New Roman"/>
          <w:bCs/>
          <w:kern w:val="0"/>
          <w:lang w:val="es-AR"/>
          <w14:ligatures w14:val="none"/>
        </w:rPr>
      </w:pPr>
      <w:r w:rsidRPr="00537C0E">
        <w:rPr>
          <w:rFonts w:ascii="Times New Roman" w:eastAsia="Calibri" w:hAnsi="Times New Roman" w:cs="Times New Roman"/>
          <w:bCs/>
          <w:kern w:val="0"/>
          <w:lang w:val="es-AR"/>
          <w14:ligatures w14:val="none"/>
        </w:rPr>
        <w:t>c) Un sujeto heterogéneo con condiciones específicas</w:t>
      </w:r>
    </w:p>
    <w:p w14:paraId="507A5D35"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Un tercer elemento central del análisis refiere a la diversidad de condiciones específicas que atraviesan las trayectorias estudiantiles. La encuesta muestra que el </w:t>
      </w:r>
      <w:r w:rsidRPr="00537C0E">
        <w:rPr>
          <w:rFonts w:ascii="Times New Roman" w:eastAsia="Calibri" w:hAnsi="Times New Roman" w:cs="Times New Roman"/>
          <w:bCs/>
          <w:kern w:val="0"/>
          <w:lang w:val="es-AR"/>
          <w14:ligatures w14:val="none"/>
        </w:rPr>
        <w:t>31% del estudiantado manifiesta presentar algún tipo de dificultad</w:t>
      </w:r>
      <w:r w:rsidRPr="00537C0E">
        <w:rPr>
          <w:rFonts w:ascii="Times New Roman" w:eastAsia="Calibri" w:hAnsi="Times New Roman" w:cs="Times New Roman"/>
          <w:kern w:val="0"/>
          <w:lang w:val="es-AR"/>
          <w14:ligatures w14:val="none"/>
        </w:rPr>
        <w:t>, siendo las más frecuentes las vinculadas a problemas de visión (</w:t>
      </w:r>
      <w:r w:rsidRPr="00537C0E">
        <w:rPr>
          <w:rFonts w:ascii="Times New Roman" w:eastAsia="Calibri" w:hAnsi="Times New Roman" w:cs="Times New Roman"/>
          <w:bCs/>
          <w:kern w:val="0"/>
          <w:lang w:val="es-AR"/>
          <w14:ligatures w14:val="none"/>
        </w:rPr>
        <w:t>12%</w:t>
      </w:r>
      <w:r w:rsidRPr="00537C0E">
        <w:rPr>
          <w:rFonts w:ascii="Times New Roman" w:eastAsia="Calibri" w:hAnsi="Times New Roman" w:cs="Times New Roman"/>
          <w:kern w:val="0"/>
          <w:lang w:val="es-AR"/>
          <w14:ligatures w14:val="none"/>
        </w:rPr>
        <w:t>) y salud psíquica o emocional (</w:t>
      </w:r>
      <w:r w:rsidRPr="00537C0E">
        <w:rPr>
          <w:rFonts w:ascii="Times New Roman" w:eastAsia="Calibri" w:hAnsi="Times New Roman" w:cs="Times New Roman"/>
          <w:bCs/>
          <w:kern w:val="0"/>
          <w:lang w:val="es-AR"/>
          <w14:ligatures w14:val="none"/>
        </w:rPr>
        <w:t>10%</w:t>
      </w:r>
      <w:r w:rsidRPr="00537C0E">
        <w:rPr>
          <w:rFonts w:ascii="Times New Roman" w:eastAsia="Calibri" w:hAnsi="Times New Roman" w:cs="Times New Roman"/>
          <w:kern w:val="0"/>
          <w:lang w:val="es-AR"/>
          <w14:ligatures w14:val="none"/>
        </w:rPr>
        <w:t xml:space="preserve">). </w:t>
      </w:r>
    </w:p>
    <w:p w14:paraId="0156A2EF"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Este dato adquiere especial relevancia en un contexto donde las demandas asociadas a salud mental, ansiedad, estrés académico y bienestar emocional ocupan un lugar cada vez más visible en la experiencia universitaria contemporánea. Como desarrollamos en el marco teórico, estas problemáticas no pueden desvincularse de las transformaciones epocales que atraviesan las formas de subjetivación contemporánea.</w:t>
      </w:r>
    </w:p>
    <w:p w14:paraId="73B554C8"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Por otra parte, la composición de género del estudiantado también aporta elementos significativos: el </w:t>
      </w:r>
      <w:r w:rsidRPr="00537C0E">
        <w:rPr>
          <w:rFonts w:ascii="Times New Roman" w:eastAsia="Calibri" w:hAnsi="Times New Roman" w:cs="Times New Roman"/>
          <w:bCs/>
          <w:kern w:val="0"/>
          <w:lang w:val="es-AR"/>
          <w14:ligatures w14:val="none"/>
        </w:rPr>
        <w:t>66% de quienes respondieron son mujeres</w:t>
      </w:r>
      <w:r w:rsidRPr="00537C0E">
        <w:rPr>
          <w:rFonts w:ascii="Times New Roman" w:eastAsia="Calibri" w:hAnsi="Times New Roman" w:cs="Times New Roman"/>
          <w:kern w:val="0"/>
          <w:lang w:val="es-AR"/>
          <w14:ligatures w14:val="none"/>
        </w:rPr>
        <w:t>. En el contexto argentino y latinoamericano, este dato obliga a considerar las desigualdades persistentes en la distribución de tareas de cuidado no remuneradas, que continúan recayendo mayoritariamente sobre mujeres y diversidades.</w:t>
      </w:r>
    </w:p>
    <w:p w14:paraId="0E82721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conjunto, estos resultados permiten sostener que el sujeto pedagógico universitario contemporáneo es profundamente diverso, heterogéneo y atravesado por múltiples condiciones sociales, biográficas y materiales. Esta heterogeneidad exige revisar críticamente las prácticas de enseñanza, las estructuras curriculares y las políticas académicas, reconociendo estas diferencias no como déficits individuales sino como condiciones concretas desde las cuales se ejerce —o se limita— el derecho a la educación superior.</w:t>
      </w:r>
    </w:p>
    <w:p w14:paraId="3D5EF3D5"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Desde esta perspectiva, las trayectorias estudiantiles revelan con claridad que la permanencia y la graduación no dependen exclusivamente del esfuerzo individual. Constituyen procesos complejos que se configuran en la interacción entre condiciones estructurales, biografías singulares y respuestas institucionales. En este sentido, la heterogeneidad del estudiantado no debe ser leída como una excepción respecto de una norma implícita, sino como la condición real desde la cual hoy debe pensarse la democratización de la universidad pública.</w:t>
      </w:r>
    </w:p>
    <w:p w14:paraId="7EBCFD4E"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
    <w:p w14:paraId="334E8BC1"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4.2. Cuando las trayectorias interpelan a la institución: currículum, regulación académica y organización del cursado</w:t>
      </w:r>
    </w:p>
    <w:p w14:paraId="67542CAC"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Uno de los aportes más significativos de la encuesta institucional es que permite desplazar la mirada desde las condiciones individuales de los estudiantes hacia las condiciones institucionales que estructuran sus recorridos académicos. En este sentido, las trayectorias estudiantiles constituyen una vía privilegiada para analizar críticamente las formas en que la universidad organiza el acceso al conocimiento, regula los recorridos curriculares y configura las posibilidades reales de permanencia y egreso.</w:t>
      </w:r>
    </w:p>
    <w:p w14:paraId="2342C037"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lastRenderedPageBreak/>
        <w:t xml:space="preserve">Los datos relevados muestran, en primer lugar, una distribución relativamente equilibrada entre las distintas etapas de la trayectoria académica: el </w:t>
      </w:r>
      <w:r w:rsidRPr="00537C0E">
        <w:rPr>
          <w:rFonts w:ascii="Times New Roman" w:eastAsia="Calibri" w:hAnsi="Times New Roman" w:cs="Times New Roman"/>
          <w:bCs/>
          <w:kern w:val="0"/>
          <w:lang w:val="es-AR"/>
          <w14:ligatures w14:val="none"/>
        </w:rPr>
        <w:t>18%</w:t>
      </w:r>
      <w:r w:rsidRPr="00537C0E">
        <w:rPr>
          <w:rFonts w:ascii="Times New Roman" w:eastAsia="Calibri" w:hAnsi="Times New Roman" w:cs="Times New Roman"/>
          <w:kern w:val="0"/>
          <w:lang w:val="es-AR"/>
          <w14:ligatures w14:val="none"/>
        </w:rPr>
        <w:t xml:space="preserve"> de los estudiantes encuestados se encuentra en etapa inicial (primer año), el </w:t>
      </w:r>
      <w:r w:rsidRPr="00537C0E">
        <w:rPr>
          <w:rFonts w:ascii="Times New Roman" w:eastAsia="Calibri" w:hAnsi="Times New Roman" w:cs="Times New Roman"/>
          <w:bCs/>
          <w:kern w:val="0"/>
          <w:lang w:val="es-AR"/>
          <w14:ligatures w14:val="none"/>
        </w:rPr>
        <w:t>40%</w:t>
      </w:r>
      <w:r w:rsidRPr="00537C0E">
        <w:rPr>
          <w:rFonts w:ascii="Times New Roman" w:eastAsia="Calibri" w:hAnsi="Times New Roman" w:cs="Times New Roman"/>
          <w:kern w:val="0"/>
          <w:lang w:val="es-AR"/>
          <w14:ligatures w14:val="none"/>
        </w:rPr>
        <w:t xml:space="preserve"> en etapa intermedia (segundo y tercer año) y el </w:t>
      </w:r>
      <w:r w:rsidRPr="00537C0E">
        <w:rPr>
          <w:rFonts w:ascii="Times New Roman" w:eastAsia="Calibri" w:hAnsi="Times New Roman" w:cs="Times New Roman"/>
          <w:bCs/>
          <w:kern w:val="0"/>
          <w:lang w:val="es-AR"/>
          <w14:ligatures w14:val="none"/>
        </w:rPr>
        <w:t>42%</w:t>
      </w:r>
      <w:r w:rsidRPr="00537C0E">
        <w:rPr>
          <w:rFonts w:ascii="Times New Roman" w:eastAsia="Calibri" w:hAnsi="Times New Roman" w:cs="Times New Roman"/>
          <w:kern w:val="0"/>
          <w:lang w:val="es-AR"/>
          <w14:ligatures w14:val="none"/>
        </w:rPr>
        <w:t xml:space="preserve"> en etapa avanzada (cuarto año en adelante o en instancias próximas al egreso). </w:t>
      </w:r>
    </w:p>
    <w:p w14:paraId="52D4CFE0"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Este dato resulta especialmente significativo porque permite advertir que una proporción importante del estudiantado se encuentra transitando los tramos medios y finales de sus carreras, es decir, en etapas donde deberían consolidarse trayectorias de avance sostenido hacia la graduación. Sin embargo, al observar el año de ingreso emerge una tensión relevante entre trayectoria teórica y trayectoria real: el </w:t>
      </w:r>
      <w:r w:rsidRPr="00537C0E">
        <w:rPr>
          <w:rFonts w:ascii="Times New Roman" w:eastAsia="Calibri" w:hAnsi="Times New Roman" w:cs="Times New Roman"/>
          <w:bCs/>
          <w:kern w:val="0"/>
          <w:lang w:val="es-AR"/>
          <w14:ligatures w14:val="none"/>
        </w:rPr>
        <w:t>39% de los estudiantes encuestados ingresó entre 1983 y 2016</w:t>
      </w:r>
      <w:r w:rsidRPr="00537C0E">
        <w:rPr>
          <w:rFonts w:ascii="Times New Roman" w:eastAsia="Calibri" w:hAnsi="Times New Roman" w:cs="Times New Roman"/>
          <w:kern w:val="0"/>
          <w:lang w:val="es-AR"/>
          <w14:ligatures w14:val="none"/>
        </w:rPr>
        <w:t xml:space="preserve">. </w:t>
      </w:r>
    </w:p>
    <w:p w14:paraId="4937B2AB"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Este dato expresa con claridad la existencia de trayectorias prolongadas, discontinuas o lentificadas, que exceden ampliamente los tiempos teóricos previstos por los planes de estudio. La brecha entre duración teórica y duración real constituye uno de los principales analizadores institucionales, ya que obliga a interrogar no solamente las condiciones biográficas de los estudiantes, sino también las estructuras curriculares y regulatorias que condicionan sus recorridos.</w:t>
      </w:r>
    </w:p>
    <w:p w14:paraId="78CE3258"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Desde esta perspectiva, la </w:t>
      </w:r>
      <w:proofErr w:type="spellStart"/>
      <w:r w:rsidRPr="00537C0E">
        <w:rPr>
          <w:rFonts w:ascii="Times New Roman" w:eastAsia="Calibri" w:hAnsi="Times New Roman" w:cs="Times New Roman"/>
          <w:kern w:val="0"/>
          <w:lang w:val="es-AR"/>
          <w14:ligatures w14:val="none"/>
        </w:rPr>
        <w:t>lentificación</w:t>
      </w:r>
      <w:proofErr w:type="spellEnd"/>
      <w:r w:rsidRPr="00537C0E">
        <w:rPr>
          <w:rFonts w:ascii="Times New Roman" w:eastAsia="Calibri" w:hAnsi="Times New Roman" w:cs="Times New Roman"/>
          <w:kern w:val="0"/>
          <w:lang w:val="es-AR"/>
          <w14:ligatures w14:val="none"/>
        </w:rPr>
        <w:t xml:space="preserve"> no puede ser interpretada exclusivamente como una consecuencia de dificultades personales o sociales. También debe comprenderse como el resultado de la interacción entre las condiciones de vida del estudiantado y las formas concretas en que la universidad organiza sus propuestas formativas.</w:t>
      </w:r>
    </w:p>
    <w:p w14:paraId="196E4D36"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Los datos muestran que, incluso entre quienes se encuentran en etapas avanzadas, el ritmo de cursado suele ser inferior al esperado según la trayectoria teórica. Entre los estudiantes de etapa inicial, el </w:t>
      </w:r>
      <w:r w:rsidRPr="00537C0E">
        <w:rPr>
          <w:rFonts w:ascii="Times New Roman" w:eastAsia="Calibri" w:hAnsi="Times New Roman" w:cs="Times New Roman"/>
          <w:bCs/>
          <w:kern w:val="0"/>
          <w:lang w:val="es-AR"/>
          <w14:ligatures w14:val="none"/>
        </w:rPr>
        <w:t>41% cursa entre cinco y seis materias</w:t>
      </w:r>
      <w:r w:rsidRPr="00537C0E">
        <w:rPr>
          <w:rFonts w:ascii="Times New Roman" w:eastAsia="Calibri" w:hAnsi="Times New Roman" w:cs="Times New Roman"/>
          <w:kern w:val="0"/>
          <w:lang w:val="es-AR"/>
          <w14:ligatures w14:val="none"/>
        </w:rPr>
        <w:t xml:space="preserve">; en la etapa intermedia este porcentaje desciende al </w:t>
      </w:r>
      <w:r w:rsidRPr="00537C0E">
        <w:rPr>
          <w:rFonts w:ascii="Times New Roman" w:eastAsia="Calibri" w:hAnsi="Times New Roman" w:cs="Times New Roman"/>
          <w:bCs/>
          <w:kern w:val="0"/>
          <w:lang w:val="es-AR"/>
          <w14:ligatures w14:val="none"/>
        </w:rPr>
        <w:t>33%</w:t>
      </w:r>
      <w:r w:rsidRPr="00537C0E">
        <w:rPr>
          <w:rFonts w:ascii="Times New Roman" w:eastAsia="Calibri" w:hAnsi="Times New Roman" w:cs="Times New Roman"/>
          <w:kern w:val="0"/>
          <w:lang w:val="es-AR"/>
          <w14:ligatures w14:val="none"/>
        </w:rPr>
        <w:t xml:space="preserve">, mientras que en la etapa avanzada se reduce al </w:t>
      </w:r>
      <w:r w:rsidRPr="00537C0E">
        <w:rPr>
          <w:rFonts w:ascii="Times New Roman" w:eastAsia="Calibri" w:hAnsi="Times New Roman" w:cs="Times New Roman"/>
          <w:bCs/>
          <w:kern w:val="0"/>
          <w:lang w:val="es-AR"/>
          <w14:ligatures w14:val="none"/>
        </w:rPr>
        <w:t>25%</w:t>
      </w:r>
      <w:r w:rsidRPr="00537C0E">
        <w:rPr>
          <w:rFonts w:ascii="Times New Roman" w:eastAsia="Calibri" w:hAnsi="Times New Roman" w:cs="Times New Roman"/>
          <w:kern w:val="0"/>
          <w:lang w:val="es-AR"/>
          <w14:ligatures w14:val="none"/>
        </w:rPr>
        <w:t xml:space="preserve">. </w:t>
      </w:r>
    </w:p>
    <w:p w14:paraId="3794D22E"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Esto sugiere que, a medida que avanzan en sus carreras, los estudiantes deben desplegar estrategias de reorganización curricular para sostener su permanencia. Estas estrategias aparecen fuertemente condicionadas por las exigencias estructurales de los planes de estudio.</w:t>
      </w:r>
    </w:p>
    <w:p w14:paraId="63500613"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Al indagar los criterios que inciden en la elección de materias, el </w:t>
      </w:r>
      <w:r w:rsidRPr="00537C0E">
        <w:rPr>
          <w:rFonts w:ascii="Times New Roman" w:eastAsia="Calibri" w:hAnsi="Times New Roman" w:cs="Times New Roman"/>
          <w:bCs/>
          <w:kern w:val="0"/>
          <w:lang w:val="es-AR"/>
          <w14:ligatures w14:val="none"/>
        </w:rPr>
        <w:t>58%</w:t>
      </w:r>
      <w:r w:rsidRPr="00537C0E">
        <w:rPr>
          <w:rFonts w:ascii="Times New Roman" w:eastAsia="Calibri" w:hAnsi="Times New Roman" w:cs="Times New Roman"/>
          <w:kern w:val="0"/>
          <w:lang w:val="es-AR"/>
          <w14:ligatures w14:val="none"/>
        </w:rPr>
        <w:t xml:space="preserve"> señala como principal condicionante el sistema de </w:t>
      </w:r>
      <w:r w:rsidRPr="00537C0E">
        <w:rPr>
          <w:rFonts w:ascii="Times New Roman" w:eastAsia="Calibri" w:hAnsi="Times New Roman" w:cs="Times New Roman"/>
          <w:bCs/>
          <w:kern w:val="0"/>
          <w:lang w:val="es-AR"/>
          <w14:ligatures w14:val="none"/>
        </w:rPr>
        <w:t>correlatividades</w:t>
      </w:r>
      <w:r w:rsidRPr="00537C0E">
        <w:rPr>
          <w:rFonts w:ascii="Times New Roman" w:eastAsia="Calibri" w:hAnsi="Times New Roman" w:cs="Times New Roman"/>
          <w:kern w:val="0"/>
          <w:lang w:val="es-AR"/>
          <w14:ligatures w14:val="none"/>
        </w:rPr>
        <w:t xml:space="preserve">, mientras que el </w:t>
      </w:r>
      <w:r w:rsidRPr="00537C0E">
        <w:rPr>
          <w:rFonts w:ascii="Times New Roman" w:eastAsia="Calibri" w:hAnsi="Times New Roman" w:cs="Times New Roman"/>
          <w:bCs/>
          <w:kern w:val="0"/>
          <w:lang w:val="es-AR"/>
          <w14:ligatures w14:val="none"/>
        </w:rPr>
        <w:t>49%</w:t>
      </w:r>
      <w:r w:rsidRPr="00537C0E">
        <w:rPr>
          <w:rFonts w:ascii="Times New Roman" w:eastAsia="Calibri" w:hAnsi="Times New Roman" w:cs="Times New Roman"/>
          <w:kern w:val="0"/>
          <w:lang w:val="es-AR"/>
          <w14:ligatures w14:val="none"/>
        </w:rPr>
        <w:t xml:space="preserve"> prioriza los </w:t>
      </w:r>
      <w:r w:rsidRPr="00537C0E">
        <w:rPr>
          <w:rFonts w:ascii="Times New Roman" w:eastAsia="Calibri" w:hAnsi="Times New Roman" w:cs="Times New Roman"/>
          <w:bCs/>
          <w:kern w:val="0"/>
          <w:lang w:val="es-AR"/>
          <w14:ligatures w14:val="none"/>
        </w:rPr>
        <w:t>horarios de cursado</w:t>
      </w:r>
      <w:r w:rsidRPr="00537C0E">
        <w:rPr>
          <w:rFonts w:ascii="Times New Roman" w:eastAsia="Calibri" w:hAnsi="Times New Roman" w:cs="Times New Roman"/>
          <w:kern w:val="0"/>
          <w:lang w:val="es-AR"/>
          <w14:ligatures w14:val="none"/>
        </w:rPr>
        <w:t xml:space="preserve"> y el </w:t>
      </w:r>
      <w:r w:rsidRPr="00537C0E">
        <w:rPr>
          <w:rFonts w:ascii="Times New Roman" w:eastAsia="Calibri" w:hAnsi="Times New Roman" w:cs="Times New Roman"/>
          <w:bCs/>
          <w:kern w:val="0"/>
          <w:lang w:val="es-AR"/>
          <w14:ligatures w14:val="none"/>
        </w:rPr>
        <w:t>35%</w:t>
      </w:r>
      <w:r w:rsidRPr="00537C0E">
        <w:rPr>
          <w:rFonts w:ascii="Times New Roman" w:eastAsia="Calibri" w:hAnsi="Times New Roman" w:cs="Times New Roman"/>
          <w:kern w:val="0"/>
          <w:lang w:val="es-AR"/>
          <w14:ligatures w14:val="none"/>
        </w:rPr>
        <w:t xml:space="preserve"> la </w:t>
      </w:r>
      <w:r w:rsidRPr="00537C0E">
        <w:rPr>
          <w:rFonts w:ascii="Times New Roman" w:eastAsia="Calibri" w:hAnsi="Times New Roman" w:cs="Times New Roman"/>
          <w:bCs/>
          <w:kern w:val="0"/>
          <w:lang w:val="es-AR"/>
          <w14:ligatures w14:val="none"/>
        </w:rPr>
        <w:t>disponibilidad horaria personal</w:t>
      </w:r>
      <w:r w:rsidRPr="00537C0E">
        <w:rPr>
          <w:rFonts w:ascii="Times New Roman" w:eastAsia="Calibri" w:hAnsi="Times New Roman" w:cs="Times New Roman"/>
          <w:kern w:val="0"/>
          <w:lang w:val="es-AR"/>
          <w14:ligatures w14:val="none"/>
        </w:rPr>
        <w:t xml:space="preserve">. </w:t>
      </w:r>
    </w:p>
    <w:p w14:paraId="1005FF2A"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Estos datos revelan que, en muchos casos, la construcción del recorrido académico no responde prioritariamente a decisiones pedagógicas o intereses formativos del estudiante, sino a la necesidad de adaptarse a las restricciones impuestas por la organización curricular y administrativa de las carreras.</w:t>
      </w:r>
    </w:p>
    <w:p w14:paraId="511AB630"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este sentido, las trayectorias reales muestran que los estudiantes no recorren linealmente los planes de estudio tal como fueron diseñados. Más bien, construyen itinerarios posibles dentro de un entramado de restricciones curriculares, institucionales y biográficas, desplegando estrategias permanentes de adaptación.</w:t>
      </w:r>
    </w:p>
    <w:p w14:paraId="08CC37AB"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Una de las estrategias más frecuentes consiste en interrumpir o abandonar materias ya iniciadas para poder sostener otras obligaciones académicas. Los datos muestran que el </w:t>
      </w:r>
      <w:r w:rsidRPr="00537C0E">
        <w:rPr>
          <w:rFonts w:ascii="Times New Roman" w:eastAsia="Calibri" w:hAnsi="Times New Roman" w:cs="Times New Roman"/>
          <w:bCs/>
          <w:kern w:val="0"/>
          <w:lang w:val="es-AR"/>
          <w14:ligatures w14:val="none"/>
        </w:rPr>
        <w:t>50%</w:t>
      </w:r>
      <w:r w:rsidRPr="00537C0E">
        <w:rPr>
          <w:rFonts w:ascii="Times New Roman" w:eastAsia="Calibri" w:hAnsi="Times New Roman" w:cs="Times New Roman"/>
          <w:kern w:val="0"/>
          <w:lang w:val="es-AR"/>
          <w14:ligatures w14:val="none"/>
        </w:rPr>
        <w:t xml:space="preserve"> de los estudiantes afirma no haber dejado materias durante la cursada, mientras que </w:t>
      </w:r>
      <w:r w:rsidRPr="00537C0E">
        <w:rPr>
          <w:rFonts w:ascii="Times New Roman" w:eastAsia="Calibri" w:hAnsi="Times New Roman" w:cs="Times New Roman"/>
          <w:kern w:val="0"/>
          <w:lang w:val="es-AR"/>
          <w14:ligatures w14:val="none"/>
        </w:rPr>
        <w:lastRenderedPageBreak/>
        <w:t xml:space="preserve">el otro </w:t>
      </w:r>
      <w:r w:rsidRPr="00537C0E">
        <w:rPr>
          <w:rFonts w:ascii="Times New Roman" w:eastAsia="Calibri" w:hAnsi="Times New Roman" w:cs="Times New Roman"/>
          <w:bCs/>
          <w:kern w:val="0"/>
          <w:lang w:val="es-AR"/>
          <w14:ligatures w14:val="none"/>
        </w:rPr>
        <w:t>50% sí lo hizo</w:t>
      </w:r>
      <w:r w:rsidRPr="00537C0E">
        <w:rPr>
          <w:rFonts w:ascii="Times New Roman" w:eastAsia="Calibri" w:hAnsi="Times New Roman" w:cs="Times New Roman"/>
          <w:kern w:val="0"/>
          <w:lang w:val="es-AR"/>
          <w14:ligatures w14:val="none"/>
        </w:rPr>
        <w:t xml:space="preserve">: el </w:t>
      </w:r>
      <w:r w:rsidRPr="00537C0E">
        <w:rPr>
          <w:rFonts w:ascii="Times New Roman" w:eastAsia="Calibri" w:hAnsi="Times New Roman" w:cs="Times New Roman"/>
          <w:bCs/>
          <w:kern w:val="0"/>
          <w:lang w:val="es-AR"/>
          <w14:ligatures w14:val="none"/>
        </w:rPr>
        <w:t>26% dejó una materia</w:t>
      </w:r>
      <w:r w:rsidRPr="00537C0E">
        <w:rPr>
          <w:rFonts w:ascii="Times New Roman" w:eastAsia="Calibri" w:hAnsi="Times New Roman" w:cs="Times New Roman"/>
          <w:kern w:val="0"/>
          <w:lang w:val="es-AR"/>
          <w14:ligatures w14:val="none"/>
        </w:rPr>
        <w:t xml:space="preserve">, el </w:t>
      </w:r>
      <w:r w:rsidRPr="00537C0E">
        <w:rPr>
          <w:rFonts w:ascii="Times New Roman" w:eastAsia="Calibri" w:hAnsi="Times New Roman" w:cs="Times New Roman"/>
          <w:bCs/>
          <w:kern w:val="0"/>
          <w:lang w:val="es-AR"/>
          <w14:ligatures w14:val="none"/>
        </w:rPr>
        <w:t>14% dejó dos materias</w:t>
      </w:r>
      <w:r w:rsidRPr="00537C0E">
        <w:rPr>
          <w:rFonts w:ascii="Times New Roman" w:eastAsia="Calibri" w:hAnsi="Times New Roman" w:cs="Times New Roman"/>
          <w:kern w:val="0"/>
          <w:lang w:val="es-AR"/>
          <w14:ligatures w14:val="none"/>
        </w:rPr>
        <w:t xml:space="preserve"> y el </w:t>
      </w:r>
      <w:r w:rsidRPr="00537C0E">
        <w:rPr>
          <w:rFonts w:ascii="Times New Roman" w:eastAsia="Calibri" w:hAnsi="Times New Roman" w:cs="Times New Roman"/>
          <w:bCs/>
          <w:kern w:val="0"/>
          <w:lang w:val="es-AR"/>
          <w14:ligatures w14:val="none"/>
        </w:rPr>
        <w:t>10% dejó tres o más</w:t>
      </w:r>
      <w:r w:rsidRPr="00537C0E">
        <w:rPr>
          <w:rFonts w:ascii="Times New Roman" w:eastAsia="Calibri" w:hAnsi="Times New Roman" w:cs="Times New Roman"/>
          <w:kern w:val="0"/>
          <w:lang w:val="es-AR"/>
          <w14:ligatures w14:val="none"/>
        </w:rPr>
        <w:t xml:space="preserve">. </w:t>
      </w:r>
    </w:p>
    <w:p w14:paraId="1D8041A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Este dato resulta especialmente significativo porque pone en evidencia que dejar materias no constituye necesariamente una expresión de fracaso académico, sino muchas veces una estrategia racional de reorganización de la trayectoria frente a exigencias curriculares difíciles de sostener.</w:t>
      </w:r>
    </w:p>
    <w:p w14:paraId="5C62CBA0"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Los factores que más inciden en estas decisiones permiten profundizar este análisis. Entre las condiciones institucionales, el </w:t>
      </w:r>
      <w:r w:rsidRPr="00537C0E">
        <w:rPr>
          <w:rFonts w:ascii="Times New Roman" w:eastAsia="Calibri" w:hAnsi="Times New Roman" w:cs="Times New Roman"/>
          <w:bCs/>
          <w:kern w:val="0"/>
          <w:lang w:val="es-AR"/>
          <w14:ligatures w14:val="none"/>
        </w:rPr>
        <w:t>42%</w:t>
      </w:r>
      <w:r w:rsidRPr="00537C0E">
        <w:rPr>
          <w:rFonts w:ascii="Times New Roman" w:eastAsia="Calibri" w:hAnsi="Times New Roman" w:cs="Times New Roman"/>
          <w:kern w:val="0"/>
          <w:lang w:val="es-AR"/>
          <w14:ligatures w14:val="none"/>
        </w:rPr>
        <w:t xml:space="preserve"> identifica al sistema de correlatividades como una barrera significativa, el </w:t>
      </w:r>
      <w:r w:rsidRPr="00537C0E">
        <w:rPr>
          <w:rFonts w:ascii="Times New Roman" w:eastAsia="Calibri" w:hAnsi="Times New Roman" w:cs="Times New Roman"/>
          <w:bCs/>
          <w:kern w:val="0"/>
          <w:lang w:val="es-AR"/>
          <w14:ligatures w14:val="none"/>
        </w:rPr>
        <w:t>38%</w:t>
      </w:r>
      <w:r w:rsidRPr="00537C0E">
        <w:rPr>
          <w:rFonts w:ascii="Times New Roman" w:eastAsia="Calibri" w:hAnsi="Times New Roman" w:cs="Times New Roman"/>
          <w:kern w:val="0"/>
          <w:lang w:val="es-AR"/>
          <w14:ligatures w14:val="none"/>
        </w:rPr>
        <w:t xml:space="preserve"> señala la intensidad de la cursada presencial y el </w:t>
      </w:r>
      <w:r w:rsidRPr="00537C0E">
        <w:rPr>
          <w:rFonts w:ascii="Times New Roman" w:eastAsia="Calibri" w:hAnsi="Times New Roman" w:cs="Times New Roman"/>
          <w:bCs/>
          <w:kern w:val="0"/>
          <w:lang w:val="es-AR"/>
          <w14:ligatures w14:val="none"/>
        </w:rPr>
        <w:t>35%</w:t>
      </w:r>
      <w:r w:rsidRPr="00537C0E">
        <w:rPr>
          <w:rFonts w:ascii="Times New Roman" w:eastAsia="Calibri" w:hAnsi="Times New Roman" w:cs="Times New Roman"/>
          <w:kern w:val="0"/>
          <w:lang w:val="es-AR"/>
          <w14:ligatures w14:val="none"/>
        </w:rPr>
        <w:t xml:space="preserve"> las exigencias de evaluación.  Asimismo, cuando se analizan las estrategias de adaptación más frecuentes, se observa que el </w:t>
      </w:r>
      <w:r w:rsidRPr="00537C0E">
        <w:rPr>
          <w:rFonts w:ascii="Times New Roman" w:eastAsia="Calibri" w:hAnsi="Times New Roman" w:cs="Times New Roman"/>
          <w:bCs/>
          <w:kern w:val="0"/>
          <w:lang w:val="es-AR"/>
          <w14:ligatures w14:val="none"/>
        </w:rPr>
        <w:t>36% acumuló finales sin rendir</w:t>
      </w:r>
      <w:r w:rsidRPr="00537C0E">
        <w:rPr>
          <w:rFonts w:ascii="Times New Roman" w:eastAsia="Calibri" w:hAnsi="Times New Roman" w:cs="Times New Roman"/>
          <w:kern w:val="0"/>
          <w:lang w:val="es-AR"/>
          <w14:ligatures w14:val="none"/>
        </w:rPr>
        <w:t xml:space="preserve">, el </w:t>
      </w:r>
      <w:r w:rsidRPr="00537C0E">
        <w:rPr>
          <w:rFonts w:ascii="Times New Roman" w:eastAsia="Calibri" w:hAnsi="Times New Roman" w:cs="Times New Roman"/>
          <w:bCs/>
          <w:kern w:val="0"/>
          <w:lang w:val="es-AR"/>
          <w14:ligatures w14:val="none"/>
        </w:rPr>
        <w:t>32% cursó menos materias</w:t>
      </w:r>
      <w:r w:rsidRPr="00537C0E">
        <w:rPr>
          <w:rFonts w:ascii="Times New Roman" w:eastAsia="Calibri" w:hAnsi="Times New Roman" w:cs="Times New Roman"/>
          <w:kern w:val="0"/>
          <w:lang w:val="es-AR"/>
          <w14:ligatures w14:val="none"/>
        </w:rPr>
        <w:t xml:space="preserve">, el </w:t>
      </w:r>
      <w:r w:rsidRPr="00537C0E">
        <w:rPr>
          <w:rFonts w:ascii="Times New Roman" w:eastAsia="Calibri" w:hAnsi="Times New Roman" w:cs="Times New Roman"/>
          <w:bCs/>
          <w:kern w:val="0"/>
          <w:lang w:val="es-AR"/>
          <w14:ligatures w14:val="none"/>
        </w:rPr>
        <w:t>25% acumuló lecturas pendientes</w:t>
      </w:r>
      <w:r w:rsidRPr="00537C0E">
        <w:rPr>
          <w:rFonts w:ascii="Times New Roman" w:eastAsia="Calibri" w:hAnsi="Times New Roman" w:cs="Times New Roman"/>
          <w:kern w:val="0"/>
          <w:lang w:val="es-AR"/>
          <w14:ligatures w14:val="none"/>
        </w:rPr>
        <w:t xml:space="preserve"> y otro </w:t>
      </w:r>
      <w:r w:rsidRPr="00537C0E">
        <w:rPr>
          <w:rFonts w:ascii="Times New Roman" w:eastAsia="Calibri" w:hAnsi="Times New Roman" w:cs="Times New Roman"/>
          <w:bCs/>
          <w:kern w:val="0"/>
          <w:lang w:val="es-AR"/>
          <w14:ligatures w14:val="none"/>
        </w:rPr>
        <w:t>25% no logró finalizar cursadas iniciadas</w:t>
      </w:r>
      <w:r w:rsidRPr="00537C0E">
        <w:rPr>
          <w:rFonts w:ascii="Times New Roman" w:eastAsia="Calibri" w:hAnsi="Times New Roman" w:cs="Times New Roman"/>
          <w:kern w:val="0"/>
          <w:lang w:val="es-AR"/>
          <w14:ligatures w14:val="none"/>
        </w:rPr>
        <w:t xml:space="preserve">. </w:t>
      </w:r>
    </w:p>
    <w:p w14:paraId="552AA8EB"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Estos datos muestran con claridad que la </w:t>
      </w:r>
      <w:proofErr w:type="spellStart"/>
      <w:r w:rsidRPr="00537C0E">
        <w:rPr>
          <w:rFonts w:ascii="Times New Roman" w:eastAsia="Calibri" w:hAnsi="Times New Roman" w:cs="Times New Roman"/>
          <w:kern w:val="0"/>
          <w:lang w:val="es-AR"/>
          <w14:ligatures w14:val="none"/>
        </w:rPr>
        <w:t>lentificación</w:t>
      </w:r>
      <w:proofErr w:type="spellEnd"/>
      <w:r w:rsidRPr="00537C0E">
        <w:rPr>
          <w:rFonts w:ascii="Times New Roman" w:eastAsia="Calibri" w:hAnsi="Times New Roman" w:cs="Times New Roman"/>
          <w:kern w:val="0"/>
          <w:lang w:val="es-AR"/>
          <w14:ligatures w14:val="none"/>
        </w:rPr>
        <w:t xml:space="preserve"> de las trayectorias no responde únicamente a decisiones individuales, sino que se encuentra estrechamente vinculada con la estructura curricular y con las formas de organización académica de las carreras. Desde esta perspectiva, las trayectorias constituyen un analizador privilegiado del currículum universitario. Permiten visibilizar cómo las correlatividades, la carga horaria, la secuencia de materias y la rigidez de los planes de estudio producen continuidades, interrupciones y demoras en los recorridos académicos. En otras palabras, las trayectorias no solo hablan de las capacidades o dificultades de los estudiantes; también hablan del currículum, de las regulaciones académicas y de las formas institucionales de organizar el tiempo universitario. Por ello, pensar políticas orientadas a democratizar la universidad exige revisar críticamente no solo quiénes ingresan y permanecen, sino también cómo los diseños curriculares habilitan —o restringen— trayectorias posibles para sujetos profundamente heterogéneos.</w:t>
      </w:r>
    </w:p>
    <w:p w14:paraId="609F1982"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
    <w:p w14:paraId="52A27DC5"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4.3. Evaluación, vínculo pedagógico y apoyo al egreso: núcleo crítico de las trayectorias universitarias</w:t>
      </w:r>
    </w:p>
    <w:p w14:paraId="3EBFDDD6"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Entre los distintos factores institucionales que inciden en la configuración de las trayectorias estudiantiles, la evaluación emerge como uno de los núcleos más sensibles y problemáticos. Tanto en la encuesta institucional como en los relevamientos específicos desarrollados en el marco del Potenciar Graduación, las prácticas de evaluación aparecen de manera recurrente como un componente central en la </w:t>
      </w:r>
      <w:proofErr w:type="spellStart"/>
      <w:r w:rsidRPr="00537C0E">
        <w:rPr>
          <w:rFonts w:ascii="Times New Roman" w:eastAsia="Calibri" w:hAnsi="Times New Roman" w:cs="Times New Roman"/>
          <w:kern w:val="0"/>
          <w:lang w:val="es-AR"/>
          <w14:ligatures w14:val="none"/>
        </w:rPr>
        <w:t>lentificación</w:t>
      </w:r>
      <w:proofErr w:type="spellEnd"/>
      <w:r w:rsidRPr="00537C0E">
        <w:rPr>
          <w:rFonts w:ascii="Times New Roman" w:eastAsia="Calibri" w:hAnsi="Times New Roman" w:cs="Times New Roman"/>
          <w:kern w:val="0"/>
          <w:lang w:val="es-AR"/>
          <w14:ligatures w14:val="none"/>
        </w:rPr>
        <w:t xml:space="preserve"> de las trayectorias, la acumulación de materias pendientes y las dificultades para avanzar hacia el egreso.</w:t>
      </w:r>
    </w:p>
    <w:p w14:paraId="61AE2A77"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Los resultados de la encuesta institucional permiten advertir que las exigencias evaluativas constituyen uno de los principales factores que condicionan la continuidad académica. Entre las condiciones institucionales que impactan en las trayectorias, el </w:t>
      </w:r>
      <w:r w:rsidRPr="00537C0E">
        <w:rPr>
          <w:rFonts w:ascii="Times New Roman" w:eastAsia="Calibri" w:hAnsi="Times New Roman" w:cs="Times New Roman"/>
          <w:bCs/>
          <w:kern w:val="0"/>
          <w:lang w:val="es-AR"/>
          <w14:ligatures w14:val="none"/>
        </w:rPr>
        <w:t>35%</w:t>
      </w:r>
      <w:r w:rsidRPr="00537C0E">
        <w:rPr>
          <w:rFonts w:ascii="Times New Roman" w:eastAsia="Calibri" w:hAnsi="Times New Roman" w:cs="Times New Roman"/>
          <w:kern w:val="0"/>
          <w:lang w:val="es-AR"/>
          <w14:ligatures w14:val="none"/>
        </w:rPr>
        <w:t xml:space="preserve"> del estudiantado identifica a las exigencias de evaluación como un obstáculo significativo, mientras que el </w:t>
      </w:r>
      <w:r w:rsidRPr="00537C0E">
        <w:rPr>
          <w:rFonts w:ascii="Times New Roman" w:eastAsia="Calibri" w:hAnsi="Times New Roman" w:cs="Times New Roman"/>
          <w:bCs/>
          <w:kern w:val="0"/>
          <w:lang w:val="es-AR"/>
          <w14:ligatures w14:val="none"/>
        </w:rPr>
        <w:t>41%</w:t>
      </w:r>
      <w:r w:rsidRPr="00537C0E">
        <w:rPr>
          <w:rFonts w:ascii="Times New Roman" w:eastAsia="Calibri" w:hAnsi="Times New Roman" w:cs="Times New Roman"/>
          <w:kern w:val="0"/>
          <w:lang w:val="es-AR"/>
          <w14:ligatures w14:val="none"/>
        </w:rPr>
        <w:t xml:space="preserve"> señala dificultades asociadas a prácticas docentes con déficit pedagógico. </w:t>
      </w:r>
    </w:p>
    <w:p w14:paraId="719FFB42"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lastRenderedPageBreak/>
        <w:t>Estos datos muestran que, para una proporción importante de estudiantes, las dificultades no se explican exclusivamente por factores estructurales o personales, sino también por dimensiones pedagógicas vinculadas con las formas de enseñar, acompañar y evaluar.</w:t>
      </w:r>
    </w:p>
    <w:p w14:paraId="2176FFA0"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Esta cuestión adquiere mayor profundidad cuando se analizan las estrategias de adaptación que despliega el estudiantado frente a estas exigencias y que se explicitaron en el apartado anterior. Estos datos permiten </w:t>
      </w:r>
      <w:proofErr w:type="spellStart"/>
      <w:r w:rsidRPr="00537C0E">
        <w:rPr>
          <w:rFonts w:ascii="Times New Roman" w:eastAsia="Calibri" w:hAnsi="Times New Roman" w:cs="Times New Roman"/>
          <w:kern w:val="0"/>
          <w:lang w:val="es-AR"/>
          <w14:ligatures w14:val="none"/>
        </w:rPr>
        <w:t>hipotetizar</w:t>
      </w:r>
      <w:proofErr w:type="spellEnd"/>
      <w:r w:rsidRPr="00537C0E">
        <w:rPr>
          <w:rFonts w:ascii="Times New Roman" w:eastAsia="Calibri" w:hAnsi="Times New Roman" w:cs="Times New Roman"/>
          <w:kern w:val="0"/>
          <w:lang w:val="es-AR"/>
          <w14:ligatures w14:val="none"/>
        </w:rPr>
        <w:t xml:space="preserve"> que una proporción importante de estudiantes desarrolla trayectorias progresivamente lentificadas no necesariamente por abandono de la carrera, sino por la acumulación de obligaciones académicas pendientes —especialmente exámenes finales— que complejizan el avance curricular y prolongan significativamente el tiempo real de graduación. En este sentido, la acumulación de finales, la interrupción de cursadas y la reducción progresiva de materias cursadas aparecen como señales de alerta temprana sobre trayectorias que podrían requerir acompañamiento institucional específico. Se trata, precisamente, de perfiles que podrían constituirse en destinatarios prioritarios de políticas de apoyo al egreso, orientadas a prevenir la desvinculación y favorecer la </w:t>
      </w:r>
      <w:proofErr w:type="spellStart"/>
      <w:r w:rsidRPr="00537C0E">
        <w:rPr>
          <w:rFonts w:ascii="Times New Roman" w:eastAsia="Calibri" w:hAnsi="Times New Roman" w:cs="Times New Roman"/>
          <w:kern w:val="0"/>
          <w:lang w:val="es-AR"/>
          <w14:ligatures w14:val="none"/>
        </w:rPr>
        <w:t>terminalidad</w:t>
      </w:r>
      <w:proofErr w:type="spellEnd"/>
      <w:r w:rsidRPr="00537C0E">
        <w:rPr>
          <w:rFonts w:ascii="Times New Roman" w:eastAsia="Calibri" w:hAnsi="Times New Roman" w:cs="Times New Roman"/>
          <w:kern w:val="0"/>
          <w:lang w:val="es-AR"/>
          <w14:ligatures w14:val="none"/>
        </w:rPr>
        <w:t xml:space="preserve"> académica. Esta hipótesis se ve reforzada por la evidencia producida en el marco del </w:t>
      </w:r>
      <w:r w:rsidRPr="00537C0E">
        <w:rPr>
          <w:rFonts w:ascii="Times New Roman" w:eastAsia="Calibri" w:hAnsi="Times New Roman" w:cs="Times New Roman"/>
          <w:bCs/>
          <w:kern w:val="0"/>
          <w:lang w:val="es-AR"/>
          <w14:ligatures w14:val="none"/>
        </w:rPr>
        <w:t>Programa</w:t>
      </w:r>
      <w:r w:rsidRPr="00537C0E">
        <w:rPr>
          <w:rFonts w:ascii="Times New Roman" w:eastAsia="Calibri" w:hAnsi="Times New Roman" w:cs="Times New Roman"/>
          <w:kern w:val="0"/>
          <w:lang w:val="es-AR"/>
          <w14:ligatures w14:val="none"/>
        </w:rPr>
        <w:t>, diseñado justamente para acompañar a estudiantes próximos al egreso cuyas trayectorias habían experimentado procesos de ralentización o interrupción.</w:t>
      </w:r>
    </w:p>
    <w:p w14:paraId="6D395F49"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4D095C45"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Los relevamientos realizados dentro del Programa permitieron profundizar el análisis sobre uno de los núcleos críticos de estas trayectorias: la evaluación. La encuesta </w:t>
      </w:r>
      <w:r w:rsidRPr="00537C0E">
        <w:rPr>
          <w:rFonts w:ascii="Times New Roman" w:eastAsia="Calibri" w:hAnsi="Times New Roman" w:cs="Times New Roman"/>
          <w:bCs/>
          <w:kern w:val="0"/>
          <w:lang w:val="es-AR"/>
          <w14:ligatures w14:val="none"/>
        </w:rPr>
        <w:t>“Hablemos de Evaluaciones en la UNT”</w:t>
      </w:r>
      <w:r w:rsidRPr="00537C0E">
        <w:rPr>
          <w:rFonts w:ascii="Times New Roman" w:eastAsia="Calibri" w:hAnsi="Times New Roman" w:cs="Times New Roman"/>
          <w:kern w:val="0"/>
          <w:lang w:val="es-AR"/>
          <w14:ligatures w14:val="none"/>
        </w:rPr>
        <w:t xml:space="preserve">, evidenció que las prácticas evaluativas no solo operan como mecanismos de acreditación de aprendizajes, sino como experiencias pedagógicas con fuerte impacto emocional y subjetivo. </w:t>
      </w:r>
    </w:p>
    <w:p w14:paraId="7B259A81"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Los resultados muestran un predominio de modalidades evaluativas tradicionales e individuales. El </w:t>
      </w:r>
      <w:r w:rsidRPr="00537C0E">
        <w:rPr>
          <w:rFonts w:ascii="Times New Roman" w:eastAsia="Calibri" w:hAnsi="Times New Roman" w:cs="Times New Roman"/>
          <w:bCs/>
          <w:kern w:val="0"/>
          <w:lang w:val="es-AR"/>
          <w14:ligatures w14:val="none"/>
        </w:rPr>
        <w:t>46,9%</w:t>
      </w:r>
      <w:r w:rsidRPr="00537C0E">
        <w:rPr>
          <w:rFonts w:ascii="Times New Roman" w:eastAsia="Calibri" w:hAnsi="Times New Roman" w:cs="Times New Roman"/>
          <w:kern w:val="0"/>
          <w:lang w:val="es-AR"/>
          <w14:ligatures w14:val="none"/>
        </w:rPr>
        <w:t xml:space="preserve"> de los estudiantes señala como experiencia más frecuente las evaluaciones orales individuales y el </w:t>
      </w:r>
      <w:r w:rsidRPr="00537C0E">
        <w:rPr>
          <w:rFonts w:ascii="Times New Roman" w:eastAsia="Calibri" w:hAnsi="Times New Roman" w:cs="Times New Roman"/>
          <w:bCs/>
          <w:kern w:val="0"/>
          <w:lang w:val="es-AR"/>
          <w14:ligatures w14:val="none"/>
        </w:rPr>
        <w:t>40,1%</w:t>
      </w:r>
      <w:r w:rsidRPr="00537C0E">
        <w:rPr>
          <w:rFonts w:ascii="Times New Roman" w:eastAsia="Calibri" w:hAnsi="Times New Roman" w:cs="Times New Roman"/>
          <w:kern w:val="0"/>
          <w:lang w:val="es-AR"/>
          <w14:ligatures w14:val="none"/>
        </w:rPr>
        <w:t xml:space="preserve"> las evaluaciones escritas individuales. Esto indica que cerca del </w:t>
      </w:r>
      <w:r w:rsidRPr="00537C0E">
        <w:rPr>
          <w:rFonts w:ascii="Times New Roman" w:eastAsia="Calibri" w:hAnsi="Times New Roman" w:cs="Times New Roman"/>
          <w:bCs/>
          <w:kern w:val="0"/>
          <w:lang w:val="es-AR"/>
          <w14:ligatures w14:val="none"/>
        </w:rPr>
        <w:t>90%</w:t>
      </w:r>
      <w:r w:rsidRPr="00537C0E">
        <w:rPr>
          <w:rFonts w:ascii="Times New Roman" w:eastAsia="Calibri" w:hAnsi="Times New Roman" w:cs="Times New Roman"/>
          <w:kern w:val="0"/>
          <w:lang w:val="es-AR"/>
          <w14:ligatures w14:val="none"/>
        </w:rPr>
        <w:t xml:space="preserve"> de las instancias evaluativas reportadas continúan concentrándose en formatos clásicos de acreditación.</w:t>
      </w:r>
    </w:p>
    <w:p w14:paraId="6CA54617"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Sin embargo, el dato más significativo no se encuentra únicamente en las modalidades utilizadas, sino en las emociones y representaciones asociadas a dichas experiencias. Un </w:t>
      </w:r>
      <w:r w:rsidRPr="00537C0E">
        <w:rPr>
          <w:rFonts w:ascii="Times New Roman" w:eastAsia="Calibri" w:hAnsi="Times New Roman" w:cs="Times New Roman"/>
          <w:bCs/>
          <w:kern w:val="0"/>
          <w:lang w:val="es-AR"/>
          <w14:ligatures w14:val="none"/>
        </w:rPr>
        <w:t>62,8%</w:t>
      </w:r>
      <w:r w:rsidRPr="00537C0E">
        <w:rPr>
          <w:rFonts w:ascii="Times New Roman" w:eastAsia="Calibri" w:hAnsi="Times New Roman" w:cs="Times New Roman"/>
          <w:kern w:val="0"/>
          <w:lang w:val="es-AR"/>
          <w14:ligatures w14:val="none"/>
        </w:rPr>
        <w:t xml:space="preserve"> manifiesta experimentar las evaluaciones con </w:t>
      </w:r>
      <w:r w:rsidRPr="00537C0E">
        <w:rPr>
          <w:rFonts w:ascii="Times New Roman" w:eastAsia="Calibri" w:hAnsi="Times New Roman" w:cs="Times New Roman"/>
          <w:bCs/>
          <w:kern w:val="0"/>
          <w:lang w:val="es-AR"/>
          <w14:ligatures w14:val="none"/>
        </w:rPr>
        <w:t>miedo</w:t>
      </w:r>
      <w:r w:rsidRPr="00537C0E">
        <w:rPr>
          <w:rFonts w:ascii="Times New Roman" w:eastAsia="Calibri" w:hAnsi="Times New Roman" w:cs="Times New Roman"/>
          <w:kern w:val="0"/>
          <w:lang w:val="es-AR"/>
          <w14:ligatures w14:val="none"/>
        </w:rPr>
        <w:t xml:space="preserve">, el </w:t>
      </w:r>
      <w:r w:rsidRPr="00537C0E">
        <w:rPr>
          <w:rFonts w:ascii="Times New Roman" w:eastAsia="Calibri" w:hAnsi="Times New Roman" w:cs="Times New Roman"/>
          <w:bCs/>
          <w:kern w:val="0"/>
          <w:lang w:val="es-AR"/>
          <w14:ligatures w14:val="none"/>
        </w:rPr>
        <w:t>36% las vive como un juicio hacia su persona</w:t>
      </w:r>
      <w:r w:rsidRPr="00537C0E">
        <w:rPr>
          <w:rFonts w:ascii="Times New Roman" w:eastAsia="Calibri" w:hAnsi="Times New Roman" w:cs="Times New Roman"/>
          <w:kern w:val="0"/>
          <w:lang w:val="es-AR"/>
          <w14:ligatures w14:val="none"/>
        </w:rPr>
        <w:t xml:space="preserve">, y el </w:t>
      </w:r>
      <w:r w:rsidRPr="00537C0E">
        <w:rPr>
          <w:rFonts w:ascii="Times New Roman" w:eastAsia="Calibri" w:hAnsi="Times New Roman" w:cs="Times New Roman"/>
          <w:bCs/>
          <w:kern w:val="0"/>
          <w:lang w:val="es-AR"/>
          <w14:ligatures w14:val="none"/>
        </w:rPr>
        <w:t>12,2% incluso como una amenaza</w:t>
      </w:r>
      <w:r w:rsidRPr="00537C0E">
        <w:rPr>
          <w:rFonts w:ascii="Times New Roman" w:eastAsia="Calibri" w:hAnsi="Times New Roman" w:cs="Times New Roman"/>
          <w:kern w:val="0"/>
          <w:lang w:val="es-AR"/>
          <w14:ligatures w14:val="none"/>
        </w:rPr>
        <w:t xml:space="preserve">. </w:t>
      </w:r>
    </w:p>
    <w:p w14:paraId="1B7ECAAE"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Estos datos permiten problematizar la evaluación desde una perspectiva más amplia que la estrictamente técnica. La evaluación no constituye solamente una herramienta de medición del aprendizaje; también configura experiencias subjetivas que impactan en la autoestima académica, en la relación con el conocimiento y en las posibilidades concretas de sostener una trayectoria universitaria.</w:t>
      </w:r>
    </w:p>
    <w:p w14:paraId="6A324575"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muchos casos, la acumulación de exámenes finales pendientes no parece responder únicamente a dificultades cognitivas o de estudio, sino también a experiencias reiteradas de ansiedad, temor, frustración o desgaste emocional frente a determinadas modalidades evaluativas.</w:t>
      </w:r>
    </w:p>
    <w:p w14:paraId="259F87F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Desde esta perspectiva, la evaluación constituye uno de los analizadores más potentes del vínculo pedagógico universitario, ya que condensa simultáneamente dimensiones curriculares, pedagógicas, vinculares y emocionales. Hablar de evaluación implica hablar </w:t>
      </w:r>
      <w:r w:rsidRPr="00537C0E">
        <w:rPr>
          <w:rFonts w:ascii="Times New Roman" w:eastAsia="Calibri" w:hAnsi="Times New Roman" w:cs="Times New Roman"/>
          <w:kern w:val="0"/>
          <w:lang w:val="es-AR"/>
          <w14:ligatures w14:val="none"/>
        </w:rPr>
        <w:lastRenderedPageBreak/>
        <w:t>también de las relaciones entre enseñanza y aprendizaje, de los criterios de acreditación, de la comunicación pedagógica y de las formas en que la institución produce experiencias de reconocimiento o de exclusión.</w:t>
      </w:r>
    </w:p>
    <w:p w14:paraId="742F451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este punto, el Potenciar Graduación permitió producir un hallazgo especialmente relevante: las trayectorias prolongadas no deben interpretarse únicamente como trayectorias deficitarias o fracasadas. En muchos casos, expresan recorridos que lograron sostenerse en el tiempo, aunque con acumulación de obstáculos que requieren dispositivos específicos de acompañamiento para su resolución. De modo que, las políticas de apoyo al egreso adquieren una relevancia estratégica en el marco de una universidad que asume la educación superior desde una perspectiva de derecho. Su función no se limita a asistir individualmente a estudiantes con dificultades, sino que permite intervenir sobre un momento crítico de las trayectorias: aquel en el que la distancia entre haber recorrido casi toda una carrera y lograr efectivamente graduarse puede volverse institucionalmente significativa.</w:t>
      </w:r>
    </w:p>
    <w:p w14:paraId="5479D4E6"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p>
    <w:p w14:paraId="60E96414"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La experiencia de la UNT muestra que el acompañamiento en esta etapa no debe pensarse exclusivamente en términos administrativos o tutoriales. Requiere también revisar críticamente las prácticas pedagógicas y evaluativas que contribuyen a producir la prolongación de las trayectorias. En este sentido, el apoyo al egreso aparece no solo como una política de acompañamiento estudiantil, sino como una estrategia institucional de democratización universitaria orientada a hacer efectivo el derecho a la graduación.</w:t>
      </w:r>
    </w:p>
    <w:p w14:paraId="74B13C03"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No obstante, este análisis también habilita una reflexión más amplia sobre el alcance y los límites de este tipo de políticas. Si bien los programas de apoyo al egreso resultan fundamentales para acompañar trayectorias ralentizadas o interrumpidas, su existencia también pone en evidencia la necesidad de revisar las condiciones institucionales que producen dichas trayectorias. En otras palabras, si las universidades logran identificar y transformar tempranamente aquellos obstáculos regulatorios, curriculares, pedagógicos y evaluativos que dificultan el avance sostenido en las carreras, es posible pensar que una menor proporción de estudiantes necesitaría recurrir posteriormente a dispositivos compensatorios de apoyo al egreso.</w:t>
      </w:r>
    </w:p>
    <w:p w14:paraId="4E583CBE"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Desde esta perspectiva, las políticas de acompañamiento no deberían ser entendidas únicamente como respuestas correctivas frente a trayectorias discontinuas, sino también como fuentes de evidencia para orientar transformaciones institucionales más profundas. El desafío no consiste solamente en acompañar mejor a quienes encuentran dificultades en los tramos finales de sus carreras, sino en construir universidades capaces de reducir, desde etapas tempranas, las barreras que generan la </w:t>
      </w:r>
      <w:proofErr w:type="spellStart"/>
      <w:r w:rsidRPr="00537C0E">
        <w:rPr>
          <w:rFonts w:ascii="Times New Roman" w:eastAsia="Calibri" w:hAnsi="Times New Roman" w:cs="Times New Roman"/>
          <w:kern w:val="0"/>
          <w:lang w:val="es-AR"/>
          <w14:ligatures w14:val="none"/>
        </w:rPr>
        <w:t>lentificación</w:t>
      </w:r>
      <w:proofErr w:type="spellEnd"/>
      <w:r w:rsidRPr="00537C0E">
        <w:rPr>
          <w:rFonts w:ascii="Times New Roman" w:eastAsia="Calibri" w:hAnsi="Times New Roman" w:cs="Times New Roman"/>
          <w:kern w:val="0"/>
          <w:lang w:val="es-AR"/>
          <w14:ligatures w14:val="none"/>
        </w:rPr>
        <w:t xml:space="preserve"> de las trayectorias.</w:t>
      </w:r>
    </w:p>
    <w:p w14:paraId="2A1F3664" w14:textId="77777777" w:rsidR="00537C0E" w:rsidRPr="00537C0E" w:rsidRDefault="00537C0E" w:rsidP="00537C0E">
      <w:pPr>
        <w:spacing w:line="240" w:lineRule="auto"/>
        <w:jc w:val="both"/>
        <w:rPr>
          <w:rFonts w:ascii="Times New Roman" w:eastAsia="Calibri" w:hAnsi="Times New Roman" w:cs="Times New Roman"/>
          <w:vanish/>
          <w:kern w:val="0"/>
          <w:lang w:val="es-AR"/>
          <w14:ligatures w14:val="none"/>
        </w:rPr>
      </w:pPr>
      <w:r w:rsidRPr="00537C0E">
        <w:rPr>
          <w:rFonts w:ascii="Times New Roman" w:eastAsia="Calibri" w:hAnsi="Times New Roman" w:cs="Times New Roman"/>
          <w:vanish/>
          <w:kern w:val="0"/>
          <w:lang w:val="es-AR"/>
          <w14:ligatures w14:val="none"/>
        </w:rPr>
        <w:t xml:space="preserve"> Final del formulario</w:t>
      </w:r>
    </w:p>
    <w:p w14:paraId="0A766D5A"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
    <w:p w14:paraId="7C4DD30F"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5. Conclusiones</w:t>
      </w:r>
    </w:p>
    <w:p w14:paraId="50A6DD96"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El análisis hasta aquí desarrollado permite formular algunas consideraciones finales en torno a las trayectorias estudiantiles y a los desafíos que enfrenta hoy la universidad pública en el marco de los procesos de democratización de la educación superior:</w:t>
      </w:r>
    </w:p>
    <w:p w14:paraId="2C8F9624"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-El reconocimiento de la educación superior como derecho humano universal y bien público social exige superar perspectivas centradas exclusivamente en el ingreso. </w:t>
      </w:r>
      <w:r w:rsidRPr="00537C0E">
        <w:rPr>
          <w:rFonts w:ascii="Times New Roman" w:eastAsia="Calibri" w:hAnsi="Times New Roman" w:cs="Times New Roman"/>
          <w:kern w:val="0"/>
          <w:lang w:val="es-AR"/>
          <w14:ligatures w14:val="none"/>
        </w:rPr>
        <w:lastRenderedPageBreak/>
        <w:t>Democratizar la universidad supone garantizar condiciones efectivas de permanencia, aprendizaje y graduación para quienes acceden a este nivel educativo.</w:t>
      </w:r>
    </w:p>
    <w:p w14:paraId="1B7FA3F8"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-Las trayectorias permiten superar explicaciones lineales centradas únicamente en las condiciones sociales o en las decisiones individuales de los estudiantes. Constituyen una categoría analítica capaz de integrar dimensiones estructurales, biográficas, institucionales y </w:t>
      </w:r>
      <w:proofErr w:type="spellStart"/>
      <w:r w:rsidRPr="00537C0E">
        <w:rPr>
          <w:rFonts w:ascii="Times New Roman" w:eastAsia="Calibri" w:hAnsi="Times New Roman" w:cs="Times New Roman"/>
          <w:kern w:val="0"/>
          <w:lang w:val="es-AR"/>
          <w14:ligatures w14:val="none"/>
        </w:rPr>
        <w:t>sociohistóricas</w:t>
      </w:r>
      <w:proofErr w:type="spellEnd"/>
      <w:r w:rsidRPr="00537C0E">
        <w:rPr>
          <w:rFonts w:ascii="Times New Roman" w:eastAsia="Calibri" w:hAnsi="Times New Roman" w:cs="Times New Roman"/>
          <w:kern w:val="0"/>
          <w:lang w:val="es-AR"/>
          <w14:ligatures w14:val="none"/>
        </w:rPr>
        <w:t>, ofreciendo una comprensión más compleja de los recorridos universitarios.</w:t>
      </w:r>
    </w:p>
    <w:p w14:paraId="0AC2201D"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-Los resultados presentados muestran que las dificultades para avanzar en las carreras no pueden explicarse exclusivamente desde atributos individuales del estudiantado. Las regulaciones académicas, los planes de estudio, las prácticas pedagógicas y las modalidades de evaluación constituyen dimensiones centrales en la configuración de las trayectorias reales.</w:t>
      </w:r>
    </w:p>
    <w:p w14:paraId="5456A2CB"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-La </w:t>
      </w:r>
      <w:proofErr w:type="spellStart"/>
      <w:r w:rsidRPr="00537C0E">
        <w:rPr>
          <w:rFonts w:ascii="Times New Roman" w:eastAsia="Calibri" w:hAnsi="Times New Roman" w:cs="Times New Roman"/>
          <w:kern w:val="0"/>
          <w:lang w:val="es-AR"/>
          <w14:ligatures w14:val="none"/>
        </w:rPr>
        <w:t>lentificación</w:t>
      </w:r>
      <w:proofErr w:type="spellEnd"/>
      <w:r w:rsidRPr="00537C0E">
        <w:rPr>
          <w:rFonts w:ascii="Times New Roman" w:eastAsia="Calibri" w:hAnsi="Times New Roman" w:cs="Times New Roman"/>
          <w:kern w:val="0"/>
          <w:lang w:val="es-AR"/>
          <w14:ligatures w14:val="none"/>
        </w:rPr>
        <w:t xml:space="preserve"> de los recorridos universitarios expresa, en muchos casos, procesos complejos de adaptación frente a condiciones biográficas exigentes y estructuras institucionales poco flexibles. Comprender estas trayectorias desde una perspectiva de derecho implica abandonar lecturas deficitarias y avanzar hacia políticas institucionales de acompañamiento y transformación.</w:t>
      </w:r>
    </w:p>
    <w:p w14:paraId="1AB030AC"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-La experiencia desarrollada en la Universidad Nacional de Tucumán permite sostener que las políticas orientadas al acompañamiento de trayectorias adquieren mayor capacidad transformadora cuando incorporan la producción sistemática de conocimiento como parte constitutiva de su diseño. En este sentido, las trayectorias estudiantiles no constituyen únicamente un objeto de intervención, sino también una herramienta para producir conocimiento institucional y orientar procesos de transformación universitaria.</w:t>
      </w:r>
    </w:p>
    <w:p w14:paraId="7447F1AD"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este marco, el principal desafío para las universidades públicas no reside únicamente en fortalecer dispositivos de apoyo para estudiantes que experimentan dificultades en sus trayectorias, sino en avanzar hacia transformaciones institucionales más profundas. Esto implica revisar críticamente las condiciones regulatorias, curriculares, pedagógicas y organizacionales que producen obstáculos en los recorridos académicos.</w:t>
      </w:r>
    </w:p>
    <w:p w14:paraId="070F66B9"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La experiencia de la UNT muestra que el verdadero potencial de las políticas de acompañamiento no se agota en su capacidad para asistir trayectorias ralentizadas o en riesgo, sino en su posibilidad de producir conocimiento institucional que permita reducir, desde etapas más tempranas, las barreras que afectan la continuidad y el egreso.</w:t>
      </w:r>
    </w:p>
    <w:p w14:paraId="74E477D5" w14:textId="77777777" w:rsidR="00537C0E" w:rsidRPr="00537C0E" w:rsidRDefault="00537C0E" w:rsidP="00537C0E">
      <w:pPr>
        <w:spacing w:after="0"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En definitiva, garantizar el derecho a la educación superior exige no solo acompañar mejor a quienes encuentran mayores dificultades, sino construir universidades capaces de interrogarse críticamente sobre sus propias condiciones de funcionamiento. Es allí donde la democratización universitaria encuentra hoy uno de sus desafíos más profundos.</w:t>
      </w:r>
    </w:p>
    <w:p w14:paraId="7BD62228"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
    <w:p w14:paraId="60E95B6E" w14:textId="77777777" w:rsidR="00537C0E" w:rsidRPr="00537C0E" w:rsidRDefault="00537C0E" w:rsidP="00537C0E">
      <w:pPr>
        <w:spacing w:line="240" w:lineRule="auto"/>
        <w:jc w:val="both"/>
        <w:rPr>
          <w:rFonts w:ascii="Times New Roman" w:eastAsia="Calibri" w:hAnsi="Times New Roman" w:cs="Times New Roman"/>
          <w:b/>
          <w:kern w:val="0"/>
          <w:lang w:val="es-AR"/>
          <w14:ligatures w14:val="none"/>
        </w:rPr>
      </w:pPr>
      <w:r w:rsidRPr="00537C0E">
        <w:rPr>
          <w:rFonts w:ascii="Times New Roman" w:eastAsia="Calibri" w:hAnsi="Times New Roman" w:cs="Times New Roman"/>
          <w:b/>
          <w:kern w:val="0"/>
          <w:lang w:val="es-AR"/>
          <w14:ligatures w14:val="none"/>
        </w:rPr>
        <w:t xml:space="preserve">6. Referencias bibliográficas </w:t>
      </w:r>
    </w:p>
    <w:p w14:paraId="73657163"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Abdala C., Lazarte Bader M., Sánchez F. (2023) La graduación como un derecho. La experiencia del Proyecto Potenciar Graduación en la Universidad Nacional de Tucumán. </w:t>
      </w:r>
      <w:r w:rsidRPr="00537C0E">
        <w:rPr>
          <w:rFonts w:ascii="Times New Roman" w:eastAsia="Calibri" w:hAnsi="Times New Roman" w:cs="Times New Roman"/>
          <w:kern w:val="0"/>
          <w:lang w:val="es-AR"/>
          <w14:ligatures w14:val="none"/>
        </w:rPr>
        <w:lastRenderedPageBreak/>
        <w:t>II J Jornadas de Innovación en la Formación: las prácticas de gestión académica en las Universidades. Universidad Nacional de San Martín, Buenos Aires, Argentina.</w:t>
      </w:r>
    </w:p>
    <w:p w14:paraId="15BBC86C"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Ardoino, J. (2005) Complejidad y formación. En </w:t>
      </w:r>
      <w:proofErr w:type="spellStart"/>
      <w:r w:rsidRPr="00537C0E">
        <w:rPr>
          <w:rFonts w:ascii="Times New Roman" w:eastAsia="Calibri" w:hAnsi="Times New Roman" w:cs="Times New Roman"/>
          <w:kern w:val="0"/>
          <w:lang w:val="es-AR"/>
          <w14:ligatures w14:val="none"/>
        </w:rPr>
        <w:t>Nicastro</w:t>
      </w:r>
      <w:proofErr w:type="spellEnd"/>
      <w:r w:rsidRPr="00537C0E">
        <w:rPr>
          <w:rFonts w:ascii="Times New Roman" w:eastAsia="Calibri" w:hAnsi="Times New Roman" w:cs="Times New Roman"/>
          <w:kern w:val="0"/>
          <w:lang w:val="es-AR"/>
          <w14:ligatures w14:val="none"/>
        </w:rPr>
        <w:t xml:space="preserve">, S. y Greco, M.B. </w:t>
      </w:r>
      <w:r w:rsidRPr="00537C0E">
        <w:rPr>
          <w:rFonts w:ascii="Times New Roman" w:eastAsia="Calibri" w:hAnsi="Times New Roman" w:cs="Times New Roman"/>
          <w:i/>
          <w:kern w:val="0"/>
          <w:lang w:val="es-AR"/>
          <w14:ligatures w14:val="none"/>
        </w:rPr>
        <w:t>Entre trayectorias, Escenas y pensamientos en espacios de formación</w:t>
      </w:r>
      <w:r w:rsidRPr="00537C0E">
        <w:rPr>
          <w:rFonts w:ascii="Times New Roman" w:eastAsia="Calibri" w:hAnsi="Times New Roman" w:cs="Times New Roman"/>
          <w:kern w:val="0"/>
          <w:lang w:val="es-AR"/>
          <w14:ligatures w14:val="none"/>
        </w:rPr>
        <w:t>. Homo Sapiens Ediciones. Bs. As.</w:t>
      </w:r>
    </w:p>
    <w:p w14:paraId="6004889C"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Conferencia Regional de Educación Superior. Declaración Final CRES 2018, III Conferencia Regional de Educación Superior, Universidad Nacional de Córdoba, 14 de junio de 2018.</w:t>
      </w:r>
    </w:p>
    <w:p w14:paraId="28F9BD69"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Chiroleu, A. (2026) La democratización universitaria como construcción compleja: el revés de la trama En Atairo, D. y </w:t>
      </w:r>
      <w:proofErr w:type="spellStart"/>
      <w:r w:rsidRPr="00537C0E">
        <w:rPr>
          <w:rFonts w:ascii="Times New Roman" w:eastAsia="Calibri" w:hAnsi="Times New Roman" w:cs="Times New Roman"/>
          <w:kern w:val="0"/>
          <w:lang w:val="es-AR"/>
          <w14:ligatures w14:val="none"/>
        </w:rPr>
        <w:t>Rovelli</w:t>
      </w:r>
      <w:proofErr w:type="spellEnd"/>
      <w:r w:rsidRPr="00537C0E">
        <w:rPr>
          <w:rFonts w:ascii="Times New Roman" w:eastAsia="Calibri" w:hAnsi="Times New Roman" w:cs="Times New Roman"/>
          <w:kern w:val="0"/>
          <w:lang w:val="es-AR"/>
          <w14:ligatures w14:val="none"/>
        </w:rPr>
        <w:t>, L. (</w:t>
      </w:r>
      <w:proofErr w:type="spellStart"/>
      <w:r w:rsidRPr="00537C0E">
        <w:rPr>
          <w:rFonts w:ascii="Times New Roman" w:eastAsia="Calibri" w:hAnsi="Times New Roman" w:cs="Times New Roman"/>
          <w:kern w:val="0"/>
          <w:lang w:val="es-AR"/>
          <w14:ligatures w14:val="none"/>
        </w:rPr>
        <w:t>Coords</w:t>
      </w:r>
      <w:proofErr w:type="spellEnd"/>
      <w:r w:rsidRPr="00537C0E">
        <w:rPr>
          <w:rFonts w:ascii="Times New Roman" w:eastAsia="Calibri" w:hAnsi="Times New Roman" w:cs="Times New Roman"/>
          <w:kern w:val="0"/>
          <w:lang w:val="es-AR"/>
          <w14:ligatures w14:val="none"/>
        </w:rPr>
        <w:t>.). (2026). </w:t>
      </w:r>
      <w:r w:rsidRPr="00537C0E">
        <w:rPr>
          <w:rFonts w:ascii="Times New Roman" w:eastAsia="Calibri" w:hAnsi="Times New Roman" w:cs="Times New Roman"/>
          <w:i/>
          <w:iCs/>
          <w:kern w:val="0"/>
          <w:lang w:val="es-AR"/>
          <w14:ligatures w14:val="none"/>
        </w:rPr>
        <w:t>Acceso a la Educación Superior en clave de derechos: Aportes desde la investigación educativa</w:t>
      </w:r>
      <w:r w:rsidRPr="00537C0E">
        <w:rPr>
          <w:rFonts w:ascii="Times New Roman" w:eastAsia="Calibri" w:hAnsi="Times New Roman" w:cs="Times New Roman"/>
          <w:kern w:val="0"/>
          <w:lang w:val="es-AR"/>
          <w14:ligatures w14:val="none"/>
        </w:rPr>
        <w:t xml:space="preserve">.  Universidad Nacional de La Plata. Facultad de Humanidades y Ciencias de la Educación; </w:t>
      </w:r>
      <w:proofErr w:type="spellStart"/>
      <w:r w:rsidRPr="00537C0E">
        <w:rPr>
          <w:rFonts w:ascii="Times New Roman" w:eastAsia="Calibri" w:hAnsi="Times New Roman" w:cs="Times New Roman"/>
          <w:kern w:val="0"/>
          <w:lang w:val="es-AR"/>
          <w14:ligatures w14:val="none"/>
        </w:rPr>
        <w:t>IdIHCS</w:t>
      </w:r>
      <w:proofErr w:type="spellEnd"/>
      <w:r w:rsidRPr="00537C0E">
        <w:rPr>
          <w:rFonts w:ascii="Times New Roman" w:eastAsia="Calibri" w:hAnsi="Times New Roman" w:cs="Times New Roman"/>
          <w:kern w:val="0"/>
          <w:lang w:val="es-AR"/>
          <w14:ligatures w14:val="none"/>
        </w:rPr>
        <w:t>. (Ágora; 6). pp.27-48. </w:t>
      </w:r>
      <w:hyperlink r:id="rId8" w:history="1">
        <w:r w:rsidRPr="00537C0E">
          <w:rPr>
            <w:rFonts w:ascii="Times New Roman" w:eastAsia="Calibri" w:hAnsi="Times New Roman" w:cs="Times New Roman"/>
            <w:color w:val="0563C1"/>
            <w:kern w:val="0"/>
            <w:u w:val="single"/>
            <w:lang w:val="es-AR"/>
            <w14:ligatures w14:val="none"/>
          </w:rPr>
          <w:t>https://doi.org/10.24215/978-950-34-2713-2</w:t>
        </w:r>
      </w:hyperlink>
    </w:p>
    <w:p w14:paraId="0FE43ED6"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roofErr w:type="spellStart"/>
      <w:r w:rsidRPr="00537C0E">
        <w:rPr>
          <w:rFonts w:ascii="Times New Roman" w:eastAsia="Calibri" w:hAnsi="Times New Roman" w:cs="Times New Roman"/>
          <w:kern w:val="0"/>
          <w:lang w:val="es-AR"/>
          <w14:ligatures w14:val="none"/>
        </w:rPr>
        <w:t>Paparini</w:t>
      </w:r>
      <w:proofErr w:type="spellEnd"/>
      <w:r w:rsidRPr="00537C0E">
        <w:rPr>
          <w:rFonts w:ascii="Times New Roman" w:eastAsia="Calibri" w:hAnsi="Times New Roman" w:cs="Times New Roman"/>
          <w:kern w:val="0"/>
          <w:lang w:val="es-AR"/>
          <w14:ligatures w14:val="none"/>
        </w:rPr>
        <w:t xml:space="preserve">, C., &amp; </w:t>
      </w:r>
      <w:proofErr w:type="spellStart"/>
      <w:r w:rsidRPr="00537C0E">
        <w:rPr>
          <w:rFonts w:ascii="Times New Roman" w:eastAsia="Calibri" w:hAnsi="Times New Roman" w:cs="Times New Roman"/>
          <w:kern w:val="0"/>
          <w:lang w:val="es-AR"/>
          <w14:ligatures w14:val="none"/>
        </w:rPr>
        <w:t>Ozollo</w:t>
      </w:r>
      <w:proofErr w:type="spellEnd"/>
      <w:r w:rsidRPr="00537C0E">
        <w:rPr>
          <w:rFonts w:ascii="Times New Roman" w:eastAsia="Calibri" w:hAnsi="Times New Roman" w:cs="Times New Roman"/>
          <w:kern w:val="0"/>
          <w:lang w:val="es-AR"/>
          <w14:ligatures w14:val="none"/>
        </w:rPr>
        <w:t xml:space="preserve">, F. (2015). Calidad y derecho a la Educación Superior. Integración Y Conocimiento, 4. </w:t>
      </w:r>
      <w:hyperlink r:id="rId9" w:history="1">
        <w:r w:rsidRPr="00537C0E">
          <w:rPr>
            <w:rFonts w:ascii="Times New Roman" w:eastAsia="Calibri" w:hAnsi="Times New Roman" w:cs="Times New Roman"/>
            <w:color w:val="0563C1"/>
            <w:kern w:val="0"/>
            <w:u w:val="single"/>
            <w:lang w:val="es-AR"/>
            <w14:ligatures w14:val="none"/>
          </w:rPr>
          <w:t>https://doi.org/10.61203/2347-0658.v4.n0.12569</w:t>
        </w:r>
      </w:hyperlink>
    </w:p>
    <w:p w14:paraId="424B5B7A"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Puiggrós, A. (2025) El derecho a la educación, punto de partida. En Korn G. y Rodríguez S. (comp.) </w:t>
      </w:r>
      <w:r w:rsidRPr="00537C0E">
        <w:rPr>
          <w:rFonts w:ascii="Times New Roman" w:eastAsia="Calibri" w:hAnsi="Times New Roman" w:cs="Times New Roman"/>
          <w:i/>
          <w:kern w:val="0"/>
          <w:lang w:val="es-AR"/>
          <w14:ligatures w14:val="none"/>
        </w:rPr>
        <w:t>En La universidad es un derecho</w:t>
      </w:r>
      <w:r w:rsidRPr="00537C0E">
        <w:rPr>
          <w:rFonts w:ascii="Times New Roman" w:eastAsia="Calibri" w:hAnsi="Times New Roman" w:cs="Times New Roman"/>
          <w:kern w:val="0"/>
          <w:lang w:val="es-AR"/>
          <w14:ligatures w14:val="none"/>
        </w:rPr>
        <w:t>. pp.71-82 La Plata: Ediciones Bonaerenses, 2025.</w:t>
      </w:r>
      <w:r w:rsidRPr="00537C0E">
        <w:rPr>
          <w:rFonts w:ascii="Calibri" w:eastAsia="Calibri" w:hAnsi="Calibri" w:cs="Times New Roman"/>
          <w:kern w:val="0"/>
          <w:sz w:val="22"/>
          <w:szCs w:val="22"/>
          <w:lang w:val="es-AR"/>
          <w14:ligatures w14:val="none"/>
        </w:rPr>
        <w:t xml:space="preserve"> </w:t>
      </w:r>
      <w:hyperlink r:id="rId10" w:history="1">
        <w:r w:rsidRPr="00537C0E">
          <w:rPr>
            <w:rFonts w:ascii="Times New Roman" w:eastAsia="Calibri" w:hAnsi="Times New Roman" w:cs="Times New Roman"/>
            <w:color w:val="0563C1"/>
            <w:kern w:val="0"/>
            <w:u w:val="single"/>
            <w:lang w:val="es-AR"/>
            <w14:ligatures w14:val="none"/>
          </w:rPr>
          <w:t>https://unipe.edu.ar/apuiggros/images/La_universidad_es_un_derecho%201.pdf</w:t>
        </w:r>
      </w:hyperlink>
    </w:p>
    <w:p w14:paraId="600138F3"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roofErr w:type="spellStart"/>
      <w:r w:rsidRPr="00537C0E">
        <w:rPr>
          <w:rFonts w:ascii="Times New Roman" w:eastAsia="Calibri" w:hAnsi="Times New Roman" w:cs="Times New Roman"/>
          <w:kern w:val="0"/>
          <w:lang w:val="es-AR"/>
          <w14:ligatures w14:val="none"/>
        </w:rPr>
        <w:t>Rinesi</w:t>
      </w:r>
      <w:proofErr w:type="spellEnd"/>
      <w:r w:rsidRPr="00537C0E">
        <w:rPr>
          <w:rFonts w:ascii="Times New Roman" w:eastAsia="Calibri" w:hAnsi="Times New Roman" w:cs="Times New Roman"/>
          <w:kern w:val="0"/>
          <w:lang w:val="es-AR"/>
          <w14:ligatures w14:val="none"/>
        </w:rPr>
        <w:t>, E. (2022) El derecho a la Educación Superior. </w:t>
      </w:r>
      <w:r w:rsidRPr="00537C0E">
        <w:rPr>
          <w:rFonts w:ascii="Times New Roman" w:eastAsia="Calibri" w:hAnsi="Times New Roman" w:cs="Times New Roman"/>
          <w:i/>
          <w:iCs/>
          <w:kern w:val="0"/>
          <w:lang w:val="es-AR"/>
          <w14:ligatures w14:val="none"/>
        </w:rPr>
        <w:t>Anales De La Educación Común</w:t>
      </w:r>
      <w:r w:rsidRPr="00537C0E">
        <w:rPr>
          <w:rFonts w:ascii="Times New Roman" w:eastAsia="Calibri" w:hAnsi="Times New Roman" w:cs="Times New Roman"/>
          <w:kern w:val="0"/>
          <w:lang w:val="es-AR"/>
          <w14:ligatures w14:val="none"/>
        </w:rPr>
        <w:t>, </w:t>
      </w:r>
      <w:r w:rsidRPr="00537C0E">
        <w:rPr>
          <w:rFonts w:ascii="Times New Roman" w:eastAsia="Calibri" w:hAnsi="Times New Roman" w:cs="Times New Roman"/>
          <w:i/>
          <w:iCs/>
          <w:kern w:val="0"/>
          <w:lang w:val="es-AR"/>
          <w14:ligatures w14:val="none"/>
        </w:rPr>
        <w:t>3</w:t>
      </w:r>
      <w:r w:rsidRPr="00537C0E">
        <w:rPr>
          <w:rFonts w:ascii="Times New Roman" w:eastAsia="Calibri" w:hAnsi="Times New Roman" w:cs="Times New Roman"/>
          <w:kern w:val="0"/>
          <w:lang w:val="es-AR"/>
          <w14:ligatures w14:val="none"/>
        </w:rPr>
        <w:t>(1-2), 72-79. </w:t>
      </w:r>
      <w:hyperlink r:id="rId11" w:history="1">
        <w:r w:rsidRPr="00537C0E">
          <w:rPr>
            <w:rFonts w:ascii="Times New Roman" w:eastAsia="Calibri" w:hAnsi="Times New Roman" w:cs="Times New Roman"/>
            <w:color w:val="0563C1"/>
            <w:kern w:val="0"/>
            <w:u w:val="single"/>
            <w:lang w:val="es-AR"/>
            <w14:ligatures w14:val="none"/>
          </w:rPr>
          <w:t>https://cendie.abc.gob.ar/revistas/index.php/revistaanales/article/view/1530</w:t>
        </w:r>
      </w:hyperlink>
    </w:p>
    <w:p w14:paraId="29F2B61E"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roofErr w:type="spellStart"/>
      <w:r w:rsidRPr="00537C0E">
        <w:rPr>
          <w:rFonts w:ascii="Times New Roman" w:eastAsia="Calibri" w:hAnsi="Times New Roman" w:cs="Times New Roman"/>
          <w:kern w:val="0"/>
          <w:lang w:val="es-AR"/>
          <w14:ligatures w14:val="none"/>
        </w:rPr>
        <w:t>Sibilia</w:t>
      </w:r>
      <w:proofErr w:type="spellEnd"/>
      <w:r w:rsidRPr="00537C0E">
        <w:rPr>
          <w:rFonts w:ascii="Times New Roman" w:eastAsia="Calibri" w:hAnsi="Times New Roman" w:cs="Times New Roman"/>
          <w:kern w:val="0"/>
          <w:lang w:val="es-AR"/>
          <w14:ligatures w14:val="none"/>
        </w:rPr>
        <w:t>, P. (2012). Redes o paredes: La escuela en tiempos de dispersión. Buenos Aires: Tinta Fresca.</w:t>
      </w:r>
    </w:p>
    <w:p w14:paraId="5F416FB1"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kern w:val="0"/>
          <w:lang w:val="es-AR"/>
          <w14:ligatures w14:val="none"/>
        </w:rPr>
        <w:t xml:space="preserve">Terigi, F. (2014). Trayectorias escolares e inclusión educativa: del enfoque individual al desafío para las políticas educativas. En A. </w:t>
      </w:r>
      <w:proofErr w:type="spellStart"/>
      <w:r w:rsidRPr="00537C0E">
        <w:rPr>
          <w:rFonts w:ascii="Times New Roman" w:eastAsia="Calibri" w:hAnsi="Times New Roman" w:cs="Times New Roman"/>
          <w:kern w:val="0"/>
          <w:lang w:val="es-AR"/>
          <w14:ligatures w14:val="none"/>
        </w:rPr>
        <w:t>Marchesi</w:t>
      </w:r>
      <w:proofErr w:type="spellEnd"/>
      <w:r w:rsidRPr="00537C0E">
        <w:rPr>
          <w:rFonts w:ascii="Times New Roman" w:eastAsia="Calibri" w:hAnsi="Times New Roman" w:cs="Times New Roman"/>
          <w:kern w:val="0"/>
          <w:lang w:val="es-AR"/>
          <w14:ligatures w14:val="none"/>
        </w:rPr>
        <w:t>, R. Blanco y L. Hernández (</w:t>
      </w:r>
      <w:proofErr w:type="spellStart"/>
      <w:r w:rsidRPr="00537C0E">
        <w:rPr>
          <w:rFonts w:ascii="Times New Roman" w:eastAsia="Calibri" w:hAnsi="Times New Roman" w:cs="Times New Roman"/>
          <w:kern w:val="0"/>
          <w:lang w:val="es-AR"/>
          <w14:ligatures w14:val="none"/>
        </w:rPr>
        <w:t>coords</w:t>
      </w:r>
      <w:proofErr w:type="spellEnd"/>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i/>
          <w:kern w:val="0"/>
          <w:lang w:val="es-AR"/>
          <w14:ligatures w14:val="none"/>
        </w:rPr>
        <w:t>Avances y desafíos de la educación inclusiva en Iberoamérica</w:t>
      </w:r>
      <w:r w:rsidRPr="00537C0E">
        <w:rPr>
          <w:rFonts w:ascii="Times New Roman" w:eastAsia="Calibri" w:hAnsi="Times New Roman" w:cs="Times New Roman"/>
          <w:kern w:val="0"/>
          <w:lang w:val="es-AR"/>
          <w14:ligatures w14:val="none"/>
        </w:rPr>
        <w:t xml:space="preserve">. Madrid: Organización de Estados Iberoamericanos/ Fundación MAPFRE. Colección Metas Educativas 2021. </w:t>
      </w:r>
    </w:p>
    <w:p w14:paraId="6C66CE7C"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proofErr w:type="spellStart"/>
      <w:r w:rsidRPr="00537C0E">
        <w:rPr>
          <w:rFonts w:ascii="Times New Roman" w:eastAsia="Calibri" w:hAnsi="Times New Roman" w:cs="Times New Roman"/>
          <w:kern w:val="0"/>
          <w:lang w:val="es-AR"/>
          <w14:ligatures w14:val="none"/>
        </w:rPr>
        <w:t>Vasilachis</w:t>
      </w:r>
      <w:proofErr w:type="spellEnd"/>
      <w:r w:rsidRPr="00537C0E">
        <w:rPr>
          <w:rFonts w:ascii="Times New Roman" w:eastAsia="Calibri" w:hAnsi="Times New Roman" w:cs="Times New Roman"/>
          <w:kern w:val="0"/>
          <w:lang w:val="es-AR"/>
          <w14:ligatures w14:val="none"/>
        </w:rPr>
        <w:t xml:space="preserve"> de </w:t>
      </w:r>
      <w:proofErr w:type="spellStart"/>
      <w:r w:rsidRPr="00537C0E">
        <w:rPr>
          <w:rFonts w:ascii="Times New Roman" w:eastAsia="Calibri" w:hAnsi="Times New Roman" w:cs="Times New Roman"/>
          <w:kern w:val="0"/>
          <w:lang w:val="es-AR"/>
          <w14:ligatures w14:val="none"/>
        </w:rPr>
        <w:t>Gialdino</w:t>
      </w:r>
      <w:proofErr w:type="spellEnd"/>
      <w:r w:rsidRPr="00537C0E">
        <w:rPr>
          <w:rFonts w:ascii="Times New Roman" w:eastAsia="Calibri" w:hAnsi="Times New Roman" w:cs="Times New Roman"/>
          <w:kern w:val="0"/>
          <w:lang w:val="es-AR"/>
          <w14:ligatures w14:val="none"/>
        </w:rPr>
        <w:t xml:space="preserve">, I. (2006) Estrategias de investigación cualitativa. Editorial </w:t>
      </w:r>
      <w:proofErr w:type="spellStart"/>
      <w:r w:rsidRPr="00537C0E">
        <w:rPr>
          <w:rFonts w:ascii="Times New Roman" w:eastAsia="Calibri" w:hAnsi="Times New Roman" w:cs="Times New Roman"/>
          <w:kern w:val="0"/>
          <w:lang w:val="es-AR"/>
          <w14:ligatures w14:val="none"/>
        </w:rPr>
        <w:t>Gedisa</w:t>
      </w:r>
      <w:proofErr w:type="spellEnd"/>
    </w:p>
    <w:p w14:paraId="3F0C6E8C" w14:textId="77777777" w:rsidR="00537C0E" w:rsidRPr="00537C0E" w:rsidRDefault="00537C0E" w:rsidP="00537C0E">
      <w:pPr>
        <w:spacing w:line="240" w:lineRule="auto"/>
        <w:jc w:val="both"/>
        <w:rPr>
          <w:rFonts w:ascii="Times New Roman" w:eastAsia="Calibri" w:hAnsi="Times New Roman" w:cs="Times New Roman"/>
          <w:b/>
          <w:bCs/>
          <w:kern w:val="0"/>
          <w:lang w:val="es-AR"/>
          <w14:ligatures w14:val="none"/>
        </w:rPr>
      </w:pPr>
      <w:r w:rsidRPr="00537C0E">
        <w:rPr>
          <w:rFonts w:ascii="Times New Roman" w:eastAsia="Calibri" w:hAnsi="Times New Roman" w:cs="Times New Roman"/>
          <w:b/>
          <w:bCs/>
          <w:kern w:val="0"/>
          <w:lang w:val="es-AR"/>
          <w14:ligatures w14:val="none"/>
        </w:rPr>
        <w:t>Documentos institucionales</w:t>
      </w:r>
    </w:p>
    <w:p w14:paraId="5AF9C24E" w14:textId="77777777" w:rsidR="00537C0E" w:rsidRPr="00537C0E" w:rsidRDefault="00537C0E" w:rsidP="00537C0E">
      <w:pPr>
        <w:spacing w:line="240" w:lineRule="auto"/>
        <w:jc w:val="both"/>
        <w:rPr>
          <w:rFonts w:ascii="Times New Roman" w:eastAsia="Calibri" w:hAnsi="Times New Roman" w:cs="Times New Roman"/>
          <w:bCs/>
          <w:kern w:val="0"/>
          <w:lang w:val="es-AR"/>
          <w14:ligatures w14:val="none"/>
        </w:rPr>
      </w:pPr>
      <w:r w:rsidRPr="00537C0E">
        <w:rPr>
          <w:rFonts w:ascii="Times New Roman" w:eastAsia="Calibri" w:hAnsi="Times New Roman" w:cs="Times New Roman"/>
          <w:bCs/>
          <w:kern w:val="0"/>
          <w:lang w:val="es-AR"/>
          <w14:ligatures w14:val="none"/>
        </w:rPr>
        <w:t xml:space="preserve">Universidad Nacional de Tucumán. (2022). </w:t>
      </w:r>
      <w:r w:rsidRPr="00537C0E">
        <w:rPr>
          <w:rFonts w:ascii="Times New Roman" w:eastAsia="Calibri" w:hAnsi="Times New Roman" w:cs="Times New Roman"/>
          <w:bCs/>
          <w:i/>
          <w:iCs/>
          <w:kern w:val="0"/>
          <w:lang w:val="es-AR"/>
          <w14:ligatures w14:val="none"/>
        </w:rPr>
        <w:t>Plan Estratégico Institucional 2021–2030</w:t>
      </w:r>
      <w:r w:rsidRPr="00537C0E">
        <w:rPr>
          <w:rFonts w:ascii="Times New Roman" w:eastAsia="Calibri" w:hAnsi="Times New Roman" w:cs="Times New Roman"/>
          <w:bCs/>
          <w:kern w:val="0"/>
          <w:lang w:val="es-AR"/>
          <w14:ligatures w14:val="none"/>
        </w:rPr>
        <w:t xml:space="preserve">. </w:t>
      </w:r>
      <w:hyperlink r:id="rId12" w:tgtFrame="_new" w:history="1">
        <w:r w:rsidRPr="00537C0E">
          <w:rPr>
            <w:rFonts w:ascii="Times New Roman" w:eastAsia="Calibri" w:hAnsi="Times New Roman" w:cs="Times New Roman"/>
            <w:bCs/>
            <w:color w:val="0563C1"/>
            <w:kern w:val="0"/>
            <w:u w:val="single"/>
            <w:lang w:val="es-AR"/>
            <w14:ligatures w14:val="none"/>
          </w:rPr>
          <w:t>https://www.unt.edu.ar/wp-content/uploads/2023/04/P.E.I._UNT_Edicion_Digital.pdf</w:t>
        </w:r>
      </w:hyperlink>
    </w:p>
    <w:p w14:paraId="3AA0152F"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bCs/>
          <w:kern w:val="0"/>
          <w:lang w:val="es-AR"/>
          <w14:ligatures w14:val="none"/>
        </w:rPr>
        <w:t>Secretaría Académica, Universidad Nacional de Tucumán. (2026).</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i/>
          <w:iCs/>
          <w:kern w:val="0"/>
          <w:lang w:val="es-AR"/>
          <w14:ligatures w14:val="none"/>
        </w:rPr>
        <w:t>Informe de resultados</w:t>
      </w:r>
      <w:r w:rsidRPr="00537C0E">
        <w:rPr>
          <w:rFonts w:ascii="Times New Roman" w:eastAsia="Calibri" w:hAnsi="Times New Roman" w:cs="Times New Roman"/>
          <w:kern w:val="0"/>
          <w:lang w:val="es-AR"/>
          <w14:ligatures w14:val="none"/>
        </w:rPr>
        <w:t xml:space="preserve"> Ser estudiante en la universidad de hoy: Una lectura a la encuesta </w:t>
      </w:r>
      <w:r w:rsidRPr="00537C0E">
        <w:rPr>
          <w:rFonts w:ascii="Times New Roman" w:eastAsia="Calibri" w:hAnsi="Times New Roman" w:cs="Times New Roman"/>
          <w:i/>
          <w:iCs/>
          <w:kern w:val="0"/>
          <w:lang w:val="es-AR"/>
          <w14:ligatures w14:val="none"/>
        </w:rPr>
        <w:t xml:space="preserve">Mi trayectoria académica en la UNT. </w:t>
      </w:r>
      <w:r w:rsidRPr="00537C0E">
        <w:rPr>
          <w:rFonts w:ascii="Times New Roman" w:eastAsia="Calibri" w:hAnsi="Times New Roman" w:cs="Times New Roman"/>
          <w:iCs/>
          <w:kern w:val="0"/>
          <w:lang w:val="es-AR"/>
          <w14:ligatures w14:val="none"/>
        </w:rPr>
        <w:t>Responsables</w:t>
      </w:r>
      <w:r w:rsidRPr="00537C0E">
        <w:rPr>
          <w:rFonts w:ascii="Times New Roman" w:eastAsia="Calibri" w:hAnsi="Times New Roman" w:cs="Times New Roman"/>
          <w:i/>
          <w:iCs/>
          <w:kern w:val="0"/>
          <w:lang w:val="es-AR"/>
          <w14:ligatures w14:val="none"/>
        </w:rPr>
        <w:t xml:space="preserve"> </w:t>
      </w:r>
      <w:r w:rsidRPr="00537C0E">
        <w:rPr>
          <w:rFonts w:ascii="Times New Roman" w:eastAsia="Calibri" w:hAnsi="Times New Roman" w:cs="Times New Roman"/>
          <w:kern w:val="0"/>
          <w:lang w:val="es-AR"/>
          <w14:ligatures w14:val="none"/>
        </w:rPr>
        <w:t>Claudia Adriana Ferreiro y Néstor Adrián Amado. Instituto de investigaciones en Ciencias de la Educación. Facultad de Filosofía y Letras- UNT. [Informe técnico institucional no publicado].</w:t>
      </w:r>
    </w:p>
    <w:p w14:paraId="2A5986AA"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bCs/>
          <w:kern w:val="0"/>
          <w:lang w:val="es-AR"/>
          <w14:ligatures w14:val="none"/>
        </w:rPr>
        <w:lastRenderedPageBreak/>
        <w:t>Secretaría Académica, Universidad Nacional de Tucumán. (2025).</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i/>
          <w:iCs/>
          <w:kern w:val="0"/>
          <w:lang w:val="es-AR"/>
          <w14:ligatures w14:val="none"/>
        </w:rPr>
        <w:t>Informe final del Programa Potenciar Graduación 2023–2024</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iCs/>
          <w:kern w:val="0"/>
          <w:lang w:val="es-AR"/>
          <w14:ligatures w14:val="none"/>
        </w:rPr>
        <w:t>Responsable</w:t>
      </w:r>
      <w:r w:rsidRPr="00537C0E">
        <w:rPr>
          <w:rFonts w:ascii="Times New Roman" w:eastAsia="Calibri" w:hAnsi="Times New Roman" w:cs="Times New Roman"/>
          <w:kern w:val="0"/>
          <w:lang w:val="es-AR"/>
          <w14:ligatures w14:val="none"/>
        </w:rPr>
        <w:t xml:space="preserve"> Martin </w:t>
      </w:r>
      <w:proofErr w:type="spellStart"/>
      <w:r w:rsidRPr="00537C0E">
        <w:rPr>
          <w:rFonts w:ascii="Times New Roman" w:eastAsia="Calibri" w:hAnsi="Times New Roman" w:cs="Times New Roman"/>
          <w:kern w:val="0"/>
          <w:lang w:val="es-AR"/>
          <w14:ligatures w14:val="none"/>
        </w:rPr>
        <w:t>Landers</w:t>
      </w:r>
      <w:proofErr w:type="spellEnd"/>
      <w:r w:rsidRPr="00537C0E">
        <w:rPr>
          <w:rFonts w:ascii="Times New Roman" w:eastAsia="Calibri" w:hAnsi="Times New Roman" w:cs="Times New Roman"/>
          <w:kern w:val="0"/>
          <w:lang w:val="es-AR"/>
          <w14:ligatures w14:val="none"/>
        </w:rPr>
        <w:t xml:space="preserve"> [Informe técnico institucional no publicado].</w:t>
      </w:r>
    </w:p>
    <w:p w14:paraId="478FF263" w14:textId="77777777" w:rsidR="00537C0E" w:rsidRPr="00537C0E" w:rsidRDefault="00537C0E" w:rsidP="00537C0E">
      <w:pPr>
        <w:spacing w:line="240" w:lineRule="auto"/>
        <w:jc w:val="both"/>
        <w:rPr>
          <w:rFonts w:ascii="Times New Roman" w:eastAsia="Calibri" w:hAnsi="Times New Roman" w:cs="Times New Roman"/>
          <w:kern w:val="0"/>
          <w:lang w:val="es-AR"/>
          <w14:ligatures w14:val="none"/>
        </w:rPr>
      </w:pPr>
      <w:r w:rsidRPr="00537C0E">
        <w:rPr>
          <w:rFonts w:ascii="Times New Roman" w:eastAsia="Calibri" w:hAnsi="Times New Roman" w:cs="Times New Roman"/>
          <w:bCs/>
          <w:kern w:val="0"/>
          <w:lang w:val="es-AR"/>
          <w14:ligatures w14:val="none"/>
        </w:rPr>
        <w:t>Secretaría Académica, Universidad Nacional de Tucumán. (2025).</w:t>
      </w:r>
      <w:r w:rsidRPr="00537C0E">
        <w:rPr>
          <w:rFonts w:ascii="Times New Roman" w:eastAsia="Calibri" w:hAnsi="Times New Roman" w:cs="Times New Roman"/>
          <w:kern w:val="0"/>
          <w:lang w:val="es-AR"/>
          <w14:ligatures w14:val="none"/>
        </w:rPr>
        <w:t xml:space="preserve"> </w:t>
      </w:r>
      <w:r w:rsidRPr="00537C0E">
        <w:rPr>
          <w:rFonts w:ascii="Times New Roman" w:eastAsia="Calibri" w:hAnsi="Times New Roman" w:cs="Times New Roman"/>
          <w:i/>
          <w:iCs/>
          <w:kern w:val="0"/>
          <w:lang w:val="es-AR"/>
          <w14:ligatures w14:val="none"/>
        </w:rPr>
        <w:t xml:space="preserve">Hablemos de evaluaciones en la UNT. </w:t>
      </w:r>
      <w:r w:rsidRPr="00537C0E">
        <w:rPr>
          <w:rFonts w:ascii="Times New Roman" w:eastAsia="Calibri" w:hAnsi="Times New Roman" w:cs="Times New Roman"/>
          <w:iCs/>
          <w:kern w:val="0"/>
          <w:lang w:val="es-AR"/>
          <w14:ligatures w14:val="none"/>
        </w:rPr>
        <w:t>Responsable</w:t>
      </w:r>
      <w:r w:rsidRPr="00537C0E">
        <w:rPr>
          <w:rFonts w:ascii="Times New Roman" w:eastAsia="Calibri" w:hAnsi="Times New Roman" w:cs="Times New Roman"/>
          <w:kern w:val="0"/>
          <w:lang w:val="es-AR"/>
          <w14:ligatures w14:val="none"/>
        </w:rPr>
        <w:t xml:space="preserve"> Martin </w:t>
      </w:r>
      <w:proofErr w:type="spellStart"/>
      <w:r w:rsidRPr="00537C0E">
        <w:rPr>
          <w:rFonts w:ascii="Times New Roman" w:eastAsia="Calibri" w:hAnsi="Times New Roman" w:cs="Times New Roman"/>
          <w:kern w:val="0"/>
          <w:lang w:val="es-AR"/>
          <w14:ligatures w14:val="none"/>
        </w:rPr>
        <w:t>Landers</w:t>
      </w:r>
      <w:proofErr w:type="spellEnd"/>
      <w:r w:rsidRPr="00537C0E">
        <w:rPr>
          <w:rFonts w:ascii="Times New Roman" w:eastAsia="Calibri" w:hAnsi="Times New Roman" w:cs="Times New Roman"/>
          <w:i/>
          <w:iCs/>
          <w:kern w:val="0"/>
          <w:lang w:val="es-AR"/>
          <w14:ligatures w14:val="none"/>
        </w:rPr>
        <w:t xml:space="preserve"> Informe de resultados</w:t>
      </w:r>
      <w:r w:rsidRPr="00537C0E">
        <w:rPr>
          <w:rFonts w:ascii="Times New Roman" w:eastAsia="Calibri" w:hAnsi="Times New Roman" w:cs="Times New Roman"/>
          <w:kern w:val="0"/>
          <w:lang w:val="es-AR"/>
          <w14:ligatures w14:val="none"/>
        </w:rPr>
        <w:t xml:space="preserve"> [Informe técnico no publicado].</w:t>
      </w:r>
    </w:p>
    <w:p w14:paraId="4FDB3483" w14:textId="6CF82109" w:rsidR="00C802F5" w:rsidRPr="00537C0E" w:rsidRDefault="00C802F5" w:rsidP="001923DC">
      <w:pPr>
        <w:jc w:val="center"/>
        <w:rPr>
          <w:rFonts w:ascii="Times New Roman" w:hAnsi="Times New Roman" w:cs="Times New Roman"/>
          <w:lang w:val="es-AR"/>
        </w:rPr>
      </w:pPr>
    </w:p>
    <w:p w14:paraId="06185AD2" w14:textId="77777777" w:rsidR="00537C0E" w:rsidRPr="00BA642E" w:rsidRDefault="00537C0E" w:rsidP="001923DC">
      <w:pPr>
        <w:jc w:val="center"/>
        <w:rPr>
          <w:rFonts w:ascii="Times New Roman" w:hAnsi="Times New Roman" w:cs="Times New Roman"/>
        </w:rPr>
      </w:pPr>
    </w:p>
    <w:sectPr w:rsidR="00537C0E" w:rsidRPr="00BA642E"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F4B79" w14:textId="77777777" w:rsidR="00477C92" w:rsidRPr="00BA642E" w:rsidRDefault="00477C92" w:rsidP="00C802F5">
      <w:pPr>
        <w:spacing w:after="0" w:line="240" w:lineRule="auto"/>
      </w:pPr>
      <w:r w:rsidRPr="00BA642E">
        <w:separator/>
      </w:r>
    </w:p>
  </w:endnote>
  <w:endnote w:type="continuationSeparator" w:id="0">
    <w:p w14:paraId="6499ABA3" w14:textId="77777777" w:rsidR="00477C92" w:rsidRPr="00BA642E" w:rsidRDefault="00477C9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DB2EF" w14:textId="77777777" w:rsidR="00477C92" w:rsidRPr="00BA642E" w:rsidRDefault="00477C92" w:rsidP="00C802F5">
      <w:pPr>
        <w:spacing w:after="0" w:line="240" w:lineRule="auto"/>
      </w:pPr>
      <w:r w:rsidRPr="00BA642E">
        <w:separator/>
      </w:r>
    </w:p>
  </w:footnote>
  <w:footnote w:type="continuationSeparator" w:id="0">
    <w:p w14:paraId="38B57743" w14:textId="77777777" w:rsidR="00477C92" w:rsidRPr="00BA642E" w:rsidRDefault="00477C9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4040C0"/>
    <w:rsid w:val="00437E9C"/>
    <w:rsid w:val="00477C92"/>
    <w:rsid w:val="00537C0E"/>
    <w:rsid w:val="00550766"/>
    <w:rsid w:val="005F3B2E"/>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215/978-950-34-2713-2"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aroabdala@gmail.com" TargetMode="External"/><Relationship Id="rId12" Type="http://schemas.openxmlformats.org/officeDocument/2006/relationships/hyperlink" Target="https://www.unt.edu.ar/wp-content/uploads/2023/04/P.E.I._UNT_Edicion_Digital.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elinalazarte@filo.unt.edu.ar" TargetMode="External"/><Relationship Id="rId11" Type="http://schemas.openxmlformats.org/officeDocument/2006/relationships/hyperlink" Target="https://cendie.abc.gob.ar/revistas/index.php/revistaanales/article/view/153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nipe.edu.ar/apuiggros/images/La_universidad_es_un_derecho%201.pdf" TargetMode="External"/><Relationship Id="rId4" Type="http://schemas.openxmlformats.org/officeDocument/2006/relationships/footnotes" Target="footnotes.xml"/><Relationship Id="rId9" Type="http://schemas.openxmlformats.org/officeDocument/2006/relationships/hyperlink" Target="https://doi.org/10.61203/2347-0658.v4.n0.12569"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7460</Words>
  <Characters>42524</Characters>
  <Application>Microsoft Office Word</Application>
  <DocSecurity>0</DocSecurity>
  <Lines>354</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5</cp:revision>
  <dcterms:created xsi:type="dcterms:W3CDTF">2026-03-14T03:50:00Z</dcterms:created>
  <dcterms:modified xsi:type="dcterms:W3CDTF">2026-07-01T04:47:00Z</dcterms:modified>
</cp:coreProperties>
</file>