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EB18F" w14:textId="77777777" w:rsidR="00FD1D0E" w:rsidRPr="004F06BF" w:rsidRDefault="00FD1D0E" w:rsidP="001923DC">
      <w:pPr>
        <w:jc w:val="center"/>
        <w:rPr>
          <w:rFonts w:ascii="Times New Roman" w:hAnsi="Times New Roman" w:cs="Times New Roman"/>
          <w:b/>
          <w:bCs/>
        </w:rPr>
      </w:pPr>
      <w:r w:rsidRPr="004F06BF">
        <w:rPr>
          <w:rFonts w:ascii="Times New Roman" w:hAnsi="Times New Roman" w:cs="Times New Roman"/>
          <w:b/>
          <w:bCs/>
        </w:rPr>
        <w:t xml:space="preserve">Dinero, tiempo y género en los inicios universitarios: </w:t>
      </w:r>
    </w:p>
    <w:p w14:paraId="43C49479" w14:textId="4298F3D3" w:rsidR="005F3B2E" w:rsidRPr="004F06BF" w:rsidRDefault="00FD1D0E" w:rsidP="001923DC">
      <w:pPr>
        <w:jc w:val="center"/>
        <w:rPr>
          <w:rFonts w:ascii="Times New Roman" w:hAnsi="Times New Roman" w:cs="Times New Roman"/>
        </w:rPr>
      </w:pPr>
      <w:r w:rsidRPr="004F06BF">
        <w:rPr>
          <w:rFonts w:ascii="Times New Roman" w:hAnsi="Times New Roman" w:cs="Times New Roman"/>
          <w:b/>
          <w:bCs/>
        </w:rPr>
        <w:t>desigualdades en la cuenca petrolera</w:t>
      </w:r>
    </w:p>
    <w:p w14:paraId="4E738780" w14:textId="31FB6C32" w:rsidR="005F3B2E" w:rsidRPr="004F06BF" w:rsidRDefault="00FD1D0E" w:rsidP="005F3B2E">
      <w:pPr>
        <w:spacing w:after="0" w:line="240" w:lineRule="auto"/>
        <w:jc w:val="right"/>
        <w:rPr>
          <w:rFonts w:ascii="Times New Roman" w:hAnsi="Times New Roman" w:cs="Times New Roman"/>
        </w:rPr>
      </w:pPr>
      <w:r w:rsidRPr="004F06BF">
        <w:rPr>
          <w:rFonts w:ascii="Times New Roman" w:hAnsi="Times New Roman" w:cs="Times New Roman"/>
        </w:rPr>
        <w:t xml:space="preserve">Rigi Luperti, María Aylem </w:t>
      </w:r>
    </w:p>
    <w:p w14:paraId="6C2AECCA" w14:textId="322CA51A" w:rsidR="005F3B2E" w:rsidRPr="004F06BF" w:rsidRDefault="00FD1D0E" w:rsidP="005F3B2E">
      <w:pPr>
        <w:spacing w:after="0" w:line="240" w:lineRule="auto"/>
        <w:jc w:val="right"/>
        <w:rPr>
          <w:rFonts w:ascii="Times New Roman" w:hAnsi="Times New Roman" w:cs="Times New Roman"/>
        </w:rPr>
      </w:pPr>
      <w:r w:rsidRPr="004F06BF">
        <w:rPr>
          <w:rFonts w:ascii="Times New Roman" w:hAnsi="Times New Roman" w:cs="Times New Roman"/>
        </w:rPr>
        <w:t xml:space="preserve">Universidad Nacional de la Patagonia Austral </w:t>
      </w:r>
    </w:p>
    <w:p w14:paraId="5E9CFDC6" w14:textId="0DC7E2D1" w:rsidR="00FD1D0E" w:rsidRPr="004F06BF" w:rsidRDefault="00FD1D0E" w:rsidP="005F3B2E">
      <w:pPr>
        <w:spacing w:after="0" w:line="240" w:lineRule="auto"/>
        <w:jc w:val="right"/>
        <w:rPr>
          <w:rFonts w:ascii="Times New Roman" w:hAnsi="Times New Roman" w:cs="Times New Roman"/>
        </w:rPr>
      </w:pPr>
      <w:r w:rsidRPr="004F06BF">
        <w:rPr>
          <w:rFonts w:ascii="Times New Roman" w:hAnsi="Times New Roman" w:cs="Times New Roman"/>
        </w:rPr>
        <w:t xml:space="preserve">Unidad Académica Caleta Olivia </w:t>
      </w:r>
    </w:p>
    <w:p w14:paraId="7D0026CD" w14:textId="1849AEB2" w:rsidR="005F3B2E" w:rsidRPr="004F06BF" w:rsidRDefault="00FD1D0E" w:rsidP="005F3B2E">
      <w:pPr>
        <w:spacing w:after="0" w:line="240" w:lineRule="auto"/>
        <w:jc w:val="right"/>
        <w:rPr>
          <w:rFonts w:ascii="Times New Roman" w:hAnsi="Times New Roman" w:cs="Times New Roman"/>
        </w:rPr>
      </w:pPr>
      <w:r w:rsidRPr="004F06BF">
        <w:rPr>
          <w:rFonts w:ascii="Times New Roman" w:hAnsi="Times New Roman" w:cs="Times New Roman"/>
        </w:rPr>
        <w:t>arigi@uaco.unpa.edu.ar</w:t>
      </w:r>
    </w:p>
    <w:p w14:paraId="1FA0F857" w14:textId="77777777" w:rsidR="005F3B2E" w:rsidRPr="004F06BF" w:rsidRDefault="005F3B2E" w:rsidP="005F3B2E">
      <w:pPr>
        <w:rPr>
          <w:rFonts w:ascii="Times New Roman" w:hAnsi="Times New Roman" w:cs="Times New Roman"/>
        </w:rPr>
      </w:pPr>
    </w:p>
    <w:p w14:paraId="2DAE513F" w14:textId="25390D66" w:rsidR="004F06BF" w:rsidRPr="00A7651C" w:rsidRDefault="00BA642E" w:rsidP="00BE6D01">
      <w:pPr>
        <w:spacing w:after="0" w:line="240" w:lineRule="auto"/>
        <w:jc w:val="both"/>
        <w:rPr>
          <w:rFonts w:ascii="Times New Roman" w:hAnsi="Times New Roman" w:cs="Times New Roman"/>
        </w:rPr>
      </w:pPr>
      <w:r w:rsidRPr="004F06BF">
        <w:rPr>
          <w:rFonts w:ascii="Times New Roman" w:hAnsi="Times New Roman" w:cs="Times New Roman"/>
          <w:b/>
          <w:bCs/>
        </w:rPr>
        <w:t>Resumen:</w:t>
      </w:r>
      <w:r w:rsidR="007B5B5F" w:rsidRPr="004F06BF">
        <w:rPr>
          <w:rFonts w:ascii="Times New Roman" w:hAnsi="Times New Roman" w:cs="Times New Roman"/>
          <w:b/>
          <w:bCs/>
        </w:rPr>
        <w:t xml:space="preserve"> </w:t>
      </w:r>
      <w:r w:rsidR="00A7651C" w:rsidRPr="00A7651C">
        <w:rPr>
          <w:rFonts w:ascii="Times New Roman" w:hAnsi="Times New Roman" w:cs="Times New Roman"/>
        </w:rPr>
        <w:t xml:space="preserve">Este trabajo presenta la reconversión en curso de un proyecto de tesis doctoral que retoma investigaciones previas en sociología general sobre el dinero como práctica social y simbólica, así como aportes de la perspectiva de género, para reinscribirlos en el campo de estudios sobre los inicios a la vida universitaria, articulación que permite formular un nuevo problema de investigación orientado a comprender cómo las dimensiones de tiempo, dinero y género configuran condiciones estructurales de participación estudiantil en territorios periféricos como la cuenca petrolera del Golfo San Jorge en la República Argentina. La propuesta parte de reconocer la persistencia del modelo institucional del “estudiante ideal”, un sujeto abstracto, sin responsabilidades laborales ni de cuidado, con disponibilidad temporal plena y capital cultural previo suficiente, que contrasta con el/la “estudiante real” que ingresa hoy a la educación superior atravesado por precariedad económica, desigualdad de género y territorialidad extendida. En este marco, se recupera el concepto de injusticia temporal para mostrar que la </w:t>
      </w:r>
      <w:proofErr w:type="spellStart"/>
      <w:r w:rsidR="00A7651C" w:rsidRPr="00A7651C">
        <w:rPr>
          <w:rFonts w:ascii="Times New Roman" w:hAnsi="Times New Roman" w:cs="Times New Roman"/>
        </w:rPr>
        <w:t>maldistribución</w:t>
      </w:r>
      <w:proofErr w:type="spellEnd"/>
      <w:r w:rsidR="00A7651C" w:rsidRPr="00A7651C">
        <w:rPr>
          <w:rFonts w:ascii="Times New Roman" w:hAnsi="Times New Roman" w:cs="Times New Roman"/>
        </w:rPr>
        <w:t xml:space="preserve"> del tiempo -producto de la necesidad de trabajar, las largas distancias territoriales y la doble carga de cuidado, entre otras- constituye una forma específica de desigualdad que condiciona la afiliación universitaria y la posibilidad de construir el oficio estudiantil. Sobre esta base, la ponencia expone los lineamientos centrales de la reformulación del plan de tesis, que propone analizar el dinero desde una perspectiva </w:t>
      </w:r>
      <w:proofErr w:type="spellStart"/>
      <w:r w:rsidR="00A7651C" w:rsidRPr="00A7651C">
        <w:rPr>
          <w:rFonts w:ascii="Times New Roman" w:hAnsi="Times New Roman" w:cs="Times New Roman"/>
        </w:rPr>
        <w:t>generizada</w:t>
      </w:r>
      <w:proofErr w:type="spellEnd"/>
      <w:r w:rsidR="00A7651C" w:rsidRPr="00A7651C">
        <w:rPr>
          <w:rFonts w:ascii="Times New Roman" w:hAnsi="Times New Roman" w:cs="Times New Roman"/>
        </w:rPr>
        <w:t xml:space="preserve"> a partir de tres dimensiones -origen, control y etiquetado- con el fin de indagar cómo las prácticas monetarias reorganizan rutinas, modulan la disponibilidad temporal y condicionan la apropiación de espacios académicos y la visibilidad del trabajo intelectual. Se sostiene que el dinero no opera únicamente como recurso económico, sino como tecnología social que distribuye posibilidades de estudio, movilidad y reconocimiento, especialmente entre mujeres que compatibilizan trabajo remunerado, tareas domésticas y de cuidado con trayectorias educativas de nivel superior. La articulación entre tiempo y dinero como práctica de género permite identificar tramas invisibles del oficio universitario -negociaciones cotidianas, restricciones materiales, expectativas familiares y tensiones subjetivas- que estructuran la experiencia estudiantil y permanecen ocultas bajo la retórica meritocrática de la responsabilidad individual. La ponencia propone que, incorporar tiempo, dinero y género como dimensiones analíticas entramadas, permite avanzar hacia una comprensión situada y compleja de las trayectorias estudiantiles en contextos periféricos, ampliando el campo de estudios sobre los inicios universitarios y ofreciendo bases conceptuales para políticas que reconozcan las condiciones materiales y simbólicas que hacen posible -o impiden- la participación en paridad.</w:t>
      </w:r>
    </w:p>
    <w:p w14:paraId="084D2452" w14:textId="77777777" w:rsidR="004F06BF" w:rsidRPr="004F06BF" w:rsidRDefault="004F06BF" w:rsidP="007B5B5F">
      <w:pPr>
        <w:spacing w:line="240" w:lineRule="auto"/>
        <w:jc w:val="both"/>
        <w:rPr>
          <w:rFonts w:ascii="Times New Roman" w:hAnsi="Times New Roman" w:cs="Times New Roman"/>
        </w:rPr>
      </w:pPr>
    </w:p>
    <w:p w14:paraId="2994BAB3" w14:textId="034A8E48" w:rsidR="00BA642E" w:rsidRPr="004F06BF" w:rsidRDefault="00BA642E" w:rsidP="007B5B5F">
      <w:pPr>
        <w:spacing w:line="240" w:lineRule="auto"/>
        <w:jc w:val="both"/>
        <w:rPr>
          <w:rFonts w:ascii="Times New Roman" w:hAnsi="Times New Roman" w:cs="Times New Roman"/>
          <w:b/>
          <w:bCs/>
        </w:rPr>
      </w:pPr>
      <w:r w:rsidRPr="004F06BF">
        <w:rPr>
          <w:rFonts w:ascii="Times New Roman" w:hAnsi="Times New Roman" w:cs="Times New Roman"/>
          <w:b/>
          <w:bCs/>
        </w:rPr>
        <w:lastRenderedPageBreak/>
        <w:t xml:space="preserve">Palabras clave: </w:t>
      </w:r>
      <w:r w:rsidR="00C97989" w:rsidRPr="00C97989">
        <w:rPr>
          <w:rFonts w:ascii="Times New Roman" w:hAnsi="Times New Roman" w:cs="Times New Roman"/>
        </w:rPr>
        <w:t>Tiempo, Dinero, Género, Inicios universitarios, Desigualdad</w:t>
      </w:r>
    </w:p>
    <w:p w14:paraId="6A5547A1" w14:textId="36B7FAC2" w:rsidR="00BA642E" w:rsidRPr="004F06BF" w:rsidRDefault="00BA642E" w:rsidP="00C97989">
      <w:pPr>
        <w:spacing w:line="240" w:lineRule="auto"/>
        <w:jc w:val="center"/>
        <w:rPr>
          <w:rFonts w:ascii="Times New Roman" w:hAnsi="Times New Roman" w:cs="Times New Roman"/>
          <w:b/>
          <w:bCs/>
        </w:rPr>
      </w:pPr>
      <w:r w:rsidRPr="004F06BF">
        <w:rPr>
          <w:rFonts w:ascii="Times New Roman" w:hAnsi="Times New Roman" w:cs="Times New Roman"/>
          <w:b/>
          <w:bCs/>
        </w:rPr>
        <w:t>Introducción</w:t>
      </w:r>
    </w:p>
    <w:p w14:paraId="584C2F69" w14:textId="77777777" w:rsidR="00BF3759" w:rsidRPr="00BF3759" w:rsidRDefault="00BF3759" w:rsidP="00BF3759">
      <w:pPr>
        <w:spacing w:after="0" w:line="240" w:lineRule="auto"/>
        <w:jc w:val="both"/>
        <w:rPr>
          <w:rFonts w:ascii="Times New Roman" w:hAnsi="Times New Roman" w:cs="Times New Roman"/>
        </w:rPr>
      </w:pPr>
      <w:r w:rsidRPr="00BF3759">
        <w:rPr>
          <w:rFonts w:ascii="Times New Roman" w:hAnsi="Times New Roman" w:cs="Times New Roman"/>
        </w:rPr>
        <w:t>La expansión del sistema de educación superior a nivel internacional, particularmente visible a partir de la década de los años setenta, ha impulsado profundas transformaciones en la composición demográfica de la población estudiantil y ha abierto nuevos interrogantes sobre el ingreso, el acceso y la inclusión de sectores sociales que históricamente se encontraban excluidos de este nivel educativo (Clark, 2015; Dubet, 2023; Ezcurra, 2011). En la República Argentina, este fenómeno adquirió un impulso singular y un marco normativo definitivo a partir de la sanción de la Ley de Educación Superior N° 27.204 en el año 2015. Esta legislación plasmó la gratuidad de los estudios de grado, prohibió explícitamente cualquier sesgo selectivo o restrictivo en el ingreso y consagró a la educación superior como un bien público y un derecho humano fundamental de carácter inalienable. Este hito normativo selló un cambio de paradigma conceptual y político que desplazó la mirada tradicional de las instituciones sobre sus aspirantes y obligó a revisar profundamente el vínculo inicial de los sujetos con las aulas universitarias.</w:t>
      </w:r>
    </w:p>
    <w:p w14:paraId="7DC3BAAA" w14:textId="77777777" w:rsidR="00BF3759" w:rsidRPr="00BF3759" w:rsidRDefault="00BF3759" w:rsidP="00BF3759">
      <w:pPr>
        <w:spacing w:after="0" w:line="240" w:lineRule="auto"/>
        <w:jc w:val="both"/>
        <w:rPr>
          <w:rFonts w:ascii="Times New Roman" w:hAnsi="Times New Roman" w:cs="Times New Roman"/>
        </w:rPr>
      </w:pPr>
      <w:r w:rsidRPr="00BF3759">
        <w:rPr>
          <w:rFonts w:ascii="Times New Roman" w:hAnsi="Times New Roman" w:cs="Times New Roman"/>
        </w:rPr>
        <w:t>A partir de este escenario, las investigaciones en sociología de la educación comenzaron a problematizar el hecho de que la remoción de los aranceles y de los exámenes de ingreso eliminatorios es una condición necesaria, pero de ninguna manera suficiente, para garantizar una democratización sustantiva del sistema educativo superior. Como ha documentado minuciosamente Sotelo (2024, 2025), el estudio de esta problemática específica ha dado lugar a un campo de estudios en construcción altamente dinámico que articula múltiples dimensiones institucionales, pedagógicas y subjetivas. Mediante un exhaustivo análisis documental de la literatura científica producida en las últimas décadas, complementado con entrevistas a investigadores clave, Sotelo (2024) identifica un movimiento analítico crucial: el desplazamiento desde consideraciones puramente técnicas o administrativas del ingreso-acceso hacia una conceptualización amplia e integral denominada "los inicios a la vida universitaria" (p. 25).</w:t>
      </w:r>
    </w:p>
    <w:p w14:paraId="58DCFEB2" w14:textId="77777777" w:rsidR="00BF3759" w:rsidRPr="00BF3759" w:rsidRDefault="00BF3759" w:rsidP="00BF3759">
      <w:pPr>
        <w:spacing w:after="0" w:line="240" w:lineRule="auto"/>
        <w:jc w:val="both"/>
        <w:rPr>
          <w:rFonts w:ascii="Times New Roman" w:hAnsi="Times New Roman" w:cs="Times New Roman"/>
        </w:rPr>
      </w:pPr>
      <w:r w:rsidRPr="00BF3759">
        <w:rPr>
          <w:rFonts w:ascii="Times New Roman" w:hAnsi="Times New Roman" w:cs="Times New Roman"/>
        </w:rPr>
        <w:t>Este desplazamiento conceptual no constituye un mero cambio de etiquetas, sino una transformación epistemológica fundamental. Visibiliza que el ingreso no es un evento puntual, sino un proceso de transición complejo y heterogéneo que se encuentra condicionado por desigualdades estructurales persistentes. La literatura especializada en Argentina y la región ha analizado estas brechas a partir de la tensión entre el ingreso formal y la permanencia real, acuñando categorías como la "inclusión excluyente" (Ezcurra, 2011) para dar cuenta de aquellos procesos donde la masificación del acceso convive con tasas elevadas de desgranamiento temprano, las cuales afectan predominantemente a estudiantes provenientes de hogares con menor capital cultural e ingresos económicos.</w:t>
      </w:r>
    </w:p>
    <w:p w14:paraId="3123E515" w14:textId="77777777" w:rsidR="00BF3759" w:rsidRPr="00BF3759" w:rsidRDefault="00BF3759" w:rsidP="00BF3759">
      <w:pPr>
        <w:spacing w:after="0" w:line="240" w:lineRule="auto"/>
        <w:jc w:val="both"/>
        <w:rPr>
          <w:rFonts w:ascii="Times New Roman" w:hAnsi="Times New Roman" w:cs="Times New Roman"/>
        </w:rPr>
      </w:pPr>
      <w:r w:rsidRPr="00BF3759">
        <w:rPr>
          <w:rFonts w:ascii="Times New Roman" w:hAnsi="Times New Roman" w:cs="Times New Roman"/>
        </w:rPr>
        <w:t xml:space="preserve">A pesar de la riqueza analítica acumulada en este campo, las tramas materiales y simbólicas más cotidianas e invisibles que sostienen las trayectorias de los ingresantes permanecen frecuentemente desatendidas. Es en este vacío de conocimiento donde se inserta el presente trabajo, el cual expone la reconversión en curso de un proyecto de tesis doctoral radicado en la Universidad Nacional de la Patagonia Austral. El plan original de investigación, orientado a indagar de forma general sobre los imaginarios y usos del </w:t>
      </w:r>
      <w:r w:rsidRPr="00BF3759">
        <w:rPr>
          <w:rFonts w:ascii="Times New Roman" w:hAnsi="Times New Roman" w:cs="Times New Roman"/>
        </w:rPr>
        <w:lastRenderedPageBreak/>
        <w:t>dinero en las mujeres de Caleta Olivia y su relación con la autonomía, se está reconfigurado para inscribirse de manera orgánica en el Proyecto de Investigación denominado "La Trama Invisible del Oficio: Tiempo, Escritura y Género en los Inicios a la Vida Universitaria en Argentina", bajo la dirección de la Dra. Lucrecia Sotelo.</w:t>
      </w:r>
    </w:p>
    <w:p w14:paraId="4918181E" w14:textId="77777777" w:rsidR="00BF3759" w:rsidRPr="00BF3759" w:rsidRDefault="00BF3759" w:rsidP="00BF3759">
      <w:pPr>
        <w:spacing w:after="0" w:line="240" w:lineRule="auto"/>
        <w:jc w:val="both"/>
        <w:rPr>
          <w:rFonts w:ascii="Times New Roman" w:hAnsi="Times New Roman" w:cs="Times New Roman"/>
        </w:rPr>
      </w:pPr>
      <w:r w:rsidRPr="00BF3759">
        <w:rPr>
          <w:rFonts w:ascii="Times New Roman" w:hAnsi="Times New Roman" w:cs="Times New Roman"/>
        </w:rPr>
        <w:t>Esta reformulación se fundamenta en la necesidad teórica y empírica de hibridar los estudios sociológicos sobre el dinero como práctica social y simbólica con las coordenadas analíticas que estructuran el campo de los inicios universitarios, incorporando de manera transversal y metodológicamente robusta la perspectiva de género. El nuevo objetivo de estudio se orienta a comprender cómo las prácticas monetarias modulan, restringen o potencian la construcción del "oficio universitario" en un territorio con características socioeconómicas y geográficas muy singulares: la cuenca petrolera del Golfo San Jorge, abarcando localidades tanto de la provincia de Chubut (Comodoro Rivadavia) como de Santa Cruz (Caleta Olivia, Pico Truncado y Las Heras).</w:t>
      </w:r>
    </w:p>
    <w:p w14:paraId="3C62074C" w14:textId="77777777" w:rsidR="00BF3759" w:rsidRPr="00BF3759" w:rsidRDefault="00BF3759" w:rsidP="00BF3759">
      <w:pPr>
        <w:spacing w:after="0" w:line="240" w:lineRule="auto"/>
        <w:jc w:val="both"/>
        <w:rPr>
          <w:rFonts w:ascii="Times New Roman" w:hAnsi="Times New Roman" w:cs="Times New Roman"/>
        </w:rPr>
      </w:pPr>
      <w:r w:rsidRPr="00BF3759">
        <w:rPr>
          <w:rFonts w:ascii="Times New Roman" w:hAnsi="Times New Roman" w:cs="Times New Roman"/>
        </w:rPr>
        <w:t>La elección de este enclave geográfico no es casual ni accesoria. La cuenca del Golfo San Jorge se caracteriza por albergar una estructura socio-productiva fuertemente masculinizada, organizada en torno a la actividad extractiva de hidrocarburos. Esta dinámica genera salarios promedio elevados en el sector industrial que contrastan con una marcada precarización en empleos de servicios y comercio, ensanchando las brechas de ingresos y consolidando un mercado laboral con una división sexual del trabajo rígida y tradicional. En este contexto, las instituciones universitarias de la región —como la Universidad Nacional de la Patagonia San Juan Bosco (</w:t>
      </w:r>
      <w:proofErr w:type="spellStart"/>
      <w:r w:rsidRPr="00BF3759">
        <w:rPr>
          <w:rFonts w:ascii="Times New Roman" w:hAnsi="Times New Roman" w:cs="Times New Roman"/>
        </w:rPr>
        <w:t>UNPSJB</w:t>
      </w:r>
      <w:proofErr w:type="spellEnd"/>
      <w:r w:rsidRPr="00BF3759">
        <w:rPr>
          <w:rFonts w:ascii="Times New Roman" w:hAnsi="Times New Roman" w:cs="Times New Roman"/>
        </w:rPr>
        <w:t xml:space="preserve">) y la Universidad Nacional de la Patagonia Austral (UNPA)— reciben anualmente a miles de estudiantes que desafían el modelo persistente del "estudiante ideal".  </w:t>
      </w:r>
    </w:p>
    <w:p w14:paraId="53E27961" w14:textId="77777777" w:rsidR="00BF3759" w:rsidRDefault="00BF3759" w:rsidP="003A6525">
      <w:pPr>
        <w:spacing w:after="0" w:line="240" w:lineRule="auto"/>
        <w:jc w:val="both"/>
        <w:rPr>
          <w:rFonts w:ascii="Times New Roman" w:hAnsi="Times New Roman" w:cs="Times New Roman"/>
        </w:rPr>
      </w:pPr>
      <w:r w:rsidRPr="00BF3759">
        <w:rPr>
          <w:rFonts w:ascii="Times New Roman" w:hAnsi="Times New Roman" w:cs="Times New Roman"/>
        </w:rPr>
        <w:t>El "estudiante ideal" opera en la gramática institucional universitaria como un sujeto abstracto, desprovisto de responsabilidades familiares de cuidado o apremios laborales, poseedor de un capital cultural previo alineado con los códigos letrados y provisto de una disponibilidad temporal absoluta y lineal para dedicarse exclusivamente al estudio académico. En contraste, las aulas de la cuenca petrolera son habitadas por el "estudiante real" (</w:t>
      </w:r>
      <w:proofErr w:type="spellStart"/>
      <w:r w:rsidRPr="00BF3759">
        <w:rPr>
          <w:rFonts w:ascii="Times New Roman" w:hAnsi="Times New Roman" w:cs="Times New Roman"/>
        </w:rPr>
        <w:t>Mancovsky</w:t>
      </w:r>
      <w:proofErr w:type="spellEnd"/>
      <w:r w:rsidRPr="00BF3759">
        <w:rPr>
          <w:rFonts w:ascii="Times New Roman" w:hAnsi="Times New Roman" w:cs="Times New Roman"/>
        </w:rPr>
        <w:t xml:space="preserve"> y Más Rocha, 2019): sujetos atravesados por la precariedad laboral, distancias geográficas considerables que exigen desplazamientos diarios interurbanos y redes familiares densas donde las tareas de cuidado recaen diferencialmente sobre las mujeres jóvenes y adultas. Todo lo cual, sumado al actual achicamiento del sector petrolero configuran una población estudiantil con características particulares que deben ser especialmente consideradas. Así, el objetivo central de esta ponencia es presentar los fundamentos conceptuales de dicha reformulación, delimitar sus preguntas orientadoras y visibilizar la estrategia metodológica que se están diseñando para captar de qué manera el dinero, el tiempo y el género se entraman de forma indisoluble en las experiencias de iniciación universitaria de estos contextos periféricos.</w:t>
      </w:r>
    </w:p>
    <w:p w14:paraId="555B928B" w14:textId="77777777" w:rsidR="003A6525" w:rsidRDefault="003A6525" w:rsidP="003A6525">
      <w:pPr>
        <w:spacing w:after="0" w:line="240" w:lineRule="auto"/>
        <w:jc w:val="center"/>
        <w:rPr>
          <w:rFonts w:ascii="Times New Roman" w:hAnsi="Times New Roman" w:cs="Times New Roman"/>
          <w:b/>
          <w:bCs/>
        </w:rPr>
      </w:pPr>
    </w:p>
    <w:p w14:paraId="2FD138AD" w14:textId="5B9745BF" w:rsidR="005F3B2E" w:rsidRDefault="005F3B2E" w:rsidP="003A6525">
      <w:pPr>
        <w:spacing w:after="0" w:line="240" w:lineRule="auto"/>
        <w:jc w:val="center"/>
        <w:rPr>
          <w:rFonts w:ascii="Times New Roman" w:hAnsi="Times New Roman" w:cs="Times New Roman"/>
          <w:b/>
          <w:bCs/>
        </w:rPr>
      </w:pPr>
      <w:r w:rsidRPr="004F06BF">
        <w:rPr>
          <w:rFonts w:ascii="Times New Roman" w:hAnsi="Times New Roman" w:cs="Times New Roman"/>
          <w:b/>
          <w:bCs/>
        </w:rPr>
        <w:t>Desarrollo</w:t>
      </w:r>
    </w:p>
    <w:p w14:paraId="76743A3A" w14:textId="77777777" w:rsidR="00CB4C78" w:rsidRPr="004F06BF" w:rsidRDefault="00CB4C78" w:rsidP="003A6525">
      <w:pPr>
        <w:spacing w:after="0" w:line="240" w:lineRule="auto"/>
        <w:jc w:val="center"/>
        <w:rPr>
          <w:rFonts w:ascii="Times New Roman" w:hAnsi="Times New Roman" w:cs="Times New Roman"/>
          <w:b/>
          <w:bCs/>
        </w:rPr>
      </w:pPr>
    </w:p>
    <w:p w14:paraId="052CDC55" w14:textId="77777777" w:rsidR="005E5573" w:rsidRPr="005E5573" w:rsidRDefault="005E5573" w:rsidP="003A6525">
      <w:pPr>
        <w:spacing w:after="0" w:line="240" w:lineRule="auto"/>
        <w:jc w:val="both"/>
        <w:rPr>
          <w:rFonts w:ascii="Times New Roman" w:hAnsi="Times New Roman" w:cs="Times New Roman"/>
          <w:b/>
          <w:bCs/>
        </w:rPr>
      </w:pPr>
      <w:r w:rsidRPr="005E5573">
        <w:rPr>
          <w:rFonts w:ascii="Times New Roman" w:hAnsi="Times New Roman" w:cs="Times New Roman"/>
          <w:b/>
          <w:bCs/>
        </w:rPr>
        <w:t>El campo de estudios sobre los inicios a la vida universitaria: una cartografía teórica y dimensional.</w:t>
      </w:r>
    </w:p>
    <w:p w14:paraId="250D5863"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Para comprender cabalmente dónde se sitúa la dimensión del dinero dentro de los inicios universitarios, es necesario recuperar la sistematización y cartografía teórica del campo </w:t>
      </w:r>
      <w:r w:rsidRPr="005E5573">
        <w:rPr>
          <w:rFonts w:ascii="Times New Roman" w:hAnsi="Times New Roman" w:cs="Times New Roman"/>
        </w:rPr>
        <w:lastRenderedPageBreak/>
        <w:t xml:space="preserve">propuesta por Sotelo (2024), quien organiza las investigaciones sobre esta temática en torno a dimensiones interrelacionadas. Cada una de ellas ofrece herramientas teóricas indispensables, pero al mismo tiempo expone ciertos límites analíticos cuando se prescinde de un enfoque </w:t>
      </w:r>
      <w:proofErr w:type="spellStart"/>
      <w:r w:rsidRPr="005E5573">
        <w:rPr>
          <w:rFonts w:ascii="Times New Roman" w:hAnsi="Times New Roman" w:cs="Times New Roman"/>
        </w:rPr>
        <w:t>generizado</w:t>
      </w:r>
      <w:proofErr w:type="spellEnd"/>
      <w:r w:rsidRPr="005E5573">
        <w:rPr>
          <w:rFonts w:ascii="Times New Roman" w:hAnsi="Times New Roman" w:cs="Times New Roman"/>
        </w:rPr>
        <w:t xml:space="preserve"> y económico.</w:t>
      </w:r>
    </w:p>
    <w:p w14:paraId="0C048797"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La primera dimensión corresponde al acceso y admisión, cruzada por la tensión histórica entre democratización y selección (</w:t>
      </w:r>
      <w:proofErr w:type="spellStart"/>
      <w:r w:rsidRPr="005E5573">
        <w:rPr>
          <w:rFonts w:ascii="Times New Roman" w:hAnsi="Times New Roman" w:cs="Times New Roman"/>
        </w:rPr>
        <w:t>Chiroleu</w:t>
      </w:r>
      <w:proofErr w:type="spellEnd"/>
      <w:r w:rsidRPr="005E5573">
        <w:rPr>
          <w:rFonts w:ascii="Times New Roman" w:hAnsi="Times New Roman" w:cs="Times New Roman"/>
        </w:rPr>
        <w:t xml:space="preserve">, 1999; García, 2023; Gómez, 2019). Las investigaciones bajo este eje demuestran que las desigualdades materiales previas condicionan fuertemente el tramo inicial de las carreras, haciendo que la gratuidad no baste para igualar las oportunidades frente a una estructura social desigual. </w:t>
      </w:r>
    </w:p>
    <w:p w14:paraId="24D2531F"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La segunda dimensión define la zona de pasaje y articulación entre niveles, categoría introducida por Bombini y </w:t>
      </w:r>
      <w:proofErr w:type="spellStart"/>
      <w:r w:rsidRPr="005E5573">
        <w:rPr>
          <w:rFonts w:ascii="Times New Roman" w:hAnsi="Times New Roman" w:cs="Times New Roman"/>
        </w:rPr>
        <w:t>Labeur</w:t>
      </w:r>
      <w:proofErr w:type="spellEnd"/>
      <w:r w:rsidRPr="005E5573">
        <w:rPr>
          <w:rFonts w:ascii="Times New Roman" w:hAnsi="Times New Roman" w:cs="Times New Roman"/>
        </w:rPr>
        <w:t xml:space="preserve"> (2017) para delimitar conceptualmente el lapso temporal, existencial y social que transcurre desde que un joven finaliza la escuela secundaria y proyecta su futuro hasta que logra rendir con éxito sus primeras unidades curriculares en el nivel superior. Esta perspectiva es complementada por </w:t>
      </w:r>
      <w:proofErr w:type="spellStart"/>
      <w:r w:rsidRPr="005E5573">
        <w:rPr>
          <w:rFonts w:ascii="Times New Roman" w:hAnsi="Times New Roman" w:cs="Times New Roman"/>
        </w:rPr>
        <w:t>Pierella</w:t>
      </w:r>
      <w:proofErr w:type="spellEnd"/>
      <w:r w:rsidRPr="005E5573">
        <w:rPr>
          <w:rFonts w:ascii="Times New Roman" w:hAnsi="Times New Roman" w:cs="Times New Roman"/>
        </w:rPr>
        <w:t xml:space="preserve"> (2019) a través de la noción de zona de transición, donde se destaca que volverse universitario implica una metamorfosis identitaria que altera las rutinas domésticas y los esquemas subjetivos previos.</w:t>
      </w:r>
    </w:p>
    <w:p w14:paraId="33CB86A2"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La tercera dimensión se agrupa en torno al acompañamiento pedagógico y la docencia universitaria. Autores como Mancovsky y Más Rocha (2019) y Vercellino (2023) sostienen la urgencia de estructurar una verdadera "pedagogía de los inicios" centrada en el estudiante real, impugnando la violencia simbólica que ejercen las instituciones cuando asumen que los estudiantes ingresan con las habilidades cognitivas y organizacionales ya resueltas. </w:t>
      </w:r>
    </w:p>
    <w:p w14:paraId="21F8BB70"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Estrechamente vinculada a esta línea se encuentra la cuarta dimensión, referida al aprendizaje del código académico y la adquisición de las denominadas prácticas letradas específicas (Alvarado, 2013; Carlino, 2002; Urus, 2023). Desde las corrientes de la alfabetización académica y la literacidad crítica (Natale y Stagnaro, 2017), se argumenta que leer y escribir en la universidad requiere la apropiación de convenciones complejas que no pertenecen a la cultura general y cuyo dominio suele ser una de las principales barreras invisibles que producen exclusión.</w:t>
      </w:r>
    </w:p>
    <w:p w14:paraId="5E3B6F35"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La quinta dimensión, medular para la presente propuesta, engloba la experiencia estudiantil y los procesos de afiliación. Alain Coulon (2017) conceptualizó originalmente el "oficio de estudiante" para describir el trayecto institucional a través de tres etapas sucesivas: el tiempo del extrañamiento, el tiempo de la adaptación y el tiempo de la afiliación, momento en el cual el sujeto interioriza las reglas, códigos y comportamientos implícitos que rigen el universo universitario. En el marco de esta investigación doctoral, se propone una especificación empírica y operativa de esta noción teórica. Se define al </w:t>
      </w:r>
      <w:r w:rsidRPr="005E5573">
        <w:rPr>
          <w:rFonts w:ascii="Times New Roman" w:hAnsi="Times New Roman" w:cs="Times New Roman"/>
          <w:i/>
          <w:iCs/>
        </w:rPr>
        <w:t>oficio universitario</w:t>
      </w:r>
      <w:r w:rsidRPr="005E5573">
        <w:rPr>
          <w:rFonts w:ascii="Times New Roman" w:hAnsi="Times New Roman" w:cs="Times New Roman"/>
        </w:rPr>
        <w:t xml:space="preserve"> como el conjunto de prácticas, rutinas y disposiciones concretas que posibilitan la producción de trabajo académico y la consecución del reconocimiento mutuo dentro de la comunidad universitaria. Esto comprende conductas observables y cuantificables como la asistencia regular a clases, las horas de estudio autónomo, la participación en tutorías y grupos de pares, el uso e internalización de los espacios físicos y virtuales de la institución (bibliotecas, laboratorios, salas de estudio) y, fundamentalmente, la gestión diaria y estratégica del tiempo y de los recursos materiales requeridos para sostener dichas prácticas. Carli (2012), </w:t>
      </w:r>
      <w:proofErr w:type="spellStart"/>
      <w:r w:rsidRPr="005E5573">
        <w:rPr>
          <w:rFonts w:ascii="Times New Roman" w:hAnsi="Times New Roman" w:cs="Times New Roman"/>
        </w:rPr>
        <w:t>Pierella</w:t>
      </w:r>
      <w:proofErr w:type="spellEnd"/>
      <w:r w:rsidRPr="005E5573">
        <w:rPr>
          <w:rFonts w:ascii="Times New Roman" w:hAnsi="Times New Roman" w:cs="Times New Roman"/>
        </w:rPr>
        <w:t xml:space="preserve"> (2014) y Bracchi (2016) </w:t>
      </w:r>
      <w:r w:rsidRPr="005E5573">
        <w:rPr>
          <w:rFonts w:ascii="Times New Roman" w:hAnsi="Times New Roman" w:cs="Times New Roman"/>
        </w:rPr>
        <w:lastRenderedPageBreak/>
        <w:t xml:space="preserve">añaden a este eje el análisis de las mediaciones subjetivas, evidenciando que el </w:t>
      </w:r>
      <w:proofErr w:type="spellStart"/>
      <w:r w:rsidRPr="005E5573">
        <w:rPr>
          <w:rFonts w:ascii="Times New Roman" w:hAnsi="Times New Roman" w:cs="Times New Roman"/>
        </w:rPr>
        <w:t>habitus</w:t>
      </w:r>
      <w:proofErr w:type="spellEnd"/>
      <w:r w:rsidRPr="005E5573">
        <w:rPr>
          <w:rFonts w:ascii="Times New Roman" w:hAnsi="Times New Roman" w:cs="Times New Roman"/>
        </w:rPr>
        <w:t xml:space="preserve"> estudiantil se forja bajo tensiones identitarias y generacionales profundas.</w:t>
      </w:r>
    </w:p>
    <w:p w14:paraId="292634F3"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Finalmente, la sexta dimensión remite a la política educativa y el régimen de desigualdades múltiples. Inspirada en los postulados de François Dubet (2005, 2023), esta dimensión sostiene que las trayectorias estudiantiles actuales no se explican únicamente por una matriz clásica de clase social, sino por la imbricación conflictiva de múltiples vectores de diferenciación: el origen étnico, la condición migratoria, la localización territorial y el género. Al situar la investigación en esta intersección, el dinero y el género emergen no como datos del entorno, sino como variables analíticas estructurales y constitutivas de los procesos de afiliación, capaces de reorganizar el resto de las dimensiones señaladas.</w:t>
      </w:r>
    </w:p>
    <w:p w14:paraId="39CA08F2" w14:textId="77777777" w:rsidR="005E5573" w:rsidRPr="005E5573" w:rsidRDefault="005E5573" w:rsidP="003A6525">
      <w:pPr>
        <w:spacing w:after="0" w:line="240" w:lineRule="auto"/>
        <w:jc w:val="both"/>
        <w:rPr>
          <w:rFonts w:ascii="Times New Roman" w:hAnsi="Times New Roman" w:cs="Times New Roman"/>
          <w:b/>
          <w:bCs/>
        </w:rPr>
      </w:pPr>
      <w:r w:rsidRPr="005E5573">
        <w:rPr>
          <w:rFonts w:ascii="Times New Roman" w:hAnsi="Times New Roman" w:cs="Times New Roman"/>
          <w:b/>
          <w:bCs/>
        </w:rPr>
        <w:t>La perspectiva de género y la economía del cuidado en la educación superior.</w:t>
      </w:r>
    </w:p>
    <w:p w14:paraId="16C60E5F"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A pesar de la copiosa producción teórica en torno a las desigualdades socioeducativas, la variable de género suele ocupar un lugar periférico o puramente descriptivo en los estudios sobre los inicios universitarios, quedando muchas veces reducida a una mera desagregación estadística de matrículas femeninas y masculinas. Adoptar el género como una dimensión analítica constitutiva exige partir de la premisa formulada por Simone de Beauvoir (2016), según la cual “no se nace mujer: se llega a serlo” (p. 207), distinguiendo nítidamente el sexo biológico del género en tanto sistema de representaciones, prácticas y prescripciones sociales jerarquizadas que estructuran las relaciones de poder y naturalizan la asimetría social (Rigi Luperti, 2024). Asimismo, requiere recuperar la crítica al pacto fundacional de la modernidad realizada por </w:t>
      </w:r>
      <w:proofErr w:type="spellStart"/>
      <w:r w:rsidRPr="005E5573">
        <w:rPr>
          <w:rFonts w:ascii="Times New Roman" w:hAnsi="Times New Roman" w:cs="Times New Roman"/>
        </w:rPr>
        <w:t>Carole</w:t>
      </w:r>
      <w:proofErr w:type="spellEnd"/>
      <w:r w:rsidRPr="005E5573">
        <w:rPr>
          <w:rFonts w:ascii="Times New Roman" w:hAnsi="Times New Roman" w:cs="Times New Roman"/>
        </w:rPr>
        <w:t xml:space="preserve"> Pateman (1995), quien postula la existencia de un "contrato sexual" subyacente al contrato social. Este acuerdo implícito confina históricamente a las mujeres a la esfera privada y legitima la dominación masculina, un orden patriarcal que permea las estructuras institucionales del capitalismo occidental, incluidas las universidades, configurando roles y expectativas que atraviesan los inicios en los estudios superiores.</w:t>
      </w:r>
    </w:p>
    <w:p w14:paraId="47221FEA"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En las últimas décadas, la literatura internacional ha documentado un fenómeno global que supone la feminización de la matrícula de educación superior. Vega Rojas et al. (2025), en base a datos de la UNESCO, señala que, en el 74 % de los países de América Latina con datos consolidados “las mujeres están sobrerrepresentadas en la matriculación de educación terciaria” (p. 6015). A su vez, se observa que las estudiantes suelen presentar mejores indicadores de rendimiento académico relativo y tasas más altas de egreso en las carreras humanísticas y sociales. Sin embargo, estas trayectorias exitosas se truncan en muchas oportunidades con brechas estructurales. Hernández Herrera (2025) advierte que este avance numérico no se traduce linealmente en una ocupación equitativa de puestos de jerarquía ni en salarios equivalentes dentro del mercado profesional o de la propia estructura académica, donde opera un marcado techo de cristal que reduce drásticamente la representación femenina en las cúspides a medida que se avanza en los niveles de posgrado.</w:t>
      </w:r>
    </w:p>
    <w:p w14:paraId="032F1FD7"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La explicación fundamental de esta paradoja radica en las conclusiones provistas por las teorías de la reproducción social y la economía feminista. La inserción masiva de las mujeres en el ámbito educativo y laboral no ha conllevado una reestructuración equitativa del trabajo reproductivo al interior de los hogares. Varela (2020) enfatiza que la doble jornada laboral y la subvaloración crónica del trabajo doméstico continúan operando </w:t>
      </w:r>
      <w:r w:rsidRPr="005E5573">
        <w:rPr>
          <w:rFonts w:ascii="Times New Roman" w:hAnsi="Times New Roman" w:cs="Times New Roman"/>
        </w:rPr>
        <w:lastRenderedPageBreak/>
        <w:t>como un anclaje que restringe la autonomía de las mujeres, limitando su disponibilidad de tiempo y energía, en este caso, para la formación intelectual. En el ámbito específico de los estudiantes universitarios, Hernández Herrera (2025) comprueba empíricamente que, aun cuando los varones jóvenes declaren realizar algunas tareas en el hogar, son las mujeres - especialmente aquellas unidas formalmente, que trabajan en empleos remunerados o que poseen personas a su cargo (hijos, hermanos menores, adultos mayores)</w:t>
      </w:r>
      <w:proofErr w:type="gramStart"/>
      <w:r w:rsidRPr="005E5573">
        <w:rPr>
          <w:rFonts w:ascii="Times New Roman" w:hAnsi="Times New Roman" w:cs="Times New Roman"/>
        </w:rPr>
        <w:t>-  quienes</w:t>
      </w:r>
      <w:proofErr w:type="gramEnd"/>
      <w:r w:rsidRPr="005E5573">
        <w:rPr>
          <w:rFonts w:ascii="Times New Roman" w:hAnsi="Times New Roman" w:cs="Times New Roman"/>
        </w:rPr>
        <w:t xml:space="preserve"> asumen la mayor parte del trabajo doméstico no remunerado (p. 15).</w:t>
      </w:r>
    </w:p>
    <w:p w14:paraId="41E527B0"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Esta desigual distribución de las responsabilidades de cuidado erosiona las posibilidades concretas de consolidar el oficio universitario. Para una ingresante mujer con sobrecarga de tareas domésticas, acciones básicas para la afiliación como permanecer en la biblioteca después de hora, participar en grupos de estudio autónomos los fines de semana, asistir a tutorías docentes o involucrarse en actividades extracurriculares de carácter formativo se tornarían obstáculos. De este modo, la temporalidad de la experiencia estudiantil se fragmenta, instalando lo que se define como una situación de injusticia temporal: una </w:t>
      </w:r>
      <w:proofErr w:type="spellStart"/>
      <w:r w:rsidRPr="005E5573">
        <w:rPr>
          <w:rFonts w:ascii="Times New Roman" w:hAnsi="Times New Roman" w:cs="Times New Roman"/>
        </w:rPr>
        <w:t>maldistribución</w:t>
      </w:r>
      <w:proofErr w:type="spellEnd"/>
      <w:r w:rsidRPr="005E5573">
        <w:rPr>
          <w:rFonts w:ascii="Times New Roman" w:hAnsi="Times New Roman" w:cs="Times New Roman"/>
        </w:rPr>
        <w:t xml:space="preserve"> del tiempo social que afecta diferencialmente a los sujetos en función de su género, convirtiendo la retórica institucional de la igualdad de oportunidades en un enunciado meritocrático abstracto que ignora las condiciones materiales del punto de partida.</w:t>
      </w:r>
    </w:p>
    <w:p w14:paraId="0F3067B4" w14:textId="77777777" w:rsidR="005E5573" w:rsidRPr="005E5573" w:rsidRDefault="005E5573" w:rsidP="003A6525">
      <w:pPr>
        <w:spacing w:after="0" w:line="240" w:lineRule="auto"/>
        <w:jc w:val="both"/>
        <w:rPr>
          <w:rFonts w:ascii="Times New Roman" w:hAnsi="Times New Roman" w:cs="Times New Roman"/>
          <w:b/>
          <w:bCs/>
        </w:rPr>
      </w:pPr>
      <w:r w:rsidRPr="005E5573">
        <w:rPr>
          <w:rFonts w:ascii="Times New Roman" w:hAnsi="Times New Roman" w:cs="Times New Roman"/>
          <w:b/>
          <w:bCs/>
        </w:rPr>
        <w:t xml:space="preserve">El dinero como práctica social, simbólica y </w:t>
      </w:r>
      <w:proofErr w:type="spellStart"/>
      <w:r w:rsidRPr="005E5573">
        <w:rPr>
          <w:rFonts w:ascii="Times New Roman" w:hAnsi="Times New Roman" w:cs="Times New Roman"/>
          <w:b/>
          <w:bCs/>
        </w:rPr>
        <w:t>generizada</w:t>
      </w:r>
      <w:proofErr w:type="spellEnd"/>
      <w:r w:rsidRPr="005E5573">
        <w:rPr>
          <w:rFonts w:ascii="Times New Roman" w:hAnsi="Times New Roman" w:cs="Times New Roman"/>
          <w:b/>
          <w:bCs/>
        </w:rPr>
        <w:t xml:space="preserve">. </w:t>
      </w:r>
    </w:p>
    <w:p w14:paraId="4F0729EC"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Para enlazar la injusticia temporal y el género con las trayectorias de los ingresantes, la investigación recurre a los desarrollos conceptuales de la sociología clásica y contemporánea del dinero. Históricamente, los enfoques económicos tradicionales y los planteos sociológicos clásicos de Marx, Weber o Simmel conceptualizaron al dinero como el gran vector de la racionalización y la despersonalización moderna. Georg Simmel (2013), en su obra </w:t>
      </w:r>
      <w:r w:rsidRPr="005E5573">
        <w:rPr>
          <w:rFonts w:ascii="Times New Roman" w:hAnsi="Times New Roman" w:cs="Times New Roman"/>
          <w:i/>
          <w:iCs/>
        </w:rPr>
        <w:t>Filosofía del dinero</w:t>
      </w:r>
      <w:r w:rsidRPr="005E5573">
        <w:rPr>
          <w:rFonts w:ascii="Times New Roman" w:hAnsi="Times New Roman" w:cs="Times New Roman"/>
        </w:rPr>
        <w:t xml:space="preserve">, analizó cómo la economía monetaria disuelve los lazos comunitarios tradicionales y reduce las cualidades de los objetos y las relaciones a meras magnitudes cuantitativas. Para Simmel, el dinero actúa como un catalizador de una libertad individual de carácter negativo, desprovista de contenido sustantivo, que sumerge a los sujetos en un cálculo puramente instrumental y </w:t>
      </w:r>
      <w:proofErr w:type="spellStart"/>
      <w:r w:rsidRPr="005E5573">
        <w:rPr>
          <w:rFonts w:ascii="Times New Roman" w:hAnsi="Times New Roman" w:cs="Times New Roman"/>
        </w:rPr>
        <w:t>universalizador</w:t>
      </w:r>
      <w:proofErr w:type="spellEnd"/>
      <w:r w:rsidRPr="005E5573">
        <w:rPr>
          <w:rFonts w:ascii="Times New Roman" w:hAnsi="Times New Roman" w:cs="Times New Roman"/>
        </w:rPr>
        <w:t>.</w:t>
      </w:r>
    </w:p>
    <w:p w14:paraId="60E03227"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Sin embargo, esta visión del dinero como neutro y homogéneo fue cuestionada por la sociología contemporánea, especialmente a partir de las investigaciones de Viviana Zelizer (2011). En su obra </w:t>
      </w:r>
      <w:r w:rsidRPr="005E5573">
        <w:rPr>
          <w:rFonts w:ascii="Times New Roman" w:hAnsi="Times New Roman" w:cs="Times New Roman"/>
          <w:i/>
          <w:iCs/>
        </w:rPr>
        <w:t>El significado social del dinero</w:t>
      </w:r>
      <w:r w:rsidRPr="005E5573">
        <w:rPr>
          <w:rFonts w:ascii="Times New Roman" w:hAnsi="Times New Roman" w:cs="Times New Roman"/>
        </w:rPr>
        <w:t xml:space="preserve">, </w:t>
      </w:r>
      <w:proofErr w:type="spellStart"/>
      <w:r w:rsidRPr="005E5573">
        <w:rPr>
          <w:rFonts w:ascii="Times New Roman" w:hAnsi="Times New Roman" w:cs="Times New Roman"/>
        </w:rPr>
        <w:t>Zelizer</w:t>
      </w:r>
      <w:proofErr w:type="spellEnd"/>
      <w:r w:rsidRPr="005E5573">
        <w:rPr>
          <w:rFonts w:ascii="Times New Roman" w:hAnsi="Times New Roman" w:cs="Times New Roman"/>
        </w:rPr>
        <w:t xml:space="preserve"> refuta la tesis de la neutralidad absoluta de la moneda y demuestra que las personas transforman constantemente el dinero a través de sus redes de relaciones sociales. Lejos de ser un instrumento puramente amoral y racional, el dinero se encuentra impregnado de valores morales, emocionales y comunitarios. </w:t>
      </w:r>
      <w:proofErr w:type="spellStart"/>
      <w:r w:rsidRPr="005E5573">
        <w:rPr>
          <w:rFonts w:ascii="Times New Roman" w:hAnsi="Times New Roman" w:cs="Times New Roman"/>
        </w:rPr>
        <w:t>Zelizer</w:t>
      </w:r>
      <w:proofErr w:type="spellEnd"/>
      <w:r w:rsidRPr="005E5573">
        <w:rPr>
          <w:rFonts w:ascii="Times New Roman" w:hAnsi="Times New Roman" w:cs="Times New Roman"/>
        </w:rPr>
        <w:t xml:space="preserve"> (2011) sostiene que "en oposición a la simple equiparación del dinero con el poder y la racionalidad, las cantidades del ingreso no determinan por sí mismas sus usos o control; la adjudicación del dinero del hogar depende siempre de interpretaciones complejas y sutiles de las relaciones entre los miembros de la familia" (p. 95). El concepto fundamental acuñado por la autora es el de etiquetado social, proceso mediante el cual los sujetos segregan, clasifican y asignan significados y destinos específicos a distintas sumas de dinero en función de su procedencia y de los vínculos afectivos implicados, regulando qué usos son considerados legítimos y cuáles no.</w:t>
      </w:r>
    </w:p>
    <w:p w14:paraId="13F0DFD5"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lastRenderedPageBreak/>
        <w:t xml:space="preserve">Por su parte, la crítica feminista ha expandido radicalmente estos planteos al ligar los flujos monetarios con las estructuras macroeconómicas de dominación de los cuerpos y del trabajo reproductivo. Silvia Federici (2015), en Calibán y la bruja, realiza una relectura crítica de la acumulación originaria marxista, argumentando que la transición al capitalismo no consistió únicamente en la expropiación de tierras agrícolas y la creación de un proletariado asalariado masculino, sino que requirió de forma indispensable un proceso simultáneo de </w:t>
      </w:r>
      <w:proofErr w:type="spellStart"/>
      <w:r w:rsidRPr="005E5573">
        <w:rPr>
          <w:rFonts w:ascii="Times New Roman" w:hAnsi="Times New Roman" w:cs="Times New Roman"/>
        </w:rPr>
        <w:t>disciplinamiento</w:t>
      </w:r>
      <w:proofErr w:type="spellEnd"/>
      <w:r w:rsidRPr="005E5573">
        <w:rPr>
          <w:rFonts w:ascii="Times New Roman" w:hAnsi="Times New Roman" w:cs="Times New Roman"/>
        </w:rPr>
        <w:t xml:space="preserve"> social, violencia estatal y subordinación de las mujeres. Este proceso implicó la devaluación crónica del trabajo de reproducción biológica y social, la imposición de una estricta división sexual del trabajo, la criminalización de saberes comunitarios femeninos y el confinamiento de las mujeres a una esfera no asalariada, invisibilizada y dependiente del salario del varón. Esta genealogía materialista obliga a comprender que el dinero y el salario nacen atravesados por relaciones de poder </w:t>
      </w:r>
      <w:proofErr w:type="spellStart"/>
      <w:r w:rsidRPr="005E5573">
        <w:rPr>
          <w:rFonts w:ascii="Times New Roman" w:hAnsi="Times New Roman" w:cs="Times New Roman"/>
        </w:rPr>
        <w:t>generizadas</w:t>
      </w:r>
      <w:proofErr w:type="spellEnd"/>
      <w:r w:rsidRPr="005E5573">
        <w:rPr>
          <w:rFonts w:ascii="Times New Roman" w:hAnsi="Times New Roman" w:cs="Times New Roman"/>
        </w:rPr>
        <w:t xml:space="preserve"> y que su lógica se reproduce en las instituciones modernas de inclusión social.</w:t>
      </w:r>
    </w:p>
    <w:p w14:paraId="1AC7A3CE"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En el plano psicosocial y de los microanálisis cotidianos, Clara Coria (1991, 1997) aporta claves fundamentales al postular que el dinero se encuentra profundamente sexuado. El manejo, la administración y la significación del dinero adquieren connotaciones radicalmente disímiles para varones y mujeres, impactando de forma directa en la constitución de sus subjetividades y en sus posibilidades reales de autonomía. Coria (1997) señala que las mujeres suelen ser confinadas a la administración del "dinero de la carencia": aquel flujo de recursos monetarios destinado exclusivamente a la infraestructura del hogar, el aprovisionamiento de alimentos y la vestimenta de los hijos; un manejo monetario caracterizado por demandar una enorme responsabilidad organizativa pero que ofrece escasas satisfacciones personales, operando de esta manera como una restricción invisible que obtura la viabilidad de realizar inversiones individuales y proyectos propios, como podría ser el cursado de una carrera universitaria (p. 57).</w:t>
      </w:r>
    </w:p>
    <w:p w14:paraId="77E3DCDD"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A fin de operacionalizar teóricamente estos aportes dentro del campo de los inicios universitarios, la presente investigación desagrega el dinero en tres dimensiones analíticas integradas que permiten superar la mera medición contable de los ingresos de los hogares:</w:t>
      </w:r>
    </w:p>
    <w:p w14:paraId="7B9D11FA" w14:textId="77777777" w:rsidR="005E5573" w:rsidRPr="005E5573" w:rsidRDefault="005E5573" w:rsidP="003A6525">
      <w:pPr>
        <w:numPr>
          <w:ilvl w:val="0"/>
          <w:numId w:val="1"/>
        </w:numPr>
        <w:spacing w:after="0" w:line="240" w:lineRule="auto"/>
        <w:jc w:val="both"/>
        <w:rPr>
          <w:rFonts w:ascii="Times New Roman" w:hAnsi="Times New Roman" w:cs="Times New Roman"/>
        </w:rPr>
      </w:pPr>
      <w:r w:rsidRPr="005E5573">
        <w:rPr>
          <w:rFonts w:ascii="Times New Roman" w:hAnsi="Times New Roman" w:cs="Times New Roman"/>
          <w:b/>
          <w:bCs/>
        </w:rPr>
        <w:t>El Origen del dinero:</w:t>
      </w:r>
      <w:r w:rsidRPr="005E5573">
        <w:rPr>
          <w:rFonts w:ascii="Times New Roman" w:hAnsi="Times New Roman" w:cs="Times New Roman"/>
        </w:rPr>
        <w:t xml:space="preserve"> Esta dimensión rastrea de dónde provienen los fondos específicos que sostienen los estudios de nivel superior de del ingresante. No es analíticamente equivalente que un estudiante financie sus apuntes, fotocopias y boletos de transporte mediante una beca por mérito o vulnerabilidad (como las becas Progresar), a través de un trabajo asalariado propio e informal, mediante transferencias discrecionales de sus progenitores, a partir de aportes conyugales o mediante microemprendimientos autónomos desarrollados en los márgenes de las jornadas cotidianas. El origen del dinero imprime un sello de legitimidad y autonomía diferencial a las trayectorias estudiantiles.</w:t>
      </w:r>
    </w:p>
    <w:p w14:paraId="53C7A239" w14:textId="77777777" w:rsidR="005E5573" w:rsidRPr="005E5573" w:rsidRDefault="005E5573" w:rsidP="003A6525">
      <w:pPr>
        <w:numPr>
          <w:ilvl w:val="0"/>
          <w:numId w:val="1"/>
        </w:numPr>
        <w:spacing w:after="0" w:line="240" w:lineRule="auto"/>
        <w:jc w:val="both"/>
        <w:rPr>
          <w:rFonts w:ascii="Times New Roman" w:hAnsi="Times New Roman" w:cs="Times New Roman"/>
        </w:rPr>
      </w:pPr>
      <w:r w:rsidRPr="005E5573">
        <w:rPr>
          <w:rFonts w:ascii="Times New Roman" w:hAnsi="Times New Roman" w:cs="Times New Roman"/>
          <w:b/>
          <w:bCs/>
        </w:rPr>
        <w:t>El Control del dinero:</w:t>
      </w:r>
      <w:r w:rsidRPr="005E5573">
        <w:rPr>
          <w:rFonts w:ascii="Times New Roman" w:hAnsi="Times New Roman" w:cs="Times New Roman"/>
        </w:rPr>
        <w:t xml:space="preserve"> Analiza el grado de autonomía real y efectiva que posee el ingresante sobre la toma de decisiones financieras y la administración del gasto. Indaga quién decide efectivamente el destino de los recursos dentro de la trama doméstica, si existen intermediaciones jerárquicas o mecanismos de control parental o conyugal, y </w:t>
      </w:r>
      <w:proofErr w:type="gramStart"/>
      <w:r w:rsidRPr="005E5573">
        <w:rPr>
          <w:rFonts w:ascii="Times New Roman" w:hAnsi="Times New Roman" w:cs="Times New Roman"/>
        </w:rPr>
        <w:t>bajo qué condiciones</w:t>
      </w:r>
      <w:proofErr w:type="gramEnd"/>
      <w:r w:rsidRPr="005E5573">
        <w:rPr>
          <w:rFonts w:ascii="Times New Roman" w:hAnsi="Times New Roman" w:cs="Times New Roman"/>
        </w:rPr>
        <w:t xml:space="preserve"> de sumisión o negociación se efectiviza la asignación de dinero para los gastos de la vida universitaria.</w:t>
      </w:r>
    </w:p>
    <w:p w14:paraId="2CA74F08" w14:textId="77777777" w:rsidR="005E5573" w:rsidRPr="005E5573" w:rsidRDefault="005E5573" w:rsidP="003A6525">
      <w:pPr>
        <w:numPr>
          <w:ilvl w:val="0"/>
          <w:numId w:val="1"/>
        </w:numPr>
        <w:spacing w:after="0" w:line="240" w:lineRule="auto"/>
        <w:jc w:val="both"/>
        <w:rPr>
          <w:rFonts w:ascii="Times New Roman" w:hAnsi="Times New Roman" w:cs="Times New Roman"/>
        </w:rPr>
      </w:pPr>
      <w:r w:rsidRPr="005E5573">
        <w:rPr>
          <w:rFonts w:ascii="Times New Roman" w:hAnsi="Times New Roman" w:cs="Times New Roman"/>
          <w:b/>
          <w:bCs/>
        </w:rPr>
        <w:lastRenderedPageBreak/>
        <w:t>El Etiquetado del dinero:</w:t>
      </w:r>
      <w:r w:rsidRPr="005E5573">
        <w:rPr>
          <w:rFonts w:ascii="Times New Roman" w:hAnsi="Times New Roman" w:cs="Times New Roman"/>
        </w:rPr>
        <w:t xml:space="preserve"> Examina las pautas culturales, morales y familiares que delimitan qué usos son catalogados como legítimos. Se busca comprender si el dinero que percibe o genera una estudiante está moralmente etiquetado "para el estudio" de manera restrictiva o si, por el contrario, se encuentra preasignado a la cobertura de necesidades de la infraestructura hogareña o la subsistencia de sus hijos. El etiquetado determina si la inversión en capital cultural es valorada como un bien familiar legítimo o como un gasto superfluo e individualista que compite contra el bienestar colectivo de la economía doméstica.</w:t>
      </w:r>
    </w:p>
    <w:p w14:paraId="298FB615" w14:textId="77777777" w:rsidR="005E5573" w:rsidRPr="005E5573" w:rsidRDefault="005E5573" w:rsidP="003A6525">
      <w:pPr>
        <w:spacing w:after="0" w:line="240" w:lineRule="auto"/>
        <w:jc w:val="both"/>
        <w:rPr>
          <w:rFonts w:ascii="Times New Roman" w:hAnsi="Times New Roman" w:cs="Times New Roman"/>
          <w:b/>
          <w:bCs/>
        </w:rPr>
      </w:pPr>
      <w:r w:rsidRPr="005E5573">
        <w:rPr>
          <w:rFonts w:ascii="Times New Roman" w:hAnsi="Times New Roman" w:cs="Times New Roman"/>
          <w:b/>
          <w:bCs/>
        </w:rPr>
        <w:t>La trama invisible del oficio universitario: el entrelazamiento de tiempo, dinero y género en contextos periféricos</w:t>
      </w:r>
    </w:p>
    <w:p w14:paraId="094904BF"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Al integrar las tres dimensiones del dinero con los vectores del tiempo, el espacio y el género, se hace posible examinar de forma compleja y situada la construcción del oficio universitario en la cuenca del Golfo San Jorge. Corina Rodríguez Enríquez (2015) advierte que la mayor participación de las mujeres en el mercado de empleo y en las instituciones formativas en América Latina no se tradujo en una corresponsabilidad de los varones ni en una red pública suficiente de servicios de cuidado; esto genera una sobrecarga temporal y una compresión de las rutinas cotidianas femeninas que deteriora su calidad de vida y limita sus proyecciones de desarrollo personal (p. 6).</w:t>
      </w:r>
    </w:p>
    <w:p w14:paraId="5147C0F1"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Cuando esta dinámica se analiza a la luz de las prácticas monetarias de los ingresantes, se devela que el dinero opera simultáneamente como un recurso material, un marcador simbólico de poder y un mediador de las tramas temporales. El dinero deja de ser un insumo neutro para convertirse en una verdadera tecnología social que reproduce o puede desmontar desigualdades de tiempo, visibilidad y agencia. Si los recursos monetarios de un hogar son escasos o se encuentran etiquetados socialmente para priorizar la infraestructura de cuidado, o si las becas estudiantiles resultan exiguas frente a los costos reales de vida, el impacto directo se traduce en una restricción temporal severa para la estudiante mujer, o por el contrario si las estudiantes tienen autonomía monetaria podrían desplegar otro tipo de estrategias. </w:t>
      </w:r>
    </w:p>
    <w:p w14:paraId="48C1C82C"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Por ejemplo, la insuficiencia de dinero para tercerizar tareas de cuidado o para afrontar los gastos de transporte interurbano entre las localidades satélites de la cuenca (como Pico Truncado o Las Heras) y los centros universitarios principales (Caleta Olivia o Comodoro Rivadavia) obliga a las ingresantes a recurrir al uso de medios de transporte público con frecuencias deficientes, consumiendo horas diarias en desplazamientos geográficos. Asimismo, la falta de ingresos genuinos llevaría a las estudiantes a insertarse en trabajos precarizados de jornadas extensas e inflexibles o a montar sus propios emprendimientos que depende exclusivamente de la inversión en tiempo que ellas hagan, sacrificando horas de descanso y de estudio autónomo. La intermediación del gasto por parte de otros miembros del hogar o la naturalización del destino doméstico de los ingresos de las mujeres jóvenes limitan su capacidad de convertir recursos financieros nominales en prácticas académicas concretas y reconocidas.</w:t>
      </w:r>
    </w:p>
    <w:p w14:paraId="4D292C08"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El resultado sería un proceso de subordinación material y simbólica que invisibiliza el trabajo intelectual de las estudiantes como así también sus estrategias para realizarlo. En las estructuras universitarias tradicionales, bajo la lógica de la meritocracia, el rendimiento académico deficiente o el desgranamiento temprano de una alumna suelen ser interpretados de manera reduccionista como una falta de compromiso individual, </w:t>
      </w:r>
      <w:r w:rsidRPr="005E5573">
        <w:rPr>
          <w:rFonts w:ascii="Times New Roman" w:hAnsi="Times New Roman" w:cs="Times New Roman"/>
        </w:rPr>
        <w:lastRenderedPageBreak/>
        <w:t xml:space="preserve">desinterés vocacional o déficit cognitivo. Por el contrario, encontrar estudiantes mujeres que aun así logran transitar exitosamente sus primeros años de educación superior nos impone la pregunta: ¿cómo lo hacen? ¿qué estrategias de organización del tiempo y el dinero les han sido útiles?  </w:t>
      </w:r>
    </w:p>
    <w:p w14:paraId="3F8B05E6" w14:textId="72366F26"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El entramado analítico aquí propuesto desplaza el foco del estudiante ideal, al estudiante real </w:t>
      </w:r>
      <w:r w:rsidR="00AF625D" w:rsidRPr="005E5573">
        <w:rPr>
          <w:rFonts w:ascii="Times New Roman" w:hAnsi="Times New Roman" w:cs="Times New Roman"/>
        </w:rPr>
        <w:t>y,</w:t>
      </w:r>
      <w:r w:rsidRPr="005E5573">
        <w:rPr>
          <w:rFonts w:ascii="Times New Roman" w:hAnsi="Times New Roman" w:cs="Times New Roman"/>
        </w:rPr>
        <w:t xml:space="preserve"> sobre todo, en el caso de las mujeres el desafío es, por un lado, dar cuenta de las restricciones estructurales a las que están expuestas y, por el otro, reconstruir la complejidad de sus elecciones cotidianas. </w:t>
      </w:r>
    </w:p>
    <w:p w14:paraId="536E1DF9"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Con relación a la metodología de esta reconversión de plan de tesis, cabe destacar que aún se encuentra en fase de diseño ya que al tratarse de un objeto de estudio multidimensional que interrelaciona dinámicas habitualmente confinadas a la intimidad del hogar -como las tensiones por el control y el etiquetado del dinero-, con prácticas de la vida en comunidad, los instrumentos y la delimitación definitiva de la muestra permanecen abiertos al diálogo con el trabajo de campo. A grandes rasgos, la estrategia metodológica se define a partir de un diseño flexible, cualitativo, relacional y situado. Para captar de forma integral las tramas materiales y simbólicas del oficio universitario, se proyecta un abordaje polifónico que combine el registro de prácticas a través de diarios de tiempo y gasto, con la producción de narrativas densas mediante entrevistas en profundidad y grupos focales. Esta combinación de instrumentos se desplegará sobre una muestra de estudiantes que estén transitando su inicio a la vida universitaria, distribuidas geográficamente. </w:t>
      </w:r>
    </w:p>
    <w:p w14:paraId="4280B5FE" w14:textId="77777777" w:rsidR="005E5573" w:rsidRPr="005E5573" w:rsidRDefault="005E5573" w:rsidP="003A6525">
      <w:pPr>
        <w:spacing w:after="0" w:line="240" w:lineRule="auto"/>
        <w:jc w:val="both"/>
        <w:rPr>
          <w:rFonts w:ascii="Times New Roman" w:hAnsi="Times New Roman" w:cs="Times New Roman"/>
        </w:rPr>
      </w:pPr>
      <w:r w:rsidRPr="005E5573">
        <w:rPr>
          <w:rFonts w:ascii="Times New Roman" w:hAnsi="Times New Roman" w:cs="Times New Roman"/>
        </w:rPr>
        <w:t xml:space="preserve">Al momento de la redacción de este trabajo, se está llevando a cabo la etapa de prueba de un primer guion de entrevista que pueda dar una base empírica sobre la cual ir refinando la indagación. Por otro lado, los esfuerzos analíticos actuales se orientan a depurar las herramientas de indagación para visibilizar la agencia activa de las estudiantes, evitando lecturas reduccionistas. Como ya se indicó, las estadísticas contemporáneas sobre educación superior muestran que las mujeres aprueban más materias y registran tasas de egreso superiores a las de sus pares varones y eso debe ser especialmente investigado en un territorio con una estructura socio-productiva masculinizada como la cuenca del Golfo San Jorge. </w:t>
      </w:r>
    </w:p>
    <w:p w14:paraId="5ED2B7A0" w14:textId="77777777" w:rsidR="005E5573" w:rsidRDefault="005E5573" w:rsidP="00CE5851">
      <w:pPr>
        <w:spacing w:after="0" w:line="240" w:lineRule="auto"/>
        <w:jc w:val="both"/>
        <w:rPr>
          <w:rFonts w:ascii="Times New Roman" w:hAnsi="Times New Roman" w:cs="Times New Roman"/>
        </w:rPr>
      </w:pPr>
      <w:r w:rsidRPr="005E5573">
        <w:rPr>
          <w:rFonts w:ascii="Times New Roman" w:hAnsi="Times New Roman" w:cs="Times New Roman"/>
        </w:rPr>
        <w:t xml:space="preserve">De esta manera, la investigación no busca únicamente describir las barreras, sino también comprender cómo lo hacen las mujeres que estudian. Interesa conocer cuáles son las tácticas, las </w:t>
      </w:r>
      <w:proofErr w:type="spellStart"/>
      <w:r w:rsidRPr="005E5573">
        <w:rPr>
          <w:rFonts w:ascii="Times New Roman" w:hAnsi="Times New Roman" w:cs="Times New Roman"/>
        </w:rPr>
        <w:t>micro-negociaciones</w:t>
      </w:r>
      <w:proofErr w:type="spellEnd"/>
      <w:r w:rsidRPr="005E5573">
        <w:rPr>
          <w:rFonts w:ascii="Times New Roman" w:hAnsi="Times New Roman" w:cs="Times New Roman"/>
        </w:rPr>
        <w:t xml:space="preserve"> domésticas, las subversiones de los etiquetados monetarios y, las redes de reciprocidad y cuidado mutuo que las ingresantes despliegan en su vida cotidiana para torcer los condicionantes estructurales y construir exitosamente su oficio universitario, todo lo cual reviste un desafío. </w:t>
      </w:r>
    </w:p>
    <w:p w14:paraId="4B096C45" w14:textId="77777777" w:rsidR="00CE5851" w:rsidRPr="005E5573" w:rsidRDefault="00CE5851" w:rsidP="00CE5851">
      <w:pPr>
        <w:spacing w:after="0" w:line="240" w:lineRule="auto"/>
        <w:jc w:val="both"/>
        <w:rPr>
          <w:rFonts w:ascii="Times New Roman" w:hAnsi="Times New Roman" w:cs="Times New Roman"/>
        </w:rPr>
      </w:pPr>
    </w:p>
    <w:p w14:paraId="12CE0BCB" w14:textId="6A82741F" w:rsidR="005F3B2E" w:rsidRDefault="005F3B2E" w:rsidP="00CE5851">
      <w:pPr>
        <w:spacing w:after="0" w:line="240" w:lineRule="auto"/>
        <w:jc w:val="center"/>
        <w:rPr>
          <w:rFonts w:ascii="Times New Roman" w:hAnsi="Times New Roman" w:cs="Times New Roman"/>
          <w:b/>
          <w:bCs/>
        </w:rPr>
      </w:pPr>
      <w:r w:rsidRPr="004F06BF">
        <w:rPr>
          <w:rFonts w:ascii="Times New Roman" w:hAnsi="Times New Roman" w:cs="Times New Roman"/>
          <w:b/>
          <w:bCs/>
        </w:rPr>
        <w:t>Conclusiones</w:t>
      </w:r>
    </w:p>
    <w:p w14:paraId="58DD7AEF" w14:textId="77777777" w:rsidR="00CE5851" w:rsidRPr="004F06BF" w:rsidRDefault="00CE5851" w:rsidP="00CE5851">
      <w:pPr>
        <w:spacing w:after="0" w:line="240" w:lineRule="auto"/>
        <w:jc w:val="center"/>
        <w:rPr>
          <w:rFonts w:ascii="Times New Roman" w:hAnsi="Times New Roman" w:cs="Times New Roman"/>
          <w:b/>
          <w:bCs/>
        </w:rPr>
      </w:pPr>
    </w:p>
    <w:p w14:paraId="2DB24397" w14:textId="77777777" w:rsidR="00CE5851" w:rsidRPr="00CE5851" w:rsidRDefault="00CE5851" w:rsidP="00CE5851">
      <w:pPr>
        <w:spacing w:after="0" w:line="240" w:lineRule="auto"/>
        <w:jc w:val="both"/>
        <w:rPr>
          <w:rFonts w:ascii="Times New Roman" w:hAnsi="Times New Roman" w:cs="Times New Roman"/>
        </w:rPr>
      </w:pPr>
      <w:r w:rsidRPr="00CE5851">
        <w:rPr>
          <w:rFonts w:ascii="Times New Roman" w:hAnsi="Times New Roman" w:cs="Times New Roman"/>
        </w:rPr>
        <w:t xml:space="preserve">La reformulación del plan de tesis doctoral expuesta a lo largo de este trabajo constituye una apuesta epistemológica, teórica y metodológica que busca saldar una vacancia dentro del campo de estudios sobre los inicios a la vida universitaria en la República Argentina. Al hibridar la sociología del dinero de matriz </w:t>
      </w:r>
      <w:proofErr w:type="spellStart"/>
      <w:r w:rsidRPr="00CE5851">
        <w:rPr>
          <w:rFonts w:ascii="Times New Roman" w:hAnsi="Times New Roman" w:cs="Times New Roman"/>
        </w:rPr>
        <w:t>zelizeriana</w:t>
      </w:r>
      <w:proofErr w:type="spellEnd"/>
      <w:r w:rsidRPr="00CE5851">
        <w:rPr>
          <w:rFonts w:ascii="Times New Roman" w:hAnsi="Times New Roman" w:cs="Times New Roman"/>
        </w:rPr>
        <w:t xml:space="preserve"> con las coordenadas analíticas del campo de los inicios provistas por la literatura local (Sotelo, 2024, 2025) y la potencia crítica de las perspectivas feministas, esta propuesta intenta desplazar el abordaje </w:t>
      </w:r>
      <w:r w:rsidRPr="00CE5851">
        <w:rPr>
          <w:rFonts w:ascii="Times New Roman" w:hAnsi="Times New Roman" w:cs="Times New Roman"/>
        </w:rPr>
        <w:lastRenderedPageBreak/>
        <w:t>tradicional de las variables socioeconómicas. La pretensión es ir más allá de la mirada cuantitativa y contable del nivel de ingresos que suele primar en los informes institucionales, para proponer una lectura situada donde el dinero se conciba como una práctica social y simbólica cruzada de manera indisoluble por las relaciones de género, el poder doméstico y la disputa por la soberanía del tiempo.</w:t>
      </w:r>
    </w:p>
    <w:p w14:paraId="2AD7CDE0" w14:textId="77777777" w:rsidR="00CE5851" w:rsidRPr="00CE5851" w:rsidRDefault="00CE5851" w:rsidP="00CE5851">
      <w:pPr>
        <w:spacing w:after="0" w:line="240" w:lineRule="auto"/>
        <w:jc w:val="both"/>
        <w:rPr>
          <w:rFonts w:ascii="Times New Roman" w:hAnsi="Times New Roman" w:cs="Times New Roman"/>
        </w:rPr>
      </w:pPr>
      <w:r w:rsidRPr="00CE5851">
        <w:rPr>
          <w:rFonts w:ascii="Times New Roman" w:hAnsi="Times New Roman" w:cs="Times New Roman"/>
        </w:rPr>
        <w:t>El análisis situado en la cuenca petrolera del Golfo San Jorge aporta un laboratorio social inestimable para examinar estas hipótesis. Las particularidades de este territorio -caracterizado por una marcada asimetría en el mercado laboral, distancias geográficas considerables y una fuerte rigidez en la división sexual de las responsabilidades domésticas- ponen de manifiesto que el acceso formal, garantizado por el ingreso libre y gratuito de la legislación argentina, no anula las tramas invisibles de la desigualdad. Las dimensiones analíticas propuestas a lo largo de la propuesta operan como claves interpretativas potentes para desarmar la ficción institucional del "estudiante ideal" y visibilizar los procesos cotidianos mediante los cuales el "estudiante real" ensaya negociaciones, sacrificios temporales y estrategias microeconómicas para construir su oficio estudiantil en condiciones adversas.</w:t>
      </w:r>
    </w:p>
    <w:p w14:paraId="3401D1EF" w14:textId="77777777" w:rsidR="00CE5851" w:rsidRPr="00CE5851" w:rsidRDefault="00CE5851" w:rsidP="00CE5851">
      <w:pPr>
        <w:spacing w:after="0" w:line="240" w:lineRule="auto"/>
        <w:jc w:val="both"/>
        <w:rPr>
          <w:rFonts w:ascii="Times New Roman" w:hAnsi="Times New Roman" w:cs="Times New Roman"/>
        </w:rPr>
      </w:pPr>
      <w:r w:rsidRPr="00CE5851">
        <w:rPr>
          <w:rFonts w:ascii="Times New Roman" w:hAnsi="Times New Roman" w:cs="Times New Roman"/>
        </w:rPr>
        <w:t>Asimismo, la investigación aspira a realizar una contribución sustantiva al diálogo político y filosófico contemporáneo en torno a la educación superior. Al recuperar los aportes de Nancy Fraser y Axel Honneth (2006) respecto al debate entre redistribución y reconocimiento, este marco conceptual ofrece bases operativas sólidas para repensar el diseño de las políticas de bienestar e inclusión universitaria</w:t>
      </w:r>
    </w:p>
    <w:p w14:paraId="544B704F" w14:textId="44DF8335" w:rsidR="00BC236F" w:rsidRPr="004F06BF" w:rsidRDefault="00CE5851" w:rsidP="00CE5851">
      <w:pPr>
        <w:spacing w:after="0" w:line="240" w:lineRule="auto"/>
        <w:jc w:val="both"/>
        <w:rPr>
          <w:rFonts w:ascii="Times New Roman" w:hAnsi="Times New Roman" w:cs="Times New Roman"/>
        </w:rPr>
      </w:pPr>
      <w:r w:rsidRPr="00CE5851">
        <w:rPr>
          <w:rFonts w:ascii="Times New Roman" w:hAnsi="Times New Roman" w:cs="Times New Roman"/>
        </w:rPr>
        <w:t xml:space="preserve">En suma, conceptualizar y analizar al dinero como una práctica de género en las tramas de los inicios a la vida universitaria provee herramientas conceptuales fundamentales para deconstruir la retórica meritocrática que culpabiliza de forma individual a los sujetos por sus dificultades académicas al mismo tiempo que permite visibilizar qué hacen las estudiantes mujeres para desenvolverse y lograr trayectos exitosos. Indagar en estas tramas ocultas se vuelve una tarea imperativa para construir insumos que permitan el diseño de políticas públicas que favorezcan no solo el ingreso, sino la consolidación de trayectos exitosos en el nivel superior.  </w:t>
      </w:r>
    </w:p>
    <w:p w14:paraId="05381591" w14:textId="77777777" w:rsidR="00CE5851" w:rsidRDefault="00CE5851" w:rsidP="007B5B5F">
      <w:pPr>
        <w:spacing w:line="240" w:lineRule="auto"/>
        <w:rPr>
          <w:rFonts w:ascii="Times New Roman" w:hAnsi="Times New Roman" w:cs="Times New Roman"/>
          <w:b/>
          <w:bCs/>
        </w:rPr>
      </w:pPr>
    </w:p>
    <w:p w14:paraId="39B57161" w14:textId="68A5F283" w:rsidR="005F3B2E" w:rsidRPr="004F06BF" w:rsidRDefault="005F3B2E" w:rsidP="00CE5851">
      <w:pPr>
        <w:spacing w:line="240" w:lineRule="auto"/>
        <w:jc w:val="center"/>
        <w:rPr>
          <w:rFonts w:ascii="Times New Roman" w:hAnsi="Times New Roman" w:cs="Times New Roman"/>
          <w:b/>
          <w:bCs/>
        </w:rPr>
      </w:pPr>
      <w:r w:rsidRPr="004F06BF">
        <w:rPr>
          <w:rFonts w:ascii="Times New Roman" w:hAnsi="Times New Roman" w:cs="Times New Roman"/>
          <w:b/>
          <w:bCs/>
        </w:rPr>
        <w:t xml:space="preserve">Referencias Bibliográficas </w:t>
      </w:r>
    </w:p>
    <w:p w14:paraId="00FD4481"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Alvarado, M. (2013). Escritura e invención en la escuela. Fondo de Cultura Económica.</w:t>
      </w:r>
    </w:p>
    <w:p w14:paraId="0F39C423"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Bombini</w:t>
      </w:r>
      <w:proofErr w:type="spellEnd"/>
      <w:r w:rsidRPr="0048127F">
        <w:rPr>
          <w:rFonts w:ascii="Times New Roman" w:hAnsi="Times New Roman" w:cs="Times New Roman"/>
        </w:rPr>
        <w:t xml:space="preserve">, G., &amp; </w:t>
      </w:r>
      <w:proofErr w:type="spellStart"/>
      <w:r w:rsidRPr="0048127F">
        <w:rPr>
          <w:rFonts w:ascii="Times New Roman" w:hAnsi="Times New Roman" w:cs="Times New Roman"/>
        </w:rPr>
        <w:t>Labeur</w:t>
      </w:r>
      <w:proofErr w:type="spellEnd"/>
      <w:r w:rsidRPr="0048127F">
        <w:rPr>
          <w:rFonts w:ascii="Times New Roman" w:hAnsi="Times New Roman" w:cs="Times New Roman"/>
        </w:rPr>
        <w:t>, P. (Eds.). (2017). Leer y escribir en las zonas de pasaje: articulaciones entre la escuela secundaria y el nivel superior. Editorial Biblos.</w:t>
      </w:r>
    </w:p>
    <w:p w14:paraId="362619D4"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Bracchi, C. (2016). Descifrando el oficio de ser estudiantes universitarios: entre la desigualdad, la fragmentación y las trayectorias educativas diversificadas. Trayectorias Universitarias, 2(3), 3-14.</w:t>
      </w:r>
    </w:p>
    <w:p w14:paraId="6EB9B84F"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Carli, S. (2012). El estudiante universitario: hacia una historia del presente de la educación pública. Siglo Veintiuno Editores.</w:t>
      </w:r>
    </w:p>
    <w:p w14:paraId="65E0B292"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Carlino, P. (2002). Enseñar a escribir en la universidad: cómo lo hacen en Estados Unidos y por qué. </w:t>
      </w:r>
      <w:proofErr w:type="spellStart"/>
      <w:r w:rsidRPr="0048127F">
        <w:rPr>
          <w:rFonts w:ascii="Times New Roman" w:hAnsi="Times New Roman" w:cs="Times New Roman"/>
        </w:rPr>
        <w:t>UniPluri</w:t>
      </w:r>
      <w:proofErr w:type="spellEnd"/>
      <w:r w:rsidRPr="0048127F">
        <w:rPr>
          <w:rFonts w:ascii="Times New Roman" w:hAnsi="Times New Roman" w:cs="Times New Roman"/>
        </w:rPr>
        <w:t>/</w:t>
      </w:r>
      <w:proofErr w:type="spellStart"/>
      <w:r w:rsidRPr="0048127F">
        <w:rPr>
          <w:rFonts w:ascii="Times New Roman" w:hAnsi="Times New Roman" w:cs="Times New Roman"/>
        </w:rPr>
        <w:t>versidad</w:t>
      </w:r>
      <w:proofErr w:type="spellEnd"/>
      <w:r w:rsidRPr="0048127F">
        <w:rPr>
          <w:rFonts w:ascii="Times New Roman" w:hAnsi="Times New Roman" w:cs="Times New Roman"/>
        </w:rPr>
        <w:t>, 2(2), 57-67.</w:t>
      </w:r>
    </w:p>
    <w:p w14:paraId="782F7F40"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Chiroleu</w:t>
      </w:r>
      <w:proofErr w:type="spellEnd"/>
      <w:r w:rsidRPr="0048127F">
        <w:rPr>
          <w:rFonts w:ascii="Times New Roman" w:hAnsi="Times New Roman" w:cs="Times New Roman"/>
        </w:rPr>
        <w:t xml:space="preserve">, A. (1999). El ingreso a la universidad: las experiencias de Argentina y Brasil. </w:t>
      </w:r>
      <w:proofErr w:type="spellStart"/>
      <w:r w:rsidRPr="0048127F">
        <w:rPr>
          <w:rFonts w:ascii="Times New Roman" w:hAnsi="Times New Roman" w:cs="Times New Roman"/>
        </w:rPr>
        <w:t>UNR</w:t>
      </w:r>
      <w:proofErr w:type="spellEnd"/>
      <w:r w:rsidRPr="0048127F">
        <w:rPr>
          <w:rFonts w:ascii="Times New Roman" w:hAnsi="Times New Roman" w:cs="Times New Roman"/>
        </w:rPr>
        <w:t xml:space="preserve"> Editora.</w:t>
      </w:r>
    </w:p>
    <w:p w14:paraId="5131AFE3"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lastRenderedPageBreak/>
        <w:t>Clark, B. R. (2015). El desarrollo de la sociología de la educación superior. En Sociología de la educación superior (pp. 19-37). Universidad de Palermo.</w:t>
      </w:r>
    </w:p>
    <w:p w14:paraId="7A357832"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Coria, C. (1991). El dinero en la pareja. Algunas desnudeces sobre el poder. Paidós.</w:t>
      </w:r>
    </w:p>
    <w:p w14:paraId="7051031B"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Coria, C. (1997). El sexo oculto del dinero. Formas de la dependencia femenina. Paidós.</w:t>
      </w:r>
    </w:p>
    <w:p w14:paraId="6EF12734"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Coulon, A. (2017). O </w:t>
      </w:r>
      <w:proofErr w:type="spellStart"/>
      <w:r w:rsidRPr="0048127F">
        <w:rPr>
          <w:rFonts w:ascii="Times New Roman" w:hAnsi="Times New Roman" w:cs="Times New Roman"/>
        </w:rPr>
        <w:t>ofício</w:t>
      </w:r>
      <w:proofErr w:type="spellEnd"/>
      <w:r w:rsidRPr="0048127F">
        <w:rPr>
          <w:rFonts w:ascii="Times New Roman" w:hAnsi="Times New Roman" w:cs="Times New Roman"/>
        </w:rPr>
        <w:t xml:space="preserve"> de </w:t>
      </w:r>
      <w:proofErr w:type="spellStart"/>
      <w:r w:rsidRPr="0048127F">
        <w:rPr>
          <w:rFonts w:ascii="Times New Roman" w:hAnsi="Times New Roman" w:cs="Times New Roman"/>
        </w:rPr>
        <w:t>estudante</w:t>
      </w:r>
      <w:proofErr w:type="spellEnd"/>
      <w:r w:rsidRPr="0048127F">
        <w:rPr>
          <w:rFonts w:ascii="Times New Roman" w:hAnsi="Times New Roman" w:cs="Times New Roman"/>
        </w:rPr>
        <w:t xml:space="preserve">: a entrada </w:t>
      </w:r>
      <w:proofErr w:type="spellStart"/>
      <w:r w:rsidRPr="0048127F">
        <w:rPr>
          <w:rFonts w:ascii="Times New Roman" w:hAnsi="Times New Roman" w:cs="Times New Roman"/>
        </w:rPr>
        <w:t>na</w:t>
      </w:r>
      <w:proofErr w:type="spellEnd"/>
      <w:r w:rsidRPr="0048127F">
        <w:rPr>
          <w:rFonts w:ascii="Times New Roman" w:hAnsi="Times New Roman" w:cs="Times New Roman"/>
        </w:rPr>
        <w:t xml:space="preserve"> vida </w:t>
      </w:r>
      <w:proofErr w:type="spellStart"/>
      <w:r w:rsidRPr="0048127F">
        <w:rPr>
          <w:rFonts w:ascii="Times New Roman" w:hAnsi="Times New Roman" w:cs="Times New Roman"/>
        </w:rPr>
        <w:t>universitária</w:t>
      </w:r>
      <w:proofErr w:type="spellEnd"/>
      <w:r w:rsidRPr="0048127F">
        <w:rPr>
          <w:rFonts w:ascii="Times New Roman" w:hAnsi="Times New Roman" w:cs="Times New Roman"/>
        </w:rPr>
        <w:t xml:space="preserve">. </w:t>
      </w:r>
      <w:proofErr w:type="spellStart"/>
      <w:r w:rsidRPr="0048127F">
        <w:rPr>
          <w:rFonts w:ascii="Times New Roman" w:hAnsi="Times New Roman" w:cs="Times New Roman"/>
        </w:rPr>
        <w:t>Educação</w:t>
      </w:r>
      <w:proofErr w:type="spellEnd"/>
      <w:r w:rsidRPr="0048127F">
        <w:rPr>
          <w:rFonts w:ascii="Times New Roman" w:hAnsi="Times New Roman" w:cs="Times New Roman"/>
        </w:rPr>
        <w:t xml:space="preserve"> e Pesquisa, 43(4), 1239-1250.</w:t>
      </w:r>
    </w:p>
    <w:p w14:paraId="3479F498"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De Beauvoir, S. (2016). El segundo sexo. </w:t>
      </w:r>
      <w:proofErr w:type="spellStart"/>
      <w:r w:rsidRPr="0048127F">
        <w:rPr>
          <w:rFonts w:ascii="Times New Roman" w:hAnsi="Times New Roman" w:cs="Times New Roman"/>
        </w:rPr>
        <w:t>Penguin</w:t>
      </w:r>
      <w:proofErr w:type="spellEnd"/>
      <w:r w:rsidRPr="0048127F">
        <w:rPr>
          <w:rFonts w:ascii="Times New Roman" w:hAnsi="Times New Roman" w:cs="Times New Roman"/>
        </w:rPr>
        <w:t xml:space="preserve"> Random House.</w:t>
      </w:r>
    </w:p>
    <w:p w14:paraId="45A94B0D"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Dubet, F. (2005). Los estudiantes. Revista de Investigación Educativa CPU-e, (1).</w:t>
      </w:r>
    </w:p>
    <w:p w14:paraId="0AB117C7"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Dubet, F. (2023). Experiencias estudiantiles en la educación superior. Pensamiento Universitario, (21).</w:t>
      </w:r>
    </w:p>
    <w:p w14:paraId="46E9EFE7"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Ezcurra, A. M. (2011). Igualdad en educación superior: un desafío mundial. IEC, Ediciones UNGS.</w:t>
      </w:r>
    </w:p>
    <w:p w14:paraId="17A55D1E"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Federici, S. (2015). Calibán y la bruja. Mujeres, cuerpo y acumulación originaria. Tinta Limón.</w:t>
      </w:r>
    </w:p>
    <w:p w14:paraId="3DF20677"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Fraser, N., &amp; </w:t>
      </w:r>
      <w:proofErr w:type="spellStart"/>
      <w:r w:rsidRPr="0048127F">
        <w:rPr>
          <w:rFonts w:ascii="Times New Roman" w:hAnsi="Times New Roman" w:cs="Times New Roman"/>
        </w:rPr>
        <w:t>Honneth</w:t>
      </w:r>
      <w:proofErr w:type="spellEnd"/>
      <w:r w:rsidRPr="0048127F">
        <w:rPr>
          <w:rFonts w:ascii="Times New Roman" w:hAnsi="Times New Roman" w:cs="Times New Roman"/>
        </w:rPr>
        <w:t>, A. (2006). ¿Redistribución o reconocimiento? Un debate político-filosófico (P. Manzano, Trad.). Ediciones Morata.</w:t>
      </w:r>
    </w:p>
    <w:p w14:paraId="08EED069"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García, P. D. (2023). Nuevos ingresantes a las universidades del conurbano bonaerense. Confluencia de Saberes, 4(7), 6-30.</w:t>
      </w:r>
    </w:p>
    <w:p w14:paraId="4CBE0311"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Gómez, S. (2019). La política de acceso, permanencia y egreso universitario durante la administración kirchnerista y macrista. </w:t>
      </w:r>
      <w:proofErr w:type="spellStart"/>
      <w:r w:rsidRPr="0048127F">
        <w:rPr>
          <w:rFonts w:ascii="Times New Roman" w:hAnsi="Times New Roman" w:cs="Times New Roman"/>
        </w:rPr>
        <w:t>EccoS</w:t>
      </w:r>
      <w:proofErr w:type="spellEnd"/>
      <w:r w:rsidRPr="0048127F">
        <w:rPr>
          <w:rFonts w:ascii="Times New Roman" w:hAnsi="Times New Roman" w:cs="Times New Roman"/>
        </w:rPr>
        <w:t xml:space="preserve"> Revista Científica, (49), 1-20.</w:t>
      </w:r>
    </w:p>
    <w:p w14:paraId="3088827C"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Hernández Herrera, C. A. (2025). Economía del cuidado y desigualdades de género en estudiantes universitarios: análisis del impacto en el desempeño académico. </w:t>
      </w:r>
      <w:proofErr w:type="spellStart"/>
      <w:r w:rsidRPr="0048127F">
        <w:rPr>
          <w:rFonts w:ascii="Times New Roman" w:hAnsi="Times New Roman" w:cs="Times New Roman"/>
        </w:rPr>
        <w:t>IE</w:t>
      </w:r>
      <w:proofErr w:type="spellEnd"/>
      <w:r w:rsidRPr="0048127F">
        <w:rPr>
          <w:rFonts w:ascii="Times New Roman" w:hAnsi="Times New Roman" w:cs="Times New Roman"/>
        </w:rPr>
        <w:t xml:space="preserve"> Revista de Investigación Educativa de la </w:t>
      </w:r>
      <w:proofErr w:type="spellStart"/>
      <w:r w:rsidRPr="0048127F">
        <w:rPr>
          <w:rFonts w:ascii="Times New Roman" w:hAnsi="Times New Roman" w:cs="Times New Roman"/>
        </w:rPr>
        <w:t>REDIECH</w:t>
      </w:r>
      <w:proofErr w:type="spellEnd"/>
      <w:r w:rsidRPr="0048127F">
        <w:rPr>
          <w:rFonts w:ascii="Times New Roman" w:hAnsi="Times New Roman" w:cs="Times New Roman"/>
        </w:rPr>
        <w:t xml:space="preserve">, 16, </w:t>
      </w:r>
      <w:proofErr w:type="spellStart"/>
      <w:r w:rsidRPr="0048127F">
        <w:rPr>
          <w:rFonts w:ascii="Times New Roman" w:hAnsi="Times New Roman" w:cs="Times New Roman"/>
        </w:rPr>
        <w:t>e2634</w:t>
      </w:r>
      <w:proofErr w:type="spellEnd"/>
      <w:r w:rsidRPr="0048127F">
        <w:rPr>
          <w:rFonts w:ascii="Times New Roman" w:hAnsi="Times New Roman" w:cs="Times New Roman"/>
        </w:rPr>
        <w:t>. https://doi.org/10.33010/ie_rie_rediech.v16i0.2634</w:t>
      </w:r>
    </w:p>
    <w:p w14:paraId="0002AAB0"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Mancovsky, V., &amp; Más Rocha, S. M. (Eds.). (2019). Por una pedagogía de "los inicios": más allá del ingreso a la vida universitaria. Editorial Biblos.</w:t>
      </w:r>
    </w:p>
    <w:p w14:paraId="015ADB09"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Natale, L., &amp; Stagnaro, D. (Eds.). (2017). Alfabetización académica: un camino hacia la inclusión en el nivel superior. Ediciones UNGS.</w:t>
      </w:r>
    </w:p>
    <w:p w14:paraId="1591AB7C"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Pateman, C. (1995). El contrato sexual. </w:t>
      </w:r>
      <w:proofErr w:type="spellStart"/>
      <w:r w:rsidRPr="0048127F">
        <w:rPr>
          <w:rFonts w:ascii="Times New Roman" w:hAnsi="Times New Roman" w:cs="Times New Roman"/>
        </w:rPr>
        <w:t>Anthropos</w:t>
      </w:r>
      <w:proofErr w:type="spellEnd"/>
      <w:r w:rsidRPr="0048127F">
        <w:rPr>
          <w:rFonts w:ascii="Times New Roman" w:hAnsi="Times New Roman" w:cs="Times New Roman"/>
        </w:rPr>
        <w:t>.</w:t>
      </w:r>
    </w:p>
    <w:p w14:paraId="106C72BD"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Pierella</w:t>
      </w:r>
      <w:proofErr w:type="spellEnd"/>
      <w:r w:rsidRPr="0048127F">
        <w:rPr>
          <w:rFonts w:ascii="Times New Roman" w:hAnsi="Times New Roman" w:cs="Times New Roman"/>
        </w:rPr>
        <w:t xml:space="preserve">, M. P. (2014). El ingreso a la universidad pública: diversificación de la experiencia estudiantil y procesos de afiliación. </w:t>
      </w:r>
      <w:proofErr w:type="spellStart"/>
      <w:r w:rsidRPr="0048127F">
        <w:rPr>
          <w:rFonts w:ascii="Times New Roman" w:hAnsi="Times New Roman" w:cs="Times New Roman"/>
        </w:rPr>
        <w:t>UDAL</w:t>
      </w:r>
      <w:proofErr w:type="spellEnd"/>
      <w:r w:rsidRPr="0048127F">
        <w:rPr>
          <w:rFonts w:ascii="Times New Roman" w:hAnsi="Times New Roman" w:cs="Times New Roman"/>
        </w:rPr>
        <w:t>, (60), 51-62.</w:t>
      </w:r>
    </w:p>
    <w:p w14:paraId="2B7A757F"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Pierella</w:t>
      </w:r>
      <w:proofErr w:type="spellEnd"/>
      <w:r w:rsidRPr="0048127F">
        <w:rPr>
          <w:rFonts w:ascii="Times New Roman" w:hAnsi="Times New Roman" w:cs="Times New Roman"/>
        </w:rPr>
        <w:t>, M. P. (2019). Entre recorridos señalizados y caminos cerrados. Archivos de Ciencias de la Educación, 13(16).</w:t>
      </w:r>
    </w:p>
    <w:p w14:paraId="13FA4725"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Pogré</w:t>
      </w:r>
      <w:proofErr w:type="spellEnd"/>
      <w:r w:rsidRPr="0048127F">
        <w:rPr>
          <w:rFonts w:ascii="Times New Roman" w:hAnsi="Times New Roman" w:cs="Times New Roman"/>
        </w:rPr>
        <w:t xml:space="preserve">, P. (2014). Los desafíos actuales de la enseñanza en el nivel superior. En Didáctica general y didácticas específicas (pp. 61-74). </w:t>
      </w:r>
      <w:proofErr w:type="spellStart"/>
      <w:r w:rsidRPr="0048127F">
        <w:rPr>
          <w:rFonts w:ascii="Times New Roman" w:hAnsi="Times New Roman" w:cs="Times New Roman"/>
        </w:rPr>
        <w:t>UNVM</w:t>
      </w:r>
      <w:proofErr w:type="spellEnd"/>
      <w:r w:rsidRPr="0048127F">
        <w:rPr>
          <w:rFonts w:ascii="Times New Roman" w:hAnsi="Times New Roman" w:cs="Times New Roman"/>
        </w:rPr>
        <w:t>.</w:t>
      </w:r>
    </w:p>
    <w:p w14:paraId="0388028A"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Pogré</w:t>
      </w:r>
      <w:proofErr w:type="spellEnd"/>
      <w:r w:rsidRPr="0048127F">
        <w:rPr>
          <w:rFonts w:ascii="Times New Roman" w:hAnsi="Times New Roman" w:cs="Times New Roman"/>
        </w:rPr>
        <w:t>, P., De Gatica, A., García, A. L., &amp; Krichesky, G. (2018). Los inicios de la vida universitaria: políticas, prácticas y estrategias. Teseo.</w:t>
      </w:r>
    </w:p>
    <w:p w14:paraId="13D62AC9"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Rigi Luperti, M. A. (2024). Reflexiones desde la perspectiva de género. El día internacional de la mujer -#</w:t>
      </w:r>
      <w:proofErr w:type="spellStart"/>
      <w:r w:rsidRPr="0048127F">
        <w:rPr>
          <w:rFonts w:ascii="Times New Roman" w:hAnsi="Times New Roman" w:cs="Times New Roman"/>
        </w:rPr>
        <w:t>8m</w:t>
      </w:r>
      <w:proofErr w:type="spellEnd"/>
      <w:r w:rsidRPr="0048127F">
        <w:rPr>
          <w:rFonts w:ascii="Times New Roman" w:hAnsi="Times New Roman" w:cs="Times New Roman"/>
        </w:rPr>
        <w:t>- en los medios online de Caleta Olivia. En Cultura, identidades y ciudadanía: una visión comparada. https://www.editorafi.org/ebook/a090-cultura-identidades-cidadania</w:t>
      </w:r>
    </w:p>
    <w:p w14:paraId="1A341728"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Rodríguez Enríquez, C. M. (2015). Economía feminista y economía del cuidado: Aportes conceptuales para el estudio de la desigualdad. Nueva Sociedad, (256), 30-44.</w:t>
      </w:r>
    </w:p>
    <w:p w14:paraId="5B692937"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lastRenderedPageBreak/>
        <w:t>Simmel, G. (1986). “Las grandes ciudades y la vida del espíritu.” Cuadernos Políticos, (45), 5-10.</w:t>
      </w:r>
    </w:p>
    <w:p w14:paraId="6C5F16B4"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Simmel, G. (2013). Filosofía del dinero. Capitán Swing.</w:t>
      </w:r>
    </w:p>
    <w:p w14:paraId="16F6F952"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Sotelo, L. (2024). Los inicios a la vida universitaria. Un campo de estudio en construcción. </w:t>
      </w:r>
      <w:proofErr w:type="spellStart"/>
      <w:r w:rsidRPr="0048127F">
        <w:rPr>
          <w:rFonts w:ascii="Times New Roman" w:hAnsi="Times New Roman" w:cs="Times New Roman"/>
        </w:rPr>
        <w:t>Journal</w:t>
      </w:r>
      <w:proofErr w:type="spellEnd"/>
      <w:r w:rsidRPr="0048127F">
        <w:rPr>
          <w:rFonts w:ascii="Times New Roman" w:hAnsi="Times New Roman" w:cs="Times New Roman"/>
        </w:rPr>
        <w:t xml:space="preserve"> </w:t>
      </w:r>
      <w:proofErr w:type="spellStart"/>
      <w:r w:rsidRPr="0048127F">
        <w:rPr>
          <w:rFonts w:ascii="Times New Roman" w:hAnsi="Times New Roman" w:cs="Times New Roman"/>
        </w:rPr>
        <w:t>of</w:t>
      </w:r>
      <w:proofErr w:type="spellEnd"/>
      <w:r w:rsidRPr="0048127F">
        <w:rPr>
          <w:rFonts w:ascii="Times New Roman" w:hAnsi="Times New Roman" w:cs="Times New Roman"/>
        </w:rPr>
        <w:t xml:space="preserve"> </w:t>
      </w:r>
      <w:proofErr w:type="spellStart"/>
      <w:r w:rsidRPr="0048127F">
        <w:rPr>
          <w:rFonts w:ascii="Times New Roman" w:hAnsi="Times New Roman" w:cs="Times New Roman"/>
        </w:rPr>
        <w:t>the</w:t>
      </w:r>
      <w:proofErr w:type="spellEnd"/>
      <w:r w:rsidRPr="0048127F">
        <w:rPr>
          <w:rFonts w:ascii="Times New Roman" w:hAnsi="Times New Roman" w:cs="Times New Roman"/>
        </w:rPr>
        <w:t xml:space="preserve"> </w:t>
      </w:r>
      <w:proofErr w:type="spellStart"/>
      <w:r w:rsidRPr="0048127F">
        <w:rPr>
          <w:rFonts w:ascii="Times New Roman" w:hAnsi="Times New Roman" w:cs="Times New Roman"/>
        </w:rPr>
        <w:t>Academy</w:t>
      </w:r>
      <w:proofErr w:type="spellEnd"/>
      <w:r w:rsidRPr="0048127F">
        <w:rPr>
          <w:rFonts w:ascii="Times New Roman" w:hAnsi="Times New Roman" w:cs="Times New Roman"/>
        </w:rPr>
        <w:t>, 11, 5-32. https://doi.org/10.47058/joa11.2</w:t>
      </w:r>
    </w:p>
    <w:p w14:paraId="1BC77112"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Sotelo, L. (2025). Los Inicios a la Vida Universitaria en Argentina: hacia la construcción del campo de estudios. Espacios en Blanco, 2(35). https://doi.org/10.37177/UNICEN/EB35-442</w:t>
      </w:r>
    </w:p>
    <w:p w14:paraId="4D496E72"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Tinto, V. (2017). Completando la universidad: repensando la acción institucional. Universidad de Palermo.</w:t>
      </w:r>
    </w:p>
    <w:p w14:paraId="151EDA04"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Urus, M. (2023). Acá hablan distinto. Literacidades y tutorías en la educación superior. Ediciones El Hacedor.</w:t>
      </w:r>
    </w:p>
    <w:p w14:paraId="5B9E93AF"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Varela, N. (2020). Feminismo para principiantes. </w:t>
      </w:r>
      <w:proofErr w:type="spellStart"/>
      <w:r w:rsidRPr="0048127F">
        <w:rPr>
          <w:rFonts w:ascii="Times New Roman" w:hAnsi="Times New Roman" w:cs="Times New Roman"/>
        </w:rPr>
        <w:t>Penguin</w:t>
      </w:r>
      <w:proofErr w:type="spellEnd"/>
      <w:r w:rsidRPr="0048127F">
        <w:rPr>
          <w:rFonts w:ascii="Times New Roman" w:hAnsi="Times New Roman" w:cs="Times New Roman"/>
        </w:rPr>
        <w:t xml:space="preserve"> Random House.</w:t>
      </w:r>
    </w:p>
    <w:p w14:paraId="6D947E4F"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Vega Rojas, M. R., Gutiérrez Navarrete, C. F., Orellana Roco, C. B., Yáñez Villouta, C. M., &amp; Mindiola Bracho, D. d. V. (2025). Sesgo de Género en la Educación Superior: Una Deuda Persistente y Desafíos para la Equidad. Ciencia Latina Revista Científica Multidisciplinar, 9(3), 6009-6033. https://doi.org/10.37811/cl_rcm.v9i3.18238</w:t>
      </w:r>
    </w:p>
    <w:p w14:paraId="74BE7F74" w14:textId="77777777" w:rsidR="0048127F" w:rsidRPr="0048127F" w:rsidRDefault="0048127F" w:rsidP="0048127F">
      <w:pPr>
        <w:spacing w:after="0" w:line="240" w:lineRule="auto"/>
        <w:ind w:firstLine="284"/>
        <w:jc w:val="both"/>
        <w:rPr>
          <w:rFonts w:ascii="Times New Roman" w:hAnsi="Times New Roman" w:cs="Times New Roman"/>
        </w:rPr>
      </w:pPr>
      <w:r w:rsidRPr="0048127F">
        <w:rPr>
          <w:rFonts w:ascii="Times New Roman" w:hAnsi="Times New Roman" w:cs="Times New Roman"/>
        </w:rPr>
        <w:t xml:space="preserve">Vercellino, S. (2023). Los inicios de los estudios universitarios: notas sobre algunos (des)encuentros en la relación con el saber. En Transiciones (pp. 105-115). Editorial </w:t>
      </w:r>
      <w:proofErr w:type="spellStart"/>
      <w:r w:rsidRPr="0048127F">
        <w:rPr>
          <w:rFonts w:ascii="Times New Roman" w:hAnsi="Times New Roman" w:cs="Times New Roman"/>
        </w:rPr>
        <w:t>UNRN</w:t>
      </w:r>
      <w:proofErr w:type="spellEnd"/>
      <w:r w:rsidRPr="0048127F">
        <w:rPr>
          <w:rFonts w:ascii="Times New Roman" w:hAnsi="Times New Roman" w:cs="Times New Roman"/>
        </w:rPr>
        <w:t>.</w:t>
      </w:r>
    </w:p>
    <w:p w14:paraId="4B2C6E90" w14:textId="77777777" w:rsidR="0048127F" w:rsidRPr="0048127F" w:rsidRDefault="0048127F" w:rsidP="0048127F">
      <w:pPr>
        <w:spacing w:after="0" w:line="240" w:lineRule="auto"/>
        <w:ind w:firstLine="284"/>
        <w:jc w:val="both"/>
        <w:rPr>
          <w:rFonts w:ascii="Times New Roman" w:hAnsi="Times New Roman" w:cs="Times New Roman"/>
        </w:rPr>
      </w:pPr>
      <w:proofErr w:type="spellStart"/>
      <w:r w:rsidRPr="0048127F">
        <w:rPr>
          <w:rFonts w:ascii="Times New Roman" w:hAnsi="Times New Roman" w:cs="Times New Roman"/>
        </w:rPr>
        <w:t>Zelizer</w:t>
      </w:r>
      <w:proofErr w:type="spellEnd"/>
      <w:r w:rsidRPr="0048127F">
        <w:rPr>
          <w:rFonts w:ascii="Times New Roman" w:hAnsi="Times New Roman" w:cs="Times New Roman"/>
        </w:rPr>
        <w:t>, V. (2011). El significado social del dinero. Fondo de Cultura Económica.</w:t>
      </w:r>
    </w:p>
    <w:p w14:paraId="029A7A09" w14:textId="77777777" w:rsidR="0048127F" w:rsidRPr="0048127F" w:rsidRDefault="0048127F" w:rsidP="0048127F">
      <w:pPr>
        <w:spacing w:line="240" w:lineRule="auto"/>
        <w:rPr>
          <w:rFonts w:ascii="Times New Roman" w:hAnsi="Times New Roman" w:cs="Times New Roman"/>
        </w:rPr>
      </w:pPr>
    </w:p>
    <w:p w14:paraId="7E83515B" w14:textId="1F89575F" w:rsidR="001923DC" w:rsidRPr="0048127F" w:rsidRDefault="001923DC" w:rsidP="0048127F">
      <w:pPr>
        <w:spacing w:line="240" w:lineRule="auto"/>
        <w:rPr>
          <w:rFonts w:ascii="Times New Roman" w:hAnsi="Times New Roman" w:cs="Times New Roman"/>
        </w:rPr>
      </w:pPr>
    </w:p>
    <w:sectPr w:rsidR="001923DC" w:rsidRPr="0048127F"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FB99D" w14:textId="77777777" w:rsidR="008D1713" w:rsidRPr="004F06BF" w:rsidRDefault="008D1713" w:rsidP="00C802F5">
      <w:pPr>
        <w:spacing w:after="0" w:line="240" w:lineRule="auto"/>
      </w:pPr>
      <w:r w:rsidRPr="004F06BF">
        <w:separator/>
      </w:r>
    </w:p>
  </w:endnote>
  <w:endnote w:type="continuationSeparator" w:id="0">
    <w:p w14:paraId="659EE77B" w14:textId="77777777" w:rsidR="008D1713" w:rsidRPr="004F06BF" w:rsidRDefault="008D1713" w:rsidP="00C802F5">
      <w:pPr>
        <w:spacing w:after="0" w:line="240" w:lineRule="auto"/>
      </w:pPr>
      <w:r w:rsidRPr="004F0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4F06BF" w:rsidRDefault="00BA642E">
    <w:pPr>
      <w:pStyle w:val="Piedepgina"/>
    </w:pPr>
    <w:r w:rsidRPr="004F06BF">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4F06BF"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3EB84" w14:textId="77777777" w:rsidR="008D1713" w:rsidRPr="004F06BF" w:rsidRDefault="008D1713" w:rsidP="00C802F5">
      <w:pPr>
        <w:spacing w:after="0" w:line="240" w:lineRule="auto"/>
      </w:pPr>
      <w:r w:rsidRPr="004F06BF">
        <w:separator/>
      </w:r>
    </w:p>
  </w:footnote>
  <w:footnote w:type="continuationSeparator" w:id="0">
    <w:p w14:paraId="4CDE11E8" w14:textId="77777777" w:rsidR="008D1713" w:rsidRPr="004F06BF" w:rsidRDefault="008D1713" w:rsidP="00C802F5">
      <w:pPr>
        <w:spacing w:after="0" w:line="240" w:lineRule="auto"/>
      </w:pPr>
      <w:r w:rsidRPr="004F0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4F06BF" w:rsidRDefault="00C802F5" w:rsidP="00C802F5">
    <w:pPr>
      <w:pStyle w:val="Encabezado"/>
      <w:jc w:val="center"/>
    </w:pPr>
    <w:r w:rsidRPr="004F06BF">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F4FBB"/>
    <w:multiLevelType w:val="multilevel"/>
    <w:tmpl w:val="EF56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54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6651"/>
    <w:rsid w:val="001816D6"/>
    <w:rsid w:val="00185F5E"/>
    <w:rsid w:val="001923DC"/>
    <w:rsid w:val="002327C3"/>
    <w:rsid w:val="00312392"/>
    <w:rsid w:val="003A6525"/>
    <w:rsid w:val="004040C0"/>
    <w:rsid w:val="00437E9C"/>
    <w:rsid w:val="0048127F"/>
    <w:rsid w:val="004F06BF"/>
    <w:rsid w:val="00550766"/>
    <w:rsid w:val="005E5573"/>
    <w:rsid w:val="005E7B0D"/>
    <w:rsid w:val="005F3B2E"/>
    <w:rsid w:val="00701F64"/>
    <w:rsid w:val="00717696"/>
    <w:rsid w:val="007B5B5F"/>
    <w:rsid w:val="007D233B"/>
    <w:rsid w:val="0085070B"/>
    <w:rsid w:val="008D1713"/>
    <w:rsid w:val="0094642F"/>
    <w:rsid w:val="00A17247"/>
    <w:rsid w:val="00A7651C"/>
    <w:rsid w:val="00AF625D"/>
    <w:rsid w:val="00BA642E"/>
    <w:rsid w:val="00BC236F"/>
    <w:rsid w:val="00BE6D01"/>
    <w:rsid w:val="00BF3759"/>
    <w:rsid w:val="00C802F5"/>
    <w:rsid w:val="00C96B2C"/>
    <w:rsid w:val="00C97989"/>
    <w:rsid w:val="00CB4C78"/>
    <w:rsid w:val="00CC04C1"/>
    <w:rsid w:val="00CE5851"/>
    <w:rsid w:val="00D3467C"/>
    <w:rsid w:val="00D843EC"/>
    <w:rsid w:val="00FD1D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52D8C-85B8-4057-9141-5F600BDB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6060</Words>
  <Characters>33336</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Aylem Rigi Luperti</cp:lastModifiedBy>
  <cp:revision>15</cp:revision>
  <dcterms:created xsi:type="dcterms:W3CDTF">2026-06-13T22:18:00Z</dcterms:created>
  <dcterms:modified xsi:type="dcterms:W3CDTF">2026-06-23T21:00:00Z</dcterms:modified>
</cp:coreProperties>
</file>