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2">
      <w:pPr>
        <w:pStyle w:val="Title"/>
        <w:spacing w:line="240" w:lineRule="auto"/>
        <w:rPr/>
      </w:pPr>
      <w:bookmarkStart w:colFirst="0" w:colLast="0" w:name="_i4ru66y6vr7w" w:id="0"/>
      <w:bookmarkEnd w:id="0"/>
      <w:r w:rsidDel="00000000" w:rsidR="00000000" w:rsidRPr="00000000">
        <w:rPr>
          <w:rtl w:val="0"/>
        </w:rPr>
        <w:t xml:space="preserve">Trayectorias en riesgo</w:t>
        <w:br w:type="textWrapping"/>
        <w:t xml:space="preserve">Intervención en los inicios de la vida universitaria en Udelar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Valentina Buschiazzo</w:t>
      </w:r>
    </w:p>
    <w:p w:rsidR="00000000" w:rsidDel="00000000" w:rsidP="00000000" w:rsidRDefault="00000000" w:rsidRPr="00000000" w14:paraId="00000005">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Unidad de Asesoramiento y Evaluación, Facultad de Ciencias Sociales</w:t>
      </w:r>
    </w:p>
    <w:p w:rsidR="00000000" w:rsidDel="00000000" w:rsidP="00000000" w:rsidRDefault="00000000" w:rsidRPr="00000000" w14:paraId="00000006">
      <w:pPr>
        <w:jc w:val="right"/>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1155cc"/>
            <w:u w:val="single"/>
            <w:rtl w:val="0"/>
          </w:rPr>
          <w:t xml:space="preserve">valentina.buschiazzo@cienciassociales.edu.uy</w:t>
        </w:r>
      </w:hyperlink>
      <w:r w:rsidDel="00000000" w:rsidR="00000000" w:rsidRPr="00000000">
        <w:rPr>
          <w:rtl w:val="0"/>
        </w:rPr>
      </w:r>
    </w:p>
    <w:p w:rsidR="00000000" w:rsidDel="00000000" w:rsidP="00000000" w:rsidRDefault="00000000" w:rsidRPr="00000000" w14:paraId="00000007">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Sabrina Lopez Pazos</w:t>
      </w:r>
    </w:p>
    <w:p w:rsidR="00000000" w:rsidDel="00000000" w:rsidP="00000000" w:rsidRDefault="00000000" w:rsidRPr="00000000" w14:paraId="00000009">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Unidad de Asesoramiento y Evaluación, Facultad de Ciencias Sociales</w:t>
      </w:r>
    </w:p>
    <w:p w:rsidR="00000000" w:rsidDel="00000000" w:rsidP="00000000" w:rsidRDefault="00000000" w:rsidRPr="00000000" w14:paraId="0000000A">
      <w:pPr>
        <w:jc w:val="right"/>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1155cc"/>
            <w:u w:val="single"/>
            <w:rtl w:val="0"/>
          </w:rPr>
          <w:t xml:space="preserve">sabrina.lopez@cienciassociales.edu.uy</w:t>
        </w:r>
      </w:hyperlink>
      <w:r w:rsidDel="00000000" w:rsidR="00000000" w:rsidRPr="00000000">
        <w:rPr>
          <w:rtl w:val="0"/>
        </w:rPr>
      </w:r>
    </w:p>
    <w:p w:rsidR="00000000" w:rsidDel="00000000" w:rsidP="00000000" w:rsidRDefault="00000000" w:rsidRPr="00000000" w14:paraId="0000000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Florencia Sciaraffia</w:t>
      </w:r>
    </w:p>
    <w:p w:rsidR="00000000" w:rsidDel="00000000" w:rsidP="00000000" w:rsidRDefault="00000000" w:rsidRPr="00000000" w14:paraId="0000000D">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Unidad de Asesoramiento y Evaluación, Facultad de Ciencias Sociales</w:t>
        <w:br w:type="textWrapping"/>
      </w:r>
      <w:hyperlink r:id="rId9">
        <w:r w:rsidDel="00000000" w:rsidR="00000000" w:rsidRPr="00000000">
          <w:rPr>
            <w:rFonts w:ascii="Times New Roman" w:cs="Times New Roman" w:eastAsia="Times New Roman" w:hAnsi="Times New Roman"/>
            <w:color w:val="1155cc"/>
            <w:u w:val="single"/>
            <w:rtl w:val="0"/>
          </w:rPr>
          <w:t xml:space="preserve">sciaraffiaflorencia@gmail.com</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Subtitle"/>
        <w:spacing w:after="200" w:line="240" w:lineRule="auto"/>
        <w:jc w:val="both"/>
        <w:rPr>
          <w:rFonts w:ascii="Times New Roman" w:cs="Times New Roman" w:eastAsia="Times New Roman" w:hAnsi="Times New Roman"/>
          <w:b w:val="1"/>
          <w:bCs w:val="1"/>
          <w:sz w:val="20"/>
          <w:szCs w:val="20"/>
        </w:rPr>
      </w:pPr>
      <w:bookmarkStart w:colFirst="0" w:colLast="0" w:name="_5iimwqhju6ja" w:id="1"/>
      <w:bookmarkEnd w:id="1"/>
      <w:r w:rsidDel="00000000" w:rsidR="00000000" w:rsidRPr="00000000">
        <w:rPr>
          <w:color w:val="073763"/>
          <w:rtl w:val="0"/>
        </w:rPr>
        <w:t xml:space="preserve">Resumen</w:t>
      </w:r>
      <w:r w:rsidDel="00000000" w:rsidR="00000000" w:rsidRPr="00000000">
        <w:rPr>
          <w:rtl w:val="0"/>
        </w:rPr>
      </w:r>
    </w:p>
    <w:p w:rsidR="00000000" w:rsidDel="00000000" w:rsidP="00000000" w:rsidRDefault="00000000" w:rsidRPr="00000000" w14:paraId="00000010">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trabajo se enmarca en el proyecto “Nuevas estrategias para la retención de estudiantes en etapas iniciales de Facultad de Ciencias Sociales (FCS): combinando cambios de diseño curricular con intervenciones personalizadas”, desarrollado en la  Universidad de la República (Udelar) y financiado por la Comisión Sectorial de Enseñanza y Educación Permanente. </w:t>
      </w:r>
    </w:p>
    <w:p w:rsidR="00000000" w:rsidDel="00000000" w:rsidP="00000000" w:rsidRDefault="00000000" w:rsidRPr="00000000" w14:paraId="00000011">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objetivo del proyecto fue contribuir al desarrollo de un dispositivo institucional a partir de dos elementos centrales: por una parte, la identificación temprana de trayectorias estudiantiles en riesgo de desafiliación y, por otra parte, el diseño e implementación de procesos de intervención que favorezcan su continuidad. La implementación se centró en los primeros dos semestres de cursado, bajo el entendido de que esta etapa constituye un tramo crítico de la trayectoria estudiantil: allí se concentran dificultades de permanencia, se juegan procesos de afiliación a la vida universitaria y se vuelve especialmente relevante la intervención institucional para promover la continuidad educativa. El presente trabajo aborda específicamente el segundo componente, apuntando a sistematizar la práctica de intervención realizada, analizar su diseño, implementación y principales resultados. </w:t>
      </w:r>
    </w:p>
    <w:p w:rsidR="00000000" w:rsidDel="00000000" w:rsidP="00000000" w:rsidRDefault="00000000" w:rsidRPr="00000000" w14:paraId="00000012">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términos metodológicos, el proyecto realizado buscó articular el análisis de información administrativa y académica con el despliegue de acciones institucionales de intervención en función de las situaciones relevadas. La intervención se organizó como un dispositivo de acompañamiento en cercanía orientado a identificar obstáculos, atender situaciones particulares, abrir espacios de escucha, orientar trayectoria y articular con recursos institucionales disponibles. En este marco, el presente trabajo busca dar cuenta de las acciones desarrolladas, sintetizando los mecanismos desplegados y principales hallazgos.</w:t>
      </w:r>
    </w:p>
    <w:p w:rsidR="00000000" w:rsidDel="00000000" w:rsidP="00000000" w:rsidRDefault="00000000" w:rsidRPr="00000000" w14:paraId="00000013">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resultados permiten identificar patrones recurrentes de riesgo en las trayectorias iniciales, así como valorar el alcance y las limitaciones de los dispositivos de intervención implementados. Específicamente, a partir de la intervención fue posible hallar tres principales grupos de motivos asociados al riesgo de desvinculación: aquellos de carácter económico, aquellos de carácter psicosocial, y aquellos de carácter académico o institucional; para cada uno de los casos, se requieren estrategias diversificadas. Este trabajo discute los aprendizajes institucionales derivados de la experiencia y su potencial contribución al diseño de políticas universitarias orientadas a la retención estudiantil. Asimismo, a partir de los hallazgos obtenidos, se proponen líneas de investigación y de intervención orientadas a fortalecer los dispositivos de acompañamiento en los primeros tramos de la formación universitaria. De este modo, se busca aportar tanto a la discusión académica sobre trayectorias educativas en la educación superior como al debate institucional de una política universitaria más integral, con el objetivo de mejorar la permanencia estudiantil.</w:t>
      </w:r>
    </w:p>
    <w:p w:rsidR="00000000" w:rsidDel="00000000" w:rsidP="00000000" w:rsidRDefault="00000000" w:rsidRPr="00000000" w14:paraId="0000001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Palabras Clave: trayectorias estudiantiles, desafiliación educativa, intervención estudiantil</w:t>
      </w:r>
      <w:r w:rsidDel="00000000" w:rsidR="00000000" w:rsidRPr="00000000">
        <w:rPr>
          <w:rtl w:val="0"/>
        </w:rPr>
      </w:r>
    </w:p>
    <w:p w:rsidR="00000000" w:rsidDel="00000000" w:rsidP="00000000" w:rsidRDefault="00000000" w:rsidRPr="00000000" w14:paraId="00000015">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6">
      <w:pPr>
        <w:pStyle w:val="Subtitle"/>
        <w:spacing w:after="200" w:line="240" w:lineRule="auto"/>
        <w:jc w:val="both"/>
        <w:rPr>
          <w:rFonts w:ascii="Times New Roman" w:cs="Times New Roman" w:eastAsia="Times New Roman" w:hAnsi="Times New Roman"/>
          <w:sz w:val="24"/>
          <w:szCs w:val="24"/>
        </w:rPr>
      </w:pPr>
      <w:bookmarkStart w:colFirst="0" w:colLast="0" w:name="_rbswief1rog1" w:id="2"/>
      <w:bookmarkEnd w:id="2"/>
      <w:r w:rsidDel="00000000" w:rsidR="00000000" w:rsidRPr="00000000">
        <w:rPr>
          <w:color w:val="073763"/>
          <w:rtl w:val="0"/>
        </w:rPr>
        <w:t xml:space="preserve">Introducción</w:t>
      </w:r>
      <w:r w:rsidDel="00000000" w:rsidR="00000000" w:rsidRPr="00000000">
        <w:rPr>
          <w:rtl w:val="0"/>
        </w:rPr>
      </w:r>
    </w:p>
    <w:p w:rsidR="00000000" w:rsidDel="00000000" w:rsidP="00000000" w:rsidRDefault="00000000" w:rsidRPr="00000000" w14:paraId="00000017">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Universidad de la República (en adelante Udelar) enfrenta un proceso de post masificación (Del Valle, Suasnábar y Montero, 2016), que trae consigo nuevos desafíos para la inclusión y la democratización de la universidad, que había comenzado ya desde fines de la década de 1990.  Uno de los más relevantes es el que se denomina inclusión-excluyente (Ezcurra, 2011). Según la autora, la universidad abre las puertas a una heterogeneidad de estudiantes, pero no logra mantenerlos, generando así procesos de exclusión. En otras palabras, los/as estudiantes ingresan, pero se desvinculan rápidamente, ejerciendo una dinámica de “puerta giratoria”. </w:t>
      </w:r>
    </w:p>
    <w:p w:rsidR="00000000" w:rsidDel="00000000" w:rsidP="00000000" w:rsidRDefault="00000000" w:rsidRPr="00000000" w14:paraId="00000018">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genera una clara paradoja: el acceso es masivo, pero la desvinculación es estructural. Este fenómeno de las universidades latinoamericanas del siglo XXI, constituye un problema también en la Udelar, en donde se observan altas tasas de desvinculación al cabo del primer semestre. Particularmente en la Facultad de Ciencias Sociales (FCS) de la Udelar, un cuarto de los estudiantes abandona tras el primer año y el 50% se desvincula al cabo de cinco años (</w:t>
      </w:r>
      <w:r w:rsidDel="00000000" w:rsidR="00000000" w:rsidRPr="00000000">
        <w:rPr>
          <w:rtl w:val="0"/>
        </w:rPr>
        <w:t xml:space="preserve">Gracía Rey</w:t>
      </w:r>
      <w:r w:rsidDel="00000000" w:rsidR="00000000" w:rsidRPr="00000000">
        <w:rPr>
          <w:rFonts w:ascii="Times New Roman" w:cs="Times New Roman" w:eastAsia="Times New Roman" w:hAnsi="Times New Roman"/>
          <w:sz w:val="24"/>
          <w:szCs w:val="24"/>
          <w:rtl w:val="0"/>
        </w:rPr>
        <w:t xml:space="preserve">, 2025). </w:t>
      </w:r>
    </w:p>
    <w:p w:rsidR="00000000" w:rsidDel="00000000" w:rsidP="00000000" w:rsidRDefault="00000000" w:rsidRPr="00000000" w14:paraId="00000019">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FCS se ofrecen cuatro licenciaturas: Ciencia Política, Desarrollo, Trabajo Social y Sociología. Todas ellas tienen una duración prevista de cuatro años, y se estructuran en dos grandes ciclos. El primero, el Ciclo Inicial, constituye los primeros cuatro semestres de cursado y cuenta con asignaturas obligatorias y optativas. Este ciclo es común a todas las carreras, es decir que todos los estudiantes que ingresan a FCS deben iniciar por éste para transitar hacia el siguiente, que se llama Ciclo Avanzado. Este Ciclo Avanzado es la segunda estructura de la licenciatura, y corresponde a la carrera específica que el estudiante deseé cursar —por lo tanto, existen cuatro ciclos avanzados—. Para transitar del primer ciclo hacia el avanzado, las/os estudiantes deben obtener 48 créditos distribuidos en módulos introductorios, metodológicos y optativos en el </w:t>
      </w:r>
      <w:r w:rsidDel="00000000" w:rsidR="00000000" w:rsidRPr="00000000">
        <w:rPr>
          <w:rtl w:val="0"/>
        </w:rPr>
        <w:t xml:space="preserve">C</w:t>
      </w:r>
      <w:r w:rsidDel="00000000" w:rsidR="00000000" w:rsidRPr="00000000">
        <w:rPr>
          <w:rFonts w:ascii="Times New Roman" w:cs="Times New Roman" w:eastAsia="Times New Roman" w:hAnsi="Times New Roman"/>
          <w:sz w:val="24"/>
          <w:szCs w:val="24"/>
          <w:rtl w:val="0"/>
        </w:rPr>
        <w:t xml:space="preserve">iclo </w:t>
      </w:r>
      <w:r w:rsidDel="00000000" w:rsidR="00000000" w:rsidRPr="00000000">
        <w:rPr>
          <w:rtl w:val="0"/>
        </w:rPr>
        <w:t xml:space="preserve">I</w:t>
      </w:r>
      <w:r w:rsidDel="00000000" w:rsidR="00000000" w:rsidRPr="00000000">
        <w:rPr>
          <w:rFonts w:ascii="Times New Roman" w:cs="Times New Roman" w:eastAsia="Times New Roman" w:hAnsi="Times New Roman"/>
          <w:sz w:val="24"/>
          <w:szCs w:val="24"/>
          <w:rtl w:val="0"/>
        </w:rPr>
        <w:t xml:space="preserve">nicial. Este pasaje es otro elemento que complejiza la permanencia en FCS y es un hito clave, en la medida en que quienes no logran alcanzar los requisitos establecidos no pueden acceder al siguiente ciclo. </w:t>
      </w:r>
    </w:p>
    <w:p w:rsidR="00000000" w:rsidDel="00000000" w:rsidP="00000000" w:rsidRDefault="00000000" w:rsidRPr="00000000" w14:paraId="0000001A">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sentido, desde la instalación del plan de estudios vigente en 2009, la FCS calcula la tasa de superación del Ciclo Inicial, que representa </w:t>
      </w:r>
      <w:r w:rsidDel="00000000" w:rsidR="00000000" w:rsidRPr="00000000">
        <w:rPr>
          <w:rtl w:val="0"/>
        </w:rPr>
        <w:t xml:space="preserve">la</w:t>
      </w:r>
      <w:r w:rsidDel="00000000" w:rsidR="00000000" w:rsidRPr="00000000">
        <w:rPr>
          <w:rFonts w:ascii="Times New Roman" w:cs="Times New Roman" w:eastAsia="Times New Roman" w:hAnsi="Times New Roman"/>
          <w:sz w:val="24"/>
          <w:szCs w:val="24"/>
          <w:rtl w:val="0"/>
        </w:rPr>
        <w:t xml:space="preserve"> transición entre ambos ciclos. Los niveles de superación han sido desde entonces relativamente bajos, pese a los esfuerzos institucionales orientados a fortalecer la permanencia estudiantil. La tasa de superación ajustada, medida a partir de la inscripción al Ciclo Avanzado durante el año de ingreso o el siguiente, presenta diferencias según sexo y edad: en términos generales, las mujeres muestran mejores desempeños que los varones, mientras que las mayores tasas se registran entre estudiantes de 25 años y más. Esto último resulta especialmente relevante considerando que la edad mediana de ingreso en la FCS se ubica en 25 años (UAE, 2023).</w:t>
      </w:r>
    </w:p>
    <w:p w:rsidR="00000000" w:rsidDel="00000000" w:rsidP="00000000" w:rsidRDefault="00000000" w:rsidRPr="00000000" w14:paraId="0000001B">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cuanto a la evolución reciente, las cohortes 2019 y 2020 registraron los mejores resultados, con tasas de superación cercanas o superiores al 34%. No obstante, en 2021 se observa una caída que retorna a valores similares a los de 2018, alcanzando una tasa general de 29%, que se mantiene similar en 2023. Que menos de un tercio del estudiantado que ingresa a FCS logre inscribirse al Ciclo Avanzado en el tiempo estimado evidencia las dificultades persistentes en el tránsito entre ciclos, que favorecen a la desvinculación temprana.  </w:t>
      </w:r>
    </w:p>
    <w:p w:rsidR="00000000" w:rsidDel="00000000" w:rsidP="00000000" w:rsidRDefault="00000000" w:rsidRPr="00000000" w14:paraId="0000001C">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elementos anteriores evidencian la necesidad de impulsar programas institucionales orientados a fortalecer las trayectorias educativas y la permanencia estudiantil. Desde esta perspectiva, la trayectoria estudiantil es entendida como un recorrido real y situado (Greco y Nicastro, 2012), lo que permite focalizar las intervenciones en dos dimensiones centrales de los estudios sobre Educación Superior: el inicio de la vida universitaria y la educación inclusiva. Asimismo, distintos estudios señalan que la permanencia se ve favorecida en contextos académicos que promueven la motivación, el aprendizaje colaborativo y la participación en experiencias educativas diversas, mientras que una mayor presión académica individual puede afectar negativamente la persistencia estudiantil (Fernández y Cardozo, 2014).</w:t>
      </w:r>
    </w:p>
    <w:p w:rsidR="00000000" w:rsidDel="00000000" w:rsidP="00000000" w:rsidRDefault="00000000" w:rsidRPr="00000000" w14:paraId="0000001D">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contexto, la FCS se presentó en 2024 a un proyecto concursable financiado por la Comisión Sectorial de Enseñanza y Educación Permanente de la Udelar, que tenía como objetivo el desarrollo de una propuesta institucional que atendiera a las dificultades de ingreso, permanencia y egreso. La postulación implicó la elaboración de un proyecto viable, que recogiera la experiencia previa de varios grupos docentes de FCS y que pudiera sostenerse a futuro. El proyecto se denominó: “Nuevas estrategias para la retención de estudiantes en etapas iniciales de Facultad de Ciencias Sociales (FCS): combinando cambios de diseño curricular con intervenciones personalizadas”, y presentó dos líneas de trabajo. </w:t>
      </w:r>
    </w:p>
    <w:p w:rsidR="00000000" w:rsidDel="00000000" w:rsidP="00000000" w:rsidRDefault="00000000" w:rsidRPr="00000000" w14:paraId="0000001E">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primera fue el Sistema de alertas tempranas (SAT), que desarrolló un modelo predictivo para monitorear la asistencia de las y los estudiantes a los cursos obligatorios del segundo semestre del Ciclo Inicial y anticipar el abandono estudiantil. Al activarse las alertas, se pusieron en marcha medidas concretas como entrevistas personales, tutorías y derivaciones. </w:t>
      </w:r>
    </w:p>
    <w:p w:rsidR="00000000" w:rsidDel="00000000" w:rsidP="00000000" w:rsidRDefault="00000000" w:rsidRPr="00000000" w14:paraId="0000001F">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segunda línea se enfocó en coordinar y capacitar a los profesores de primer año para mejorar la organización de las materias. El objetivo fue conectar mejor los contenidos, detectar vacíos en la formación y facilitar la adaptación de los alumnos. Además de detectar trabas pedagógicas y de organización que perjudican la continuidad de los estudiantes. </w:t>
      </w:r>
    </w:p>
    <w:p w:rsidR="00000000" w:rsidDel="00000000" w:rsidP="00000000" w:rsidRDefault="00000000" w:rsidRPr="00000000" w14:paraId="00000020">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trabajo se centra en la primera línea, el SAT, y el acompañamiento a estudiantes luego de detectada la alerta, ya que es en este proyecto que el equipo autor de este artículo centró su trabajo, particularmente en la intervención posterior a la alerta. En este marco, se busca reconstruir </w:t>
      </w:r>
      <w:r w:rsidDel="00000000" w:rsidR="00000000" w:rsidRPr="00000000">
        <w:rPr>
          <w:rFonts w:ascii="Times New Roman" w:cs="Times New Roman" w:eastAsia="Times New Roman" w:hAnsi="Times New Roman"/>
          <w:sz w:val="24"/>
          <w:szCs w:val="24"/>
          <w:rtl w:val="0"/>
        </w:rPr>
        <w:t xml:space="preserve">y analizar</w:t>
      </w:r>
      <w:r w:rsidDel="00000000" w:rsidR="00000000" w:rsidRPr="00000000">
        <w:rPr>
          <w:rFonts w:ascii="Times New Roman" w:cs="Times New Roman" w:eastAsia="Times New Roman" w:hAnsi="Times New Roman"/>
          <w:sz w:val="24"/>
          <w:szCs w:val="24"/>
          <w:rtl w:val="0"/>
        </w:rPr>
        <w:t xml:space="preserve"> su desarrollo, atendiendo a las estrategias implementadas y principales resultados obtenidos. Asimismo, el trabajo procura generar insumos que aporten a la discusión y formulación de política universitaria orientada a fortalecer la permanencia estudiantil.</w:t>
      </w:r>
    </w:p>
    <w:p w:rsidR="00000000" w:rsidDel="00000000" w:rsidP="00000000" w:rsidRDefault="00000000" w:rsidRPr="00000000" w14:paraId="00000021">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Para cumplir con este objetivo, el presente trabajo desarrolla brevemente el marco teórico utilizado para abordar las situaciones, luego se presenta el proyecto de retención con sus dos partes: el dispositivo SAT y la intervención. Finalmente se presentan los hallazgos más relevantes, y algunos insumos para pensar futuras políticas que sean sostenibles en el tiempo.   </w:t>
      </w:r>
      <w:r w:rsidDel="00000000" w:rsidR="00000000" w:rsidRPr="00000000">
        <w:rPr>
          <w:rtl w:val="0"/>
        </w:rPr>
      </w:r>
    </w:p>
    <w:p w:rsidR="00000000" w:rsidDel="00000000" w:rsidP="00000000" w:rsidRDefault="00000000" w:rsidRPr="00000000" w14:paraId="00000022">
      <w:pPr>
        <w:pStyle w:val="Subtitle"/>
        <w:spacing w:after="200" w:line="240" w:lineRule="auto"/>
        <w:jc w:val="both"/>
        <w:rPr>
          <w:color w:val="073763"/>
        </w:rPr>
      </w:pPr>
      <w:bookmarkStart w:colFirst="0" w:colLast="0" w:name="_nhoylp1dx5op" w:id="3"/>
      <w:bookmarkEnd w:id="3"/>
      <w:r w:rsidDel="00000000" w:rsidR="00000000" w:rsidRPr="00000000">
        <w:rPr>
          <w:rtl w:val="0"/>
        </w:rPr>
      </w:r>
    </w:p>
    <w:p w:rsidR="00000000" w:rsidDel="00000000" w:rsidP="00000000" w:rsidRDefault="00000000" w:rsidRPr="00000000" w14:paraId="00000023">
      <w:pPr>
        <w:pStyle w:val="Subtitle"/>
        <w:spacing w:after="200" w:line="240" w:lineRule="auto"/>
        <w:jc w:val="both"/>
        <w:rPr/>
      </w:pPr>
      <w:bookmarkStart w:colFirst="0" w:colLast="0" w:name="_gl9xhvw79l1y" w:id="4"/>
      <w:bookmarkEnd w:id="4"/>
      <w:r w:rsidDel="00000000" w:rsidR="00000000" w:rsidRPr="00000000">
        <w:rPr>
          <w:color w:val="073763"/>
          <w:rtl w:val="0"/>
        </w:rPr>
        <w:t xml:space="preserve">Marco teórico</w:t>
      </w:r>
      <w:r w:rsidDel="00000000" w:rsidR="00000000" w:rsidRPr="00000000">
        <w:rPr>
          <w:rtl w:val="0"/>
        </w:rPr>
      </w:r>
    </w:p>
    <w:p w:rsidR="00000000" w:rsidDel="00000000" w:rsidP="00000000" w:rsidRDefault="00000000" w:rsidRPr="00000000" w14:paraId="00000024">
      <w:pPr>
        <w:spacing w:after="20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 Uruguay, la Udelar emprendió una serie de transformaciones a comienzos de la década de los 2000, en el marco de un proceso de aumento de la matrícula y democratización del acceso a la Educación Superior como fenómeno internacional y latinoamericano: se incorporaron sectores sociales antes excluidos, personas con heterogeneidad de perfiles, diversidad de experiencias y contextos socioculturales. </w:t>
      </w:r>
      <w:r w:rsidDel="00000000" w:rsidR="00000000" w:rsidRPr="00000000">
        <w:rPr>
          <w:rFonts w:ascii="Times New Roman" w:cs="Times New Roman" w:eastAsia="Times New Roman" w:hAnsi="Times New Roman"/>
          <w:sz w:val="24"/>
          <w:szCs w:val="24"/>
          <w:highlight w:val="white"/>
          <w:rtl w:val="0"/>
        </w:rPr>
        <w:t xml:space="preserve">Sin embargo, aunque mayor cantidad y diversidad de personas logran ingresar a la Universidad, hay dificultades significativas vinculadas a la permanencia y el egreso, donde se identifican procesos de inclusión-excluyente (Ezcurra, 2011) por parte de la institución.</w:t>
      </w:r>
      <w:r w:rsidDel="00000000" w:rsidR="00000000" w:rsidRPr="00000000">
        <w:rPr>
          <w:rtl w:val="0"/>
        </w:rPr>
      </w:r>
    </w:p>
    <w:p w:rsidR="00000000" w:rsidDel="00000000" w:rsidP="00000000" w:rsidRDefault="00000000" w:rsidRPr="00000000" w14:paraId="00000025">
      <w:pPr>
        <w:spacing w:after="20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Frente a este contexto, se vuelve necesario generar políticas orientadas a “hacer efectiva la democratización en el acceso a la universidad mediante acciones que permitan atenuar las crisis de los inicios, favorecer el sostenimiento de los alumnos en la carrera y promover la terminalidad de los estudios” (Larramendy </w:t>
      </w:r>
      <w:r w:rsidDel="00000000" w:rsidR="00000000" w:rsidRPr="00000000">
        <w:rPr>
          <w:rFonts w:ascii="Times New Roman" w:cs="Times New Roman" w:eastAsia="Times New Roman" w:hAnsi="Times New Roman"/>
          <w:i w:val="1"/>
          <w:iCs w:val="1"/>
          <w:sz w:val="24"/>
          <w:szCs w:val="24"/>
          <w:highlight w:val="white"/>
          <w:rtl w:val="0"/>
        </w:rPr>
        <w:t xml:space="preserve">et al.</w:t>
      </w:r>
      <w:r w:rsidDel="00000000" w:rsidR="00000000" w:rsidRPr="00000000">
        <w:rPr>
          <w:rFonts w:ascii="Times New Roman" w:cs="Times New Roman" w:eastAsia="Times New Roman" w:hAnsi="Times New Roman"/>
          <w:sz w:val="24"/>
          <w:szCs w:val="24"/>
          <w:highlight w:val="white"/>
          <w:rtl w:val="0"/>
        </w:rPr>
        <w:t xml:space="preserve">, 2012, pp. 247-248, citado en Lucarelli y Finkelstein, 2015). Resulta fundamental desarrollar políticas de permanencia que atiendan los procesos de desvinculación —especialmente durante el ingreso a la universidad—, así como las condiciones que favorecen la continuidad y el egreso. Este trabajo se centra específicamente en la permanencia estudiantil y en los factores que pueden potenciar la desvinculación durante el primer año de la carrera.</w:t>
      </w:r>
    </w:p>
    <w:p w:rsidR="00000000" w:rsidDel="00000000" w:rsidP="00000000" w:rsidRDefault="00000000" w:rsidRPr="00000000" w14:paraId="00000026">
      <w:pPr>
        <w:spacing w:after="20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 este sentido, el aporte de Berger y Lyon (2012) es central, ya que permite distinguir dos dimensiones complementarias de la permanencia y, a partir de ellas, identificar responsabilidades diferenciadas en las estrategias de intervención. Los autores distinguen entre persistencia y retención. La persistencia refiere a las acciones y esfuerzos que realiza el propio estudiantado para sostener su trayectoria en la institución y alcanzar sus metas académicas. La retención, en cambio, alude a las acciones, programas y políticas que despliegan las instituciones para favorecer la continuidad de los estudiantes en el sistema educativo desde el ingreso a la carrera hasta la graduación. En esta línea, Chiarino </w:t>
      </w:r>
      <w:r w:rsidDel="00000000" w:rsidR="00000000" w:rsidRPr="00000000">
        <w:rPr>
          <w:rFonts w:ascii="Times New Roman" w:cs="Times New Roman" w:eastAsia="Times New Roman" w:hAnsi="Times New Roman"/>
          <w:i w:val="1"/>
          <w:iCs w:val="1"/>
          <w:sz w:val="24"/>
          <w:szCs w:val="24"/>
          <w:highlight w:val="white"/>
          <w:rtl w:val="0"/>
        </w:rPr>
        <w:t xml:space="preserve">et al</w:t>
      </w:r>
      <w:r w:rsidDel="00000000" w:rsidR="00000000" w:rsidRPr="00000000">
        <w:rPr>
          <w:rFonts w:ascii="Times New Roman" w:cs="Times New Roman" w:eastAsia="Times New Roman" w:hAnsi="Times New Roman"/>
          <w:sz w:val="24"/>
          <w:szCs w:val="24"/>
          <w:highlight w:val="white"/>
          <w:rtl w:val="0"/>
        </w:rPr>
        <w:t xml:space="preserve">. (2024) recuperan el aporte de Swail </w:t>
      </w:r>
      <w:r w:rsidDel="00000000" w:rsidR="00000000" w:rsidRPr="00000000">
        <w:rPr>
          <w:rFonts w:ascii="Times New Roman" w:cs="Times New Roman" w:eastAsia="Times New Roman" w:hAnsi="Times New Roman"/>
          <w:i w:val="1"/>
          <w:iCs w:val="1"/>
          <w:sz w:val="24"/>
          <w:szCs w:val="24"/>
          <w:highlight w:val="white"/>
          <w:rtl w:val="0"/>
        </w:rPr>
        <w:t xml:space="preserve">et al</w:t>
      </w:r>
      <w:r w:rsidDel="00000000" w:rsidR="00000000" w:rsidRPr="00000000">
        <w:rPr>
          <w:rFonts w:ascii="Times New Roman" w:cs="Times New Roman" w:eastAsia="Times New Roman" w:hAnsi="Times New Roman"/>
          <w:sz w:val="24"/>
          <w:szCs w:val="24"/>
          <w:highlight w:val="white"/>
          <w:rtl w:val="0"/>
        </w:rPr>
        <w:t xml:space="preserve">. (2003), quienes amplían la noción de retención al incluir programas de apoyo financiero y académico, así como actividades de acompañamiento académico.</w:t>
      </w:r>
    </w:p>
    <w:p w:rsidR="00000000" w:rsidDel="00000000" w:rsidP="00000000" w:rsidRDefault="00000000" w:rsidRPr="00000000" w14:paraId="00000027">
      <w:pPr>
        <w:spacing w:after="20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Esta distinción entre las dimensiones vinculadas a las trayectorias estudiantiles y aquellas que remiten a las condiciones institucionales también está presente en las investigaciones sobre el inicio de la vida universitaria. Este campo de estudio ha crecido de forma sostenida en las investigaciones sobre Educación Superior de las últimas décadas (Sotelo, 2024; Pogré </w:t>
      </w:r>
      <w:r w:rsidDel="00000000" w:rsidR="00000000" w:rsidRPr="00000000">
        <w:rPr>
          <w:rFonts w:ascii="Times New Roman" w:cs="Times New Roman" w:eastAsia="Times New Roman" w:hAnsi="Times New Roman"/>
          <w:i w:val="1"/>
          <w:iCs w:val="1"/>
          <w:sz w:val="24"/>
          <w:szCs w:val="24"/>
          <w:highlight w:val="white"/>
          <w:rtl w:val="0"/>
        </w:rPr>
        <w:t xml:space="preserve">et al.</w:t>
      </w:r>
      <w:r w:rsidDel="00000000" w:rsidR="00000000" w:rsidRPr="00000000">
        <w:rPr>
          <w:rFonts w:ascii="Times New Roman" w:cs="Times New Roman" w:eastAsia="Times New Roman" w:hAnsi="Times New Roman"/>
          <w:sz w:val="24"/>
          <w:szCs w:val="24"/>
          <w:highlight w:val="white"/>
          <w:rtl w:val="0"/>
        </w:rPr>
        <w:t xml:space="preserve">, 2018, Pierella, 2014). Los primeros trabajos en esta área se sitúan a fines de la década de 1970, inicios de 1980. Autores como Bourdieu, Clark, Tinto, Coulon, Latiesa, Dubet, abordaron las dificultades del ingreso a la universidad: unas basadas en el estudiante (desigualdades sociales previas, motivación, elección de carrera, afiliación institucional y académica) y otras basadas en las acciones institucionales (el rol de los docentes, políticas de ingreso, becas y prestaciones).</w:t>
      </w:r>
    </w:p>
    <w:p w:rsidR="00000000" w:rsidDel="00000000" w:rsidP="00000000" w:rsidRDefault="00000000" w:rsidRPr="00000000" w14:paraId="00000028">
      <w:pPr>
        <w:spacing w:after="20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El proyecto aquí presentado adoptó una perspectiva centrada en la experiencia del estudiante, su motivación y autosuficiencia como factores que determinan su permanencia en la universidad (Tinto, 1987). En esta línea, Coulon (1993) sostiene que uno de los principales desafíos en el comienzo de la vida universitaria no es ingresar, sino permanecer en ella. Para el autor, el ingreso constituye un tránsito, donde se pasa de ser alumno  (una cuestión meramente administrativa) a ser estudiante. Este pasaje exige aprender el “oficio de estudiante” (Coulon, 1993), lo que supone un proceso de afiliación. Coulon entiende la afiliación como el proceso de descubrir y asimilar “la información tácita y las rutinas ocultas en las prácticas de la enseñanza superior” (Coulon, 1993, p. 159). Este proceso comprende tanto aspectos de exposición del saber y el conocimiento, como la incorporación de determinados hábitos y modos de desenvolverse en la institución. El autor distingue dos tipos de afiliación: la intelectual, vinculada con el uso de vocabulario específico, la participación en clase y las prácticas de lectura, escritura y estudio; y la institucional, relacionada con el manejo de los tiempos de cursado y estudio, la autonomía, la autogestión y el conocimiento de las normativas institucionales.</w:t>
      </w:r>
    </w:p>
    <w:p w:rsidR="00000000" w:rsidDel="00000000" w:rsidP="00000000" w:rsidRDefault="00000000" w:rsidRPr="00000000" w14:paraId="00000029">
      <w:pPr>
        <w:spacing w:after="200" w:line="240" w:lineRule="auto"/>
        <w:jc w:val="both"/>
        <w:rPr/>
      </w:pPr>
      <w:r w:rsidDel="00000000" w:rsidR="00000000" w:rsidRPr="00000000">
        <w:rPr>
          <w:rFonts w:ascii="Times New Roman" w:cs="Times New Roman" w:eastAsia="Times New Roman" w:hAnsi="Times New Roman"/>
          <w:sz w:val="24"/>
          <w:szCs w:val="24"/>
          <w:highlight w:val="white"/>
          <w:rtl w:val="0"/>
        </w:rPr>
        <w:t xml:space="preserve">En este marco, las acciones institucionales adquieren un lugar central en la construcción de condiciones que favorezcan la permanencia. Esto supone generar dispositivos de intervención que, a partir de las experiencias de los estudiantes y de las dificultades que enfrentan durante el ingreso, acompañen los procesos de autonomía, integración y afiliación académica e institucional.</w:t>
      </w:r>
      <w:r w:rsidDel="00000000" w:rsidR="00000000" w:rsidRPr="00000000">
        <w:rPr>
          <w:rtl w:val="0"/>
        </w:rPr>
      </w:r>
    </w:p>
    <w:p w:rsidR="00000000" w:rsidDel="00000000" w:rsidP="00000000" w:rsidRDefault="00000000" w:rsidRPr="00000000" w14:paraId="0000002A">
      <w:pPr>
        <w:spacing w:after="20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b w:val="1"/>
          <w:bCs w:val="1"/>
          <w:sz w:val="24"/>
          <w:szCs w:val="24"/>
          <w:rtl w:val="0"/>
        </w:rPr>
        <w:t xml:space="preserve">ontexto: El Ciclo Inicial de FCS y el perfil estudiantil</w:t>
      </w:r>
      <w:r w:rsidDel="00000000" w:rsidR="00000000" w:rsidRPr="00000000">
        <w:rPr>
          <w:rtl w:val="0"/>
        </w:rPr>
      </w:r>
    </w:p>
    <w:p w:rsidR="00000000" w:rsidDel="00000000" w:rsidP="00000000" w:rsidRDefault="00000000" w:rsidRPr="00000000" w14:paraId="0000002B">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Ciclo Inicial, tal como se mencionó anteriormente, constituye la primera parte de las cuatro licenciaturas que se ofrecen en la Facultad de Ciencias Sociales. Corresponde a los primeros cuatro semestres y a 120 de los 360 créditos que tienen las carreras, una etapa fundamental de la trayectoria estudiantil de las/los estudiantes. Tiene entre sus objetivos proporcionar una base en ciencias sociales, incluyendo tanto conocimientos teóricos, como metodológicos y temáticos esenciales para las disciplinas. Está compuesto por actividades curriculares obligatorias y optativas organizadas en cuatro módulos: Introducción a las Ciencias Sociales, Métodos aplicados a las Ciencias Sociales, Temáticas en Ciencias Sociales, y Actividades curriculares optativas.</w:t>
      </w:r>
    </w:p>
    <w:p w:rsidR="00000000" w:rsidDel="00000000" w:rsidP="00000000" w:rsidRDefault="00000000" w:rsidRPr="00000000" w14:paraId="0000002C">
      <w:pPr>
        <w:pStyle w:val="Subtitle"/>
        <w:spacing w:after="200" w:line="240" w:lineRule="auto"/>
        <w:jc w:val="both"/>
        <w:rPr>
          <w:b w:val="0"/>
          <w:bCs w:val="0"/>
        </w:rPr>
      </w:pPr>
      <w:bookmarkStart w:colFirst="0" w:colLast="0" w:name="_mrgykir6juj8" w:id="5"/>
      <w:bookmarkEnd w:id="5"/>
      <w:r w:rsidDel="00000000" w:rsidR="00000000" w:rsidRPr="00000000">
        <w:rPr>
          <w:b w:val="0"/>
          <w:bCs w:val="0"/>
          <w:rtl w:val="0"/>
        </w:rPr>
        <w:t xml:space="preserve">El primer año sugerido tiene fundamentalmente asignaturas obligatorias, cuatro en el primer semestre y cuatro en el segundo, tal como se puede observar en la malla curricular presentada a continuación. </w:t>
      </w:r>
    </w:p>
    <w:p w:rsidR="00000000" w:rsidDel="00000000" w:rsidP="00000000" w:rsidRDefault="00000000" w:rsidRPr="00000000" w14:paraId="0000002D">
      <w:pPr>
        <w:pStyle w:val="Subtitle"/>
        <w:spacing w:after="200" w:line="240" w:lineRule="auto"/>
        <w:jc w:val="both"/>
        <w:rPr>
          <w:b w:val="0"/>
          <w:bCs w:val="0"/>
        </w:rPr>
      </w:pPr>
      <w:bookmarkStart w:colFirst="0" w:colLast="0" w:name="_naz9k4ongofz" w:id="6"/>
      <w:bookmarkEnd w:id="6"/>
      <w:r w:rsidDel="00000000" w:rsidR="00000000" w:rsidRPr="00000000">
        <w:rPr>
          <w:b w:val="0"/>
          <w:bCs w:val="0"/>
        </w:rPr>
        <w:drawing>
          <wp:inline distB="19050" distT="19050" distL="19050" distR="19050">
            <wp:extent cx="5731200" cy="4902200"/>
            <wp:effectExtent b="0" l="0" r="0" t="0"/>
            <wp:docPr id="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731200" cy="49022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pStyle w:val="Subtitle"/>
        <w:spacing w:after="200" w:line="240" w:lineRule="auto"/>
        <w:jc w:val="both"/>
        <w:rPr>
          <w:b w:val="0"/>
          <w:bCs w:val="0"/>
        </w:rPr>
      </w:pPr>
      <w:bookmarkStart w:colFirst="0" w:colLast="0" w:name="_7mewgfg0aqxt" w:id="7"/>
      <w:bookmarkEnd w:id="7"/>
      <w:r w:rsidDel="00000000" w:rsidR="00000000" w:rsidRPr="00000000">
        <w:rPr>
          <w:b w:val="0"/>
          <w:bCs w:val="0"/>
          <w:rtl w:val="0"/>
        </w:rPr>
        <w:t xml:space="preserve">Respecto a</w:t>
      </w:r>
      <w:r w:rsidDel="00000000" w:rsidR="00000000" w:rsidRPr="00000000">
        <w:rPr>
          <w:b w:val="0"/>
          <w:bCs w:val="0"/>
          <w:rtl w:val="0"/>
        </w:rPr>
        <w:t xml:space="preserve"> la forma de aprobación de las asignaturas, en este ciclo no hay evaluaciones eliminatorias. Además de las calificaciones necesarias para aprobar (mayor o igual al 50% del total de los puntos del curso), para alcanzar la aprobación o promoción se debe cumplir un requisito formal de asistir al menos al 75% de las clases dictadas </w:t>
      </w:r>
      <w:r w:rsidDel="00000000" w:rsidR="00000000" w:rsidRPr="00000000">
        <w:rPr>
          <w:b w:val="0"/>
          <w:bCs w:val="0"/>
          <w:rtl w:val="0"/>
        </w:rPr>
        <w:t xml:space="preserve">(García Rey, 2025</w:t>
      </w:r>
      <w:r w:rsidDel="00000000" w:rsidR="00000000" w:rsidRPr="00000000">
        <w:rPr>
          <w:b w:val="0"/>
          <w:bCs w:val="0"/>
          <w:rtl w:val="0"/>
        </w:rPr>
        <w:t xml:space="preserve">).</w:t>
      </w:r>
    </w:p>
    <w:p w:rsidR="00000000" w:rsidDel="00000000" w:rsidP="00000000" w:rsidRDefault="00000000" w:rsidRPr="00000000" w14:paraId="0000002F">
      <w:pPr>
        <w:pStyle w:val="Subtitle"/>
        <w:spacing w:after="200" w:line="240" w:lineRule="auto"/>
        <w:jc w:val="both"/>
        <w:rPr>
          <w:b w:val="0"/>
          <w:bCs w:val="0"/>
          <w:sz w:val="24"/>
          <w:szCs w:val="24"/>
        </w:rPr>
      </w:pPr>
      <w:bookmarkStart w:colFirst="0" w:colLast="0" w:name="_5l3texcrt5f" w:id="8"/>
      <w:bookmarkEnd w:id="8"/>
      <w:r w:rsidDel="00000000" w:rsidR="00000000" w:rsidRPr="00000000">
        <w:rPr>
          <w:b w:val="0"/>
          <w:bCs w:val="0"/>
          <w:rtl w:val="0"/>
        </w:rPr>
        <w:t xml:space="preserve">Las cuatro asignaturas obligatorias del segundo semestre del Ciclo Inicial son: Poder, Estado y Sistema Político, Sociedad Moderna y Desigualdades Sociales, Metodología de la Investigación, y Estadística Social. Todas ellas tienen una distribución en subgrupos, que permite distribuir a los/as estudiantes en 11/12 grupos por cada una, para que haya un promedio de 100 estudiantes por grupo. </w:t>
      </w:r>
      <w:r w:rsidDel="00000000" w:rsidR="00000000" w:rsidRPr="00000000">
        <w:rPr>
          <w:b w:val="0"/>
          <w:bCs w:val="0"/>
          <w:rtl w:val="0"/>
        </w:rPr>
        <w:t xml:space="preserve">Para 2024 la matrícula de ingreso fue de 1127 estudiantes para ambos semestres. Tal como se señala en el informe final del proyecto, se conformaron 52 grupos de las asignaturas correspondientes al segundo semestre, algunos en modalidad presencial y otros en modalidad virtual, aunque con predominio de la primera (García Rey, 2025). En cuanto a la cantidad de asignaturas en las que se matriculó el estudiantado, el 33 % se inscribió a las cuatro materias previstas, mientras que otro 33 % lo hizo solamente en una. Por su parte, el 11 % se matriculó en dos asignaturas y el 22 % en tres (García Rey, 2025).</w:t>
      </w:r>
      <w:r w:rsidDel="00000000" w:rsidR="00000000" w:rsidRPr="00000000">
        <w:rPr>
          <w:rtl w:val="0"/>
        </w:rPr>
      </w:r>
    </w:p>
    <w:p w:rsidR="00000000" w:rsidDel="00000000" w:rsidP="00000000" w:rsidRDefault="00000000" w:rsidRPr="00000000" w14:paraId="00000030">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Considerando la diversidad anterior, y el desfase entre la trayectoria sugerida y lo que efectivamente hacen los/as estudiantes, además de las bajas tasas de superación del Ciclo antes mencionadas, es que se fundamentó este proyecto. El objetivo fue identificar quienes son las/os estudiantes con mayor probabilidad de desvinculación y cuáles son los factores de riesgo, así cómo posibles estrategias para mitigarlo.</w:t>
      </w:r>
    </w:p>
    <w:p w:rsidR="00000000" w:rsidDel="00000000" w:rsidP="00000000" w:rsidRDefault="00000000" w:rsidRPr="00000000" w14:paraId="00000031">
      <w:pPr>
        <w:pStyle w:val="Subtitle"/>
        <w:spacing w:after="200" w:lineRule="auto"/>
        <w:rPr>
          <w:sz w:val="20"/>
          <w:szCs w:val="20"/>
        </w:rPr>
      </w:pPr>
      <w:bookmarkStart w:colFirst="0" w:colLast="0" w:name="_bazqevc93ybx" w:id="9"/>
      <w:bookmarkEnd w:id="9"/>
      <w:r w:rsidDel="00000000" w:rsidR="00000000" w:rsidRPr="00000000">
        <w:rPr>
          <w:color w:val="073763"/>
          <w:rtl w:val="0"/>
        </w:rPr>
        <w:t xml:space="preserve">Metodología: El dispositivo de detección e intervención</w:t>
      </w:r>
      <w:r w:rsidDel="00000000" w:rsidR="00000000" w:rsidRPr="00000000">
        <w:rPr>
          <w:rtl w:val="0"/>
        </w:rPr>
      </w:r>
    </w:p>
    <w:p w:rsidR="00000000" w:rsidDel="00000000" w:rsidP="00000000" w:rsidRDefault="00000000" w:rsidRPr="00000000" w14:paraId="00000032">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proyecto, implementado durante el segundo semestre de 2024, empleó de manera complementaria estrategias cuantitativas y cualitativas de investigación e intervención. La línea que abordamos en este artículo —Línea 1: Sistema de detección de desvinculación y alertas tempranas— estuvo conformada por dos equipos de trabajo: el equipo de alertas y el equipo de intervención.</w:t>
      </w:r>
    </w:p>
    <w:p w:rsidR="00000000" w:rsidDel="00000000" w:rsidP="00000000" w:rsidRDefault="00000000" w:rsidRPr="00000000" w14:paraId="00000033">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equipo de alertas diseñó un modelo predictivo que permitió generar un índice para definir a la población estudiantil en riesgo de desvinculación</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(Índice de Riesgo de Desvinculación). Este índice permitió definir un “umbral de riesgo”, y realizar un seguimiento de aquellos estudiantes por encima del umbral a partir de un sistema de monitoreo que emitía señales de alerta, elaboradas en base a la sistematización de la asistencia a cursos, utilización del Entorno Virtual de Aprendizaje</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y, posteriormente, notas de parciales. Los cursos que se analizaron fueron los obligatorios del segundo semestre del Ciclo Inicial: Poder, Estado y Sistema Político, Sociedad Moderna y Desigualdades Sociales, Metodología de la Investigación y Estadística Social. Cuando los/as estudiantes con índice de riesgo superior al umbral presentaban inasistencias a los cursos e inactividad en EVA, se emitía una alerta.</w:t>
      </w:r>
    </w:p>
    <w:p w:rsidR="00000000" w:rsidDel="00000000" w:rsidP="00000000" w:rsidRDefault="00000000" w:rsidRPr="00000000" w14:paraId="00000034">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sz w:val="24"/>
          <w:szCs w:val="24"/>
          <w:rtl w:val="0"/>
        </w:rPr>
        <w:t xml:space="preserve">on una periodicidad quincenal, el equipo de intervención recibía un listado con la situación de cada estudiante en cada una de los cursos comprendidos en el proyecto. Esta información era procesada de forma integrada, para construir una visión global de la trayectoria estudiantil, considerando simultáneamente su desempeño en el conjunto de asignaturas y su evolución a lo largo del semestre. Para ello, se unificaban las alertas registradas en las distintas materias y se </w:t>
      </w:r>
      <w:r w:rsidDel="00000000" w:rsidR="00000000" w:rsidRPr="00000000">
        <w:rPr>
          <w:rFonts w:ascii="Times New Roman" w:cs="Times New Roman" w:eastAsia="Times New Roman" w:hAnsi="Times New Roman"/>
          <w:sz w:val="24"/>
          <w:szCs w:val="24"/>
          <w:rtl w:val="0"/>
        </w:rPr>
        <w:t xml:space="preserve">reconstruía</w:t>
      </w:r>
      <w:r w:rsidDel="00000000" w:rsidR="00000000" w:rsidRPr="00000000">
        <w:rPr>
          <w:rFonts w:ascii="Times New Roman" w:cs="Times New Roman" w:eastAsia="Times New Roman" w:hAnsi="Times New Roman"/>
          <w:sz w:val="24"/>
          <w:szCs w:val="24"/>
          <w:rtl w:val="0"/>
        </w:rPr>
        <w:t xml:space="preserve"> su historial durante el período de cursada, lo que permitía distinguir situaciones puntuales de dificultades persistentes, identificar casos críticos y orientar de manera más precisa las intervenciones.</w:t>
      </w:r>
    </w:p>
    <w:p w:rsidR="00000000" w:rsidDel="00000000" w:rsidP="00000000" w:rsidRDefault="00000000" w:rsidRPr="00000000" w14:paraId="00000035">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 vez sistematizada la lista de estudiantes que presentaban alerta, y habiendo identificado las especificidades de cada estudiante, desde el equipo de intervención se establecía comunicación personal a través de distintas vías: llamadas telefónicas, correos electrónicos y/o mensajería instantánea. Tras establecer el contacto inicial, a partir de la realización de entrevistas se tomaba conocimiento de la situación de cada estudiante y sus posibilidades e intenciones de continuar, o no, cada uno de los cursos. Es relevante destacar que, como se desarrollará en el siguiente apartado, no en todas las situaciones se requería un proceso de intervención. Sin embargo, en los casos en que se establecía un canal de diálogo con los/as estudiantes, se construía de manera conjunta una estrategia adecuada a cada contexto, y su posterior seguimiento. En este sentido, la intervención se organizó como un dispositivo de acompañamiento en cercanía orientado a identificar obstáculos, atender situaciones particulares, abrir espacios de escucha, orientar las trayectorias y articular con recursos institucionales disponibles.</w:t>
      </w:r>
    </w:p>
    <w:p w:rsidR="00000000" w:rsidDel="00000000" w:rsidP="00000000" w:rsidRDefault="00000000" w:rsidRPr="00000000" w14:paraId="00000036">
      <w:pPr>
        <w:spacing w:after="200" w:line="240" w:lineRule="auto"/>
        <w:jc w:val="both"/>
        <w:rPr/>
      </w:pPr>
      <w:r w:rsidDel="00000000" w:rsidR="00000000" w:rsidRPr="00000000">
        <w:rPr>
          <w:rFonts w:ascii="Times New Roman" w:cs="Times New Roman" w:eastAsia="Times New Roman" w:hAnsi="Times New Roman"/>
          <w:sz w:val="24"/>
          <w:szCs w:val="24"/>
          <w:rtl w:val="0"/>
        </w:rPr>
        <w:t xml:space="preserve">A partir del proyecto llevado adelante en FCS, el presente trabajo se detiene en las acciones desarrolladas desde el equipo de intervención. Se sistematizan los mecanismos desplegados y principales hallazgos, apuntando a que la experiencia en FCS sea una contribución para la construcción de políticas de retención en la  etapa de ingreso a la educación superior, y fortalecimiento de la  permanencia en la Universidad</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37">
      <w:pPr>
        <w:pStyle w:val="Subtitle"/>
        <w:spacing w:after="200" w:line="240" w:lineRule="auto"/>
        <w:jc w:val="both"/>
        <w:rPr>
          <w:color w:val="1e6297"/>
        </w:rPr>
      </w:pPr>
      <w:bookmarkStart w:colFirst="0" w:colLast="0" w:name="_a8ytapr65esj" w:id="10"/>
      <w:bookmarkEnd w:id="10"/>
      <w:r w:rsidDel="00000000" w:rsidR="00000000" w:rsidRPr="00000000">
        <w:rPr>
          <w:color w:val="1e6297"/>
          <w:rtl w:val="0"/>
        </w:rPr>
        <w:t xml:space="preserve">Resultados y hallazgos: dimensiones de la desvinculación</w:t>
      </w:r>
    </w:p>
    <w:p w:rsidR="00000000" w:rsidDel="00000000" w:rsidP="00000000" w:rsidRDefault="00000000" w:rsidRPr="00000000" w14:paraId="00000038">
      <w:pPr>
        <w:spacing w:after="20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La magnitud del riesgo</w:t>
      </w:r>
    </w:p>
    <w:p w:rsidR="00000000" w:rsidDel="00000000" w:rsidP="00000000" w:rsidRDefault="00000000" w:rsidRPr="00000000" w14:paraId="00000039">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Sistema de Alerta Temprana (SAT), construido por el equipo de docentes del Departamento de Economía y la Unidad de Métodos y Acceso a Datos, generó un Índice de Riesgo de Desvinculación (IDR), para estimar si un/a estudiante se encuentra en riesgo de abandonar los cursos en los que está inscripto. Para eso se realizó un modelo por asignatura en donde se estimó la probabilidad de que cada estudiante no asistiera al menos a uno de los dos parciales del curso. </w:t>
      </w:r>
    </w:p>
    <w:p w:rsidR="00000000" w:rsidDel="00000000" w:rsidP="00000000" w:rsidRDefault="00000000" w:rsidRPr="00000000" w14:paraId="0000003A">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algoritmo fue construido utilizando varias fuentes, entre ellas información socioeconómica proveniente de formularios de ingreso a FCS y FormA (formulario de ingreso obligatorio que solicita la Udelar); información de las pruebas diagnósticas en matemática y lectura que se realizan en el Curso Introductorio a la Udelar y a FCS; y los resultados del cursado de los/as estudiantes durante el primer semestre. En base a esto, el IRD estableció un umbral de riesgo para los/as estudiantes. Al calcularse el IRD por estudiante para cada asignatura, para realizar la intervención fue necesario calcular un promedio de los IRD de cada estudiante.</w:t>
      </w:r>
    </w:p>
    <w:p w:rsidR="00000000" w:rsidDel="00000000" w:rsidP="00000000" w:rsidRDefault="00000000" w:rsidRPr="00000000" w14:paraId="0000003B">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modelo clasificó al 55% de los/as estudiantes que cursan las materias obligatorias del segundo semestre (</w:t>
      </w:r>
      <w:r w:rsidDel="00000000" w:rsidR="00000000" w:rsidRPr="00000000">
        <w:rPr>
          <w:rtl w:val="0"/>
        </w:rPr>
        <w:t xml:space="preserve">785 </w:t>
      </w:r>
      <w:r w:rsidDel="00000000" w:rsidR="00000000" w:rsidRPr="00000000">
        <w:rPr>
          <w:rFonts w:ascii="Times New Roman" w:cs="Times New Roman" w:eastAsia="Times New Roman" w:hAnsi="Times New Roman"/>
          <w:sz w:val="24"/>
          <w:szCs w:val="24"/>
          <w:rtl w:val="0"/>
        </w:rPr>
        <w:t xml:space="preserve">personas) por encima del umbral de riesgo. Solamente el 36% (521 estudiantes) se ubicó por debajo del umbral, lo que demuestra que la mayoría del estudiantado de ingreso en la FCS opera en condiciones de fragilidad respecto a su permanencia.</w:t>
      </w:r>
    </w:p>
    <w:p w:rsidR="00000000" w:rsidDel="00000000" w:rsidP="00000000" w:rsidRDefault="00000000" w:rsidRPr="00000000" w14:paraId="0000003C">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umbral del riesgo operan factores y perfiles específicos. Uno de ellos es la edad, ya que existe una relación lineal entre el aumento de la edad y el riesgo de desvinculación. Mientras que los estudiantes de 18 años presentan sólo un 21% de riesgo, este se duplica al 42% a los 20 años. En los tramos de 36 a 50 años, el riesgo supera el 70%, y en mayores de 51 años, la totalidad de los estudiantes son clasificados "en riesgo". Esto constituye una preocupación ya que la edad mediana de ingreso en FCS es de 25 años. Otro de los factores que incide es el lugar donde cursó la educación media: quienes provienen de la educación pública tienen un 58% de riesgo, en comparación con el sector privado que tiene un 52%, lo que evidencia cómo las desigualdades de origen permean la trayectoria universitaria. Finalmente, otro factor es el propio rezago dentro de FCS, ya que aquellos estudiantes que vienen con rezago acumulado tienen más riesgo que la propia generación de ingreso 2024, en donde el riesgo se reduce al 45%. Un dato interesante a destacar, es que a pesar de la alta feminización en FCS (7 de cada 10 estudiantes son mujeres), el riesgo se distribuyó de forma similar entre sexos.</w:t>
      </w:r>
    </w:p>
    <w:p w:rsidR="00000000" w:rsidDel="00000000" w:rsidP="00000000" w:rsidRDefault="00000000" w:rsidRPr="00000000" w14:paraId="0000003D">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magnitud del riesgo calculada a priori (y testeada con los datos de 2023) se validó con el desempeño efectivo en los cursos durante el segundo semestre de 2024, a través de los mecanismos descritos anteriormente. Se pudo comprobar que de los/as estudiantes dentro del umbral de riesgo solamente el 47,6% logró rendir el primer parcial, mientras que para el grupo de bajo riesgo la asistencia fue del 84%. Cuando se combinó el riesgo alto con señal de inactividad (inasistencias a clase o falta de uso de EVA), solo un 34,2% se presentó al parcial.</w:t>
      </w:r>
    </w:p>
    <w:p w:rsidR="00000000" w:rsidDel="00000000" w:rsidP="00000000" w:rsidRDefault="00000000" w:rsidRPr="00000000" w14:paraId="0000003E">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lo tanto, el modelo permitió predecir el riesgo de desvinculación, y a partir de él se desarrollaron las acciones de intervención en las que se profundiza en este trabajo.  </w:t>
      </w:r>
    </w:p>
    <w:p w:rsidR="00000000" w:rsidDel="00000000" w:rsidP="00000000" w:rsidRDefault="00000000" w:rsidRPr="00000000" w14:paraId="0000003F">
      <w:pPr>
        <w:spacing w:after="20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w:t>
      </w:r>
      <w:r w:rsidDel="00000000" w:rsidR="00000000" w:rsidRPr="00000000">
        <w:rPr>
          <w:rFonts w:ascii="Times New Roman" w:cs="Times New Roman" w:eastAsia="Times New Roman" w:hAnsi="Times New Roman"/>
          <w:b w:val="1"/>
          <w:bCs w:val="1"/>
          <w:sz w:val="24"/>
          <w:szCs w:val="24"/>
          <w:rtl w:val="0"/>
        </w:rPr>
        <w:t xml:space="preserve">roceso de intervención en F</w:t>
      </w:r>
      <w:r w:rsidDel="00000000" w:rsidR="00000000" w:rsidRPr="00000000">
        <w:rPr>
          <w:rFonts w:ascii="Times New Roman" w:cs="Times New Roman" w:eastAsia="Times New Roman" w:hAnsi="Times New Roman"/>
          <w:b w:val="1"/>
          <w:bCs w:val="1"/>
          <w:sz w:val="24"/>
          <w:szCs w:val="24"/>
          <w:rtl w:val="0"/>
        </w:rPr>
        <w:t xml:space="preserve">CS</w:t>
      </w:r>
    </w:p>
    <w:p w:rsidR="00000000" w:rsidDel="00000000" w:rsidP="00000000" w:rsidRDefault="00000000" w:rsidRPr="00000000" w14:paraId="00000040">
      <w:pPr>
        <w:spacing w:after="200" w:line="240" w:lineRule="auto"/>
        <w:jc w:val="both"/>
        <w:rPr>
          <w:rFonts w:ascii="Times New Roman" w:cs="Times New Roman" w:eastAsia="Times New Roman" w:hAnsi="Times New Roman"/>
          <w:color w:val="1c4587"/>
          <w:sz w:val="24"/>
          <w:szCs w:val="24"/>
        </w:rPr>
      </w:pPr>
      <w:r w:rsidDel="00000000" w:rsidR="00000000" w:rsidRPr="00000000">
        <w:rPr>
          <w:rFonts w:ascii="Times New Roman" w:cs="Times New Roman" w:eastAsia="Times New Roman" w:hAnsi="Times New Roman"/>
          <w:sz w:val="24"/>
          <w:szCs w:val="24"/>
          <w:rtl w:val="0"/>
        </w:rPr>
        <w:t xml:space="preserve">El proceso de intervención desplegado en el marco del Proyecto, realizado en el segundo semestre de 2024, </w:t>
      </w:r>
      <w:r w:rsidDel="00000000" w:rsidR="00000000" w:rsidRPr="00000000">
        <w:rPr>
          <w:rFonts w:ascii="Times New Roman" w:cs="Times New Roman" w:eastAsia="Times New Roman" w:hAnsi="Times New Roman"/>
          <w:sz w:val="24"/>
          <w:szCs w:val="24"/>
          <w:rtl w:val="0"/>
        </w:rPr>
        <w:t xml:space="preserve">monitoreó</w:t>
      </w:r>
      <w:r w:rsidDel="00000000" w:rsidR="00000000" w:rsidRPr="00000000">
        <w:rPr>
          <w:rFonts w:ascii="Times New Roman" w:cs="Times New Roman" w:eastAsia="Times New Roman" w:hAnsi="Times New Roman"/>
          <w:sz w:val="24"/>
          <w:szCs w:val="24"/>
          <w:rtl w:val="0"/>
        </w:rPr>
        <w:t xml:space="preserve"> a un total de 785 estudiantes —previamente categorizados como “en riesgo”—  que se encontraban cursando al menos una de las cuatro materias obligatorias del segundo semestre del Ciclo Inicial de FCS antes mencionadas. Como se señaló previamente, el equipo de intervención trabajó a partir de informes quincenales elaborados por el equipo de alertas. Los abordajes realizados tuvieron como foco a </w:t>
      </w:r>
      <w:r w:rsidDel="00000000" w:rsidR="00000000" w:rsidRPr="00000000">
        <w:rPr>
          <w:rFonts w:ascii="Times New Roman" w:cs="Times New Roman" w:eastAsia="Times New Roman" w:hAnsi="Times New Roman"/>
          <w:sz w:val="24"/>
          <w:szCs w:val="24"/>
          <w:rtl w:val="0"/>
        </w:rPr>
        <w:t xml:space="preserve">los/as estudiantes</w:t>
      </w:r>
      <w:r w:rsidDel="00000000" w:rsidR="00000000" w:rsidRPr="00000000">
        <w:rPr>
          <w:rFonts w:ascii="Times New Roman" w:cs="Times New Roman" w:eastAsia="Times New Roman" w:hAnsi="Times New Roman"/>
          <w:sz w:val="24"/>
          <w:szCs w:val="24"/>
          <w:rtl w:val="0"/>
        </w:rPr>
        <w:t xml:space="preserve">, buscando que las intervenciones desarrolladas se </w:t>
      </w:r>
      <w:r w:rsidDel="00000000" w:rsidR="00000000" w:rsidRPr="00000000">
        <w:rPr>
          <w:rFonts w:ascii="Times New Roman" w:cs="Times New Roman" w:eastAsia="Times New Roman" w:hAnsi="Times New Roman"/>
          <w:sz w:val="24"/>
          <w:szCs w:val="24"/>
          <w:rtl w:val="0"/>
        </w:rPr>
        <w:t xml:space="preserve">ajustaran</w:t>
      </w:r>
      <w:r w:rsidDel="00000000" w:rsidR="00000000" w:rsidRPr="00000000">
        <w:rPr>
          <w:rFonts w:ascii="Times New Roman" w:cs="Times New Roman" w:eastAsia="Times New Roman" w:hAnsi="Times New Roman"/>
          <w:sz w:val="24"/>
          <w:szCs w:val="24"/>
          <w:rtl w:val="0"/>
        </w:rPr>
        <w:t xml:space="preserve"> a las decisiones y posibilidades de cada sujeto.</w:t>
      </w:r>
      <w:r w:rsidDel="00000000" w:rsidR="00000000" w:rsidRPr="00000000">
        <w:rPr>
          <w:rtl w:val="0"/>
        </w:rPr>
      </w:r>
    </w:p>
    <w:p w:rsidR="00000000" w:rsidDel="00000000" w:rsidP="00000000" w:rsidRDefault="00000000" w:rsidRPr="00000000" w14:paraId="00000041">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 - </w:t>
      </w:r>
      <w:r w:rsidDel="00000000" w:rsidR="00000000" w:rsidRPr="00000000">
        <w:rPr>
          <w:rFonts w:ascii="Times New Roman" w:cs="Times New Roman" w:eastAsia="Times New Roman" w:hAnsi="Times New Roman"/>
          <w:b w:val="1"/>
          <w:bCs w:val="1"/>
          <w:sz w:val="24"/>
          <w:szCs w:val="24"/>
          <w:rtl w:val="0"/>
        </w:rPr>
        <w:t xml:space="preserve">Contacto con el estudiantado</w:t>
      </w:r>
      <w:r w:rsidDel="00000000" w:rsidR="00000000" w:rsidRPr="00000000">
        <w:rPr>
          <w:rtl w:val="0"/>
        </w:rPr>
      </w:r>
    </w:p>
    <w:p w:rsidR="00000000" w:rsidDel="00000000" w:rsidP="00000000" w:rsidRDefault="00000000" w:rsidRPr="00000000" w14:paraId="00000042">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 vez recibido el listado de estudiantes con alerta, se realizaba el procesamiento de la situación global de cada uno y la categorización. En este marco, se apuntaba a identificar las situaciones con mayor riesgo de desvinculación, con el objetivo de priorizar el contacto directo con los/as estudiantes que presentaban alerta en mayor cantidad de cursos de manera simultánea. Así, por ejemplo, se entendía que un estudiante que cursaba las cuatro materias obligatorias y emitía alerta en únicamente una de las cuatro, presentaba menor riesgo de desvinculación que un estudiante cursando dos materias, con alerta en ambas.</w:t>
      </w:r>
    </w:p>
    <w:p w:rsidR="00000000" w:rsidDel="00000000" w:rsidP="00000000" w:rsidRDefault="00000000" w:rsidRPr="00000000" w14:paraId="00000043">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Luego del procesamiento, como se señaló, se contactaba a los/as estudiantes a través de llamadas, correo electrónico y/o mensajería instantánea. En total, desde el equipo de intervención se realizaron 3844 intentos de comunicación para 675 estudiantes “en riesgo” que en algún momento del proyecto presentaron alerta. Cabe destacar que frecuentemente no se recibía respuesta por parte del estudiantado, siendo relevante destacar los reiterados intentos de contacto variando horarios, días y medios de comunicación.</w:t>
      </w:r>
    </w:p>
    <w:p w:rsidR="00000000" w:rsidDel="00000000" w:rsidP="00000000" w:rsidRDefault="00000000" w:rsidRPr="00000000" w14:paraId="00000044">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fase de contacto resulta fundamental e indispensable para el desarrollo de la intervención, en tanto el primer contacto buscaba relevar la situación de cada estudiante, las necesidades identificadas y posibles decisiones y preferencias. </w:t>
      </w:r>
      <w:r w:rsidDel="00000000" w:rsidR="00000000" w:rsidRPr="00000000">
        <w:rPr>
          <w:rFonts w:ascii="Times New Roman" w:cs="Times New Roman" w:eastAsia="Times New Roman" w:hAnsi="Times New Roman"/>
          <w:sz w:val="24"/>
          <w:szCs w:val="24"/>
          <w:rtl w:val="0"/>
        </w:rPr>
        <w:t xml:space="preserve">Como señalan Chiarino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(2024), “los procesos comunicativos que se establecen entre la universidad y el estudiantado son importantes con respecto a las posibilidades de abandonar o permanecer” (p. 20). En términos operativos, se constató a partir del proyecto la relevancia de realizar múltiples intentos de contacto, por diversas vías, y en distintas franjas horarias. Esto resulta especialmente relevante porque las mismas condiciones que dificultan sostener el cursado, pueden también limitar las posibilidades de responder a los contactos institucionales. En este sentido, los perfiles estudiantiles con mayor riesgo de desvinculación pueden ser, al mismo tiempo,  los más difíciles de contactar.</w:t>
      </w:r>
      <w:r w:rsidDel="00000000" w:rsidR="00000000" w:rsidRPr="00000000">
        <w:rPr>
          <w:rtl w:val="0"/>
        </w:rPr>
      </w:r>
    </w:p>
    <w:p w:rsidR="00000000" w:rsidDel="00000000" w:rsidP="00000000" w:rsidRDefault="00000000" w:rsidRPr="00000000" w14:paraId="00000045">
      <w:pPr>
        <w:spacing w:after="20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II - </w:t>
      </w:r>
      <w:r w:rsidDel="00000000" w:rsidR="00000000" w:rsidRPr="00000000">
        <w:rPr>
          <w:rFonts w:ascii="Times New Roman" w:cs="Times New Roman" w:eastAsia="Times New Roman" w:hAnsi="Times New Roman"/>
          <w:b w:val="1"/>
          <w:bCs w:val="1"/>
          <w:sz w:val="24"/>
          <w:szCs w:val="24"/>
          <w:rtl w:val="0"/>
        </w:rPr>
        <w:t xml:space="preserve">Situaciones relevadas</w:t>
      </w:r>
    </w:p>
    <w:p w:rsidR="00000000" w:rsidDel="00000000" w:rsidP="00000000" w:rsidRDefault="00000000" w:rsidRPr="00000000" w14:paraId="00000046">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del contacto y proceso de intercambio con los/as estudiantes, se relevó una diversidad de situaciones. El proyecto partió de algunas categorías y dimensiones establecidas en clave deductiva a partir de la literatura en la temática y el trabajo acumulado por parte del equipo de intervención. Se establecieron tres dimensiones principales: i) dimensión psicosocial; ii) dimensión socioeconómica; iii) dimensión académica e institucional.</w:t>
      </w:r>
    </w:p>
    <w:p w:rsidR="00000000" w:rsidDel="00000000" w:rsidP="00000000" w:rsidRDefault="00000000" w:rsidRPr="00000000" w14:paraId="00000047">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Tabla 1 presenta la sistematización de los motivos relevados en cada una de las dimensiones. Allí se incluyen tanto categorías definidas previamente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como categorías emergentes, construidas a partir del intercambio con estudiantes durante el proceso de intervención y del análisis posterior de las situaciones relevadas</w:t>
      </w:r>
      <w:r w:rsidDel="00000000" w:rsidR="00000000" w:rsidRPr="00000000">
        <w:rPr>
          <w:rFonts w:ascii="Times New Roman" w:cs="Times New Roman" w:eastAsia="Times New Roman" w:hAnsi="Times New Roman"/>
          <w:b w:val="1"/>
          <w:bCs w:val="1"/>
          <w:sz w:val="24"/>
          <w:szCs w:val="24"/>
          <w:vertAlign w:val="superscript"/>
        </w:rPr>
        <w:footnoteReference w:customMarkFollows="0" w:id="2"/>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Para cada dimensión se especifican los motivos que dificultan la continuidad de los cursos, junto con su definición.</w:t>
      </w:r>
    </w:p>
    <w:p w:rsidR="00000000" w:rsidDel="00000000" w:rsidP="00000000" w:rsidRDefault="00000000" w:rsidRPr="00000000" w14:paraId="00000048">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clasificación presentada en la Tabla 1 permite ordenar analíticamente las situaciones relevadas en el proceso, aunque dichas categorías no deben interpretarse como excluyentes entre sí. Por el contrario, las situaciones relevadas muestran que las dificultades de permanencia suelen configurarse en la intersección entre condiciones materiales, organización cotidiana y exigencias de cursado. En este sentido, las dimensiones permiten ordenar analíticamente los motivos, pero las trayectorias estudiantiles evidencian su carácter profundamente interconectado. En términos operativos, es relevante señalar que el relevamiento contempló la posibilidad de registrar más de un motivo por estudiante,  con el objetivo de captar de forma precisa la diversidad de factores que inciden en cada trayectoria. De esta forma, se observó la combinación de motivos asociados a la dificultad en la permanencia y continuidad del cursado, así como el entrecruzamiento entre dimensiones psicosociales, socioeconómicas, académicas e institucionales: los/as estudiantes solían presentar motivos complementarios en sus dificultades para mantener el cursado. </w:t>
      </w:r>
    </w:p>
    <w:p w:rsidR="00000000" w:rsidDel="00000000" w:rsidP="00000000" w:rsidRDefault="00000000" w:rsidRPr="00000000" w14:paraId="0000004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Tabla 1. Dimensiones analíticas y motivos que inciden en la continuidad estudiantil</w:t>
      </w:r>
    </w:p>
    <w:tbl>
      <w:tblPr>
        <w:tblStyle w:val="Table1"/>
        <w:tblW w:w="94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60"/>
        <w:gridCol w:w="2580"/>
        <w:gridCol w:w="5625"/>
        <w:tblGridChange w:id="0">
          <w:tblGrid>
            <w:gridCol w:w="1260"/>
            <w:gridCol w:w="2580"/>
            <w:gridCol w:w="5625"/>
          </w:tblGrid>
        </w:tblGridChange>
      </w:tblGrid>
      <w:tr>
        <w:trPr>
          <w:cantSplit w:val="0"/>
          <w:trHeight w:val="7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A">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Dimensión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B">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Motivo</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4C">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Definición</w:t>
            </w:r>
          </w:p>
          <w:p w:rsidR="00000000" w:rsidDel="00000000" w:rsidP="00000000" w:rsidRDefault="00000000" w:rsidRPr="00000000" w14:paraId="0000004D">
            <w:pPr>
              <w:widowControl w:val="0"/>
              <w:spacing w:line="240" w:lineRule="auto"/>
              <w:jc w:val="center"/>
              <w:rPr>
                <w:rFonts w:ascii="Times New Roman" w:cs="Times New Roman" w:eastAsia="Times New Roman" w:hAnsi="Times New Roman"/>
                <w:b w:val="1"/>
                <w:bCs w:val="1"/>
              </w:rPr>
            </w:pPr>
            <w:r w:rsidDel="00000000" w:rsidR="00000000" w:rsidRPr="00000000">
              <w:rPr>
                <w:rtl w:val="0"/>
              </w:rPr>
            </w:r>
          </w:p>
        </w:tc>
      </w:tr>
      <w:tr>
        <w:trPr>
          <w:cantSplit w:val="0"/>
          <w:trHeight w:val="840" w:hRule="atLeast"/>
          <w:tblHeader w:val="0"/>
        </w:trPr>
        <w:tc>
          <w:tcPr>
            <w:vMerge w:val="restart"/>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E">
            <w:pPr>
              <w:widowControl w:val="0"/>
              <w:spacing w:line="240" w:lineRule="auto"/>
              <w:ind w:lef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Dimensión psicosocial</w:t>
            </w:r>
          </w:p>
        </w:tc>
        <w:tc>
          <w:tcPr>
            <w:tcBorders>
              <w:top w:color="000000"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Situaciones de salud o accidentes </w:t>
            </w:r>
          </w:p>
        </w:tc>
        <w:tc>
          <w:tcPr>
            <w:tcBorders>
              <w:top w:color="000000"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5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El estudiante presenta situaciones de salud transitorias o permanentes. Esta categoría no comprende situaciones de "salud mental", únicamente situaciones físicas.</w:t>
            </w:r>
          </w:p>
        </w:tc>
      </w:tr>
      <w:tr>
        <w:trPr>
          <w:cantSplit w:val="0"/>
          <w:trHeight w:val="7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2">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Ejercicio de Cuidados </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53">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Estudiante señala realización de tareas de cuidado (menores, adulto mayor, situación de discapacidad)</w:t>
            </w:r>
          </w:p>
        </w:tc>
      </w:tr>
      <w:tr>
        <w:trPr>
          <w:cantSplit w:val="0"/>
          <w:trHeight w:val="55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5">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Situaciones de salud mental</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56">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Estudiante indica estar transitando situaciones vinculadas a salud mental</w:t>
            </w:r>
          </w:p>
        </w:tc>
      </w:tr>
      <w:tr>
        <w:trPr>
          <w:cantSplit w:val="0"/>
          <w:trHeight w:val="840"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8">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Superposición de horario de trabajo u otro con los cursos </w:t>
            </w:r>
            <w:r w:rsidDel="00000000" w:rsidR="00000000" w:rsidRPr="00000000">
              <w:rPr>
                <w:rFonts w:ascii="Times New Roman" w:cs="Times New Roman" w:eastAsia="Times New Roman" w:hAnsi="Times New Roman"/>
                <w:b w:val="1"/>
                <w:bCs w:val="1"/>
                <w:sz w:val="18"/>
                <w:szCs w:val="18"/>
                <w:rtl w:val="0"/>
              </w:rPr>
              <w:t xml:space="preserve">(E)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5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El horario de trabajo u otra responsabilidad coincide con el horario de cursos al que el/ la estudiante se encuentra inscripto/a. </w:t>
            </w:r>
          </w:p>
        </w:tc>
      </w:tr>
      <w:tr>
        <w:trPr>
          <w:cantSplit w:val="0"/>
          <w:trHeight w:val="127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B">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Incompatibilidad de la rutina con la carga horaria de clases </w:t>
            </w:r>
            <w:r w:rsidDel="00000000" w:rsidR="00000000" w:rsidRPr="00000000">
              <w:rPr>
                <w:rFonts w:ascii="Times New Roman" w:cs="Times New Roman" w:eastAsia="Times New Roman" w:hAnsi="Times New Roman"/>
                <w:b w:val="1"/>
                <w:bCs w:val="1"/>
                <w:sz w:val="18"/>
                <w:szCs w:val="18"/>
                <w:rtl w:val="0"/>
              </w:rPr>
              <w:t xml:space="preserve">(E)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5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 rutina del estudiante le impide dedicar el tiempo que necesitaría para la Facultad (asistencia o estudio). Esto no refiere a superposiciones de horario, sino a la imposibilidad de dedicar tiempos específicos a venir a Facultad o estudiar (por ejemplo, por tareas de cuidado, carga horaria laboral alta, horarios rotativos, distancias, etc.)</w:t>
            </w:r>
          </w:p>
        </w:tc>
      </w:tr>
      <w:tr>
        <w:trPr>
          <w:cantSplit w:val="0"/>
          <w:trHeight w:val="7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Dudas o decisiones vocacionales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5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Estudiante manifiesta dudas respecto a si desea o no seguir estudiando en FCS, por temas de interés disciplinar.</w:t>
            </w:r>
          </w:p>
        </w:tc>
      </w:tr>
      <w:tr>
        <w:trPr>
          <w:cantSplit w:val="0"/>
          <w:trHeight w:val="555" w:hRule="atLeast"/>
          <w:tblHeader w:val="0"/>
        </w:trPr>
        <w:tc>
          <w:tcPr>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0">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ii) Dimensión socioeconómica</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Falta de recursos para seguimiento de materias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62">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Dificultades económicas para costear los gastos asociados a la trayectoria educativa.</w:t>
            </w:r>
          </w:p>
        </w:tc>
      </w:tr>
      <w:tr>
        <w:trPr>
          <w:cantSplit w:val="0"/>
          <w:trHeight w:val="55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4">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Dificultades en el transporte</w:t>
            </w:r>
            <w:r w:rsidDel="00000000" w:rsidR="00000000" w:rsidRPr="00000000">
              <w:rPr>
                <w:rFonts w:ascii="Times New Roman" w:cs="Times New Roman" w:eastAsia="Times New Roman" w:hAnsi="Times New Roman"/>
                <w:b w:val="1"/>
                <w:bCs w:val="1"/>
                <w:sz w:val="18"/>
                <w:szCs w:val="18"/>
                <w:rtl w:val="0"/>
              </w:rPr>
              <w:t xml:space="preserve"> (E)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65">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Dificultades de índole económica, específicamente para acceder a transporte y trasladarse a Facultad.</w:t>
            </w:r>
          </w:p>
        </w:tc>
      </w:tr>
      <w:tr>
        <w:trPr>
          <w:cantSplit w:val="0"/>
          <w:trHeight w:val="795" w:hRule="atLeast"/>
          <w:tblHeader w:val="0"/>
        </w:trPr>
        <w:tc>
          <w:tcPr>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6">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iii) Dimensión académica e institucional</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7">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Falta de accesibilidad</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6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Falta de estrategias de accesibilidad en el entorno de FCS o contenidos de las asignaturas que dificultan la participación o comprensión de elementos relevantes para la trayectoria estudiantil.</w:t>
            </w:r>
          </w:p>
        </w:tc>
      </w:tr>
      <w:tr>
        <w:trPr>
          <w:cantSplit w:val="0"/>
          <w:trHeight w:val="55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Dificultad para la adaptación a curso(s)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6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Dificultades vinculadas a los cursos, específicamente sus contenidos o modalidades.</w:t>
            </w:r>
          </w:p>
        </w:tc>
      </w:tr>
      <w:tr>
        <w:trPr>
          <w:cantSplit w:val="0"/>
          <w:trHeight w:val="7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Dificultad para la adaptación a las estrategias de enseñanza de docente(s)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6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Dificultades vinculadas a las maneras en las que los cursos se dictan de parte del equipo docente específico</w:t>
            </w:r>
          </w:p>
        </w:tc>
      </w:tr>
      <w:tr>
        <w:trPr>
          <w:cantSplit w:val="0"/>
          <w:trHeight w:val="7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Nota baja en primer parcial</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Irregularidades en la asistencia justificadas por haber obtenido una nota baja en el primer parcial y dedicar menos tiempo a la asignatura.</w:t>
            </w:r>
          </w:p>
        </w:tc>
      </w:tr>
      <w:tr>
        <w:trPr>
          <w:cantSplit w:val="0"/>
          <w:trHeight w:val="103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3">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Priorización de otras materias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4">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Justificación de inasistencias basada en la priorización de otras materias (por ejemplo: "no estoy asistiendo a SMDS porque estoy priorizando MI y ES porque necesito una de esas para poder anotarme al Ciclo Avanzado, entonces no voy a SMDS para tener más tiempo para estudiar")</w:t>
            </w:r>
          </w:p>
        </w:tc>
      </w:tr>
      <w:tr>
        <w:trPr>
          <w:cantSplit w:val="0"/>
          <w:trHeight w:val="7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6">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Dificultad con la presencialidad </w:t>
            </w:r>
            <w:r w:rsidDel="00000000" w:rsidR="00000000" w:rsidRPr="00000000">
              <w:rPr>
                <w:rFonts w:ascii="Times New Roman" w:cs="Times New Roman" w:eastAsia="Times New Roman" w:hAnsi="Times New Roman"/>
                <w:b w:val="1"/>
                <w:bCs w:val="1"/>
                <w:sz w:val="18"/>
                <w:szCs w:val="18"/>
                <w:rtl w:val="0"/>
              </w:rPr>
              <w:t xml:space="preserve">(E)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7">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Dificultades para asistir a FCS de manera presencial. Esto puede estar vinculado a diferentes motivos: distancia del hogar, disponibilidad horaria, costos, preferencias, salud mental, etc.</w:t>
            </w:r>
          </w:p>
        </w:tc>
      </w:tr>
    </w:tbl>
    <w:p w:rsidR="00000000" w:rsidDel="00000000" w:rsidP="00000000" w:rsidRDefault="00000000" w:rsidRPr="00000000" w14:paraId="00000078">
      <w:pPr>
        <w:spacing w:after="200" w:before="200" w:line="36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Fuente:</w:t>
      </w:r>
      <w:r w:rsidDel="00000000" w:rsidR="00000000" w:rsidRPr="00000000">
        <w:rPr>
          <w:rFonts w:ascii="Times New Roman" w:cs="Times New Roman" w:eastAsia="Times New Roman" w:hAnsi="Times New Roman"/>
          <w:sz w:val="18"/>
          <w:szCs w:val="18"/>
          <w:rtl w:val="0"/>
        </w:rPr>
        <w:t xml:space="preserve"> Elaboración propia. “</w:t>
      </w:r>
      <w:r w:rsidDel="00000000" w:rsidR="00000000" w:rsidRPr="00000000">
        <w:rPr>
          <w:rFonts w:ascii="Times New Roman" w:cs="Times New Roman" w:eastAsia="Times New Roman" w:hAnsi="Times New Roman"/>
          <w:b w:val="1"/>
          <w:bCs w:val="1"/>
          <w:sz w:val="18"/>
          <w:szCs w:val="18"/>
          <w:rtl w:val="0"/>
        </w:rPr>
        <w:t xml:space="preserve">(E)</w:t>
      </w:r>
      <w:r w:rsidDel="00000000" w:rsidR="00000000" w:rsidRPr="00000000">
        <w:rPr>
          <w:rFonts w:ascii="Times New Roman" w:cs="Times New Roman" w:eastAsia="Times New Roman" w:hAnsi="Times New Roman"/>
          <w:sz w:val="18"/>
          <w:szCs w:val="18"/>
          <w:rtl w:val="0"/>
        </w:rPr>
        <w:t xml:space="preserve">” refiere a categorías emergentes del relevamiento.</w:t>
      </w:r>
    </w:p>
    <w:p w:rsidR="00000000" w:rsidDel="00000000" w:rsidP="00000000" w:rsidRDefault="00000000" w:rsidRPr="00000000" w14:paraId="00000079">
      <w:pPr>
        <w:spacing w:after="2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sz w:val="24"/>
          <w:szCs w:val="24"/>
          <w:rtl w:val="0"/>
        </w:rPr>
        <w:t xml:space="preserve">A continuación, se presentan los resultados de las situaciones relevadas entre el estudiantado. El Gráfico 1 ilustra la frecuencia de los distintos motivos identificados durante el proceso de intervención, organizados según las tres dimensiones analíticas definidas previamente.</w:t>
      </w:r>
      <w:r w:rsidDel="00000000" w:rsidR="00000000" w:rsidRPr="00000000">
        <w:rPr>
          <w:rtl w:val="0"/>
        </w:rPr>
      </w:r>
    </w:p>
    <w:p w:rsidR="00000000" w:rsidDel="00000000" w:rsidP="00000000" w:rsidRDefault="00000000" w:rsidRPr="00000000" w14:paraId="0000007A">
      <w:pPr>
        <w:spacing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Gráfico 1: Motivos relevados que dificultan la continuidad en los cursos según dimensión </w:t>
      </w:r>
    </w:p>
    <w:p w:rsidR="00000000" w:rsidDel="00000000" w:rsidP="00000000" w:rsidRDefault="00000000" w:rsidRPr="00000000" w14:paraId="0000007B">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2527300"/>
            <wp:effectExtent b="0" l="0" r="0" t="0"/>
            <wp:docPr id="2"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731200" cy="2527300"/>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spacing w:after="200" w:line="240" w:lineRule="auto"/>
        <w:jc w:val="both"/>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b w:val="1"/>
          <w:bCs w:val="1"/>
          <w:sz w:val="20"/>
          <w:szCs w:val="20"/>
          <w:rtl w:val="0"/>
        </w:rPr>
        <w:t xml:space="preserve">Fuente:</w:t>
      </w:r>
      <w:r w:rsidDel="00000000" w:rsidR="00000000" w:rsidRPr="00000000">
        <w:rPr>
          <w:rFonts w:ascii="Times New Roman" w:cs="Times New Roman" w:eastAsia="Times New Roman" w:hAnsi="Times New Roman"/>
          <w:sz w:val="20"/>
          <w:szCs w:val="20"/>
          <w:rtl w:val="0"/>
        </w:rPr>
        <w:t xml:space="preserve"> Elaboración propia. </w:t>
        <w:br w:type="textWrapping"/>
      </w:r>
      <w:r w:rsidDel="00000000" w:rsidR="00000000" w:rsidRPr="00000000">
        <w:rPr>
          <w:rFonts w:ascii="Times New Roman" w:cs="Times New Roman" w:eastAsia="Times New Roman" w:hAnsi="Times New Roman"/>
          <w:b w:val="1"/>
          <w:bCs w:val="1"/>
          <w:sz w:val="20"/>
          <w:szCs w:val="20"/>
          <w:rtl w:val="0"/>
        </w:rPr>
        <w:t xml:space="preserve">Nota:</w:t>
      </w:r>
      <w:r w:rsidDel="00000000" w:rsidR="00000000" w:rsidRPr="00000000">
        <w:rPr>
          <w:rFonts w:ascii="Times New Roman" w:cs="Times New Roman" w:eastAsia="Times New Roman" w:hAnsi="Times New Roman"/>
          <w:sz w:val="20"/>
          <w:szCs w:val="20"/>
          <w:rtl w:val="0"/>
        </w:rPr>
        <w:t xml:space="preserve"> Las respuestas admiten selección múltiple, por lo que un/a mismo/a estudiante puede presentar más de un motivo.</w:t>
      </w:r>
      <w:r w:rsidDel="00000000" w:rsidR="00000000" w:rsidRPr="00000000">
        <w:rPr>
          <w:rtl w:val="0"/>
        </w:rPr>
      </w:r>
    </w:p>
    <w:p w:rsidR="00000000" w:rsidDel="00000000" w:rsidP="00000000" w:rsidRDefault="00000000" w:rsidRPr="00000000" w14:paraId="0000007D">
      <w:pPr>
        <w:spacing w:after="200" w:line="240" w:lineRule="auto"/>
        <w:jc w:val="both"/>
        <w:rPr>
          <w:rFonts w:ascii="Times New Roman" w:cs="Times New Roman" w:eastAsia="Times New Roman" w:hAnsi="Times New Roman"/>
          <w:b w:val="1"/>
          <w:bCs w:val="1"/>
          <w:color w:val="1c4587"/>
          <w:sz w:val="24"/>
          <w:szCs w:val="24"/>
        </w:rPr>
      </w:pPr>
      <w:r w:rsidDel="00000000" w:rsidR="00000000" w:rsidRPr="00000000">
        <w:rPr>
          <w:rFonts w:ascii="Times New Roman" w:cs="Times New Roman" w:eastAsia="Times New Roman" w:hAnsi="Times New Roman"/>
          <w:sz w:val="24"/>
          <w:szCs w:val="24"/>
          <w:rtl w:val="0"/>
        </w:rPr>
        <w:t xml:space="preserve">El Gráfico 1 evidencia una concentración de menciones en motivos vinculados a la organización de la vida cotidiana, especialmente la incompatibilidad entre la rutina y la carga horaria de clases, y la superposición de horarios de trabajo u otras responsabilidades con los cursos. Esta distribución permite observar que las dificultades para sostener el cursado no se explican únicamente por factores académicos, sino también por la forma en que las exigencias universitarias se articulan con los tiempos laborales, las responsabilidades de cuidado, las condiciones socio-económicas, el transporte y las posibilidades concretas de asistencia. </w:t>
      </w:r>
      <w:r w:rsidDel="00000000" w:rsidR="00000000" w:rsidRPr="00000000">
        <w:rPr>
          <w:rtl w:val="0"/>
        </w:rPr>
      </w:r>
    </w:p>
    <w:p w:rsidR="00000000" w:rsidDel="00000000" w:rsidP="00000000" w:rsidRDefault="00000000" w:rsidRPr="00000000" w14:paraId="0000007E">
      <w:pPr>
        <w:spacing w:after="20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III -</w:t>
      </w:r>
      <w:r w:rsidDel="00000000" w:rsidR="00000000" w:rsidRPr="00000000">
        <w:rPr>
          <w:rFonts w:ascii="Times New Roman" w:cs="Times New Roman" w:eastAsia="Times New Roman" w:hAnsi="Times New Roman"/>
          <w:b w:val="1"/>
          <w:bCs w:val="1"/>
          <w:sz w:val="24"/>
          <w:szCs w:val="24"/>
          <w:rtl w:val="0"/>
        </w:rPr>
        <w:t xml:space="preserve"> Técnicas de intervención y estrategias desplegadas</w:t>
      </w:r>
    </w:p>
    <w:p w:rsidR="00000000" w:rsidDel="00000000" w:rsidP="00000000" w:rsidRDefault="00000000" w:rsidRPr="00000000" w14:paraId="0000007F">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el Proyecto se realizaron intervenciones de distinta índole. Algunas de carácter general, orientadas a todo el estudiantado “en riesgo”, y otras de tipo focalizado, construidas de manera conjunta con los/as estudiantes implicados, en función de cada situación específica.</w:t>
      </w:r>
    </w:p>
    <w:p w:rsidR="00000000" w:rsidDel="00000000" w:rsidP="00000000" w:rsidRDefault="00000000" w:rsidRPr="00000000" w14:paraId="00000080">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primeras </w:t>
      </w:r>
      <w:r w:rsidDel="00000000" w:rsidR="00000000" w:rsidRPr="00000000">
        <w:rPr>
          <w:rFonts w:ascii="Times New Roman" w:cs="Times New Roman" w:eastAsia="Times New Roman" w:hAnsi="Times New Roman"/>
          <w:sz w:val="24"/>
          <w:szCs w:val="24"/>
          <w:rtl w:val="0"/>
        </w:rPr>
        <w:t xml:space="preserve">respo</w:t>
      </w:r>
      <w:r w:rsidDel="00000000" w:rsidR="00000000" w:rsidRPr="00000000">
        <w:rPr>
          <w:rFonts w:ascii="Times New Roman" w:cs="Times New Roman" w:eastAsia="Times New Roman" w:hAnsi="Times New Roman"/>
          <w:sz w:val="24"/>
          <w:szCs w:val="24"/>
          <w:rtl w:val="0"/>
        </w:rPr>
        <w:t xml:space="preserve">ndieron a motivos vinculados a lo institucional y académico. En este sentido, en los cuatro cursos implicados en el proyecto se desplegaron estrategias de apoyo para las diferentes instancias de evaluación (parciales y exámenes). Cada curso contaba con un docente articulador referente, con quien se </w:t>
      </w:r>
      <w:r w:rsidDel="00000000" w:rsidR="00000000" w:rsidRPr="00000000">
        <w:rPr>
          <w:rFonts w:ascii="Times New Roman" w:cs="Times New Roman" w:eastAsia="Times New Roman" w:hAnsi="Times New Roman"/>
          <w:sz w:val="24"/>
          <w:szCs w:val="24"/>
          <w:rtl w:val="0"/>
        </w:rPr>
        <w:t xml:space="preserve">planifica</w:t>
      </w:r>
      <w:r w:rsidDel="00000000" w:rsidR="00000000" w:rsidRPr="00000000">
        <w:rPr>
          <w:rFonts w:ascii="Times New Roman" w:cs="Times New Roman" w:eastAsia="Times New Roman" w:hAnsi="Times New Roman"/>
          <w:sz w:val="24"/>
          <w:szCs w:val="24"/>
          <w:rtl w:val="0"/>
        </w:rPr>
        <w:t xml:space="preserve">ron, articularon y ejecutaron las acciones correspondientes a la asignatura. En esta línea, se brindaron apoyos adicionales para la preparación de evaluaciones (disponibilidad de materiales orientadores, clases de repaso para preparación de parciales y exámenes), se gestionaron cambios de grupo y otros ajustes requeridos. El docente articulador </w:t>
      </w:r>
      <w:r w:rsidDel="00000000" w:rsidR="00000000" w:rsidRPr="00000000">
        <w:rPr>
          <w:rFonts w:ascii="Times New Roman" w:cs="Times New Roman" w:eastAsia="Times New Roman" w:hAnsi="Times New Roman"/>
          <w:sz w:val="24"/>
          <w:szCs w:val="24"/>
          <w:rtl w:val="0"/>
        </w:rPr>
        <w:t xml:space="preserve">gestionaba</w:t>
      </w:r>
      <w:r w:rsidDel="00000000" w:rsidR="00000000" w:rsidRPr="00000000">
        <w:rPr>
          <w:rFonts w:ascii="Times New Roman" w:cs="Times New Roman" w:eastAsia="Times New Roman" w:hAnsi="Times New Roman"/>
          <w:sz w:val="24"/>
          <w:szCs w:val="24"/>
          <w:rtl w:val="0"/>
        </w:rPr>
        <w:t xml:space="preserve"> con su equipo las acciones acordadas, lo que facilitaba la realización de las mismas, ya que en los cursos de primer año los equipos docentes son grandes y es necesario contar con un referente. Este docente también actuaba como referente para los/as estudiantes, a </w:t>
      </w:r>
      <w:r w:rsidDel="00000000" w:rsidR="00000000" w:rsidRPr="00000000">
        <w:rPr>
          <w:rFonts w:ascii="Times New Roman" w:cs="Times New Roman" w:eastAsia="Times New Roman" w:hAnsi="Times New Roman"/>
          <w:sz w:val="24"/>
          <w:szCs w:val="24"/>
          <w:rtl w:val="0"/>
        </w:rPr>
        <w:t xml:space="preserve">los/as que</w:t>
      </w:r>
      <w:r w:rsidDel="00000000" w:rsidR="00000000" w:rsidRPr="00000000">
        <w:rPr>
          <w:rFonts w:ascii="Times New Roman" w:cs="Times New Roman" w:eastAsia="Times New Roman" w:hAnsi="Times New Roman"/>
          <w:sz w:val="24"/>
          <w:szCs w:val="24"/>
          <w:rtl w:val="0"/>
        </w:rPr>
        <w:t xml:space="preserve"> se incentivaba a comunicarse directamente con él/ella cuando fuera oportuno.</w:t>
      </w:r>
    </w:p>
    <w:p w:rsidR="00000000" w:rsidDel="00000000" w:rsidP="00000000" w:rsidRDefault="00000000" w:rsidRPr="00000000" w14:paraId="00000081">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se mencionó anteriormente, a partir de la situación específica de cada estudiante se implementaron intervenciones focalizadas y complementarias que facilitaran su trayectoria. La superposición de horarios —laborales u otros— con los cursos fue uno de los principales motivos señalados por el estudiantado</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frente a esto se desplegó una flexibilización del cambio de horario para los cursos implicados en el proyecto, situación que reglamentariamente sólo se contempla en las primeras semanas de cursado y mediante trámite por Bedelía.  Este cambio </w:t>
      </w:r>
      <w:r w:rsidDel="00000000" w:rsidR="00000000" w:rsidRPr="00000000">
        <w:rPr>
          <w:rFonts w:ascii="Times New Roman" w:cs="Times New Roman" w:eastAsia="Times New Roman" w:hAnsi="Times New Roman"/>
          <w:sz w:val="24"/>
          <w:szCs w:val="24"/>
          <w:rtl w:val="0"/>
        </w:rPr>
        <w:t xml:space="preserve">podía</w:t>
      </w:r>
      <w:r w:rsidDel="00000000" w:rsidR="00000000" w:rsidRPr="00000000">
        <w:rPr>
          <w:rFonts w:ascii="Times New Roman" w:cs="Times New Roman" w:eastAsia="Times New Roman" w:hAnsi="Times New Roman"/>
          <w:sz w:val="24"/>
          <w:szCs w:val="24"/>
          <w:rtl w:val="0"/>
        </w:rPr>
        <w:t xml:space="preserve"> realizarse a solicitud del estudiante con el equipo docente de la asignatura, con el docente articulador, o a través del intercambio con equipo de intervención. Este último mecanismo llevó a que el equipo de intervención realizara 31 cambios de horario y, en forma paralela, otros cambios fueron realizados de forma autónoma por los/as estudiantes, en diálogo con sus docentes o a través de la anotación en el sistema de listas</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2">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segundo lugar, se buscó implementar estrategias que permitieran fortalecer la afiliación institucional; como se señaló, este elemento resulta central en las primeras etapas de la vida universitaria. En esta línea, desde el equipo de intervención se realizaron acciones referidas a la orientación sobre la Facultad, recursos y posibilidades vinculadas a la trayectoria curricular, se buscó dar visibilidad a las clases de consulta señaladas en el punto anterior, instando a estudiantes específicos a que pudieran concurrir; se asesoró respecto a los reglamentos y mallas curriculares, ahondando específicamente en la escala de calificaciones y la estructura del Ciclo Inicial y Ciclo Avanzado. A su vez, con el objetivo de promover la afiliación, se realizó un trabajo informativo sobre los recursos y espacios disponibles: la cantina, la fotocopiadora, espacios de intercambio y socialización; asimismo, se transmitió la posibilidad de acercamiento a espacios de asesoramiento de la UAE, y becas del servicio. De manera similar, se brindó orientación acerca de la Udelar, actividades, becas y programas: Espacios de Consulta y Orientación (ECO) desarrollados por el Programa de Respaldo al Aprendizaje (PROGRESA)</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así como las Tutorías Entre Pares (TEP)</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desarrolladas por el mismo Programa. Se difundieron actividades del Servicio Central de Inclusión y Bienestar de la Udelar (SCIBU), en particular aquellas vinculadas a Cultura y Deportes. Finalmente, se realizó el acompañamiento y orientación para la inscripción a becas de SCIBU y del Fondo de Solidaridad.</w:t>
      </w:r>
    </w:p>
    <w:p w:rsidR="00000000" w:rsidDel="00000000" w:rsidP="00000000" w:rsidRDefault="00000000" w:rsidRPr="00000000" w14:paraId="00000083">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tercer lugar, frente a situaciones asociadas a la dimensión socioeconómica, situaciones de salud mental, o barreras en términos de accesibilidad, se realizaron múltiples derivaciones al Espacio de Inclusión Educativa (EIE) de la UAE de Facultad (en total se derivó a 27 estudiantes). Este equipo trabaja en el asesoramiento a docentes y estudiantes, brindando estrategias que favorezcan prácticas inclusivas en FCS. De esta manera, se acompañan las trayectorias de diversos estudiantes, en particular aquellos en situación de discapacidad, con particularidades de lectoescritura u otras situaciones de vulnerabilidad. Para los fines del proyecto, se articuló con el EIE para que desde allí se </w:t>
      </w:r>
      <w:r w:rsidDel="00000000" w:rsidR="00000000" w:rsidRPr="00000000">
        <w:rPr>
          <w:rFonts w:ascii="Times New Roman" w:cs="Times New Roman" w:eastAsia="Times New Roman" w:hAnsi="Times New Roman"/>
          <w:sz w:val="24"/>
          <w:szCs w:val="24"/>
          <w:rtl w:val="0"/>
        </w:rPr>
        <w:t xml:space="preserve">realizaran</w:t>
      </w:r>
      <w:r w:rsidDel="00000000" w:rsidR="00000000" w:rsidRPr="00000000">
        <w:rPr>
          <w:rFonts w:ascii="Times New Roman" w:cs="Times New Roman" w:eastAsia="Times New Roman" w:hAnsi="Times New Roman"/>
          <w:sz w:val="24"/>
          <w:szCs w:val="24"/>
          <w:rtl w:val="0"/>
        </w:rPr>
        <w:t xml:space="preserve"> procesos de acompañamiento sostenidos en el tiempo con estudiantes que </w:t>
      </w:r>
      <w:r w:rsidDel="00000000" w:rsidR="00000000" w:rsidRPr="00000000">
        <w:rPr>
          <w:rFonts w:ascii="Times New Roman" w:cs="Times New Roman" w:eastAsia="Times New Roman" w:hAnsi="Times New Roman"/>
          <w:sz w:val="24"/>
          <w:szCs w:val="24"/>
          <w:rtl w:val="0"/>
        </w:rPr>
        <w:t xml:space="preserve">requiriesen</w:t>
      </w:r>
      <w:r w:rsidDel="00000000" w:rsidR="00000000" w:rsidRPr="00000000">
        <w:rPr>
          <w:rFonts w:ascii="Times New Roman" w:cs="Times New Roman" w:eastAsia="Times New Roman" w:hAnsi="Times New Roman"/>
          <w:sz w:val="24"/>
          <w:szCs w:val="24"/>
          <w:rtl w:val="0"/>
        </w:rPr>
        <w:t xml:space="preserve"> intervenciones más allá de los plazos del Proyecto (por ejemplo, frente a situaciones de salud mental). Asimismo, el EIE ofició como nexo con otros programas que </w:t>
      </w:r>
      <w:r w:rsidDel="00000000" w:rsidR="00000000" w:rsidRPr="00000000">
        <w:rPr>
          <w:rFonts w:ascii="Times New Roman" w:cs="Times New Roman" w:eastAsia="Times New Roman" w:hAnsi="Times New Roman"/>
          <w:sz w:val="24"/>
          <w:szCs w:val="24"/>
          <w:rtl w:val="0"/>
        </w:rPr>
        <w:t xml:space="preserve">contribuy</w:t>
      </w:r>
      <w:r w:rsidDel="00000000" w:rsidR="00000000" w:rsidRPr="00000000">
        <w:rPr>
          <w:rFonts w:ascii="Times New Roman" w:cs="Times New Roman" w:eastAsia="Times New Roman" w:hAnsi="Times New Roman"/>
          <w:sz w:val="24"/>
          <w:szCs w:val="24"/>
          <w:rtl w:val="0"/>
        </w:rPr>
        <w:t xml:space="preserve">en a las trayectorias de los/as estudiantes, y como referente para el acompañamiento en la postulación a becas.</w:t>
      </w:r>
    </w:p>
    <w:p w:rsidR="00000000" w:rsidDel="00000000" w:rsidP="00000000" w:rsidRDefault="00000000" w:rsidRPr="00000000" w14:paraId="00000084">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 lo desarrollado, la Tabla 2 sistematiza las principales intervenciones focalizadas desplegadas por el equipo, distinguiendo el tipo de acción, su orientación dentro del dispositivo de acompañamiento y la cantidad de estudiantes alcanzados en cada caso.</w:t>
      </w:r>
    </w:p>
    <w:p w:rsidR="00000000" w:rsidDel="00000000" w:rsidP="00000000" w:rsidRDefault="00000000" w:rsidRPr="00000000" w14:paraId="00000085">
      <w:pPr>
        <w:spacing w:after="2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Tabla 2. Intervenciones focalizadas desplegadas por el equipo de intervención según tipo de acción y cantidad de estudiantes alcanzados </w:t>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4725"/>
        <w:gridCol w:w="1275"/>
        <w:tblGridChange w:id="0">
          <w:tblGrid>
            <w:gridCol w:w="3000"/>
            <w:gridCol w:w="4725"/>
            <w:gridCol w:w="12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Tipo de intervención/ asesoramiento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Orientación de la acción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Cantidad de estudiantes</w:t>
            </w:r>
          </w:p>
          <w:p w:rsidR="00000000" w:rsidDel="00000000" w:rsidP="00000000" w:rsidRDefault="00000000" w:rsidRPr="00000000" w14:paraId="00000089">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10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Orientación sobre FCS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Asesoramiento sobre malla curricular, estructura del Ciclo Inicial y Ciclo Avanzado, reglamentos, escala de calificaciones, clases de consulta, espacios de referencia y recursos disponibles.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Cambios de horario gestionados por el equipo de intervención y docentes referentes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Cambios de horario en articulación con el equipo docente.</w:t>
            </w:r>
          </w:p>
          <w:p w:rsidR="00000000" w:rsidDel="00000000" w:rsidP="00000000" w:rsidRDefault="00000000" w:rsidRPr="00000000" w14:paraId="0000008F">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31</w:t>
            </w:r>
          </w:p>
        </w:tc>
      </w:tr>
      <w:tr>
        <w:trPr>
          <w:cantSplit w:val="0"/>
          <w:trHeight w:val="1073.8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Derivaciones al Espacio de Inclusión Educativa de la UAE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Articulación para el acompañamiento de situaciones vinculadas a accesibilidad, salud mental, discapacidad, dificultades de lectoescritura u otras situaciones que requerían seguimiento específico.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Orientación sobre Udelar, recursos y programas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Información y acompañamiento respecto a becas, programas centrales, PROGRESA, Tutorías Entre Pares, Espacios de Consulta y Orientación, SCIBU y otros recursos universitarios.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w:t>
            </w:r>
          </w:p>
        </w:tc>
      </w:tr>
    </w:tbl>
    <w:p w:rsidR="00000000" w:rsidDel="00000000" w:rsidP="00000000" w:rsidRDefault="00000000" w:rsidRPr="00000000" w14:paraId="00000097">
      <w:pPr>
        <w:spacing w:after="200" w:before="200" w:line="36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Fuente:</w:t>
      </w:r>
      <w:r w:rsidDel="00000000" w:rsidR="00000000" w:rsidRPr="00000000">
        <w:rPr>
          <w:rFonts w:ascii="Times New Roman" w:cs="Times New Roman" w:eastAsia="Times New Roman" w:hAnsi="Times New Roman"/>
          <w:sz w:val="16"/>
          <w:szCs w:val="16"/>
          <w:rtl w:val="0"/>
        </w:rPr>
        <w:t xml:space="preserve"> Elaboración propia.</w:t>
      </w:r>
    </w:p>
    <w:p w:rsidR="00000000" w:rsidDel="00000000" w:rsidP="00000000" w:rsidRDefault="00000000" w:rsidRPr="00000000" w14:paraId="00000098">
      <w:pPr>
        <w:spacing w:before="0" w:lineRule="auto"/>
        <w:rPr/>
      </w:pPr>
      <w:r w:rsidDel="00000000" w:rsidR="00000000" w:rsidRPr="00000000">
        <w:rPr>
          <w:rtl w:val="0"/>
        </w:rPr>
        <w:t xml:space="preserve">En síntesis, el proceso de intervención descrito permitió relevar una diversidad de situaciones que inciden en la continuidad de los estudios y desplegar, frente a ellas, un dispositivo que combinó intervenciones generales y otras focalizadas, ajustadas a las posibilidades de cada estudiante. La experiencia puso de manifiesto el carácter multidimensional de las dificultades que enfrentan los/as estudiantes en el inicio de su trayectoria.</w:t>
      </w:r>
    </w:p>
    <w:p w:rsidR="00000000" w:rsidDel="00000000" w:rsidP="00000000" w:rsidRDefault="00000000" w:rsidRPr="00000000" w14:paraId="00000099">
      <w:pPr>
        <w:spacing w:after="200" w:before="200" w:line="240" w:lineRule="auto"/>
        <w:jc w:val="both"/>
        <w:rPr>
          <w:rFonts w:ascii="Times New Roman" w:cs="Times New Roman" w:eastAsia="Times New Roman" w:hAnsi="Times New Roman"/>
          <w:b w:val="1"/>
          <w:bCs w:val="1"/>
          <w:color w:val="073763"/>
          <w:sz w:val="24"/>
          <w:szCs w:val="24"/>
        </w:rPr>
      </w:pPr>
      <w:r w:rsidDel="00000000" w:rsidR="00000000" w:rsidRPr="00000000">
        <w:rPr>
          <w:rFonts w:ascii="Times New Roman" w:cs="Times New Roman" w:eastAsia="Times New Roman" w:hAnsi="Times New Roman"/>
          <w:b w:val="1"/>
          <w:bCs w:val="1"/>
          <w:color w:val="073763"/>
          <w:sz w:val="24"/>
          <w:szCs w:val="24"/>
          <w:rtl w:val="0"/>
        </w:rPr>
        <w:t xml:space="preserve">Conclusiones</w:t>
      </w:r>
    </w:p>
    <w:p w:rsidR="00000000" w:rsidDel="00000000" w:rsidP="00000000" w:rsidRDefault="00000000" w:rsidRPr="00000000" w14:paraId="0000009A">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experiencia desarrollada en la FCS permite reafirmar que la permanencia estudiantil constituye una dimensión central de la democratización universitaria. En contextos de ampliación del acceso, las instituciones universitarias tienen el desafío y la responsabilidad de construir condiciones que posibiliten la continuidad de trayectorias estudiantiles heterogéneas. En este sentido, el proyecto permitió avanzar en la identificación temprana de estudiantes en riesgo de desvinculación y en el despliegue de respuestas institucionales orientadas a acompañar sus trayectorias.</w:t>
      </w:r>
    </w:p>
    <w:p w:rsidR="00000000" w:rsidDel="00000000" w:rsidP="00000000" w:rsidRDefault="00000000" w:rsidRPr="00000000" w14:paraId="0000009B">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Uno de los principales hallazgos del proceso fue el carácter multidimensional de las dificultades que enfrentan los y las estudiantes durante el inicio de la vida universitaria. Las situaciones relevadas muestran que la continuidad en los cursos no depende únicamente de la disposición individual, las capacidades académicas o del rendimiento en las evaluaciones. Por el contrario, se configura en la intersección entre las exigencias del cursado y las condiciones concretas de vida: responsabilidades laborales y de cuidado, dificultades económicas y de transporte, situaciones de salud, barreras de accesibilidad, dudas vocacionales y problemas de adaptación a las dinámicas institucionales y académicas.</w:t>
      </w:r>
    </w:p>
    <w:p w:rsidR="00000000" w:rsidDel="00000000" w:rsidP="00000000" w:rsidRDefault="00000000" w:rsidRPr="00000000" w14:paraId="0000009C">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marco, el Sistema de Alertas Tempranas (SAT) permitió habilitar una instancia de acercamiento institucional. Las alertas permitieron priorizar situaciones, establecer contacto con los y las estudiantes, conocer las dificultades que atravesaban y construir respuestas ajustadas a cada caso. La experiencia mostró, asimismo, que la comunicación constituye una dimensión sustantiva de la intervención: quienes presentan mayores dificultades para sostener el cursado pueden también encontrar mayores obstáculos para responder a los canales institucionales habituales. Por ello, el contacto reiterado, por distintas vías y en diferentes horarios, debe ser entendido como parte constitutiva de cualquier proyecto orientado a la retención estudiantil.</w:t>
      </w:r>
    </w:p>
    <w:p w:rsidR="00000000" w:rsidDel="00000000" w:rsidP="00000000" w:rsidRDefault="00000000" w:rsidRPr="00000000" w14:paraId="0000009D">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intervenciones desplegadas evidenciaron la importancia de combinar respuestas generales, dirigidas al conjunto del estudiantado, con acciones focalizadas construidas a partir de las situaciones particulares. La orientación curricular, los cambios de horario, la información sobre recursos y programas universitarios, las clases de apoyo y las derivaciones a espacios especializados constituyeron estrategias valiosas para atender a diversos obstáculos. No obstante, estas acciones también permiten advertir que una parte significativa de las dificultades identificadas excede las posibilidades de resolución de un equipo de intervención acotado, o proyecto puntual, y requiere políticas de largo aliento, sostenidas en el tiempo, con presupuesto específico y articulaciones amplias entre todos los actores universitarios y no universitarios.</w:t>
      </w:r>
    </w:p>
    <w:p w:rsidR="00000000" w:rsidDel="00000000" w:rsidP="00000000" w:rsidRDefault="00000000" w:rsidRPr="00000000" w14:paraId="0000009E">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sentido, uno de los principales desafíos que plantea esta experiencia consiste en avanzar desde intervenciones desarrolladas en el marco de un proyecto específico hacia políticas institucionales sostenidas de acompañamiento a las trayectorias iniciales. Esto implica fortalecer y mejorar los mecanismos de detección temprana y emisión de alerta, consolidar canales de comunicación cercanos con el estudiantado, y revisar aquellas condiciones curriculares, organizativas y pedagógicas que pueden obstaculizar la permanencia.</w:t>
      </w:r>
    </w:p>
    <w:p w:rsidR="00000000" w:rsidDel="00000000" w:rsidP="00000000" w:rsidRDefault="00000000" w:rsidRPr="00000000" w14:paraId="0000009F">
      <w:pPr>
        <w:spacing w:after="200" w:line="240" w:lineRule="auto"/>
        <w:jc w:val="both"/>
        <w:rPr>
          <w:rFonts w:ascii="Times New Roman" w:cs="Times New Roman" w:eastAsia="Times New Roman" w:hAnsi="Times New Roman"/>
          <w:b w:val="1"/>
          <w:bCs w:val="1"/>
          <w:color w:val="073763"/>
          <w:sz w:val="24"/>
          <w:szCs w:val="24"/>
        </w:rPr>
      </w:pPr>
      <w:r w:rsidDel="00000000" w:rsidR="00000000" w:rsidRPr="00000000">
        <w:rPr>
          <w:rFonts w:ascii="Times New Roman" w:cs="Times New Roman" w:eastAsia="Times New Roman" w:hAnsi="Times New Roman"/>
          <w:b w:val="1"/>
          <w:bCs w:val="1"/>
          <w:color w:val="073763"/>
          <w:sz w:val="24"/>
          <w:szCs w:val="24"/>
          <w:rtl w:val="0"/>
        </w:rPr>
        <w:t xml:space="preserve">Referencias bibliográficas</w:t>
      </w:r>
    </w:p>
    <w:p w:rsidR="00000000" w:rsidDel="00000000" w:rsidP="00000000" w:rsidRDefault="00000000" w:rsidRPr="00000000" w14:paraId="000000A0">
      <w:pPr>
        <w:spacing w:after="200" w:line="240" w:lineRule="auto"/>
        <w:ind w:left="566.929133858267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Berger, J. B., y Lyon, M. A.</w:t>
      </w:r>
      <w:r w:rsidDel="00000000" w:rsidR="00000000" w:rsidRPr="00000000">
        <w:rPr>
          <w:rFonts w:ascii="Times New Roman" w:cs="Times New Roman" w:eastAsia="Times New Roman" w:hAnsi="Times New Roman"/>
          <w:sz w:val="24"/>
          <w:szCs w:val="24"/>
          <w:rtl w:val="0"/>
        </w:rPr>
        <w:t xml:space="preserve"> (2012)</w:t>
      </w:r>
      <w:r w:rsidDel="00000000" w:rsidR="00000000" w:rsidRPr="00000000">
        <w:rPr>
          <w:rFonts w:ascii="Times New Roman" w:cs="Times New Roman" w:eastAsia="Times New Roman" w:hAnsi="Times New Roman"/>
          <w:sz w:val="24"/>
          <w:szCs w:val="24"/>
          <w:rtl w:val="0"/>
        </w:rPr>
        <w:t xml:space="preserve">. Past to present: A historical look at retention. En A. Seidman (Ed.), College student retention: Formula for student success (pp. 1–29). Praeger Publishers.</w:t>
      </w:r>
    </w:p>
    <w:p w:rsidR="00000000" w:rsidDel="00000000" w:rsidP="00000000" w:rsidRDefault="00000000" w:rsidRPr="00000000" w14:paraId="000000A1">
      <w:pPr>
        <w:shd w:fill="ffffff" w:val="clear"/>
        <w:spacing w:after="200" w:before="240" w:line="240" w:lineRule="auto"/>
        <w:ind w:left="566.929133858267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Chiarino, N., Rodríguez Enríquez, C., Curione, K., Machado, A., Bonilla, M., Aspirot, L., Garófalo, L. y Olivera, B. (2024). “Abandono y permanencia estudiantil en universidades de Latinoamérica y el Caribe: Una revisión sistemática mixta”. [Manuscrito enviado para su publicación]. </w:t>
      </w:r>
      <w:r w:rsidDel="00000000" w:rsidR="00000000" w:rsidRPr="00000000">
        <w:rPr>
          <w:rFonts w:ascii="Times New Roman" w:cs="Times New Roman" w:eastAsia="Times New Roman" w:hAnsi="Times New Roman"/>
          <w:i w:val="1"/>
          <w:iCs w:val="1"/>
          <w:sz w:val="24"/>
          <w:szCs w:val="24"/>
          <w:highlight w:val="white"/>
          <w:rtl w:val="0"/>
        </w:rPr>
        <w:t xml:space="preserve">Actualidades Investigativas en Educación</w:t>
      </w:r>
      <w:r w:rsidDel="00000000" w:rsidR="00000000" w:rsidRPr="00000000">
        <w:rPr>
          <w:rFonts w:ascii="Times New Roman" w:cs="Times New Roman" w:eastAsia="Times New Roman" w:hAnsi="Times New Roman"/>
          <w:sz w:val="24"/>
          <w:szCs w:val="24"/>
          <w:highlight w:val="white"/>
          <w:rtl w:val="0"/>
        </w:rPr>
        <w:t xml:space="preserve">, 24(2), 1-37. https://doi. org/10.15517/aie.v24i2.57306</w:t>
      </w:r>
      <w:r w:rsidDel="00000000" w:rsidR="00000000" w:rsidRPr="00000000">
        <w:rPr>
          <w:rtl w:val="0"/>
        </w:rPr>
      </w:r>
    </w:p>
    <w:p w:rsidR="00000000" w:rsidDel="00000000" w:rsidP="00000000" w:rsidRDefault="00000000" w:rsidRPr="00000000" w14:paraId="000000A2">
      <w:pPr>
        <w:shd w:fill="ffffff" w:val="clear"/>
        <w:spacing w:after="200" w:before="240" w:line="240" w:lineRule="auto"/>
        <w:ind w:left="566.929133858267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Coulon, A. (1993). </w:t>
      </w:r>
      <w:r w:rsidDel="00000000" w:rsidR="00000000" w:rsidRPr="00000000">
        <w:rPr>
          <w:rFonts w:ascii="Times New Roman" w:cs="Times New Roman" w:eastAsia="Times New Roman" w:hAnsi="Times New Roman"/>
          <w:i w:val="1"/>
          <w:iCs w:val="1"/>
          <w:sz w:val="24"/>
          <w:szCs w:val="24"/>
          <w:highlight w:val="white"/>
          <w:rtl w:val="0"/>
        </w:rPr>
        <w:t xml:space="preserve">Etnometodología y Educación. Paidós.</w:t>
      </w:r>
      <w:r w:rsidDel="00000000" w:rsidR="00000000" w:rsidRPr="00000000">
        <w:rPr>
          <w:rFonts w:ascii="Times New Roman" w:cs="Times New Roman" w:eastAsia="Times New Roman" w:hAnsi="Times New Roman"/>
          <w:sz w:val="24"/>
          <w:szCs w:val="24"/>
          <w:highlight w:val="white"/>
          <w:rtl w:val="0"/>
        </w:rPr>
        <w:t xml:space="preserve"> Buenos Aires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3">
      <w:pPr>
        <w:shd w:fill="ffffff" w:val="clear"/>
        <w:spacing w:after="240" w:before="240" w:line="240" w:lineRule="auto"/>
        <w:ind w:left="566.9291338582677" w:hanging="566.929133858267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 Valle, D., Suasnábar, C., y Montero, F. (2016) Perspectivas y debates en torno a la universidad como derecho en la región. En D. Del Valle, F. Montero y S. Mauro (Comps.), El derecho a la Universidad en perspectiva regional (1.ª ed., pp. 37-61). IEC-CONADU; CLACSO.</w:t>
      </w:r>
    </w:p>
    <w:p w:rsidR="00000000" w:rsidDel="00000000" w:rsidP="00000000" w:rsidRDefault="00000000" w:rsidRPr="00000000" w14:paraId="000000A4">
      <w:pPr>
        <w:shd w:fill="ffffff" w:val="clear"/>
        <w:spacing w:after="200" w:before="240" w:line="240" w:lineRule="auto"/>
        <w:ind w:left="566.929133858267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Ezcurra, A. (2011). </w:t>
      </w:r>
      <w:r w:rsidDel="00000000" w:rsidR="00000000" w:rsidRPr="00000000">
        <w:rPr>
          <w:rFonts w:ascii="Times New Roman" w:cs="Times New Roman" w:eastAsia="Times New Roman" w:hAnsi="Times New Roman"/>
          <w:i w:val="1"/>
          <w:iCs w:val="1"/>
          <w:sz w:val="24"/>
          <w:szCs w:val="24"/>
          <w:highlight w:val="white"/>
          <w:rtl w:val="0"/>
        </w:rPr>
        <w:t xml:space="preserve">Igualdad en Educación Superior. Un desafío mundial</w:t>
      </w:r>
      <w:r w:rsidDel="00000000" w:rsidR="00000000" w:rsidRPr="00000000">
        <w:rPr>
          <w:rFonts w:ascii="Times New Roman" w:cs="Times New Roman" w:eastAsia="Times New Roman" w:hAnsi="Times New Roman"/>
          <w:sz w:val="24"/>
          <w:szCs w:val="24"/>
          <w:highlight w:val="white"/>
          <w:rtl w:val="0"/>
        </w:rPr>
        <w:t xml:space="preserve">. Universidad General Sarmiento, Argentina.</w:t>
      </w:r>
    </w:p>
    <w:p w:rsidR="00000000" w:rsidDel="00000000" w:rsidP="00000000" w:rsidRDefault="00000000" w:rsidRPr="00000000" w14:paraId="000000A5">
      <w:pPr>
        <w:shd w:fill="ffffff" w:val="clear"/>
        <w:spacing w:after="200" w:before="240" w:line="240" w:lineRule="auto"/>
        <w:ind w:left="566.929133858267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Fernández, T. y Cardozo, S. (2014). “Educación Superior y persistencia al cabo del primer año en Uruguay. Un estudio longitudinal con base en la cohorte de estudiantes evaluados por PISA 2003”. </w:t>
      </w:r>
      <w:r w:rsidDel="00000000" w:rsidR="00000000" w:rsidRPr="00000000">
        <w:rPr>
          <w:rFonts w:ascii="Times New Roman" w:cs="Times New Roman" w:eastAsia="Times New Roman" w:hAnsi="Times New Roman"/>
          <w:i w:val="1"/>
          <w:iCs w:val="1"/>
          <w:sz w:val="24"/>
          <w:szCs w:val="24"/>
          <w:highlight w:val="white"/>
          <w:rtl w:val="0"/>
        </w:rPr>
        <w:t xml:space="preserve">Páginas De Educación</w:t>
      </w:r>
      <w:r w:rsidDel="00000000" w:rsidR="00000000" w:rsidRPr="00000000">
        <w:rPr>
          <w:rFonts w:ascii="Times New Roman" w:cs="Times New Roman" w:eastAsia="Times New Roman" w:hAnsi="Times New Roman"/>
          <w:sz w:val="24"/>
          <w:szCs w:val="24"/>
          <w:highlight w:val="white"/>
          <w:rtl w:val="0"/>
        </w:rPr>
        <w:t xml:space="preserve">, 7(1), 103–128.</w:t>
      </w:r>
    </w:p>
    <w:p w:rsidR="00000000" w:rsidDel="00000000" w:rsidP="00000000" w:rsidRDefault="00000000" w:rsidRPr="00000000" w14:paraId="000000A6">
      <w:pPr>
        <w:spacing w:after="200" w:line="240" w:lineRule="auto"/>
        <w:ind w:left="566.929133858267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García Rey, M (coord.). (2025.). Informe final de proyecto. Nuevas estrategias para la retención de estudiantes en etapas iniciales </w:t>
      </w:r>
      <w:r w:rsidDel="00000000" w:rsidR="00000000" w:rsidRPr="00000000">
        <w:rPr>
          <w:rFonts w:ascii="Times New Roman" w:cs="Times New Roman" w:eastAsia="Times New Roman" w:hAnsi="Times New Roman"/>
          <w:sz w:val="24"/>
          <w:szCs w:val="24"/>
          <w:highlight w:val="white"/>
          <w:rtl w:val="0"/>
        </w:rPr>
        <w:t xml:space="preserve">de Facultad</w:t>
      </w:r>
      <w:r w:rsidDel="00000000" w:rsidR="00000000" w:rsidRPr="00000000">
        <w:rPr>
          <w:rFonts w:ascii="Times New Roman" w:cs="Times New Roman" w:eastAsia="Times New Roman" w:hAnsi="Times New Roman"/>
          <w:sz w:val="24"/>
          <w:szCs w:val="24"/>
          <w:highlight w:val="white"/>
          <w:rtl w:val="0"/>
        </w:rPr>
        <w:t xml:space="preserve"> de Ciencias Sociales (FCS): combinando cambios de diseño curricular con intervenciones personalizadas. Udelar. FCS.</w:t>
      </w:r>
    </w:p>
    <w:p w:rsidR="00000000" w:rsidDel="00000000" w:rsidP="00000000" w:rsidRDefault="00000000" w:rsidRPr="00000000" w14:paraId="000000A7">
      <w:pPr>
        <w:spacing w:after="200" w:line="240" w:lineRule="auto"/>
        <w:ind w:left="566.929133858267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Greco, M. y Nicastro, S. (2012). </w:t>
      </w:r>
      <w:r w:rsidDel="00000000" w:rsidR="00000000" w:rsidRPr="00000000">
        <w:rPr>
          <w:rFonts w:ascii="Times New Roman" w:cs="Times New Roman" w:eastAsia="Times New Roman" w:hAnsi="Times New Roman"/>
          <w:i w:val="1"/>
          <w:iCs w:val="1"/>
          <w:sz w:val="24"/>
          <w:szCs w:val="24"/>
          <w:highlight w:val="white"/>
          <w:rtl w:val="0"/>
        </w:rPr>
        <w:t xml:space="preserve">Entre trayectorias: escenas y pensamientos en espacios de formación.</w:t>
      </w:r>
      <w:r w:rsidDel="00000000" w:rsidR="00000000" w:rsidRPr="00000000">
        <w:rPr>
          <w:rFonts w:ascii="Times New Roman" w:cs="Times New Roman" w:eastAsia="Times New Roman" w:hAnsi="Times New Roman"/>
          <w:sz w:val="24"/>
          <w:szCs w:val="24"/>
          <w:highlight w:val="white"/>
          <w:rtl w:val="0"/>
        </w:rPr>
        <w:t xml:space="preserve"> Rosario, Argentina: Homo Sapiens.</w:t>
      </w:r>
    </w:p>
    <w:p w:rsidR="00000000" w:rsidDel="00000000" w:rsidP="00000000" w:rsidRDefault="00000000" w:rsidRPr="00000000" w14:paraId="000000A8">
      <w:pPr>
        <w:spacing w:after="200" w:line="240" w:lineRule="auto"/>
        <w:ind w:left="566.929133858267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Lucarelli, E., Finkelstein, C., &amp; Solberg, V. (2015). Una mirada actual del asesor pedagógico universitario: escenarios y trayectos. En E. Lucarelli (Ed.), </w:t>
      </w:r>
      <w:r w:rsidDel="00000000" w:rsidR="00000000" w:rsidRPr="00000000">
        <w:rPr>
          <w:rFonts w:ascii="Times New Roman" w:cs="Times New Roman" w:eastAsia="Times New Roman" w:hAnsi="Times New Roman"/>
          <w:i w:val="1"/>
          <w:iCs w:val="1"/>
          <w:sz w:val="24"/>
          <w:szCs w:val="24"/>
          <w:highlight w:val="white"/>
          <w:rtl w:val="0"/>
        </w:rPr>
        <w:t xml:space="preserve">Universidad y asesoramiento pedagógico</w:t>
      </w:r>
      <w:r w:rsidDel="00000000" w:rsidR="00000000" w:rsidRPr="00000000">
        <w:rPr>
          <w:rFonts w:ascii="Times New Roman" w:cs="Times New Roman" w:eastAsia="Times New Roman" w:hAnsi="Times New Roman"/>
          <w:sz w:val="24"/>
          <w:szCs w:val="24"/>
          <w:highlight w:val="white"/>
          <w:rtl w:val="0"/>
        </w:rPr>
        <w:t xml:space="preserve"> (pp. 21-64). Editorial de la Universidad Nacional de La Plata (EDULP). </w:t>
      </w:r>
    </w:p>
    <w:p w:rsidR="00000000" w:rsidDel="00000000" w:rsidP="00000000" w:rsidRDefault="00000000" w:rsidRPr="00000000" w14:paraId="000000A9">
      <w:pPr>
        <w:spacing w:after="200" w:line="240" w:lineRule="auto"/>
        <w:ind w:left="566.929133858267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Pierella, M. P. (2014). El ingreso a la universidad pública: diversificación de la experiencia estudiantil y procesos de afiliación a la vida institucional. </w:t>
      </w:r>
      <w:r w:rsidDel="00000000" w:rsidR="00000000" w:rsidRPr="00000000">
        <w:rPr>
          <w:rFonts w:ascii="Times New Roman" w:cs="Times New Roman" w:eastAsia="Times New Roman" w:hAnsi="Times New Roman"/>
          <w:i w:val="1"/>
          <w:iCs w:val="1"/>
          <w:sz w:val="24"/>
          <w:szCs w:val="24"/>
          <w:highlight w:val="white"/>
          <w:rtl w:val="0"/>
        </w:rPr>
        <w:t xml:space="preserve">Universidades</w:t>
      </w:r>
      <w:r w:rsidDel="00000000" w:rsidR="00000000" w:rsidRPr="00000000">
        <w:rPr>
          <w:rFonts w:ascii="Times New Roman" w:cs="Times New Roman" w:eastAsia="Times New Roman" w:hAnsi="Times New Roman"/>
          <w:sz w:val="24"/>
          <w:szCs w:val="24"/>
          <w:highlight w:val="white"/>
          <w:rtl w:val="0"/>
        </w:rPr>
        <w:t xml:space="preserve">, (60), 51-62.</w:t>
      </w:r>
    </w:p>
    <w:p w:rsidR="00000000" w:rsidDel="00000000" w:rsidP="00000000" w:rsidRDefault="00000000" w:rsidRPr="00000000" w14:paraId="000000AA">
      <w:pPr>
        <w:spacing w:after="200" w:line="240" w:lineRule="auto"/>
        <w:ind w:left="566.929133858267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Pogré, P., De Gatica, A., García, A.L., Krichesky, G., Poliak, N., Romero, M.M. y Charovsky, M.M. (2018). Repensando los dispositivos y estrategias para acompañar el inicio de la educación superior. En Pogré, P., De Gatica, A. y Krichesky, G. (Comp.).</w:t>
      </w:r>
      <w:r w:rsidDel="00000000" w:rsidR="00000000" w:rsidRPr="00000000">
        <w:rPr>
          <w:rFonts w:ascii="Times New Roman" w:cs="Times New Roman" w:eastAsia="Times New Roman" w:hAnsi="Times New Roman"/>
          <w:i w:val="1"/>
          <w:iCs w:val="1"/>
          <w:sz w:val="24"/>
          <w:szCs w:val="24"/>
          <w:highlight w:val="white"/>
          <w:rtl w:val="0"/>
        </w:rPr>
        <w:t xml:space="preserve"> Los inicios de la vida universitaria: políticas, prácticas y estrategias para garantizar el derecho a la educación superior</w:t>
      </w:r>
      <w:r w:rsidDel="00000000" w:rsidR="00000000" w:rsidRPr="00000000">
        <w:rPr>
          <w:rFonts w:ascii="Times New Roman" w:cs="Times New Roman" w:eastAsia="Times New Roman" w:hAnsi="Times New Roman"/>
          <w:sz w:val="24"/>
          <w:szCs w:val="24"/>
          <w:highlight w:val="white"/>
          <w:rtl w:val="0"/>
        </w:rPr>
        <w:t xml:space="preserve"> (pp. 39-68).</w:t>
      </w:r>
    </w:p>
    <w:p w:rsidR="00000000" w:rsidDel="00000000" w:rsidP="00000000" w:rsidRDefault="00000000" w:rsidRPr="00000000" w14:paraId="000000AB">
      <w:pPr>
        <w:spacing w:after="200" w:line="240" w:lineRule="auto"/>
        <w:ind w:left="566.929133858267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Sotelo, L (2024). Los inicios a la vida universitaria. Un campo de estudio en construcción. En: https:/ </w:t>
      </w:r>
      <w:hyperlink r:id="rId12">
        <w:r w:rsidDel="00000000" w:rsidR="00000000" w:rsidRPr="00000000">
          <w:rPr>
            <w:rFonts w:ascii="Times New Roman" w:cs="Times New Roman" w:eastAsia="Times New Roman" w:hAnsi="Times New Roman"/>
            <w:sz w:val="24"/>
            <w:szCs w:val="24"/>
            <w:u w:val="single"/>
            <w:rtl w:val="0"/>
          </w:rPr>
          <w:t xml:space="preserve">journalacademy.net/index.php/revista/article/view/228/236</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C">
      <w:pPr>
        <w:spacing w:after="200" w:line="240" w:lineRule="auto"/>
        <w:ind w:left="566.929133858267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Swail, W., Redd, K., y Perna, L. (2003). Retaining minority students in higher education: A framework for success. ASHE-ERIC Higher Education Report. Jossey-Bass San Francisco: Market Street.</w:t>
      </w:r>
    </w:p>
    <w:p w:rsidR="00000000" w:rsidDel="00000000" w:rsidP="00000000" w:rsidRDefault="00000000" w:rsidRPr="00000000" w14:paraId="000000AD">
      <w:pPr>
        <w:spacing w:after="200" w:line="240" w:lineRule="auto"/>
        <w:ind w:left="566.929133858267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UAE (2023). Datos de enseñanza. Disponible en: </w:t>
      </w:r>
      <w:hyperlink r:id="rId13">
        <w:r w:rsidDel="00000000" w:rsidR="00000000" w:rsidRPr="00000000">
          <w:rPr>
            <w:rFonts w:ascii="Times New Roman" w:cs="Times New Roman" w:eastAsia="Times New Roman" w:hAnsi="Times New Roman"/>
            <w:sz w:val="24"/>
            <w:szCs w:val="24"/>
            <w:u w:val="single"/>
            <w:rtl w:val="0"/>
          </w:rPr>
          <w:t xml:space="preserve">Unidad de Asesoramiento y Evaluación –Facultad de Ciencias Sociales</w:t>
        </w:r>
      </w:hyperlink>
      <w:r w:rsidDel="00000000" w:rsidR="00000000" w:rsidRPr="00000000">
        <w:rPr>
          <w:rtl w:val="0"/>
        </w:rPr>
      </w:r>
    </w:p>
    <w:p w:rsidR="00000000" w:rsidDel="00000000" w:rsidP="00000000" w:rsidRDefault="00000000" w:rsidRPr="00000000" w14:paraId="000000AE">
      <w:pPr>
        <w:spacing w:after="200" w:line="360" w:lineRule="auto"/>
        <w:ind w:left="566.929133858267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Tinto, V. (1987). Definir la deserción: una cuestión de perspectiva. Revista de Educación Superior,</w:t>
      </w:r>
      <w:r w:rsidDel="00000000" w:rsidR="00000000" w:rsidRPr="00000000">
        <w:rPr>
          <w:rFonts w:ascii="Times New Roman" w:cs="Times New Roman" w:eastAsia="Times New Roman" w:hAnsi="Times New Roman"/>
          <w:sz w:val="24"/>
          <w:szCs w:val="24"/>
          <w:rtl w:val="0"/>
        </w:rPr>
        <w:t xml:space="preserve"> 18 (71), 33-51.</w:t>
      </w:r>
      <w:r w:rsidDel="00000000" w:rsidR="00000000" w:rsidRPr="00000000">
        <w:rPr>
          <w:rtl w:val="0"/>
        </w:rPr>
      </w:r>
    </w:p>
    <w:sectPr>
      <w:headerReference r:id="rId14" w:type="default"/>
      <w:footerReference r:id="rId15"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tabs>
        <w:tab w:val="center" w:leader="none" w:pos="4252"/>
        <w:tab w:val="right" w:leader="none" w:pos="8504"/>
      </w:tabs>
      <w:spacing w:line="240" w:lineRule="auto"/>
      <w:rPr/>
    </w:pPr>
    <w:r w:rsidDel="00000000" w:rsidR="00000000" w:rsidRPr="00000000">
      <w:rPr>
        <w:rFonts w:ascii="Calibri" w:cs="Calibri" w:eastAsia="Calibri" w:hAnsi="Calibri"/>
        <w:sz w:val="24"/>
        <w:szCs w:val="24"/>
      </w:rPr>
      <w:drawing>
        <wp:inline distB="0" distT="0" distL="0" distR="0">
          <wp:extent cx="5400040" cy="428625"/>
          <wp:effectExtent b="0" l="0" r="0" t="0"/>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2">
    <w:p w:rsidR="00000000" w:rsidDel="00000000" w:rsidP="00000000" w:rsidRDefault="00000000" w:rsidRPr="00000000" w14:paraId="000000B1">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Estas categorías emergentes, se identifican en la tabla con la letra (E) y entre ellas se encuentran: i) superposición de horario de trabajo u otro con los cursos, ii) incompatibilidad de la rutina con la carga horaria de clases, iii) dificultades en el transporte y iv) dificultades con la presencialidad.</w:t>
      </w:r>
    </w:p>
    <w:p w:rsidR="00000000" w:rsidDel="00000000" w:rsidP="00000000" w:rsidRDefault="00000000" w:rsidRPr="00000000" w14:paraId="000000B2">
      <w:pPr>
        <w:spacing w:line="240" w:lineRule="auto"/>
        <w:jc w:val="both"/>
        <w:rPr>
          <w:sz w:val="20"/>
          <w:szCs w:val="20"/>
        </w:rPr>
      </w:pPr>
      <w:r w:rsidDel="00000000" w:rsidR="00000000" w:rsidRPr="00000000">
        <w:rPr>
          <w:rtl w:val="0"/>
        </w:rPr>
      </w:r>
    </w:p>
  </w:footnote>
  <w:footnote w:id="3">
    <w:p w:rsidR="00000000" w:rsidDel="00000000" w:rsidP="00000000" w:rsidRDefault="00000000" w:rsidRPr="00000000" w14:paraId="000000B3">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 su vez, este mecanismo permitió dar respuesta a solicitudes de cambio a cursos en modalidad virtual o, en algunos casos, cambios de docentes.</w:t>
      </w:r>
    </w:p>
  </w:footnote>
  <w:footnote w:id="4">
    <w:p w:rsidR="00000000" w:rsidDel="00000000" w:rsidP="00000000" w:rsidRDefault="00000000" w:rsidRPr="00000000" w14:paraId="000000B4">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En el marco del Proyecto, los/as estudiantes podían anotarse en listas de otros horarios para gestionar su cambio de grupo.</w:t>
      </w:r>
    </w:p>
  </w:footnote>
  <w:footnote w:id="5">
    <w:p w:rsidR="00000000" w:rsidDel="00000000" w:rsidP="00000000" w:rsidRDefault="00000000" w:rsidRPr="00000000" w14:paraId="000000B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rFonts w:ascii="Times New Roman" w:cs="Times New Roman" w:eastAsia="Times New Roman" w:hAnsi="Times New Roman"/>
            <w:sz w:val="20"/>
            <w:szCs w:val="20"/>
            <w:u w:val="single"/>
            <w:rtl w:val="0"/>
          </w:rPr>
          <w:t xml:space="preserve">https://encuestas.cse.udelar.edu.uy/index.php/953693?lang=es</w:t>
        </w:r>
      </w:hyperlink>
      <w:r w:rsidDel="00000000" w:rsidR="00000000" w:rsidRPr="00000000">
        <w:rPr>
          <w:sz w:val="20"/>
          <w:szCs w:val="20"/>
          <w:rtl w:val="0"/>
        </w:rPr>
        <w:t xml:space="preserve"> </w:t>
      </w:r>
    </w:p>
  </w:footnote>
  <w:footnote w:id="6">
    <w:p w:rsidR="00000000" w:rsidDel="00000000" w:rsidP="00000000" w:rsidRDefault="00000000" w:rsidRPr="00000000" w14:paraId="000000B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
        <w:r w:rsidDel="00000000" w:rsidR="00000000" w:rsidRPr="00000000">
          <w:rPr>
            <w:rFonts w:ascii="Times New Roman" w:cs="Times New Roman" w:eastAsia="Times New Roman" w:hAnsi="Times New Roman"/>
            <w:sz w:val="20"/>
            <w:szCs w:val="20"/>
            <w:u w:val="single"/>
            <w:rtl w:val="0"/>
          </w:rPr>
          <w:t xml:space="preserve">https://www.cse.udelar.edu.uy/progresa/sobre-las-tep/</w:t>
        </w:r>
      </w:hyperlink>
      <w:r w:rsidDel="00000000" w:rsidR="00000000" w:rsidRPr="00000000">
        <w:rPr>
          <w:sz w:val="20"/>
          <w:szCs w:val="20"/>
          <w:rtl w:val="0"/>
        </w:rPr>
        <w:t xml:space="preserve"> </w:t>
      </w:r>
    </w:p>
  </w:footnote>
  <w:footnote w:id="0">
    <w:p w:rsidR="00000000" w:rsidDel="00000000" w:rsidP="00000000" w:rsidRDefault="00000000" w:rsidRPr="00000000" w14:paraId="000000B7">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Para ello, se recopilaron y procesaron bases de datos de FCS y de la Udelar. Para mayor información, consultar García Rey (2025).</w:t>
      </w:r>
    </w:p>
  </w:footnote>
  <w:footnote w:id="1">
    <w:p w:rsidR="00000000" w:rsidDel="00000000" w:rsidP="00000000" w:rsidRDefault="00000000" w:rsidRPr="00000000" w14:paraId="000000B8">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El Entorno Virtual de Aprendizaje (EVA) es la plataforma educativa digital oficial de la Udelar, basada en Moodle, utilizada para gestionar cursos, materiales de estudio, actividades y evaluaciones en línea.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tabs>
        <w:tab w:val="center" w:leader="none" w:pos="4252"/>
        <w:tab w:val="right" w:leader="none" w:pos="8504"/>
      </w:tabs>
      <w:spacing w:line="240" w:lineRule="auto"/>
      <w:jc w:val="center"/>
      <w:rPr/>
    </w:pPr>
    <w:r w:rsidDel="00000000" w:rsidR="00000000" w:rsidRPr="00000000">
      <w:rPr>
        <w:rFonts w:ascii="Calibri" w:cs="Calibri" w:eastAsia="Calibri" w:hAnsi="Calibri"/>
        <w:sz w:val="24"/>
        <w:szCs w:val="24"/>
      </w:rPr>
      <w:drawing>
        <wp:inline distB="0" distT="0" distL="0" distR="0">
          <wp:extent cx="2617939" cy="1091320"/>
          <wp:effectExtent b="0" l="0" r="0" t="0"/>
          <wp:docPr id="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spacing w:after="12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line="240" w:lineRule="auto"/>
      <w:jc w:val="center"/>
    </w:pPr>
    <w:rPr>
      <w:rFonts w:ascii="Times New Roman" w:cs="Times New Roman" w:eastAsia="Times New Roman" w:hAnsi="Times New Roman"/>
      <w:b w:val="1"/>
      <w:bCs w:val="1"/>
      <w:sz w:val="24"/>
      <w:szCs w:val="24"/>
    </w:rPr>
  </w:style>
  <w:style w:type="paragraph" w:styleId="Subtitle">
    <w:name w:val="Subtitle"/>
    <w:basedOn w:val="Normal"/>
    <w:next w:val="Normal"/>
    <w:pPr>
      <w:keepNext w:val="1"/>
      <w:keepLines w:val="1"/>
      <w:spacing w:line="240" w:lineRule="auto"/>
      <w:jc w:val="both"/>
    </w:pPr>
    <w:rPr>
      <w:rFonts w:ascii="Times New Roman" w:cs="Times New Roman" w:eastAsia="Times New Roman" w:hAnsi="Times New Roman"/>
      <w:b w:val="1"/>
      <w:bCs w:val="1"/>
      <w:sz w:val="24"/>
      <w:szCs w:val="24"/>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1.png"/><Relationship Id="rId13" Type="http://schemas.openxmlformats.org/officeDocument/2006/relationships/hyperlink" Target="https://cienciassociales.edu.uy/ensenanza/unidad-de-asesoramiento-y-evaluacion/" TargetMode="External"/><Relationship Id="rId12" Type="http://schemas.openxmlformats.org/officeDocument/2006/relationships/hyperlink" Target="http://journalacademy.net/index.php/revista/article/view/228/23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sciaraffiaflorencia@gmail.com"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valentina.buschiazzo@cienciassociales.edu.uy" TargetMode="External"/><Relationship Id="rId8" Type="http://schemas.openxmlformats.org/officeDocument/2006/relationships/hyperlink" Target="mailto:sabrina.lopez@cienciassociales.edu.u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encuestas.cse.udelar.edu.uy/index.php/953693?lang=es" TargetMode="External"/><Relationship Id="rId2" Type="http://schemas.openxmlformats.org/officeDocument/2006/relationships/hyperlink" Target="https://www.cse.udelar.edu.uy/progresa/sobre-las-te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