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1DABD42B" w14:textId="6A963F9D" w:rsidR="001923DC" w:rsidRPr="00BA642E" w:rsidRDefault="000F2C5C" w:rsidP="001923DC">
      <w:pPr>
        <w:jc w:val="center"/>
        <w:rPr>
          <w:rFonts w:ascii="Times New Roman" w:hAnsi="Times New Roman" w:cs="Times New Roman"/>
          <w:b/>
          <w:bCs/>
        </w:rPr>
      </w:pPr>
      <w:r>
        <w:rPr>
          <w:rFonts w:ascii="Times New Roman" w:hAnsi="Times New Roman" w:cs="Times New Roman"/>
          <w:b/>
          <w:bCs/>
        </w:rPr>
        <w:t xml:space="preserve">Trayectorias universitarias y tejido </w:t>
      </w:r>
      <w:proofErr w:type="spellStart"/>
      <w:r>
        <w:rPr>
          <w:rFonts w:ascii="Times New Roman" w:hAnsi="Times New Roman" w:cs="Times New Roman"/>
          <w:b/>
          <w:bCs/>
        </w:rPr>
        <w:t>socioproductivo</w:t>
      </w:r>
      <w:proofErr w:type="spellEnd"/>
      <w:r>
        <w:rPr>
          <w:rFonts w:ascii="Times New Roman" w:hAnsi="Times New Roman" w:cs="Times New Roman"/>
          <w:b/>
          <w:bCs/>
        </w:rPr>
        <w:t>: tensiones en la formación universitaria y la inserción laboral en Argentina</w:t>
      </w:r>
    </w:p>
    <w:p w14:paraId="43C49479" w14:textId="77777777" w:rsidR="005F3B2E" w:rsidRPr="00BA642E" w:rsidRDefault="005F3B2E" w:rsidP="001923DC">
      <w:pPr>
        <w:jc w:val="center"/>
        <w:rPr>
          <w:rFonts w:ascii="Times New Roman" w:hAnsi="Times New Roman" w:cs="Times New Roman"/>
        </w:rPr>
      </w:pPr>
    </w:p>
    <w:p w14:paraId="4E738780" w14:textId="5284A458" w:rsidR="005F3B2E" w:rsidRPr="00BA642E" w:rsidRDefault="000F2C5C" w:rsidP="005F3B2E">
      <w:pPr>
        <w:spacing w:after="0" w:line="240" w:lineRule="auto"/>
        <w:jc w:val="right"/>
        <w:rPr>
          <w:rFonts w:ascii="Times New Roman" w:hAnsi="Times New Roman" w:cs="Times New Roman"/>
        </w:rPr>
      </w:pPr>
      <w:r>
        <w:rPr>
          <w:rFonts w:ascii="Times New Roman" w:hAnsi="Times New Roman" w:cs="Times New Roman"/>
        </w:rPr>
        <w:t>Januszevski, Sebastián Darío</w:t>
      </w:r>
    </w:p>
    <w:p w14:paraId="6C2AECCA" w14:textId="2F526877" w:rsidR="005F3B2E" w:rsidRPr="00BA642E" w:rsidRDefault="000F2C5C" w:rsidP="005F3B2E">
      <w:pPr>
        <w:spacing w:after="0" w:line="240" w:lineRule="auto"/>
        <w:jc w:val="right"/>
        <w:rPr>
          <w:rFonts w:ascii="Times New Roman" w:hAnsi="Times New Roman" w:cs="Times New Roman"/>
        </w:rPr>
      </w:pPr>
      <w:r>
        <w:rPr>
          <w:rFonts w:ascii="Times New Roman" w:hAnsi="Times New Roman" w:cs="Times New Roman"/>
        </w:rPr>
        <w:t>Universidad de Buenos Aires</w:t>
      </w:r>
    </w:p>
    <w:p w14:paraId="7D0026CD" w14:textId="6E47E578" w:rsidR="005F3B2E" w:rsidRPr="00256CBF" w:rsidRDefault="002A6BCC" w:rsidP="005F3B2E">
      <w:pPr>
        <w:spacing w:after="0" w:line="240" w:lineRule="auto"/>
        <w:jc w:val="right"/>
        <w:rPr>
          <w:rFonts w:ascii="Times New Roman" w:hAnsi="Times New Roman" w:cs="Times New Roman"/>
        </w:rPr>
      </w:pPr>
      <w:r w:rsidRPr="000B16AB">
        <w:rPr>
          <w:rFonts w:ascii="Times New Roman" w:hAnsi="Times New Roman" w:cs="Times New Roman"/>
        </w:rPr>
        <w:t>sdjanus@gmail.com</w:t>
      </w:r>
      <w:r w:rsidRPr="00256CBF">
        <w:rPr>
          <w:rFonts w:ascii="Times New Roman" w:hAnsi="Times New Roman" w:cs="Times New Roman"/>
        </w:rPr>
        <w:t xml:space="preserve"> /</w:t>
      </w:r>
      <w:r w:rsidR="00256CBF" w:rsidRPr="00256CBF">
        <w:rPr>
          <w:rFonts w:ascii="Times New Roman" w:hAnsi="Times New Roman" w:cs="Times New Roman"/>
        </w:rPr>
        <w:t xml:space="preserve"> </w:t>
      </w:r>
      <w:r w:rsidR="000B16AB" w:rsidRPr="000B16AB">
        <w:rPr>
          <w:rFonts w:ascii="Times New Roman" w:hAnsi="Times New Roman" w:cs="Times New Roman"/>
        </w:rPr>
        <w:t>sjanuszevski@uba.ar</w:t>
      </w:r>
    </w:p>
    <w:p w14:paraId="1FA0F857" w14:textId="77777777" w:rsidR="005F3B2E" w:rsidRPr="00256CBF" w:rsidRDefault="005F3B2E" w:rsidP="005F3B2E">
      <w:pPr>
        <w:rPr>
          <w:rFonts w:ascii="Times New Roman" w:hAnsi="Times New Roman" w:cs="Times New Roman"/>
        </w:rPr>
      </w:pPr>
    </w:p>
    <w:p w14:paraId="1275A9C7" w14:textId="517677F5" w:rsidR="005F3B2E" w:rsidRPr="00BA642E" w:rsidRDefault="000F2C5C" w:rsidP="005F3B2E">
      <w:pPr>
        <w:spacing w:after="0" w:line="240" w:lineRule="auto"/>
        <w:jc w:val="right"/>
        <w:rPr>
          <w:rFonts w:ascii="Times New Roman" w:hAnsi="Times New Roman" w:cs="Times New Roman"/>
        </w:rPr>
      </w:pPr>
      <w:r>
        <w:rPr>
          <w:rFonts w:ascii="Times New Roman" w:hAnsi="Times New Roman" w:cs="Times New Roman"/>
        </w:rPr>
        <w:t>Rebello, Gabriel</w:t>
      </w:r>
    </w:p>
    <w:p w14:paraId="57D8AB30" w14:textId="00FBF8C0" w:rsidR="009D1142" w:rsidRPr="00BA642E" w:rsidRDefault="000F2C5C" w:rsidP="009D1142">
      <w:pPr>
        <w:spacing w:after="0" w:line="240" w:lineRule="auto"/>
        <w:jc w:val="right"/>
        <w:rPr>
          <w:rFonts w:ascii="Times New Roman" w:hAnsi="Times New Roman" w:cs="Times New Roman"/>
        </w:rPr>
      </w:pPr>
      <w:r>
        <w:rPr>
          <w:rFonts w:ascii="Times New Roman" w:hAnsi="Times New Roman" w:cs="Times New Roman"/>
        </w:rPr>
        <w:t>Universidad de Buenos Aires</w:t>
      </w:r>
    </w:p>
    <w:p w14:paraId="3CAC774D" w14:textId="13176EEA" w:rsidR="005F3B2E" w:rsidRPr="00BA642E" w:rsidRDefault="009D1142" w:rsidP="005F3B2E">
      <w:pPr>
        <w:spacing w:after="0" w:line="240" w:lineRule="auto"/>
        <w:jc w:val="right"/>
        <w:rPr>
          <w:rFonts w:ascii="Times New Roman" w:hAnsi="Times New Roman" w:cs="Times New Roman"/>
        </w:rPr>
      </w:pPr>
      <w:r w:rsidRPr="009D1142">
        <w:rPr>
          <w:rFonts w:ascii="Times New Roman" w:hAnsi="Times New Roman" w:cs="Times New Roman"/>
        </w:rPr>
        <w:t>grebello@gmail.co</w:t>
      </w:r>
      <w:r>
        <w:rPr>
          <w:rFonts w:ascii="Times New Roman" w:hAnsi="Times New Roman" w:cs="Times New Roman"/>
        </w:rPr>
        <w:t>m</w:t>
      </w:r>
      <w:r w:rsidR="00D85337">
        <w:rPr>
          <w:rFonts w:ascii="Times New Roman" w:hAnsi="Times New Roman" w:cs="Times New Roman"/>
        </w:rPr>
        <w:t xml:space="preserve"> / grebello@uba.ar</w:t>
      </w:r>
    </w:p>
    <w:p w14:paraId="640847CC" w14:textId="77777777" w:rsidR="005F3B2E" w:rsidRPr="00BA642E" w:rsidRDefault="005F3B2E" w:rsidP="005F3B2E">
      <w:pPr>
        <w:spacing w:after="0" w:line="240" w:lineRule="auto"/>
        <w:jc w:val="right"/>
        <w:rPr>
          <w:rFonts w:ascii="Times New Roman" w:hAnsi="Times New Roman" w:cs="Times New Roman"/>
        </w:rPr>
      </w:pPr>
    </w:p>
    <w:p w14:paraId="3F6986E9" w14:textId="03CEBFCA" w:rsidR="005F3B2E" w:rsidRPr="00BA642E" w:rsidRDefault="00C802F5" w:rsidP="00C802F5">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r w:rsidR="000F2C5C">
        <w:rPr>
          <w:rFonts w:ascii="Times New Roman" w:hAnsi="Times New Roman" w:cs="Times New Roman"/>
        </w:rPr>
        <w:t>Britos, Ignacio Eduardo</w:t>
      </w:r>
    </w:p>
    <w:p w14:paraId="4E696C7D" w14:textId="25380BA1" w:rsidR="005F3B2E" w:rsidRPr="00BA642E" w:rsidRDefault="000F2C5C" w:rsidP="005F3B2E">
      <w:pPr>
        <w:spacing w:after="0" w:line="240" w:lineRule="auto"/>
        <w:jc w:val="right"/>
        <w:rPr>
          <w:rFonts w:ascii="Times New Roman" w:hAnsi="Times New Roman" w:cs="Times New Roman"/>
        </w:rPr>
      </w:pPr>
      <w:r>
        <w:rPr>
          <w:rFonts w:ascii="Times New Roman" w:hAnsi="Times New Roman" w:cs="Times New Roman"/>
        </w:rPr>
        <w:t>Universidad de Buenos Aires</w:t>
      </w:r>
    </w:p>
    <w:p w14:paraId="3D73DB11" w14:textId="40C4DFEA" w:rsidR="005F3B2E" w:rsidRPr="00BA642E" w:rsidRDefault="000B16AB" w:rsidP="005F3B2E">
      <w:pPr>
        <w:spacing w:after="0" w:line="240" w:lineRule="auto"/>
        <w:jc w:val="right"/>
        <w:rPr>
          <w:rFonts w:ascii="Times New Roman" w:hAnsi="Times New Roman" w:cs="Times New Roman"/>
        </w:rPr>
      </w:pPr>
      <w:r w:rsidRPr="000B16AB">
        <w:rPr>
          <w:rFonts w:ascii="Times New Roman" w:hAnsi="Times New Roman" w:cs="Times New Roman"/>
        </w:rPr>
        <w:t>ignacioeduardobritos@gmail.com</w:t>
      </w:r>
      <w:r>
        <w:rPr>
          <w:rFonts w:ascii="Times New Roman" w:hAnsi="Times New Roman" w:cs="Times New Roman"/>
        </w:rPr>
        <w:t xml:space="preserve"> / </w:t>
      </w:r>
      <w:r w:rsidR="009D1142">
        <w:rPr>
          <w:rFonts w:ascii="Times New Roman" w:hAnsi="Times New Roman" w:cs="Times New Roman"/>
        </w:rPr>
        <w:t>i</w:t>
      </w:r>
      <w:r>
        <w:rPr>
          <w:rFonts w:ascii="Times New Roman" w:hAnsi="Times New Roman" w:cs="Times New Roman"/>
        </w:rPr>
        <w:t>gnacio.britos@uba.ar</w:t>
      </w:r>
    </w:p>
    <w:p w14:paraId="7B9027E2" w14:textId="77777777" w:rsidR="00BA642E" w:rsidRPr="00BA642E" w:rsidRDefault="00BA642E" w:rsidP="005F3B2E">
      <w:pPr>
        <w:rPr>
          <w:rFonts w:ascii="Times New Roman" w:hAnsi="Times New Roman" w:cs="Times New Roman"/>
          <w:b/>
          <w:bCs/>
        </w:rPr>
      </w:pPr>
    </w:p>
    <w:p w14:paraId="4CDED66C" w14:textId="73046518" w:rsidR="000F2C5C" w:rsidRPr="00390A3F" w:rsidRDefault="00BA642E" w:rsidP="00F565A4">
      <w:pPr>
        <w:spacing w:after="0" w:line="240" w:lineRule="auto"/>
        <w:jc w:val="both"/>
        <w:rPr>
          <w:rFonts w:ascii="Times New Roman" w:hAnsi="Times New Roman" w:cs="Times New Roman"/>
          <w:b/>
          <w:bCs/>
          <w:lang w:val="es-AR"/>
        </w:rPr>
      </w:pPr>
      <w:r w:rsidRPr="00390A3F">
        <w:rPr>
          <w:rFonts w:ascii="Times New Roman" w:hAnsi="Times New Roman" w:cs="Times New Roman"/>
          <w:b/>
          <w:bCs/>
          <w:lang w:val="es-AR"/>
        </w:rPr>
        <w:t>Resumen</w:t>
      </w:r>
    </w:p>
    <w:p w14:paraId="35A6682C" w14:textId="6F5B398B" w:rsidR="00BA642E" w:rsidRPr="00772F2E" w:rsidRDefault="00B71883" w:rsidP="00F565A4">
      <w:pPr>
        <w:spacing w:after="0" w:line="240" w:lineRule="auto"/>
        <w:jc w:val="both"/>
        <w:rPr>
          <w:rFonts w:ascii="Times New Roman" w:hAnsi="Times New Roman" w:cs="Times New Roman"/>
          <w:b/>
          <w:bCs/>
          <w:lang w:val="es-AR"/>
        </w:rPr>
      </w:pPr>
      <w:r w:rsidRPr="00B71883">
        <w:rPr>
          <w:rFonts w:ascii="Times New Roman" w:hAnsi="Times New Roman" w:cs="Times New Roman"/>
          <w:lang w:val="es-AR"/>
        </w:rPr>
        <w:t xml:space="preserve">El presente trabajo indaga sobre el vínculo </w:t>
      </w:r>
      <w:r>
        <w:rPr>
          <w:rFonts w:ascii="Times New Roman" w:hAnsi="Times New Roman" w:cs="Times New Roman"/>
          <w:lang w:val="es-AR"/>
        </w:rPr>
        <w:t xml:space="preserve">entre los estudios superiores en la Argentina y el acceso al sector productivo. </w:t>
      </w:r>
      <w:r w:rsidRPr="00B71883">
        <w:rPr>
          <w:rFonts w:ascii="Times New Roman" w:hAnsi="Times New Roman" w:cs="Times New Roman"/>
          <w:lang w:val="es-AR"/>
        </w:rPr>
        <w:t xml:space="preserve">A partir de </w:t>
      </w:r>
      <w:r>
        <w:rPr>
          <w:rFonts w:ascii="Times New Roman" w:hAnsi="Times New Roman" w:cs="Times New Roman"/>
          <w:lang w:val="es-AR"/>
        </w:rPr>
        <w:t xml:space="preserve">esto, se reflexiona sobre la incidencia de las </w:t>
      </w:r>
      <w:r w:rsidR="00852A59">
        <w:rPr>
          <w:rFonts w:ascii="Times New Roman" w:hAnsi="Times New Roman" w:cs="Times New Roman"/>
          <w:lang w:val="es-AR"/>
        </w:rPr>
        <w:t xml:space="preserve">demandas del sector productivo en la formación de profesionales, así como su consecuente impacto en las </w:t>
      </w:r>
      <w:r w:rsidR="008F156D">
        <w:rPr>
          <w:rFonts w:ascii="Times New Roman" w:hAnsi="Times New Roman" w:cs="Times New Roman"/>
          <w:lang w:val="es-AR"/>
        </w:rPr>
        <w:t xml:space="preserve">carreras universitarias. A la vez, se conceptualiza sobre el lugar que ocupan los estudios de nivel superior en general, y el universitario en particular en torno a </w:t>
      </w:r>
      <w:r w:rsidR="007A211D">
        <w:rPr>
          <w:rFonts w:ascii="Times New Roman" w:hAnsi="Times New Roman" w:cs="Times New Roman"/>
          <w:lang w:val="es-AR"/>
        </w:rPr>
        <w:t>la capacidad de contribuir en la obtención de empleos de calidad en el caso argentino. Para ello se toma como punto de análisis los resultados de la Encuesta Permanente de Hogares, entendida como fuente de relevamiento del nivel educativo alcanzado por la población económicamente activa en l</w:t>
      </w:r>
      <w:r w:rsidR="00357751">
        <w:rPr>
          <w:rFonts w:ascii="Times New Roman" w:hAnsi="Times New Roman" w:cs="Times New Roman"/>
          <w:lang w:val="es-AR"/>
        </w:rPr>
        <w:t>os ámbitos urbanos y su condición laboral al momento del relevamiento.</w:t>
      </w:r>
    </w:p>
    <w:p w14:paraId="37A3D338" w14:textId="77777777" w:rsidR="00F565A4" w:rsidRDefault="00F565A4" w:rsidP="00F565A4">
      <w:pPr>
        <w:spacing w:after="0" w:line="240" w:lineRule="auto"/>
        <w:jc w:val="both"/>
        <w:rPr>
          <w:rFonts w:ascii="Times New Roman" w:hAnsi="Times New Roman" w:cs="Times New Roman"/>
          <w:b/>
          <w:bCs/>
          <w:lang w:val="es-AR"/>
        </w:rPr>
      </w:pPr>
    </w:p>
    <w:p w14:paraId="2994BAB3" w14:textId="16705CE0" w:rsidR="00BA642E" w:rsidRPr="004C7C5C" w:rsidRDefault="00BA642E" w:rsidP="00F565A4">
      <w:pPr>
        <w:spacing w:after="0" w:line="240" w:lineRule="auto"/>
        <w:jc w:val="both"/>
        <w:rPr>
          <w:rFonts w:ascii="Times New Roman" w:hAnsi="Times New Roman" w:cs="Times New Roman"/>
          <w:b/>
          <w:bCs/>
          <w:lang w:val="es-AR"/>
        </w:rPr>
      </w:pPr>
      <w:r w:rsidRPr="004C7C5C">
        <w:rPr>
          <w:rFonts w:ascii="Times New Roman" w:hAnsi="Times New Roman" w:cs="Times New Roman"/>
          <w:b/>
          <w:bCs/>
          <w:lang w:val="es-AR"/>
        </w:rPr>
        <w:t xml:space="preserve">Palabras clave: </w:t>
      </w:r>
      <w:r w:rsidR="004C7C5C" w:rsidRPr="004C7C5C">
        <w:rPr>
          <w:rFonts w:ascii="Times New Roman" w:hAnsi="Times New Roman" w:cs="Times New Roman"/>
          <w:lang w:val="es-AR"/>
        </w:rPr>
        <w:t xml:space="preserve">Derecho a la Educación Superior, formación para </w:t>
      </w:r>
      <w:r w:rsidR="004C7C5C">
        <w:rPr>
          <w:rFonts w:ascii="Times New Roman" w:hAnsi="Times New Roman" w:cs="Times New Roman"/>
          <w:lang w:val="es-AR"/>
        </w:rPr>
        <w:t>el sector productivo, estadísticas sociodemográficas</w:t>
      </w:r>
      <w:r w:rsidR="00875167">
        <w:rPr>
          <w:rFonts w:ascii="Times New Roman" w:hAnsi="Times New Roman" w:cs="Times New Roman"/>
          <w:lang w:val="es-AR"/>
        </w:rPr>
        <w:t>, empleo universitario</w:t>
      </w:r>
      <w:r w:rsidR="004C7C5C">
        <w:rPr>
          <w:rFonts w:ascii="Times New Roman" w:hAnsi="Times New Roman" w:cs="Times New Roman"/>
          <w:lang w:val="es-AR"/>
        </w:rPr>
        <w:t>.</w:t>
      </w:r>
      <w:r w:rsidRPr="004C7C5C">
        <w:rPr>
          <w:rFonts w:ascii="Times New Roman" w:hAnsi="Times New Roman" w:cs="Times New Roman"/>
          <w:lang w:val="es-AR"/>
        </w:rPr>
        <w:t xml:space="preserve"> </w:t>
      </w:r>
    </w:p>
    <w:p w14:paraId="2A04FB20" w14:textId="77777777" w:rsidR="00F565A4" w:rsidRDefault="00F565A4" w:rsidP="00F565A4">
      <w:pPr>
        <w:spacing w:after="0" w:line="240" w:lineRule="auto"/>
        <w:rPr>
          <w:rFonts w:ascii="Times New Roman" w:hAnsi="Times New Roman" w:cs="Times New Roman"/>
          <w:b/>
          <w:bCs/>
          <w:lang w:val="es-AR"/>
        </w:rPr>
      </w:pPr>
    </w:p>
    <w:p w14:paraId="6A5547A1" w14:textId="22EAEFF9" w:rsidR="00BA642E" w:rsidRPr="00772F2E" w:rsidRDefault="00BA642E" w:rsidP="00F565A4">
      <w:pPr>
        <w:spacing w:after="0" w:line="240" w:lineRule="auto"/>
        <w:rPr>
          <w:rFonts w:ascii="Times New Roman" w:hAnsi="Times New Roman" w:cs="Times New Roman"/>
          <w:b/>
          <w:bCs/>
          <w:lang w:val="es-AR"/>
        </w:rPr>
      </w:pPr>
      <w:r w:rsidRPr="00772F2E">
        <w:rPr>
          <w:rFonts w:ascii="Times New Roman" w:hAnsi="Times New Roman" w:cs="Times New Roman"/>
          <w:b/>
          <w:bCs/>
          <w:lang w:val="es-AR"/>
        </w:rPr>
        <w:t>Introducción</w:t>
      </w:r>
    </w:p>
    <w:p w14:paraId="590FD6E9" w14:textId="5CB4FCF5" w:rsidR="000F2C5C" w:rsidRDefault="000F2C5C" w:rsidP="00F565A4">
      <w:pPr>
        <w:spacing w:after="0" w:line="240" w:lineRule="auto"/>
        <w:jc w:val="both"/>
        <w:rPr>
          <w:rFonts w:ascii="Times New Roman" w:hAnsi="Times New Roman" w:cs="Times New Roman"/>
          <w:lang w:val="es-AR"/>
        </w:rPr>
      </w:pPr>
      <w:r w:rsidRPr="000F2C5C">
        <w:rPr>
          <w:rFonts w:ascii="Times New Roman" w:hAnsi="Times New Roman" w:cs="Times New Roman"/>
          <w:lang w:val="es-AR"/>
        </w:rPr>
        <w:t>La educación superior universitaria ha estado sujeta a significativos debates vinculados a aspectos como su concepción como derecho, la garantía del acceso a los estudios superiores, la influencia de las desigualdades sociales en los recorridos formativos, y el sentido propio de la formación de nivel superior, entre otros. Los reacomodamientos económicos y políticos han puesto en la arena del debate diversos aspectos, entre los cuales se ha ubicado el debate alrededor de las demandas de educación superior, en especial la formación superior universitaria por parte de diversos actores, en particular la sociedad y el mercado (Didriksson, 2008; Brunner, 2015, Fanelli y Adrogué, 2015).</w:t>
      </w:r>
      <w:r>
        <w:rPr>
          <w:rFonts w:ascii="Times New Roman" w:hAnsi="Times New Roman" w:cs="Times New Roman"/>
          <w:lang w:val="es-AR"/>
        </w:rPr>
        <w:t xml:space="preserve"> </w:t>
      </w:r>
      <w:r w:rsidRPr="000F2C5C">
        <w:rPr>
          <w:rFonts w:ascii="Times New Roman" w:hAnsi="Times New Roman" w:cs="Times New Roman"/>
          <w:lang w:val="es-AR"/>
        </w:rPr>
        <w:t xml:space="preserve">Estos debates, recientemente, han dado lugar a diversas perspectivas, entre las que se pueden </w:t>
      </w:r>
      <w:r w:rsidRPr="000F2C5C">
        <w:rPr>
          <w:rFonts w:ascii="Times New Roman" w:hAnsi="Times New Roman" w:cs="Times New Roman"/>
          <w:lang w:val="es-AR"/>
        </w:rPr>
        <w:lastRenderedPageBreak/>
        <w:t>ubicar aquellas posiciones vinculadas centralmente a pensar la formación universitaria como formación orientada fundamentalmente al mercado de trabajo, y otras posiciones en las cuales la formación universitaria es concebida como un bien público más amplio, cuyos fines no se agotan en las demandas de formación para la empleabilidad.</w:t>
      </w:r>
    </w:p>
    <w:p w14:paraId="7C7A8AB7" w14:textId="77777777" w:rsidR="00F565A4" w:rsidRDefault="00F565A4" w:rsidP="00F565A4">
      <w:pPr>
        <w:spacing w:after="0" w:line="240" w:lineRule="auto"/>
        <w:jc w:val="both"/>
        <w:rPr>
          <w:rFonts w:ascii="Times New Roman" w:hAnsi="Times New Roman" w:cs="Times New Roman"/>
          <w:lang w:val="es-AR"/>
        </w:rPr>
      </w:pPr>
    </w:p>
    <w:p w14:paraId="11C4F774" w14:textId="77777777" w:rsidR="004C7C5C" w:rsidRDefault="000F2C5C" w:rsidP="00F565A4">
      <w:pPr>
        <w:spacing w:after="0" w:line="240" w:lineRule="auto"/>
        <w:jc w:val="both"/>
        <w:rPr>
          <w:rFonts w:ascii="Times New Roman" w:hAnsi="Times New Roman" w:cs="Times New Roman"/>
          <w:lang w:val="es-AR"/>
        </w:rPr>
      </w:pPr>
      <w:r w:rsidRPr="000F2C5C">
        <w:rPr>
          <w:rFonts w:ascii="Times New Roman" w:hAnsi="Times New Roman" w:cs="Times New Roman"/>
          <w:lang w:val="es-AR"/>
        </w:rPr>
        <w:t>El presente trabajo aborda las tensiones alrededor de las demandas de educación en el marco de los debates recientes sobre la formación universitaria, las características de esta formación, y las demandas del mercado de trabajo.</w:t>
      </w:r>
      <w:r w:rsidR="004C7C5C">
        <w:rPr>
          <w:rFonts w:ascii="Times New Roman" w:hAnsi="Times New Roman" w:cs="Times New Roman"/>
          <w:lang w:val="es-AR"/>
        </w:rPr>
        <w:t xml:space="preserve"> </w:t>
      </w:r>
      <w:r w:rsidRPr="000F2C5C">
        <w:rPr>
          <w:rFonts w:ascii="Times New Roman" w:hAnsi="Times New Roman" w:cs="Times New Roman"/>
          <w:lang w:val="es-AR"/>
        </w:rPr>
        <w:t>Para ello, en primer lugar, se reflexiona sobre las conceptualizaciones alrededor de la educación superior universitaria como un derecho, procurando abordar la importancia de este nivel formativo no solamente en términos individuales sino también como un componente fundamental del desarrollo de las sociedades.</w:t>
      </w:r>
    </w:p>
    <w:p w14:paraId="1F98481F" w14:textId="77777777" w:rsidR="00F565A4" w:rsidRDefault="00F565A4" w:rsidP="00F565A4">
      <w:pPr>
        <w:spacing w:after="0" w:line="240" w:lineRule="auto"/>
        <w:jc w:val="both"/>
        <w:rPr>
          <w:rFonts w:ascii="Times New Roman" w:hAnsi="Times New Roman" w:cs="Times New Roman"/>
          <w:lang w:val="es-AR"/>
        </w:rPr>
      </w:pPr>
    </w:p>
    <w:p w14:paraId="0AF88389" w14:textId="77777777" w:rsidR="004C7C5C" w:rsidRDefault="000F2C5C" w:rsidP="00F565A4">
      <w:pPr>
        <w:spacing w:after="0" w:line="240" w:lineRule="auto"/>
        <w:jc w:val="both"/>
        <w:rPr>
          <w:rFonts w:ascii="Times New Roman" w:hAnsi="Times New Roman" w:cs="Times New Roman"/>
          <w:lang w:val="es-AR"/>
        </w:rPr>
      </w:pPr>
      <w:r w:rsidRPr="000F2C5C">
        <w:rPr>
          <w:rFonts w:ascii="Times New Roman" w:hAnsi="Times New Roman" w:cs="Times New Roman"/>
          <w:lang w:val="es-AR"/>
        </w:rPr>
        <w:t>En segundo lugar, se abordan las demandas actuales del sector productivo, en el sentido de demandas formativas como demandas de producción de conocimiento, dando cuenta en forma breve y sintética de algunas de las posturas que han emergido recientemente con relación a las trayectorias de nivel superior universitario.</w:t>
      </w:r>
    </w:p>
    <w:p w14:paraId="79862A13" w14:textId="77777777" w:rsidR="00F565A4" w:rsidRDefault="00F565A4" w:rsidP="00F565A4">
      <w:pPr>
        <w:spacing w:after="0" w:line="240" w:lineRule="auto"/>
        <w:jc w:val="both"/>
        <w:rPr>
          <w:rFonts w:ascii="Times New Roman" w:hAnsi="Times New Roman" w:cs="Times New Roman"/>
          <w:lang w:val="es-AR"/>
        </w:rPr>
      </w:pPr>
    </w:p>
    <w:p w14:paraId="52FD5E43" w14:textId="1AB4B13B" w:rsidR="009545C9" w:rsidRDefault="009545C9" w:rsidP="00F565A4">
      <w:pPr>
        <w:spacing w:after="0" w:line="240" w:lineRule="auto"/>
        <w:jc w:val="both"/>
        <w:rPr>
          <w:rFonts w:ascii="Times New Roman" w:hAnsi="Times New Roman" w:cs="Times New Roman"/>
          <w:lang w:val="es-AR"/>
        </w:rPr>
      </w:pPr>
      <w:r>
        <w:rPr>
          <w:rFonts w:ascii="Times New Roman" w:hAnsi="Times New Roman" w:cs="Times New Roman"/>
          <w:lang w:val="es-AR"/>
        </w:rPr>
        <w:t>En tercer lugar, interesa analizar la incidencia de estas demandas actuales en relación con la oferta académica de las instituciones universitarias en general, y del caso argentino de la UBA en particular. En este aspecto, se indaga en torno a las carreras más elegidas en términos disciplinares, así como las nuevas exigencias planteadas sobre la duración de los trayectos formativos en el nivel superior universitario.</w:t>
      </w:r>
    </w:p>
    <w:p w14:paraId="13A5E4D3" w14:textId="77777777" w:rsidR="009545C9" w:rsidRDefault="009545C9" w:rsidP="00F565A4">
      <w:pPr>
        <w:spacing w:after="0" w:line="240" w:lineRule="auto"/>
        <w:jc w:val="both"/>
        <w:rPr>
          <w:rFonts w:ascii="Times New Roman" w:hAnsi="Times New Roman" w:cs="Times New Roman"/>
          <w:lang w:val="es-AR"/>
        </w:rPr>
      </w:pPr>
    </w:p>
    <w:p w14:paraId="00D87518" w14:textId="66AB4184" w:rsidR="004C7C5C" w:rsidRDefault="000F2C5C" w:rsidP="00F565A4">
      <w:pPr>
        <w:spacing w:after="0" w:line="240" w:lineRule="auto"/>
        <w:jc w:val="both"/>
        <w:rPr>
          <w:rFonts w:ascii="Times New Roman" w:hAnsi="Times New Roman" w:cs="Times New Roman"/>
          <w:lang w:val="es-AR"/>
        </w:rPr>
      </w:pPr>
      <w:r w:rsidRPr="000F2C5C">
        <w:rPr>
          <w:rFonts w:ascii="Times New Roman" w:hAnsi="Times New Roman" w:cs="Times New Roman"/>
          <w:lang w:val="es-AR"/>
        </w:rPr>
        <w:t xml:space="preserve">En </w:t>
      </w:r>
      <w:r w:rsidR="009545C9">
        <w:rPr>
          <w:rFonts w:ascii="Times New Roman" w:hAnsi="Times New Roman" w:cs="Times New Roman"/>
          <w:lang w:val="es-AR"/>
        </w:rPr>
        <w:t>cuarto</w:t>
      </w:r>
      <w:r w:rsidRPr="000F2C5C">
        <w:rPr>
          <w:rFonts w:ascii="Times New Roman" w:hAnsi="Times New Roman" w:cs="Times New Roman"/>
          <w:lang w:val="es-AR"/>
        </w:rPr>
        <w:t xml:space="preserve"> lugar, se analiza la actividad productiva de los graduados universitarios, mediante el análisis de la información relevada por la Encuesta Permanente de Hogares, actualmente el único instrumento que permite abordar el empleo, la formación y los ingresos de la población.</w:t>
      </w:r>
    </w:p>
    <w:p w14:paraId="186D0075" w14:textId="77777777" w:rsidR="00F565A4" w:rsidRDefault="00F565A4" w:rsidP="00F565A4">
      <w:pPr>
        <w:spacing w:after="0" w:line="240" w:lineRule="auto"/>
        <w:jc w:val="both"/>
        <w:rPr>
          <w:rFonts w:ascii="Times New Roman" w:hAnsi="Times New Roman" w:cs="Times New Roman"/>
          <w:lang w:val="es-AR"/>
        </w:rPr>
      </w:pPr>
    </w:p>
    <w:p w14:paraId="56DBD060" w14:textId="4ECBF08F" w:rsidR="000F2C5C" w:rsidRPr="000F2C5C" w:rsidRDefault="004C7C5C" w:rsidP="00F565A4">
      <w:pPr>
        <w:spacing w:after="0" w:line="240" w:lineRule="auto"/>
        <w:jc w:val="both"/>
        <w:rPr>
          <w:rFonts w:ascii="Times New Roman" w:hAnsi="Times New Roman" w:cs="Times New Roman"/>
          <w:lang w:val="es-AR"/>
        </w:rPr>
      </w:pPr>
      <w:r>
        <w:rPr>
          <w:rFonts w:ascii="Times New Roman" w:hAnsi="Times New Roman" w:cs="Times New Roman"/>
          <w:lang w:val="es-AR"/>
        </w:rPr>
        <w:t>Por último</w:t>
      </w:r>
      <w:r w:rsidR="000F2C5C" w:rsidRPr="000F2C5C">
        <w:rPr>
          <w:rFonts w:ascii="Times New Roman" w:hAnsi="Times New Roman" w:cs="Times New Roman"/>
          <w:lang w:val="es-AR"/>
        </w:rPr>
        <w:t xml:space="preserve">, se realizan algunas conclusiones preliminares, procurando dar cuenta de las distancias y tensiones emergentes entre la formación universitaria, las demandas de formación por parte de los diferentes actores, y las características del empleo de los graduados universitarios en el tejido </w:t>
      </w:r>
      <w:proofErr w:type="spellStart"/>
      <w:r w:rsidR="000F2C5C" w:rsidRPr="000F2C5C">
        <w:rPr>
          <w:rFonts w:ascii="Times New Roman" w:hAnsi="Times New Roman" w:cs="Times New Roman"/>
          <w:lang w:val="es-AR"/>
        </w:rPr>
        <w:t>socioproductivo</w:t>
      </w:r>
      <w:proofErr w:type="spellEnd"/>
      <w:r w:rsidR="000F2C5C" w:rsidRPr="000F2C5C">
        <w:rPr>
          <w:rFonts w:ascii="Times New Roman" w:hAnsi="Times New Roman" w:cs="Times New Roman"/>
          <w:lang w:val="es-AR"/>
        </w:rPr>
        <w:t xml:space="preserve"> argentino.</w:t>
      </w:r>
    </w:p>
    <w:p w14:paraId="79322F4C" w14:textId="77777777" w:rsidR="00F565A4" w:rsidRDefault="00F565A4">
      <w:pPr>
        <w:rPr>
          <w:rFonts w:ascii="Times New Roman" w:hAnsi="Times New Roman" w:cs="Times New Roman"/>
          <w:lang w:val="es-AR"/>
        </w:rPr>
      </w:pPr>
      <w:r>
        <w:rPr>
          <w:rFonts w:ascii="Times New Roman" w:hAnsi="Times New Roman" w:cs="Times New Roman"/>
          <w:lang w:val="es-AR"/>
        </w:rPr>
        <w:br w:type="page"/>
      </w:r>
    </w:p>
    <w:p w14:paraId="2FD138AD" w14:textId="4DF98A0F" w:rsidR="005F3B2E" w:rsidRDefault="005F3B2E" w:rsidP="00F565A4">
      <w:pPr>
        <w:spacing w:after="0" w:line="240" w:lineRule="auto"/>
        <w:rPr>
          <w:rFonts w:ascii="Times New Roman" w:hAnsi="Times New Roman" w:cs="Times New Roman"/>
          <w:b/>
          <w:bCs/>
          <w:lang w:val="es-AR"/>
        </w:rPr>
      </w:pPr>
      <w:r w:rsidRPr="00772F2E">
        <w:rPr>
          <w:rFonts w:ascii="Times New Roman" w:hAnsi="Times New Roman" w:cs="Times New Roman"/>
          <w:b/>
          <w:bCs/>
          <w:lang w:val="es-AR"/>
        </w:rPr>
        <w:lastRenderedPageBreak/>
        <w:t>Desarrollo</w:t>
      </w:r>
    </w:p>
    <w:p w14:paraId="1881FDFD" w14:textId="77777777" w:rsidR="00F565A4" w:rsidRPr="00772F2E" w:rsidRDefault="00F565A4" w:rsidP="00F565A4">
      <w:pPr>
        <w:spacing w:after="0" w:line="240" w:lineRule="auto"/>
        <w:rPr>
          <w:rFonts w:ascii="Times New Roman" w:hAnsi="Times New Roman" w:cs="Times New Roman"/>
          <w:b/>
          <w:bCs/>
          <w:lang w:val="es-AR"/>
        </w:rPr>
      </w:pPr>
    </w:p>
    <w:p w14:paraId="7EB97ECF" w14:textId="1E7640A9" w:rsidR="004C7C5C" w:rsidRDefault="00300221" w:rsidP="00F565A4">
      <w:pPr>
        <w:spacing w:after="0" w:line="240" w:lineRule="auto"/>
        <w:jc w:val="both"/>
        <w:rPr>
          <w:rFonts w:ascii="Times New Roman" w:hAnsi="Times New Roman" w:cs="Times New Roman"/>
          <w:b/>
          <w:bCs/>
          <w:lang w:val="es-AR"/>
        </w:rPr>
      </w:pPr>
      <w:r>
        <w:rPr>
          <w:rFonts w:ascii="Times New Roman" w:hAnsi="Times New Roman" w:cs="Times New Roman"/>
          <w:b/>
          <w:bCs/>
          <w:lang w:val="es-AR"/>
        </w:rPr>
        <w:t>Concepciones de la educación superior desde un enfoque de derechos y su incidencia</w:t>
      </w:r>
      <w:r w:rsidR="001E1168">
        <w:rPr>
          <w:rFonts w:ascii="Times New Roman" w:hAnsi="Times New Roman" w:cs="Times New Roman"/>
          <w:b/>
          <w:bCs/>
          <w:lang w:val="es-AR"/>
        </w:rPr>
        <w:t xml:space="preserve"> las demandas sociales</w:t>
      </w:r>
      <w:r w:rsidR="00A703EB">
        <w:rPr>
          <w:rFonts w:ascii="Times New Roman" w:hAnsi="Times New Roman" w:cs="Times New Roman"/>
          <w:b/>
          <w:bCs/>
          <w:lang w:val="es-AR"/>
        </w:rPr>
        <w:t xml:space="preserve"> sobre</w:t>
      </w:r>
      <w:r>
        <w:rPr>
          <w:rFonts w:ascii="Times New Roman" w:hAnsi="Times New Roman" w:cs="Times New Roman"/>
          <w:b/>
          <w:bCs/>
          <w:lang w:val="es-AR"/>
        </w:rPr>
        <w:t xml:space="preserve"> la formación de profesionales</w:t>
      </w:r>
    </w:p>
    <w:p w14:paraId="7253E53E" w14:textId="77777777" w:rsidR="00F565A4" w:rsidRDefault="00F565A4" w:rsidP="00F565A4">
      <w:pPr>
        <w:spacing w:after="0" w:line="240" w:lineRule="auto"/>
        <w:jc w:val="both"/>
        <w:rPr>
          <w:rFonts w:ascii="Times New Roman" w:hAnsi="Times New Roman" w:cs="Times New Roman"/>
          <w:b/>
          <w:bCs/>
          <w:lang w:val="es-AR"/>
        </w:rPr>
      </w:pPr>
    </w:p>
    <w:p w14:paraId="0CFDA890" w14:textId="77777777" w:rsidR="00300221" w:rsidRDefault="00300221" w:rsidP="00F565A4">
      <w:pPr>
        <w:spacing w:after="0" w:line="240" w:lineRule="auto"/>
        <w:jc w:val="both"/>
        <w:rPr>
          <w:rFonts w:ascii="Times New Roman" w:hAnsi="Times New Roman" w:cs="Times New Roman"/>
        </w:rPr>
      </w:pPr>
      <w:r w:rsidRPr="00300221">
        <w:rPr>
          <w:rFonts w:ascii="Times New Roman" w:hAnsi="Times New Roman" w:cs="Times New Roman"/>
        </w:rPr>
        <w:t>Durante las últimas cuatro décadas, los sistemas de educación superior en América Latina han atravesado un proceso de expansión sostenida, con un notable crecimiento de la matrícula y una diversificación de las instituciones y propuestas formativas. Sin embargo, esta ampliación no ha garantizado una distribución equitativa del acceso ni la permanencia en el sistema, lo cual ha consolidado nuevas formas de desigualdad. Como señala Busso (2022), el crecimiento del sistema ha sido acompañado por una estructura segmentada, donde las trayectorias educativas y laborales de los estudiantes difieren significativamente en función del origen social, el género y la necesidad de insertarse tempranamente en el mercado de trabajo.</w:t>
      </w:r>
    </w:p>
    <w:p w14:paraId="5104F6B1" w14:textId="77777777" w:rsidR="00F565A4" w:rsidRPr="00300221" w:rsidRDefault="00F565A4" w:rsidP="00F565A4">
      <w:pPr>
        <w:spacing w:after="0" w:line="240" w:lineRule="auto"/>
        <w:jc w:val="both"/>
        <w:rPr>
          <w:rFonts w:ascii="Times New Roman" w:hAnsi="Times New Roman" w:cs="Times New Roman"/>
        </w:rPr>
      </w:pPr>
    </w:p>
    <w:p w14:paraId="7A386331" w14:textId="77777777" w:rsidR="00300221" w:rsidRDefault="00300221" w:rsidP="00F565A4">
      <w:pPr>
        <w:spacing w:after="0" w:line="240" w:lineRule="auto"/>
        <w:jc w:val="both"/>
        <w:rPr>
          <w:rFonts w:ascii="Times New Roman" w:hAnsi="Times New Roman" w:cs="Times New Roman"/>
        </w:rPr>
      </w:pPr>
      <w:r w:rsidRPr="00300221">
        <w:rPr>
          <w:rFonts w:ascii="Times New Roman" w:hAnsi="Times New Roman" w:cs="Times New Roman"/>
        </w:rPr>
        <w:t>El fenómeno de la masificación, lejos de representar por sí solo un mecanismo de inclusión ha generado un escenario complejo en el que coexisten mayores niveles de acceso con una profunda desigualdad en los resultados. En particular, los estudiantes de sectores populares enfrentan mayores dificultades para sostener sus trayectorias educativas, lo que se traduce en mayores tasas de deserción, extensión de los tiempos de cursada y dificultades para acceder a títulos de grado (Busso, 2022). Esta situación no solo limita las oportunidades individuales de movilidad social, sino que reproduce estructuras de exclusión que impactan en el conjunto de la sociedad.</w:t>
      </w:r>
    </w:p>
    <w:p w14:paraId="22D54939" w14:textId="77777777" w:rsidR="00F565A4" w:rsidRPr="00300221" w:rsidRDefault="00F565A4" w:rsidP="00F565A4">
      <w:pPr>
        <w:spacing w:after="0" w:line="240" w:lineRule="auto"/>
        <w:jc w:val="both"/>
        <w:rPr>
          <w:rFonts w:ascii="Times New Roman" w:hAnsi="Times New Roman" w:cs="Times New Roman"/>
        </w:rPr>
      </w:pPr>
    </w:p>
    <w:p w14:paraId="6042488F" w14:textId="77777777" w:rsidR="00300221" w:rsidRDefault="00300221" w:rsidP="00F565A4">
      <w:pPr>
        <w:spacing w:after="0" w:line="240" w:lineRule="auto"/>
        <w:jc w:val="both"/>
        <w:rPr>
          <w:rFonts w:ascii="Times New Roman" w:hAnsi="Times New Roman" w:cs="Times New Roman"/>
        </w:rPr>
      </w:pPr>
      <w:r w:rsidRPr="00300221">
        <w:rPr>
          <w:rFonts w:ascii="Times New Roman" w:hAnsi="Times New Roman" w:cs="Times New Roman"/>
        </w:rPr>
        <w:t>Asimismo, los efectos de esta distribución desigual no se agotan en el ámbito educativo. Tal como muestra la investigación de Busso (2022), un número significativo de jóvenes combina estudio y trabajo en condiciones de informalidad laboral, con jornadas extensas y salarios bajos, lo que complejiza aún más la posibilidad de transitar la universidad de forma sostenida. Esta articulación entre las desigualdades sociales y las condiciones materiales en las que se desarrolla la experiencia universitaria demuestra que el acceso a la educación superior, en contextos de desigualdad estructural, no asegura por sí mismo la inclusión efectiva ni la equidad en los resultados.</w:t>
      </w:r>
    </w:p>
    <w:p w14:paraId="64C460EB" w14:textId="77777777" w:rsidR="00F565A4" w:rsidRPr="00300221" w:rsidRDefault="00F565A4" w:rsidP="00F565A4">
      <w:pPr>
        <w:spacing w:after="0" w:line="240" w:lineRule="auto"/>
        <w:jc w:val="both"/>
        <w:rPr>
          <w:rFonts w:ascii="Times New Roman" w:hAnsi="Times New Roman" w:cs="Times New Roman"/>
        </w:rPr>
      </w:pPr>
    </w:p>
    <w:p w14:paraId="69E6763B" w14:textId="77777777" w:rsidR="00300221" w:rsidRPr="00300221" w:rsidRDefault="00300221" w:rsidP="00F565A4">
      <w:pPr>
        <w:spacing w:after="0" w:line="240" w:lineRule="auto"/>
        <w:jc w:val="both"/>
        <w:rPr>
          <w:rFonts w:ascii="Times New Roman" w:hAnsi="Times New Roman" w:cs="Times New Roman"/>
        </w:rPr>
      </w:pPr>
      <w:r w:rsidRPr="00300221">
        <w:rPr>
          <w:rFonts w:ascii="Times New Roman" w:hAnsi="Times New Roman" w:cs="Times New Roman"/>
        </w:rPr>
        <w:t>En este sentido, resulta necesario repensar el alcance de las políticas públicas en materia de educación superior, no solo en términos de expansión del acceso, sino también en lo relativo a la garantía de condiciones materiales, institucionales y pedagógicas que permitan sostener trayectorias completas y significativas para todos los sectores sociales. De lo contrario, la educación superior continuará siendo un espacio de reproducción de desigualdades más que una herramienta de transformación social.</w:t>
      </w:r>
    </w:p>
    <w:p w14:paraId="28529AFA" w14:textId="31ADF6EE" w:rsidR="00F565A4" w:rsidRDefault="00300221" w:rsidP="00F565A4">
      <w:pPr>
        <w:spacing w:before="240" w:after="0" w:line="240" w:lineRule="auto"/>
        <w:jc w:val="both"/>
        <w:rPr>
          <w:rFonts w:ascii="Times New Roman" w:hAnsi="Times New Roman" w:cs="Times New Roman"/>
        </w:rPr>
      </w:pPr>
      <w:r w:rsidRPr="00300221">
        <w:rPr>
          <w:rFonts w:ascii="Times New Roman" w:hAnsi="Times New Roman" w:cs="Times New Roman"/>
        </w:rPr>
        <w:t xml:space="preserve">El caso argentino se presenta como un ejemplo de lo antes mencionado en donde, el libre acceso a los estudios superiores demuestra no ser suficiente para garantizar un recorrido efectivo por las trayectorias académicas. A modo de ejemplo, Templado y otros (2022) desarrollan que la desigualdad en la educación superior puede ser medida al observar el porcentaje de la población de cada decil de ingreso que efectivamente logra graduarse de </w:t>
      </w:r>
      <w:r w:rsidRPr="00300221">
        <w:rPr>
          <w:rFonts w:ascii="Times New Roman" w:hAnsi="Times New Roman" w:cs="Times New Roman"/>
        </w:rPr>
        <w:lastRenderedPageBreak/>
        <w:t>los distintos niveles educativos. Su producción, realizada en el marco del Observatorio de Argentinos por la Educación, destaca que, las personas de los deciles de ingresos más bajos, aunque logran representar casi el 8% de la población que ingresa a los estudios universitarios, solo llegan a representar poco más del 1% hacía el final de los ciclos de estudios de grado, equivalentes al 5to año de la universidad (2022, p. 7). En oposición a ese desgranamiento, se suma que, para ese mismo 5to año, la población correspondiente a los 3 deciles de más altos ingresos responde al 46% de la matrícula universitaria.</w:t>
      </w:r>
    </w:p>
    <w:p w14:paraId="27652E17" w14:textId="77777777" w:rsidR="00EC2572" w:rsidRPr="00300221" w:rsidRDefault="00EC2572" w:rsidP="00EC162F">
      <w:pPr>
        <w:spacing w:after="0" w:line="240" w:lineRule="auto"/>
        <w:jc w:val="both"/>
        <w:rPr>
          <w:rFonts w:ascii="Times New Roman" w:hAnsi="Times New Roman" w:cs="Times New Roman"/>
        </w:rPr>
      </w:pPr>
    </w:p>
    <w:p w14:paraId="6A962218" w14:textId="7D58EC87" w:rsidR="00300221" w:rsidRDefault="00300221" w:rsidP="00F565A4">
      <w:pPr>
        <w:spacing w:after="0" w:line="240" w:lineRule="auto"/>
        <w:jc w:val="both"/>
        <w:rPr>
          <w:rFonts w:ascii="Times New Roman" w:hAnsi="Times New Roman" w:cs="Times New Roman"/>
        </w:rPr>
      </w:pPr>
      <w:r w:rsidRPr="00300221">
        <w:rPr>
          <w:rFonts w:ascii="Times New Roman" w:hAnsi="Times New Roman" w:cs="Times New Roman"/>
        </w:rPr>
        <w:t>Por su parte, un estudio de García de Fanelli (201</w:t>
      </w:r>
      <w:r w:rsidR="00502AA5">
        <w:rPr>
          <w:rFonts w:ascii="Times New Roman" w:hAnsi="Times New Roman" w:cs="Times New Roman"/>
        </w:rPr>
        <w:t>4</w:t>
      </w:r>
      <w:r w:rsidRPr="00300221">
        <w:rPr>
          <w:rFonts w:ascii="Times New Roman" w:hAnsi="Times New Roman" w:cs="Times New Roman"/>
        </w:rPr>
        <w:t>), observa al analizar qué ocurre con la graduación universitaria durante la primera década del siglo presente, que para el año 2013, alrededor del 71% de los graduados de pregrado y grado se corresponde a los 2 quintiles más altos (201</w:t>
      </w:r>
      <w:r w:rsidR="00512316">
        <w:rPr>
          <w:rFonts w:ascii="Times New Roman" w:hAnsi="Times New Roman" w:cs="Times New Roman"/>
        </w:rPr>
        <w:t>4</w:t>
      </w:r>
      <w:r w:rsidRPr="00300221">
        <w:rPr>
          <w:rFonts w:ascii="Times New Roman" w:hAnsi="Times New Roman" w:cs="Times New Roman"/>
        </w:rPr>
        <w:t>, p. 19). Un dato no menor es que, si bien el estudio concluye que las tasas de graduación logran ser mejoradas durante el periodo analizado, a la hora de observar la distribución de dichos egresos según su nivel socioeconómico, las chances de alcanzar un título universitario acaban siendo menores a menor nivel socioeconómico.</w:t>
      </w:r>
    </w:p>
    <w:p w14:paraId="7C591BE7" w14:textId="77777777" w:rsidR="00F565A4" w:rsidRPr="00300221" w:rsidRDefault="00F565A4" w:rsidP="00F565A4">
      <w:pPr>
        <w:spacing w:after="0" w:line="240" w:lineRule="auto"/>
        <w:jc w:val="both"/>
        <w:rPr>
          <w:rFonts w:ascii="Times New Roman" w:hAnsi="Times New Roman" w:cs="Times New Roman"/>
        </w:rPr>
      </w:pPr>
    </w:p>
    <w:p w14:paraId="66704D11" w14:textId="5CE2B471" w:rsidR="004C7C5C" w:rsidRDefault="00EC729B" w:rsidP="00F565A4">
      <w:pPr>
        <w:spacing w:after="0" w:line="240" w:lineRule="auto"/>
        <w:jc w:val="both"/>
        <w:rPr>
          <w:rFonts w:ascii="Times New Roman" w:hAnsi="Times New Roman" w:cs="Times New Roman"/>
        </w:rPr>
      </w:pPr>
      <w:r>
        <w:rPr>
          <w:rFonts w:ascii="Times New Roman" w:hAnsi="Times New Roman" w:cs="Times New Roman"/>
        </w:rPr>
        <w:t>Las ins</w:t>
      </w:r>
      <w:r w:rsidR="00AF75D7">
        <w:rPr>
          <w:rFonts w:ascii="Times New Roman" w:hAnsi="Times New Roman" w:cs="Times New Roman"/>
        </w:rPr>
        <w:t>tituciones de educación superior</w:t>
      </w:r>
      <w:r w:rsidR="004C7C5C" w:rsidRPr="00300221">
        <w:rPr>
          <w:rFonts w:ascii="Times New Roman" w:hAnsi="Times New Roman" w:cs="Times New Roman"/>
        </w:rPr>
        <w:t xml:space="preserve">, y en particular </w:t>
      </w:r>
      <w:r w:rsidR="00AF75D7">
        <w:rPr>
          <w:rFonts w:ascii="Times New Roman" w:hAnsi="Times New Roman" w:cs="Times New Roman"/>
        </w:rPr>
        <w:t>las universidades</w:t>
      </w:r>
      <w:r w:rsidR="004C7C5C" w:rsidRPr="00300221">
        <w:rPr>
          <w:rFonts w:ascii="Times New Roman" w:hAnsi="Times New Roman" w:cs="Times New Roman"/>
        </w:rPr>
        <w:t xml:space="preserve">, </w:t>
      </w:r>
      <w:r w:rsidR="005A5E84">
        <w:rPr>
          <w:rFonts w:ascii="Times New Roman" w:hAnsi="Times New Roman" w:cs="Times New Roman"/>
        </w:rPr>
        <w:t xml:space="preserve">tienen un </w:t>
      </w:r>
      <w:r w:rsidR="004C7C5C" w:rsidRPr="00300221">
        <w:rPr>
          <w:rFonts w:ascii="Times New Roman" w:hAnsi="Times New Roman" w:cs="Times New Roman"/>
        </w:rPr>
        <w:t xml:space="preserve">conjunto de demandas que emanan de </w:t>
      </w:r>
      <w:r w:rsidR="00B220B1">
        <w:rPr>
          <w:rFonts w:ascii="Times New Roman" w:hAnsi="Times New Roman" w:cs="Times New Roman"/>
        </w:rPr>
        <w:t xml:space="preserve">la presión </w:t>
      </w:r>
      <w:r w:rsidR="004C7C5C" w:rsidRPr="00300221">
        <w:rPr>
          <w:rFonts w:ascii="Times New Roman" w:hAnsi="Times New Roman" w:cs="Times New Roman"/>
        </w:rPr>
        <w:t>económica, social e institucional, así como de las expectativas cambiantes del estudiantado. Estas demandas exigen una</w:t>
      </w:r>
      <w:r w:rsidR="007E308D">
        <w:rPr>
          <w:rFonts w:ascii="Times New Roman" w:hAnsi="Times New Roman" w:cs="Times New Roman"/>
        </w:rPr>
        <w:t xml:space="preserve"> capacidad de adaptación</w:t>
      </w:r>
      <w:r w:rsidR="004C7C5C" w:rsidRPr="00300221">
        <w:rPr>
          <w:rFonts w:ascii="Times New Roman" w:hAnsi="Times New Roman" w:cs="Times New Roman"/>
        </w:rPr>
        <w:t xml:space="preserve"> </w:t>
      </w:r>
      <w:r w:rsidR="007E308D">
        <w:rPr>
          <w:rFonts w:ascii="Times New Roman" w:hAnsi="Times New Roman" w:cs="Times New Roman"/>
        </w:rPr>
        <w:t xml:space="preserve">de </w:t>
      </w:r>
      <w:r w:rsidR="004C7C5C" w:rsidRPr="00300221">
        <w:rPr>
          <w:rFonts w:ascii="Times New Roman" w:hAnsi="Times New Roman" w:cs="Times New Roman"/>
        </w:rPr>
        <w:t>los sistemas de educación superior para preservar su pertinencia y legitimidad en un entorno de rápida transformación.</w:t>
      </w:r>
    </w:p>
    <w:p w14:paraId="1C63B3D6" w14:textId="77777777" w:rsidR="00F565A4" w:rsidRDefault="00F565A4" w:rsidP="00F565A4">
      <w:pPr>
        <w:spacing w:after="0" w:line="240" w:lineRule="auto"/>
        <w:jc w:val="both"/>
        <w:rPr>
          <w:rFonts w:ascii="Times New Roman" w:hAnsi="Times New Roman" w:cs="Times New Roman"/>
        </w:rPr>
      </w:pPr>
    </w:p>
    <w:p w14:paraId="0AA88DEF" w14:textId="3F9006BC" w:rsidR="002E5A60" w:rsidRDefault="00300221" w:rsidP="00F565A4">
      <w:pPr>
        <w:spacing w:after="0" w:line="240" w:lineRule="auto"/>
        <w:jc w:val="both"/>
        <w:rPr>
          <w:rFonts w:ascii="Times New Roman" w:hAnsi="Times New Roman" w:cs="Times New Roman"/>
        </w:rPr>
      </w:pPr>
      <w:r w:rsidRPr="00300221">
        <w:rPr>
          <w:rFonts w:ascii="Times New Roman" w:hAnsi="Times New Roman" w:cs="Times New Roman"/>
        </w:rPr>
        <w:t>En primer lugar, se entiende que la educación superior es cada vez más reconocida como un bien social público y un derecho humano, con la consecuente responsabilidad del Estado de garantizar un acceso equitativo. Esto incluye la demanda de una mayor democratización e inclusión social (Fuentes, 2020; Sousa Santos, 2007). A pesar de las políticas que promueven el acceso público, gratuito y sin restricciones, persisten profundas desigualdades socioeconómicas en Argentina que generan oportunidades heterogéneas para seguir carreras universitarias (Busso, 2020). Como señala la autora, los estudiantes de entornos más pobres enfrentan mayores dificultades para trabajar y estudiar simultáneamente.</w:t>
      </w:r>
    </w:p>
    <w:p w14:paraId="14B45E9C" w14:textId="77777777" w:rsidR="00F565A4" w:rsidRPr="00300221" w:rsidRDefault="00F565A4" w:rsidP="00F565A4">
      <w:pPr>
        <w:spacing w:after="0" w:line="240" w:lineRule="auto"/>
        <w:jc w:val="both"/>
        <w:rPr>
          <w:rFonts w:ascii="Times New Roman" w:hAnsi="Times New Roman" w:cs="Times New Roman"/>
        </w:rPr>
      </w:pPr>
    </w:p>
    <w:p w14:paraId="48E49425" w14:textId="2B7981CC" w:rsidR="00300221" w:rsidRDefault="00300221" w:rsidP="00F565A4">
      <w:pPr>
        <w:spacing w:after="0" w:line="240" w:lineRule="auto"/>
        <w:jc w:val="both"/>
        <w:rPr>
          <w:rFonts w:ascii="Times New Roman" w:hAnsi="Times New Roman" w:cs="Times New Roman"/>
        </w:rPr>
      </w:pPr>
      <w:r>
        <w:rPr>
          <w:rFonts w:ascii="Times New Roman" w:hAnsi="Times New Roman" w:cs="Times New Roman"/>
        </w:rPr>
        <w:t xml:space="preserve">No obstante, como ya se ha mencionado, </w:t>
      </w:r>
      <w:r w:rsidRPr="00300221">
        <w:rPr>
          <w:rFonts w:ascii="Times New Roman" w:hAnsi="Times New Roman" w:cs="Times New Roman"/>
        </w:rPr>
        <w:t>el significativo crecimiento de la matrícula en la educación superior en Argentina e Iberoamérica ha planteado preocupaciones sobre el mantenimiento de la calidad educativa y la eficiencia del sistema. Esta masificación, aunque busca ampliar el acceso, puede dar lugar a un "mercado de ilusiones de corto plazo" con cursos acelerados, a menudo de baja calidad, que prometen empleo rápido sin una sólida base de conocimiento (Riquelme, 2015).</w:t>
      </w:r>
    </w:p>
    <w:p w14:paraId="632BC74E" w14:textId="77777777" w:rsidR="00F565A4" w:rsidRPr="00300221" w:rsidRDefault="00F565A4" w:rsidP="00F565A4">
      <w:pPr>
        <w:spacing w:after="0" w:line="240" w:lineRule="auto"/>
        <w:jc w:val="both"/>
        <w:rPr>
          <w:rFonts w:ascii="Times New Roman" w:hAnsi="Times New Roman" w:cs="Times New Roman"/>
        </w:rPr>
      </w:pPr>
    </w:p>
    <w:p w14:paraId="04142C5B" w14:textId="4CECFD24" w:rsidR="00300221" w:rsidRPr="00300221" w:rsidRDefault="00300221" w:rsidP="00362701">
      <w:pPr>
        <w:spacing w:after="0" w:line="240" w:lineRule="auto"/>
        <w:ind w:left="708" w:hanging="708"/>
        <w:jc w:val="both"/>
        <w:rPr>
          <w:rFonts w:ascii="Times New Roman" w:hAnsi="Times New Roman" w:cs="Times New Roman"/>
        </w:rPr>
      </w:pPr>
      <w:r w:rsidRPr="00300221">
        <w:rPr>
          <w:rFonts w:ascii="Times New Roman" w:hAnsi="Times New Roman" w:cs="Times New Roman"/>
        </w:rPr>
        <w:t xml:space="preserve">Aunado a ello, las universidades se enfrentan, más recientemente, a presiones internas y externas críticas para adaptar sus estructuras, currículos y pedagogías. Existe una clara demanda de flexibilidad, cambio y creatividad en la oferta académica universitaria </w:t>
      </w:r>
      <w:r w:rsidRPr="008403BD">
        <w:rPr>
          <w:rFonts w:ascii="Times New Roman" w:hAnsi="Times New Roman" w:cs="Times New Roman"/>
        </w:rPr>
        <w:t>(Marquina, 202</w:t>
      </w:r>
      <w:r w:rsidR="008B154F" w:rsidRPr="008403BD">
        <w:rPr>
          <w:rFonts w:ascii="Times New Roman" w:hAnsi="Times New Roman" w:cs="Times New Roman"/>
        </w:rPr>
        <w:t>5</w:t>
      </w:r>
      <w:r w:rsidRPr="008403BD">
        <w:rPr>
          <w:rFonts w:ascii="Times New Roman" w:hAnsi="Times New Roman" w:cs="Times New Roman"/>
        </w:rPr>
        <w:t>).</w:t>
      </w:r>
      <w:r w:rsidRPr="00300221">
        <w:rPr>
          <w:rFonts w:ascii="Times New Roman" w:hAnsi="Times New Roman" w:cs="Times New Roman"/>
        </w:rPr>
        <w:t xml:space="preserve"> Esto resulta en el rediseño curricular de carreras largas y tradicionales en favor de carreras más cortas y modulares, títulos técnicos y cualificaciones intermedias que faciliten una entrada más rápida al mercado </w:t>
      </w:r>
      <w:r w:rsidRPr="00300221">
        <w:rPr>
          <w:rFonts w:ascii="Times New Roman" w:hAnsi="Times New Roman" w:cs="Times New Roman"/>
        </w:rPr>
        <w:lastRenderedPageBreak/>
        <w:t>laboral y permitan regresar para una educación adicional (Marquina, 202</w:t>
      </w:r>
      <w:r w:rsidR="008403BD">
        <w:rPr>
          <w:rFonts w:ascii="Times New Roman" w:hAnsi="Times New Roman" w:cs="Times New Roman"/>
        </w:rPr>
        <w:t>5</w:t>
      </w:r>
      <w:r w:rsidRPr="00300221">
        <w:rPr>
          <w:rFonts w:ascii="Times New Roman" w:hAnsi="Times New Roman" w:cs="Times New Roman"/>
        </w:rPr>
        <w:t>; OEI, 2020). Como indica un informe de la OEI, si bien muchas universidades en Iberoamérica aún mantienen un enfoque de enseñanza tradicional y las habilidades transversales generalmente no están incorporadas en los planes de estudio (OEI, 2020, pp. 115, 147, 64), se observan esfuerzos para integrar estas habilidades y avanzar hacia metodologías pedagógicas más innovadoras, en conjunto con un interés por modelos basados en el desarrollo de competencias. Sin embargo, la adopción irreflexiva de estos cambios implica un punto de tensión frente a la calidad de la formación recibida.</w:t>
      </w:r>
    </w:p>
    <w:p w14:paraId="1CC2562A" w14:textId="77777777" w:rsidR="004C7C5C" w:rsidRPr="004C7C5C" w:rsidRDefault="004C7C5C" w:rsidP="00F565A4">
      <w:pPr>
        <w:spacing w:after="0" w:line="240" w:lineRule="auto"/>
        <w:rPr>
          <w:rFonts w:ascii="Times New Roman" w:hAnsi="Times New Roman" w:cs="Times New Roman"/>
        </w:rPr>
      </w:pPr>
    </w:p>
    <w:p w14:paraId="5BCD883F" w14:textId="3850A39E" w:rsidR="004C7C5C" w:rsidRDefault="004C7C5C" w:rsidP="00F565A4">
      <w:pPr>
        <w:spacing w:after="0" w:line="240" w:lineRule="auto"/>
        <w:rPr>
          <w:rFonts w:ascii="Times New Roman" w:hAnsi="Times New Roman" w:cs="Times New Roman"/>
          <w:b/>
          <w:bCs/>
          <w:lang w:val="es-AR"/>
        </w:rPr>
      </w:pPr>
      <w:r w:rsidRPr="00300221">
        <w:rPr>
          <w:rFonts w:ascii="Times New Roman" w:hAnsi="Times New Roman" w:cs="Times New Roman"/>
          <w:b/>
          <w:bCs/>
          <w:lang w:val="es-AR"/>
        </w:rPr>
        <w:t>Las demandas de educación superior por parte de los sectores productivos</w:t>
      </w:r>
    </w:p>
    <w:p w14:paraId="285C9208" w14:textId="77777777" w:rsidR="00F565A4" w:rsidRPr="00300221" w:rsidRDefault="00F565A4" w:rsidP="00F565A4">
      <w:pPr>
        <w:spacing w:after="0" w:line="240" w:lineRule="auto"/>
        <w:rPr>
          <w:rFonts w:ascii="Times New Roman" w:hAnsi="Times New Roman" w:cs="Times New Roman"/>
          <w:b/>
          <w:bCs/>
          <w:lang w:val="es-AR"/>
        </w:rPr>
      </w:pPr>
    </w:p>
    <w:p w14:paraId="14BDAF0A" w14:textId="5D655110" w:rsidR="00300221" w:rsidRDefault="00DB39A3" w:rsidP="00F565A4">
      <w:pPr>
        <w:spacing w:after="0" w:line="240" w:lineRule="auto"/>
        <w:jc w:val="both"/>
        <w:rPr>
          <w:rFonts w:ascii="Times New Roman" w:hAnsi="Times New Roman" w:cs="Times New Roman"/>
        </w:rPr>
      </w:pPr>
      <w:r>
        <w:rPr>
          <w:rFonts w:ascii="Times New Roman" w:hAnsi="Times New Roman" w:cs="Times New Roman"/>
        </w:rPr>
        <w:t>De manera complementaria a las</w:t>
      </w:r>
      <w:r w:rsidR="00E220D7" w:rsidRPr="00546B92">
        <w:rPr>
          <w:rFonts w:ascii="Times New Roman" w:hAnsi="Times New Roman" w:cs="Times New Roman"/>
        </w:rPr>
        <w:t xml:space="preserve"> demandas sociales hacia el nivel superior, pueden también identificarse una serie de </w:t>
      </w:r>
      <w:r w:rsidR="00300221" w:rsidRPr="00546B92">
        <w:rPr>
          <w:rFonts w:ascii="Times New Roman" w:hAnsi="Times New Roman" w:cs="Times New Roman"/>
        </w:rPr>
        <w:t xml:space="preserve">demandas provenientes de los cambios en el mercado de trabajo y la </w:t>
      </w:r>
      <w:proofErr w:type="spellStart"/>
      <w:r w:rsidR="00300221" w:rsidRPr="00546B92">
        <w:rPr>
          <w:rFonts w:ascii="Times New Roman" w:hAnsi="Times New Roman" w:cs="Times New Roman"/>
        </w:rPr>
        <w:t>complejización</w:t>
      </w:r>
      <w:proofErr w:type="spellEnd"/>
      <w:r w:rsidR="00300221" w:rsidRPr="00546B92">
        <w:rPr>
          <w:rFonts w:ascii="Times New Roman" w:hAnsi="Times New Roman" w:cs="Times New Roman"/>
        </w:rPr>
        <w:t xml:space="preserve"> de los procesos tecnológicos-productivos</w:t>
      </w:r>
      <w:r w:rsidR="00E220D7" w:rsidRPr="00546B92">
        <w:rPr>
          <w:rFonts w:ascii="Times New Roman" w:hAnsi="Times New Roman" w:cs="Times New Roman"/>
        </w:rPr>
        <w:t>, los cuales</w:t>
      </w:r>
      <w:r w:rsidR="00300221" w:rsidRPr="00546B92">
        <w:rPr>
          <w:rFonts w:ascii="Times New Roman" w:hAnsi="Times New Roman" w:cs="Times New Roman"/>
        </w:rPr>
        <w:t xml:space="preserve"> representan uno de los principales factores promotores de las exigencias contemporáneas a la educación superior, que convergen en exigencias sobre la alineación de la oferta con las necesidades en evolución del mercado laboral (OEI, 2020, pp. 113, 117, 139, 157; Riquelme, 2015, p. 446). Este problema se manifiesta en una brecha de habilidades persistente entre las capacidades de los graduados</w:t>
      </w:r>
      <w:r>
        <w:rPr>
          <w:rFonts w:ascii="Times New Roman" w:hAnsi="Times New Roman" w:cs="Times New Roman"/>
        </w:rPr>
        <w:t xml:space="preserve"> universitarios</w:t>
      </w:r>
      <w:r w:rsidR="00300221" w:rsidRPr="00546B92">
        <w:rPr>
          <w:rFonts w:ascii="Times New Roman" w:hAnsi="Times New Roman" w:cs="Times New Roman"/>
        </w:rPr>
        <w:t xml:space="preserve"> y las demandas de los empleadores, lo que lleva a las empresas a reportar dificultades para encontrar candidatos con los perfiles, experiencia y habilidades técnicas requeridas (OEI, 2020, pp. 113, 57, 58, Pizarro Barceló, 2016).</w:t>
      </w:r>
    </w:p>
    <w:p w14:paraId="7AFD5522" w14:textId="77777777" w:rsidR="00F565A4" w:rsidRPr="00546B92" w:rsidRDefault="00F565A4" w:rsidP="00F565A4">
      <w:pPr>
        <w:spacing w:after="0" w:line="240" w:lineRule="auto"/>
        <w:jc w:val="both"/>
        <w:rPr>
          <w:rFonts w:ascii="Times New Roman" w:hAnsi="Times New Roman" w:cs="Times New Roman"/>
        </w:rPr>
      </w:pPr>
    </w:p>
    <w:p w14:paraId="4BF0BD0B" w14:textId="68E67BE3" w:rsidR="00300221" w:rsidRDefault="00300221" w:rsidP="00F565A4">
      <w:pPr>
        <w:spacing w:after="0" w:line="240" w:lineRule="auto"/>
        <w:jc w:val="both"/>
        <w:rPr>
          <w:rFonts w:ascii="Times New Roman" w:hAnsi="Times New Roman" w:cs="Times New Roman"/>
        </w:rPr>
      </w:pPr>
      <w:r w:rsidRPr="00546B92">
        <w:rPr>
          <w:rFonts w:ascii="Times New Roman" w:hAnsi="Times New Roman" w:cs="Times New Roman"/>
        </w:rPr>
        <w:t>En conjunto con ello, la obsolescencia acelerada del conocimiento, en especial aquellos vinculados con los avances recientes en materia tecnológica, determina una presión sobre los ajustes curriculares y de contenidos para las universidades. Esto asimismo se traduce en una creciente demanda de competencias transversales, como la creatividad, el pensamiento crítico, la resolución de problemas, la comunicación, la adaptabilidad y la inteligencia emocional, consideradas cruciales para navegar un mercado laboral dinámico (OEI, 2020, pp. 116, 118, 136-158, Rabanal Oyarce et al., 2020).</w:t>
      </w:r>
    </w:p>
    <w:p w14:paraId="242442E1" w14:textId="77777777" w:rsidR="00F565A4" w:rsidRPr="00546B92" w:rsidRDefault="00F565A4" w:rsidP="00F565A4">
      <w:pPr>
        <w:spacing w:after="0" w:line="240" w:lineRule="auto"/>
        <w:jc w:val="both"/>
        <w:rPr>
          <w:rFonts w:ascii="Times New Roman" w:hAnsi="Times New Roman" w:cs="Times New Roman"/>
        </w:rPr>
      </w:pPr>
    </w:p>
    <w:p w14:paraId="6D91217D" w14:textId="1E268775" w:rsidR="00300221" w:rsidRDefault="00300221" w:rsidP="00F565A4">
      <w:pPr>
        <w:spacing w:after="0" w:line="240" w:lineRule="auto"/>
        <w:jc w:val="both"/>
        <w:rPr>
          <w:rFonts w:ascii="Times New Roman" w:hAnsi="Times New Roman" w:cs="Times New Roman"/>
        </w:rPr>
      </w:pPr>
      <w:r w:rsidRPr="00546B92">
        <w:rPr>
          <w:rFonts w:ascii="Times New Roman" w:hAnsi="Times New Roman" w:cs="Times New Roman"/>
        </w:rPr>
        <w:t xml:space="preserve">En consecuencia, la decisión de cursar estudios superiores está significativamente influenciada por el ingreso futuro esperado y las mejores perspectivas de empleo. Sin embargo, a pesar de que los graduados universitarios suelen tener resultados de empleo más favorables y salarios más altos, persisten los desafíos para asegurar empleos estables y de calidad que correspondan a sus cualificaciones y campos de estudio (Barletta et al., 2016, p. 24; Bausa y Jara, 2023, p. 14; </w:t>
      </w:r>
      <w:proofErr w:type="spellStart"/>
      <w:r w:rsidRPr="00546B92">
        <w:rPr>
          <w:rFonts w:ascii="Times New Roman" w:hAnsi="Times New Roman" w:cs="Times New Roman"/>
        </w:rPr>
        <w:t>Isorni</w:t>
      </w:r>
      <w:proofErr w:type="spellEnd"/>
      <w:r w:rsidRPr="00546B92">
        <w:rPr>
          <w:rFonts w:ascii="Times New Roman" w:hAnsi="Times New Roman" w:cs="Times New Roman"/>
        </w:rPr>
        <w:t xml:space="preserve"> y Goñi, 2009, pp. 91-92; OEI, 2020, pp. 117, 134, 135, 157). Como señalan </w:t>
      </w:r>
      <w:proofErr w:type="spellStart"/>
      <w:r w:rsidRPr="00546B92">
        <w:rPr>
          <w:rFonts w:ascii="Times New Roman" w:hAnsi="Times New Roman" w:cs="Times New Roman"/>
        </w:rPr>
        <w:t>Isorni</w:t>
      </w:r>
      <w:proofErr w:type="spellEnd"/>
      <w:r w:rsidRPr="00546B92">
        <w:rPr>
          <w:rFonts w:ascii="Times New Roman" w:hAnsi="Times New Roman" w:cs="Times New Roman"/>
        </w:rPr>
        <w:t xml:space="preserve"> y Goñi (2009), el mercado laboral, especialmente desde la década de 1990, se ha caracterizado por una creciente precariedad, incluyendo contratos a corto plazo, alta rotación e incertidumbre (</w:t>
      </w:r>
      <w:proofErr w:type="spellStart"/>
      <w:r w:rsidRPr="00546B92">
        <w:rPr>
          <w:rFonts w:ascii="Times New Roman" w:hAnsi="Times New Roman" w:cs="Times New Roman"/>
        </w:rPr>
        <w:t>Isorni</w:t>
      </w:r>
      <w:proofErr w:type="spellEnd"/>
      <w:r w:rsidRPr="00546B92">
        <w:rPr>
          <w:rFonts w:ascii="Times New Roman" w:hAnsi="Times New Roman" w:cs="Times New Roman"/>
        </w:rPr>
        <w:t xml:space="preserve"> y Goñi, 2009, pp. 87- 88).</w:t>
      </w:r>
    </w:p>
    <w:p w14:paraId="4D6FA817" w14:textId="77777777" w:rsidR="00F565A4" w:rsidRPr="00546B92" w:rsidRDefault="00F565A4" w:rsidP="00F565A4">
      <w:pPr>
        <w:spacing w:after="0" w:line="240" w:lineRule="auto"/>
        <w:jc w:val="both"/>
        <w:rPr>
          <w:rFonts w:ascii="Times New Roman" w:hAnsi="Times New Roman" w:cs="Times New Roman"/>
        </w:rPr>
      </w:pPr>
    </w:p>
    <w:p w14:paraId="73BEB816" w14:textId="11ACF27F" w:rsidR="00300221" w:rsidRDefault="00300221" w:rsidP="00F565A4">
      <w:pPr>
        <w:spacing w:after="0" w:line="240" w:lineRule="auto"/>
        <w:jc w:val="both"/>
        <w:rPr>
          <w:rFonts w:ascii="Times New Roman" w:hAnsi="Times New Roman" w:cs="Times New Roman"/>
        </w:rPr>
      </w:pPr>
      <w:r w:rsidRPr="00546B92">
        <w:rPr>
          <w:rFonts w:ascii="Times New Roman" w:hAnsi="Times New Roman" w:cs="Times New Roman"/>
        </w:rPr>
        <w:t xml:space="preserve">Es necesario considerar que un fenómeno distintivo en Argentina es </w:t>
      </w:r>
      <w:r w:rsidR="000B79BB">
        <w:rPr>
          <w:rFonts w:ascii="Times New Roman" w:hAnsi="Times New Roman" w:cs="Times New Roman"/>
        </w:rPr>
        <w:t>el</w:t>
      </w:r>
      <w:r w:rsidRPr="00546B92">
        <w:rPr>
          <w:rFonts w:ascii="Times New Roman" w:hAnsi="Times New Roman" w:cs="Times New Roman"/>
        </w:rPr>
        <w:t xml:space="preserve"> número de estudiantes universitarios</w:t>
      </w:r>
      <w:r w:rsidR="000B79BB">
        <w:rPr>
          <w:rFonts w:ascii="Times New Roman" w:hAnsi="Times New Roman" w:cs="Times New Roman"/>
        </w:rPr>
        <w:t xml:space="preserve"> que</w:t>
      </w:r>
      <w:r w:rsidRPr="00546B92">
        <w:rPr>
          <w:rFonts w:ascii="Times New Roman" w:hAnsi="Times New Roman" w:cs="Times New Roman"/>
        </w:rPr>
        <w:t xml:space="preserve"> trabajan mientras estudian, lo cual es menos común en otras </w:t>
      </w:r>
      <w:r w:rsidRPr="00546B92">
        <w:rPr>
          <w:rFonts w:ascii="Times New Roman" w:hAnsi="Times New Roman" w:cs="Times New Roman"/>
        </w:rPr>
        <w:lastRenderedPageBreak/>
        <w:t xml:space="preserve">sociedades latinoamericanas o europeas (Busso, 2020, p. 39; </w:t>
      </w:r>
      <w:proofErr w:type="spellStart"/>
      <w:r w:rsidRPr="00546B92">
        <w:rPr>
          <w:rFonts w:ascii="Times New Roman" w:hAnsi="Times New Roman" w:cs="Times New Roman"/>
        </w:rPr>
        <w:t>Pacenza</w:t>
      </w:r>
      <w:proofErr w:type="spellEnd"/>
      <w:r w:rsidRPr="00546B92">
        <w:rPr>
          <w:rFonts w:ascii="Times New Roman" w:hAnsi="Times New Roman" w:cs="Times New Roman"/>
        </w:rPr>
        <w:t xml:space="preserve"> y Herger, 2008, p. 136, 256, 265, 382, 391). Incluso, como muestran varios estudios (Barletta et al., 2016, pp. 23, 24; </w:t>
      </w:r>
      <w:proofErr w:type="spellStart"/>
      <w:r w:rsidRPr="00546B92">
        <w:rPr>
          <w:rFonts w:ascii="Times New Roman" w:hAnsi="Times New Roman" w:cs="Times New Roman"/>
        </w:rPr>
        <w:t>Pacenza</w:t>
      </w:r>
      <w:proofErr w:type="spellEnd"/>
      <w:r w:rsidRPr="00546B92">
        <w:rPr>
          <w:rFonts w:ascii="Times New Roman" w:hAnsi="Times New Roman" w:cs="Times New Roman"/>
        </w:rPr>
        <w:t xml:space="preserve"> &amp; Herger, 2008) los propios estudiantes reconocen la imperiosa necesidad de adquirir experiencia laboral antes de graduarse para mejorar su empleabilidad y la importancia de que la universidad los prepare para la inserción laboral. Esto asimismo puede vincularse con la demanda de aprendizaje a lo largo de la vida y educación continua, a menudo a través de credenciales alternativas que permiten a los graduados actualizar o adquirir nuevas habilidades de forma constante (Brown &amp; </w:t>
      </w:r>
      <w:proofErr w:type="spellStart"/>
      <w:r w:rsidRPr="00546B92">
        <w:rPr>
          <w:rFonts w:ascii="Times New Roman" w:hAnsi="Times New Roman" w:cs="Times New Roman"/>
        </w:rPr>
        <w:t>Nic-Giolla-Mhichil</w:t>
      </w:r>
      <w:proofErr w:type="spellEnd"/>
      <w:r w:rsidRPr="00546B92">
        <w:rPr>
          <w:rFonts w:ascii="Times New Roman" w:hAnsi="Times New Roman" w:cs="Times New Roman"/>
        </w:rPr>
        <w:t>, 2022; OEI, 2020; Uribarri &amp; Auricchio, 2021).</w:t>
      </w:r>
    </w:p>
    <w:p w14:paraId="6FE6893B" w14:textId="77777777" w:rsidR="00F565A4" w:rsidRPr="00546B92" w:rsidRDefault="00F565A4" w:rsidP="00F565A4">
      <w:pPr>
        <w:spacing w:after="0" w:line="240" w:lineRule="auto"/>
        <w:jc w:val="both"/>
        <w:rPr>
          <w:rFonts w:ascii="Times New Roman" w:hAnsi="Times New Roman" w:cs="Times New Roman"/>
        </w:rPr>
      </w:pPr>
    </w:p>
    <w:p w14:paraId="76A9119C" w14:textId="1A8D9DDB" w:rsidR="00300221" w:rsidRDefault="00D92639" w:rsidP="00F565A4">
      <w:pPr>
        <w:spacing w:after="0" w:line="240" w:lineRule="auto"/>
        <w:jc w:val="both"/>
        <w:rPr>
          <w:rFonts w:ascii="Times New Roman" w:hAnsi="Times New Roman" w:cs="Times New Roman"/>
        </w:rPr>
      </w:pPr>
      <w:r>
        <w:rPr>
          <w:rFonts w:ascii="Times New Roman" w:hAnsi="Times New Roman" w:cs="Times New Roman"/>
        </w:rPr>
        <w:t>Asimismo</w:t>
      </w:r>
      <w:r w:rsidR="00300221" w:rsidRPr="00546B92">
        <w:rPr>
          <w:rFonts w:ascii="Times New Roman" w:hAnsi="Times New Roman" w:cs="Times New Roman"/>
        </w:rPr>
        <w:t>, como señala Fuentes (2020), se observan demandas de una colaboración más sólida entre las universidades y el sector empresarial, considerándose que esta colaboración es significativamente relevante para diseñar programas educativos impulsados por la demanda, fomentar la formación práctica (como la educación dual o las pasantías), y asegurar la pertinencia de la oferta académica con las necesidades productivas (</w:t>
      </w:r>
      <w:proofErr w:type="spellStart"/>
      <w:r w:rsidR="00300221" w:rsidRPr="00546B92">
        <w:rPr>
          <w:rFonts w:ascii="Times New Roman" w:hAnsi="Times New Roman" w:cs="Times New Roman"/>
        </w:rPr>
        <w:t>Donnet</w:t>
      </w:r>
      <w:proofErr w:type="spellEnd"/>
      <w:r w:rsidR="00300221" w:rsidRPr="00546B92">
        <w:rPr>
          <w:rFonts w:ascii="Times New Roman" w:hAnsi="Times New Roman" w:cs="Times New Roman"/>
        </w:rPr>
        <w:t>. C et al., 2018; OEI, 2020). En este marco, es necesario considerar que las universidades públicas en Argentina enfrentan presiones presupuestarias constantes, mientras que el rápido crecimiento de las universidades privadas, a veces con estándares de calidad más bajos, también representa desafíos para la calidad general del sistema de educación superior (Mendo</w:t>
      </w:r>
      <w:r w:rsidR="00250E17">
        <w:rPr>
          <w:rFonts w:ascii="Times New Roman" w:hAnsi="Times New Roman" w:cs="Times New Roman"/>
        </w:rPr>
        <w:t>n</w:t>
      </w:r>
      <w:r w:rsidR="00300221" w:rsidRPr="00546B92">
        <w:rPr>
          <w:rFonts w:ascii="Times New Roman" w:hAnsi="Times New Roman" w:cs="Times New Roman"/>
        </w:rPr>
        <w:t>ça, M., 2019; OEI, 2020). Este aspecto deriva en la necesidad crítica de sistemas de acreditación sólidos y una evaluación efectiva de los resultados del aprendizaje para garantizar la calidad y la relevancia (OEI, 2020).</w:t>
      </w:r>
    </w:p>
    <w:p w14:paraId="716DA147" w14:textId="77777777" w:rsidR="00F565A4" w:rsidRPr="00546B92" w:rsidRDefault="00F565A4" w:rsidP="00F565A4">
      <w:pPr>
        <w:spacing w:after="0" w:line="240" w:lineRule="auto"/>
        <w:jc w:val="both"/>
        <w:rPr>
          <w:rFonts w:ascii="Times New Roman" w:hAnsi="Times New Roman" w:cs="Times New Roman"/>
        </w:rPr>
      </w:pPr>
    </w:p>
    <w:p w14:paraId="4F1583FC" w14:textId="77777777" w:rsidR="00300221" w:rsidRPr="00546B92" w:rsidRDefault="00300221" w:rsidP="00F565A4">
      <w:pPr>
        <w:spacing w:after="0" w:line="240" w:lineRule="auto"/>
        <w:jc w:val="both"/>
        <w:rPr>
          <w:rFonts w:ascii="Times New Roman" w:hAnsi="Times New Roman" w:cs="Times New Roman"/>
        </w:rPr>
      </w:pPr>
      <w:r w:rsidRPr="00546B92">
        <w:rPr>
          <w:rFonts w:ascii="Times New Roman" w:hAnsi="Times New Roman" w:cs="Times New Roman"/>
        </w:rPr>
        <w:t>En síntesis, las instituciones de educación superior se encuentran bajo la presión de transformarse de centros estáticos de conocimiento a entidades dinámicas que respondan de manera proactiva a las demandas de un mercado laboral volátil y una sociedad cada vez más diversa. Esto implica cambios fundamentales en el diseño curricular, los enfoques pedagógicos, las estructuras institucionales y las alianzas con los actores externos, al tiempo que se mantienen los principios de calidad, equidad y responsabilidad social.</w:t>
      </w:r>
    </w:p>
    <w:p w14:paraId="38A4736C" w14:textId="77777777" w:rsidR="00300221" w:rsidRDefault="00300221" w:rsidP="007B5B5F">
      <w:pPr>
        <w:spacing w:line="240" w:lineRule="auto"/>
        <w:rPr>
          <w:rFonts w:ascii="Times New Roman" w:hAnsi="Times New Roman" w:cs="Times New Roman"/>
          <w:lang w:val="es-AR"/>
        </w:rPr>
      </w:pPr>
    </w:p>
    <w:p w14:paraId="393144B2" w14:textId="77777777" w:rsidR="009545C9" w:rsidRPr="00754C9C" w:rsidRDefault="009545C9" w:rsidP="00754C9C">
      <w:pPr>
        <w:spacing w:after="0" w:line="240" w:lineRule="auto"/>
        <w:rPr>
          <w:rFonts w:ascii="Times New Roman" w:hAnsi="Times New Roman" w:cs="Times New Roman"/>
          <w:b/>
          <w:bCs/>
          <w:lang w:val="es-AR"/>
        </w:rPr>
      </w:pPr>
      <w:r w:rsidRPr="00754C9C">
        <w:rPr>
          <w:rFonts w:ascii="Times New Roman" w:hAnsi="Times New Roman" w:cs="Times New Roman"/>
          <w:b/>
          <w:bCs/>
          <w:lang w:val="es-AR"/>
        </w:rPr>
        <w:t>Tendencias actuales en torno a la elección de las carreras universitarias</w:t>
      </w:r>
    </w:p>
    <w:p w14:paraId="32252992" w14:textId="6CB98789" w:rsidR="009545C9" w:rsidRPr="00754C9C" w:rsidRDefault="009545C9" w:rsidP="00754C9C">
      <w:pPr>
        <w:tabs>
          <w:tab w:val="num" w:pos="720"/>
        </w:tabs>
        <w:spacing w:before="240" w:after="0" w:line="240" w:lineRule="auto"/>
        <w:jc w:val="both"/>
        <w:rPr>
          <w:rFonts w:ascii="Times New Roman" w:eastAsia="Arial" w:hAnsi="Times New Roman" w:cs="Times New Roman"/>
          <w:color w:val="000000" w:themeColor="text1"/>
          <w:lang w:val="es-AR"/>
        </w:rPr>
      </w:pPr>
      <w:r w:rsidRPr="00754C9C">
        <w:rPr>
          <w:rFonts w:ascii="Times New Roman" w:eastAsia="Arial" w:hAnsi="Times New Roman" w:cs="Times New Roman"/>
          <w:color w:val="000000" w:themeColor="text1"/>
          <w:lang w:val="es-AR"/>
        </w:rPr>
        <w:t>Al momento de elegir una carrera universitaria, se suele debatir entre los intereses personales y las proyecciones laborales del mercado. Factores como las oportunidades de inserción laboral, el crecimiento profesional y el nivel de ingresos a futuro tienen un peso importante en esa decisión. Esto, sumado a un contexto dinámico donde algunas carreras universitarias logran destacarse no solo por ofrecer una alta demanda por parte de las empresas, sino también por contar con salarios competitivos y una escasa oferta de profesionales, lleva a que, en la actualidad, la decisión sobre qué carrera estudiar se vea, en múltiples ocasiones, atada directamente a los factores antes mencionados (Llamas, 202</w:t>
      </w:r>
      <w:r w:rsidR="00754C9C" w:rsidRPr="00754C9C">
        <w:rPr>
          <w:rFonts w:ascii="Times New Roman" w:eastAsia="Arial" w:hAnsi="Times New Roman" w:cs="Times New Roman"/>
          <w:color w:val="000000" w:themeColor="text1"/>
          <w:lang w:val="es-AR"/>
        </w:rPr>
        <w:t>3</w:t>
      </w:r>
      <w:r w:rsidRPr="00754C9C">
        <w:rPr>
          <w:rFonts w:ascii="Times New Roman" w:eastAsia="Arial" w:hAnsi="Times New Roman" w:cs="Times New Roman"/>
          <w:color w:val="000000" w:themeColor="text1"/>
          <w:lang w:val="es-AR"/>
        </w:rPr>
        <w:t>).</w:t>
      </w:r>
    </w:p>
    <w:p w14:paraId="56B895C3" w14:textId="77777777" w:rsidR="009545C9" w:rsidRPr="00754C9C" w:rsidRDefault="009545C9" w:rsidP="00754C9C">
      <w:pPr>
        <w:tabs>
          <w:tab w:val="num" w:pos="720"/>
        </w:tabs>
        <w:spacing w:before="240" w:after="0" w:line="240" w:lineRule="auto"/>
        <w:jc w:val="both"/>
        <w:rPr>
          <w:rFonts w:ascii="Times New Roman" w:eastAsia="Arial" w:hAnsi="Times New Roman" w:cs="Times New Roman"/>
          <w:color w:val="000000" w:themeColor="text1"/>
          <w:lang w:val="es-AR"/>
        </w:rPr>
      </w:pPr>
      <w:r w:rsidRPr="00754C9C">
        <w:rPr>
          <w:rFonts w:ascii="Times New Roman" w:eastAsia="Arial" w:hAnsi="Times New Roman" w:cs="Times New Roman"/>
          <w:color w:val="000000" w:themeColor="text1"/>
          <w:lang w:val="es-AR"/>
        </w:rPr>
        <w:t xml:space="preserve">Para el caso argentino, particularmente, si bien en años recientes se observa una tendencia a una mayor demanda de aquellas disciplinas tecnológicas de alta demanda de </w:t>
      </w:r>
      <w:r w:rsidRPr="00754C9C">
        <w:rPr>
          <w:rFonts w:ascii="Times New Roman" w:eastAsia="Arial" w:hAnsi="Times New Roman" w:cs="Times New Roman"/>
          <w:color w:val="000000" w:themeColor="text1"/>
          <w:lang w:val="es-AR"/>
        </w:rPr>
        <w:lastRenderedPageBreak/>
        <w:t>profesionales, como lo es el campo de la Ingeniería, son las carreras de las ramas de las Ciencias Sociales y Humanidades aquellas que condensan una mayor cantidad de estudiantes. Cabe destacar, no obstante, que a la par de este aumento de estudiantes en carreras de las ciencias aplicadas, se da una disminución de estudiantes en el campo de las ciencias sociales.</w:t>
      </w:r>
    </w:p>
    <w:p w14:paraId="02563DE0" w14:textId="77777777" w:rsidR="009545C9" w:rsidRPr="00754C9C" w:rsidRDefault="009545C9" w:rsidP="00754C9C">
      <w:pPr>
        <w:tabs>
          <w:tab w:val="num" w:pos="720"/>
        </w:tabs>
        <w:spacing w:before="240" w:after="0" w:line="240" w:lineRule="auto"/>
        <w:jc w:val="both"/>
        <w:rPr>
          <w:rFonts w:ascii="Times New Roman" w:eastAsia="Arial" w:hAnsi="Times New Roman" w:cs="Times New Roman"/>
          <w:color w:val="000000" w:themeColor="text1"/>
          <w:lang w:val="es-AR"/>
        </w:rPr>
      </w:pPr>
      <w:r w:rsidRPr="00754C9C">
        <w:rPr>
          <w:rFonts w:ascii="Times New Roman" w:eastAsia="Arial" w:hAnsi="Times New Roman" w:cs="Times New Roman"/>
          <w:color w:val="000000" w:themeColor="text1"/>
          <w:lang w:val="es-AR"/>
        </w:rPr>
        <w:t>De acuerdo con, el informe de Información Estadísticas Universitarias publicado la Secretaría de Educación del Ministerio de Capital Humano de la Nación con datos de 2023, los estudiantes del nivel universitario eligen mayoritariamente carreras de las ramas Ciencias Sociales (Ciencias de la información y comunicación, Economía y administración, Derecho, Sociología, entre otras), y seguidas por carreras relativas a las Ciencias Aplicadas (Arquitectura y Diseño, informática, ingeniería, industrias bioquímica y farmacia, entre otros), como se mencionó anteriormente, estas carreras están vinculadas a las área que fueron tomando mayor importancia en el mundo y han experimentado un notable crecimiento en los últimos años. Las Ciencias de la Salud y las Ciencias Humanas ocupan los lugares subsiguientes, respectivamente.</w:t>
      </w:r>
    </w:p>
    <w:p w14:paraId="59E4D79F" w14:textId="377067CE" w:rsidR="009545C9" w:rsidRPr="00754C9C" w:rsidRDefault="009545C9" w:rsidP="00754C9C">
      <w:pPr>
        <w:tabs>
          <w:tab w:val="num" w:pos="720"/>
        </w:tabs>
        <w:spacing w:before="240" w:after="0" w:line="240" w:lineRule="auto"/>
        <w:jc w:val="both"/>
        <w:rPr>
          <w:rFonts w:ascii="Times New Roman" w:eastAsia="Arial" w:hAnsi="Times New Roman" w:cs="Times New Roman"/>
          <w:color w:val="000000" w:themeColor="text1"/>
          <w:lang w:val="es-AR"/>
        </w:rPr>
      </w:pPr>
      <w:r w:rsidRPr="00754C9C">
        <w:rPr>
          <w:rFonts w:ascii="Times New Roman" w:eastAsia="Arial" w:hAnsi="Times New Roman" w:cs="Times New Roman"/>
          <w:color w:val="000000" w:themeColor="text1"/>
          <w:lang w:val="es-AR"/>
        </w:rPr>
        <w:t>Dentro de la Universidad de Buenos Aires (UBA), las carreras más elegidas en 2023 son: Medicina, Abogacía, Licenciatura en Psicología, Contador Público y Arquitectura. Sin embargo, al observar la evolución de los ingresantes entre 2016 y 2023, se evidencia un cambio en las preferencias. Las carreras orientadas a la rama social han experimentado una disminución en su matrícula, mientras que las vinculadas a las ciencias aplicadas han mostrado un crecimiento, especialmente durante la pandemia. Entre 2016 y 2023, la Facultad de Ingeniería incrementó su representación del 6 % al 8% del total de ingresantes al Ciclo Básico Común (CBC), superando a la Facultad de Ciencias Sociales, cuya participación disminuyó del 7% al 4%. Este cambio, aunque no sitúa a estas facultades entre las de mayor número de ingresantes, señala un creciente protagonismo de las ciencias aplicadas.</w:t>
      </w:r>
    </w:p>
    <w:p w14:paraId="3B30E094" w14:textId="77777777" w:rsidR="009545C9" w:rsidRPr="00754C9C" w:rsidRDefault="009545C9" w:rsidP="00754C9C">
      <w:pPr>
        <w:tabs>
          <w:tab w:val="num" w:pos="720"/>
        </w:tabs>
        <w:spacing w:before="240" w:after="0" w:line="240" w:lineRule="auto"/>
        <w:jc w:val="both"/>
        <w:rPr>
          <w:rFonts w:ascii="Times New Roman" w:eastAsia="Arial" w:hAnsi="Times New Roman" w:cs="Times New Roman"/>
          <w:color w:val="000000" w:themeColor="text1"/>
          <w:lang w:val="es-AR"/>
        </w:rPr>
      </w:pPr>
      <w:r w:rsidRPr="00754C9C">
        <w:rPr>
          <w:rFonts w:ascii="Times New Roman" w:eastAsia="Arial" w:hAnsi="Times New Roman" w:cs="Times New Roman"/>
          <w:color w:val="000000" w:themeColor="text1"/>
          <w:lang w:val="es-AR"/>
        </w:rPr>
        <w:t>Carreras como Ingeniería en Informática, Licenciatura en Análisis de Sistemas y Licenciatura en Ciencias de la Computación están experimentando una alta demanda. Adicionalmente, las carreras de pregrado también muestran un aumento en su popularidad, probablemente debido a su menor duración y la búsqueda de una inserción laboral más rápida con certificación académica. Estas tendencias reflejan una orientación hacia carreras que combinan un alto nivel técnico, proyección internacional y la capacidad de responder a desafíos actuales y futuros como la transición energética, la transformación digital y la atención sanitaria.</w:t>
      </w:r>
    </w:p>
    <w:p w14:paraId="58261CCD" w14:textId="437C7CF8" w:rsidR="009545C9" w:rsidRPr="00754C9C" w:rsidRDefault="009545C9" w:rsidP="00754C9C">
      <w:pPr>
        <w:tabs>
          <w:tab w:val="num" w:pos="720"/>
        </w:tabs>
        <w:spacing w:before="240" w:after="0" w:line="240" w:lineRule="auto"/>
        <w:jc w:val="both"/>
        <w:rPr>
          <w:rFonts w:ascii="Times New Roman" w:eastAsia="Arial" w:hAnsi="Times New Roman" w:cs="Times New Roman"/>
          <w:b/>
          <w:bCs/>
          <w:color w:val="000000" w:themeColor="text1"/>
          <w:lang w:val="es-AR"/>
        </w:rPr>
      </w:pPr>
      <w:r w:rsidRPr="00754C9C">
        <w:rPr>
          <w:rFonts w:ascii="Times New Roman" w:eastAsia="Arial" w:hAnsi="Times New Roman" w:cs="Times New Roman"/>
          <w:b/>
          <w:bCs/>
          <w:color w:val="000000" w:themeColor="text1"/>
          <w:lang w:val="es-AR"/>
        </w:rPr>
        <w:t>La formación de profesionales desde la óptica del sector productivo</w:t>
      </w:r>
    </w:p>
    <w:p w14:paraId="492BB77E" w14:textId="6AEB2F45" w:rsidR="009545C9" w:rsidRPr="00754C9C" w:rsidRDefault="00754C9C" w:rsidP="00754C9C">
      <w:pPr>
        <w:tabs>
          <w:tab w:val="num" w:pos="720"/>
        </w:tabs>
        <w:spacing w:before="240" w:after="0" w:line="240" w:lineRule="auto"/>
        <w:jc w:val="both"/>
        <w:rPr>
          <w:rFonts w:ascii="Times New Roman" w:eastAsia="Arial" w:hAnsi="Times New Roman" w:cs="Times New Roman"/>
          <w:color w:val="000000" w:themeColor="text1"/>
        </w:rPr>
      </w:pPr>
      <w:r w:rsidRPr="00754C9C">
        <w:rPr>
          <w:rFonts w:ascii="Times New Roman" w:eastAsia="Arial" w:hAnsi="Times New Roman" w:cs="Times New Roman"/>
          <w:color w:val="000000" w:themeColor="text1"/>
          <w:lang w:val="es-AR"/>
        </w:rPr>
        <w:t>Como ya se ha anticipado,</w:t>
      </w:r>
      <w:r w:rsidR="009545C9" w:rsidRPr="00754C9C">
        <w:rPr>
          <w:rFonts w:ascii="Times New Roman" w:eastAsia="Arial" w:hAnsi="Times New Roman" w:cs="Times New Roman"/>
          <w:color w:val="000000" w:themeColor="text1"/>
          <w:lang w:val="es-AR"/>
        </w:rPr>
        <w:t xml:space="preserve"> existe una corriente que sostiene que las universidades deben alinearse con las necesidades del mercado laboral. Esta corriente, plantea que, para enfrentar la brecha entre la oferta y la demanda de habilidades, es necesario incorporar competencias acordes con el nuevo entorno laboral en todas las etapas del sistema educativo, incluyendo la educación superior. Además de las iniciativas que puedan tomar las instituciones para adaptar su oferta curricular, se plantea que este proceso debe ser </w:t>
      </w:r>
      <w:r w:rsidR="009545C9" w:rsidRPr="00754C9C">
        <w:rPr>
          <w:rFonts w:ascii="Times New Roman" w:eastAsia="Arial" w:hAnsi="Times New Roman" w:cs="Times New Roman"/>
          <w:color w:val="000000" w:themeColor="text1"/>
          <w:lang w:val="es-AR"/>
        </w:rPr>
        <w:lastRenderedPageBreak/>
        <w:t xml:space="preserve">bidireccional. Es decir, las empresas también deberían comunicar a las universidades cuáles son las habilidades más demandadas, generando así una retroalimentación que contribuya a actualizar y mejorar constantemente la oferta académica (de Navarrete &amp; </w:t>
      </w:r>
      <w:proofErr w:type="spellStart"/>
      <w:r w:rsidR="009545C9" w:rsidRPr="00754C9C">
        <w:rPr>
          <w:rFonts w:ascii="Times New Roman" w:eastAsia="Arial" w:hAnsi="Times New Roman" w:cs="Times New Roman"/>
          <w:color w:val="000000" w:themeColor="text1"/>
          <w:lang w:val="es-AR"/>
        </w:rPr>
        <w:t>Pomeda</w:t>
      </w:r>
      <w:proofErr w:type="spellEnd"/>
      <w:r w:rsidR="009545C9" w:rsidRPr="00754C9C">
        <w:rPr>
          <w:rFonts w:ascii="Times New Roman" w:eastAsia="Arial" w:hAnsi="Times New Roman" w:cs="Times New Roman"/>
          <w:color w:val="000000" w:themeColor="text1"/>
          <w:lang w:val="es-AR"/>
        </w:rPr>
        <w:t>, 2015).</w:t>
      </w:r>
    </w:p>
    <w:p w14:paraId="2D2B4081" w14:textId="77777777" w:rsidR="009545C9" w:rsidRPr="00754C9C" w:rsidRDefault="009545C9" w:rsidP="00754C9C">
      <w:pPr>
        <w:tabs>
          <w:tab w:val="num" w:pos="720"/>
        </w:tabs>
        <w:spacing w:before="240" w:after="0" w:line="240" w:lineRule="auto"/>
        <w:jc w:val="both"/>
        <w:rPr>
          <w:rFonts w:ascii="Times New Roman" w:eastAsia="Arial" w:hAnsi="Times New Roman" w:cs="Times New Roman"/>
          <w:color w:val="000000" w:themeColor="text1"/>
        </w:rPr>
      </w:pPr>
      <w:r w:rsidRPr="00754C9C">
        <w:rPr>
          <w:rFonts w:ascii="Times New Roman" w:eastAsia="Arial" w:hAnsi="Times New Roman" w:cs="Times New Roman"/>
          <w:color w:val="000000" w:themeColor="text1"/>
          <w:lang w:val="es-AR"/>
        </w:rPr>
        <w:t>Tradicionalmente, las universidades han sido consideradas “casas del conocimiento” y el debate sobre la relevancia de los estudios y las habilidades efectivamente desarrolladas durante los estudios universitarios ha estado en un segundo plano. La incorporación de habilidades puede darse en todas las etapas educativas para cubrir toda la vida escolar, y aunque existen estudios que defienden que lo mejor es comenzar a trabajar habilidades transversales durante la educación primaria y la secundaria, éstas se deben prolongar durante la educación superior (OCDE, 2019a).</w:t>
      </w:r>
    </w:p>
    <w:p w14:paraId="6F5665A2" w14:textId="77777777" w:rsidR="009545C9" w:rsidRPr="00754C9C" w:rsidRDefault="009545C9" w:rsidP="00754C9C">
      <w:pPr>
        <w:tabs>
          <w:tab w:val="num" w:pos="720"/>
        </w:tabs>
        <w:spacing w:before="240" w:after="0" w:line="240" w:lineRule="auto"/>
        <w:jc w:val="both"/>
        <w:rPr>
          <w:rFonts w:ascii="Times New Roman" w:eastAsia="Arial" w:hAnsi="Times New Roman" w:cs="Times New Roman"/>
          <w:i/>
          <w:iCs/>
        </w:rPr>
      </w:pPr>
      <w:r w:rsidRPr="00754C9C">
        <w:rPr>
          <w:rFonts w:ascii="Times New Roman" w:eastAsia="Arial" w:hAnsi="Times New Roman" w:cs="Times New Roman"/>
          <w:color w:val="000000" w:themeColor="text1"/>
          <w:lang w:val="es-AR"/>
        </w:rPr>
        <w:t>Al analizar las demandas educativas al nivel superior, se observa que además de competencias técnicas asociadas al campo de especialización particular de las carreras, se espera de los nuevos profesionales un desarrollo en habilidades percibidas como transversales. Estas son entendidas como habilidades que no están especialmente relacionadas a un trabajo, una tarea, un sector, una ocupación o una disciplina académica, sino que pueden ser utilizadas en distintas situaciones y escenarios de trabajo. Además de reutilizables, son centrales y necesarias para el desarrollo de las personas, más allá del ámbito laboral (Mateo Díaz, 2019).</w:t>
      </w:r>
    </w:p>
    <w:p w14:paraId="28A6FC74" w14:textId="6E4B271F" w:rsidR="009545C9" w:rsidRPr="00754C9C" w:rsidRDefault="009545C9" w:rsidP="00754C9C">
      <w:pPr>
        <w:tabs>
          <w:tab w:val="num" w:pos="720"/>
        </w:tabs>
        <w:spacing w:before="240" w:after="0" w:line="240" w:lineRule="auto"/>
        <w:jc w:val="both"/>
        <w:rPr>
          <w:rFonts w:ascii="Times New Roman" w:eastAsia="Arial" w:hAnsi="Times New Roman" w:cs="Times New Roman"/>
          <w:color w:val="000000" w:themeColor="text1"/>
        </w:rPr>
      </w:pPr>
      <w:r w:rsidRPr="00754C9C">
        <w:rPr>
          <w:rFonts w:ascii="Times New Roman" w:eastAsia="Arial" w:hAnsi="Times New Roman" w:cs="Times New Roman"/>
          <w:color w:val="000000" w:themeColor="text1"/>
          <w:lang w:val="es-AR"/>
        </w:rPr>
        <w:t>En términos generales, la mayor parte de las universidades en Iberoamérica mantiene un enfoque de enseñanza tradicional y las habilidades transversales no están, en general, incorporadas en los planes de estudio (Aedo y Walker, 2012). No obstante, en los últimos años, las universidades comienzan a plantear soluciones institucionales. Se observa que algunas instituciones que han realizado reformas curriculares están incorporando asignaturas relacionadas a las habilidades técnicas y trasversales en sus programas. En cambio, otras universidades incluyen por iniciativa propia talleres, charlas, diplomaturas o asignaturas extracurriculares fuera del plan de estudio.</w:t>
      </w:r>
    </w:p>
    <w:p w14:paraId="292FB9E5" w14:textId="5428AF92" w:rsidR="009545C9" w:rsidRPr="00754C9C" w:rsidRDefault="009545C9" w:rsidP="00754C9C">
      <w:pPr>
        <w:tabs>
          <w:tab w:val="num" w:pos="720"/>
        </w:tabs>
        <w:spacing w:before="240" w:after="0" w:line="240" w:lineRule="auto"/>
        <w:jc w:val="both"/>
        <w:rPr>
          <w:rFonts w:ascii="Times New Roman" w:eastAsia="Arial" w:hAnsi="Times New Roman" w:cs="Times New Roman"/>
          <w:b/>
          <w:bCs/>
          <w:color w:val="000000" w:themeColor="text1"/>
          <w:lang w:val="es-AR"/>
        </w:rPr>
      </w:pPr>
      <w:r w:rsidRPr="00754C9C">
        <w:rPr>
          <w:rFonts w:ascii="Times New Roman" w:eastAsia="Arial" w:hAnsi="Times New Roman" w:cs="Times New Roman"/>
          <w:b/>
          <w:bCs/>
          <w:color w:val="000000" w:themeColor="text1"/>
          <w:lang w:val="es-AR"/>
        </w:rPr>
        <w:t>El desarrollo de nuevos recorridos académicos a partir de las exigencias productivas</w:t>
      </w:r>
    </w:p>
    <w:p w14:paraId="26FB522C" w14:textId="77777777" w:rsidR="009545C9" w:rsidRPr="00754C9C" w:rsidRDefault="009545C9" w:rsidP="00754C9C">
      <w:pPr>
        <w:spacing w:before="240" w:after="0" w:line="240" w:lineRule="auto"/>
        <w:jc w:val="both"/>
        <w:rPr>
          <w:rFonts w:ascii="Times New Roman" w:eastAsia="Calibri" w:hAnsi="Times New Roman" w:cs="Times New Roman"/>
          <w:color w:val="000000" w:themeColor="text1"/>
          <w:lang w:val="es-AR"/>
        </w:rPr>
      </w:pPr>
      <w:r w:rsidRPr="00754C9C">
        <w:rPr>
          <w:rFonts w:ascii="Times New Roman" w:eastAsia="Calibri" w:hAnsi="Times New Roman" w:cs="Times New Roman"/>
          <w:color w:val="000000" w:themeColor="text1"/>
          <w:lang w:val="es-AR"/>
        </w:rPr>
        <w:t xml:space="preserve">A partir de la serie de cambios y tendencias antes detalladas, se observa que las personas buscan otras vías para adquirir conocimientos de forma rápida que puedan facilitar la inserción laboral. En respuesta a esta necesidad, y en paralelo a la oferta de carreras universitarias tradicionales, han ganado importancia las carreras de corta duración (alrededor de 3 años) y las denominadas </w:t>
      </w:r>
      <w:proofErr w:type="spellStart"/>
      <w:r w:rsidRPr="00754C9C">
        <w:rPr>
          <w:rFonts w:ascii="Times New Roman" w:eastAsia="Calibri" w:hAnsi="Times New Roman" w:cs="Times New Roman"/>
          <w:color w:val="000000" w:themeColor="text1"/>
          <w:lang w:val="es-AR"/>
        </w:rPr>
        <w:t>para-certificaciones</w:t>
      </w:r>
      <w:proofErr w:type="spellEnd"/>
      <w:r w:rsidRPr="00754C9C">
        <w:rPr>
          <w:rFonts w:ascii="Times New Roman" w:eastAsia="Calibri" w:hAnsi="Times New Roman" w:cs="Times New Roman"/>
          <w:color w:val="000000" w:themeColor="text1"/>
          <w:lang w:val="es-AR"/>
        </w:rPr>
        <w:t>.</w:t>
      </w:r>
    </w:p>
    <w:p w14:paraId="128C1C82" w14:textId="77777777" w:rsidR="009545C9" w:rsidRPr="00754C9C" w:rsidRDefault="009545C9" w:rsidP="00754C9C">
      <w:pPr>
        <w:spacing w:before="240" w:after="0" w:line="240" w:lineRule="auto"/>
        <w:jc w:val="both"/>
        <w:rPr>
          <w:rFonts w:ascii="Times New Roman" w:eastAsia="Calibri" w:hAnsi="Times New Roman" w:cs="Times New Roman"/>
          <w:color w:val="000000" w:themeColor="text1"/>
          <w:lang w:val="es-AR"/>
        </w:rPr>
      </w:pPr>
      <w:r w:rsidRPr="00754C9C">
        <w:rPr>
          <w:rFonts w:ascii="Times New Roman" w:eastAsia="Calibri" w:hAnsi="Times New Roman" w:cs="Times New Roman"/>
          <w:color w:val="000000" w:themeColor="text1"/>
          <w:lang w:val="es-AR"/>
        </w:rPr>
        <w:t xml:space="preserve">Las </w:t>
      </w:r>
      <w:proofErr w:type="spellStart"/>
      <w:r w:rsidRPr="00754C9C">
        <w:rPr>
          <w:rFonts w:ascii="Times New Roman" w:eastAsia="Calibri" w:hAnsi="Times New Roman" w:cs="Times New Roman"/>
          <w:color w:val="000000" w:themeColor="text1"/>
          <w:lang w:val="es-AR"/>
        </w:rPr>
        <w:t>para-certificaciones</w:t>
      </w:r>
      <w:proofErr w:type="spellEnd"/>
      <w:r w:rsidRPr="00754C9C">
        <w:rPr>
          <w:rFonts w:ascii="Times New Roman" w:eastAsia="Calibri" w:hAnsi="Times New Roman" w:cs="Times New Roman"/>
          <w:color w:val="000000" w:themeColor="text1"/>
          <w:lang w:val="es-AR"/>
        </w:rPr>
        <w:t xml:space="preserve"> son credenciales o certificaciones intermedias que permiten acreditar competencias especificas en áreas claves y funcionan como un complemento a la formación universitaria o incluso como una alternativa más rápida para obtener un diploma que </w:t>
      </w:r>
      <w:proofErr w:type="spellStart"/>
      <w:r w:rsidRPr="00754C9C">
        <w:rPr>
          <w:rFonts w:ascii="Times New Roman" w:eastAsia="Calibri" w:hAnsi="Times New Roman" w:cs="Times New Roman"/>
          <w:color w:val="000000" w:themeColor="text1"/>
          <w:lang w:val="es-AR"/>
        </w:rPr>
        <w:t>de</w:t>
      </w:r>
      <w:proofErr w:type="spellEnd"/>
      <w:r w:rsidRPr="00754C9C">
        <w:rPr>
          <w:rFonts w:ascii="Times New Roman" w:eastAsia="Calibri" w:hAnsi="Times New Roman" w:cs="Times New Roman"/>
          <w:color w:val="000000" w:themeColor="text1"/>
          <w:lang w:val="es-AR"/>
        </w:rPr>
        <w:t xml:space="preserve"> cuenta de una capacidad profesional. Pueden ser vistas como vías para adquirir herramientas y habilidades específicas en tendencia que son requeridas por el mercado laboral en el ámbito tecnológico (por ejemplo, en programación, análisis de datos o ciberseguridad), donde el ritmo del cambio supera muchas veces a la actualización </w:t>
      </w:r>
      <w:r w:rsidRPr="00754C9C">
        <w:rPr>
          <w:rFonts w:ascii="Times New Roman" w:eastAsia="Calibri" w:hAnsi="Times New Roman" w:cs="Times New Roman"/>
          <w:color w:val="000000" w:themeColor="text1"/>
          <w:lang w:val="es-AR"/>
        </w:rPr>
        <w:lastRenderedPageBreak/>
        <w:t>de los programas académicos convencionales. Además, permiten a los/as estudiantes y profesionales mantenerse “competitivos” en un mercado que exige aprendizaje continuo y actualización permanente.</w:t>
      </w:r>
    </w:p>
    <w:p w14:paraId="242E5562" w14:textId="77777777" w:rsidR="009545C9" w:rsidRPr="00754C9C" w:rsidRDefault="009545C9" w:rsidP="00754C9C">
      <w:pPr>
        <w:spacing w:before="240" w:after="0" w:line="240" w:lineRule="auto"/>
        <w:jc w:val="both"/>
        <w:rPr>
          <w:rFonts w:ascii="Times New Roman" w:eastAsia="Calibri" w:hAnsi="Times New Roman" w:cs="Times New Roman"/>
          <w:color w:val="000000" w:themeColor="text1"/>
          <w:lang w:val="es-AR"/>
        </w:rPr>
      </w:pPr>
      <w:r w:rsidRPr="00754C9C">
        <w:rPr>
          <w:rFonts w:ascii="Times New Roman" w:eastAsia="Calibri" w:hAnsi="Times New Roman" w:cs="Times New Roman"/>
          <w:color w:val="000000" w:themeColor="text1"/>
          <w:lang w:val="es-AR"/>
        </w:rPr>
        <w:t>Se destaca, también, que estos cursos cortos no se limitan a habilidades técnicas, sino que también se observa que, con las nuevas exigencias por parte del mundo laboral, surgen demandas en torno al desarrollo de habilidades “blandas” vinculadas a las relaciones interpersonales, tales como: la comunicación, el trabajo en equipo, la resolución de problemas, el liderazgo, la negociación, gestión de tiempo, entre otras.</w:t>
      </w:r>
    </w:p>
    <w:p w14:paraId="208E663F" w14:textId="3212CB0A" w:rsidR="009545C9" w:rsidRPr="00754C9C" w:rsidRDefault="009545C9" w:rsidP="00754C9C">
      <w:pPr>
        <w:spacing w:before="240" w:after="0" w:line="240" w:lineRule="auto"/>
        <w:jc w:val="both"/>
        <w:rPr>
          <w:rFonts w:ascii="Times New Roman" w:eastAsia="Calibri" w:hAnsi="Times New Roman" w:cs="Times New Roman"/>
          <w:color w:val="000000" w:themeColor="text1"/>
          <w:lang w:val="es-AR"/>
        </w:rPr>
      </w:pPr>
      <w:r w:rsidRPr="00754C9C">
        <w:rPr>
          <w:rFonts w:ascii="Times New Roman" w:eastAsia="Calibri" w:hAnsi="Times New Roman" w:cs="Times New Roman"/>
          <w:color w:val="000000" w:themeColor="text1"/>
          <w:lang w:val="es-AR"/>
        </w:rPr>
        <w:t>En este sentido, las certificaciones surgen por un cambio en el paradigma de la contratación laboral, donde disminuyen los requisitos sobre estudios de carreras largas y las titulaciones del campo de la educación formal y aumentan a gran escala las demandas de estas nuevas certificaciones sobre temáticas diversas, pero actuales. En relación con esto</w:t>
      </w:r>
      <w:r w:rsidRPr="00373418">
        <w:rPr>
          <w:rFonts w:ascii="Times New Roman" w:eastAsia="Calibri" w:hAnsi="Times New Roman" w:cs="Times New Roman"/>
          <w:color w:val="000000" w:themeColor="text1"/>
          <w:lang w:val="es-AR"/>
        </w:rPr>
        <w:t xml:space="preserve">, Fernández </w:t>
      </w:r>
      <w:proofErr w:type="spellStart"/>
      <w:r w:rsidRPr="00373418">
        <w:rPr>
          <w:rFonts w:ascii="Times New Roman" w:eastAsia="Calibri" w:hAnsi="Times New Roman" w:cs="Times New Roman"/>
          <w:color w:val="000000" w:themeColor="text1"/>
          <w:lang w:val="es-AR"/>
        </w:rPr>
        <w:t>Rodriguez</w:t>
      </w:r>
      <w:proofErr w:type="spellEnd"/>
      <w:r w:rsidRPr="00373418">
        <w:rPr>
          <w:rFonts w:ascii="Times New Roman" w:eastAsia="Calibri" w:hAnsi="Times New Roman" w:cs="Times New Roman"/>
          <w:color w:val="000000" w:themeColor="text1"/>
          <w:lang w:val="es-AR"/>
        </w:rPr>
        <w:t xml:space="preserve"> (2009) confirma</w:t>
      </w:r>
      <w:r w:rsidRPr="00754C9C">
        <w:rPr>
          <w:rFonts w:ascii="Times New Roman" w:eastAsia="Calibri" w:hAnsi="Times New Roman" w:cs="Times New Roman"/>
          <w:color w:val="000000" w:themeColor="text1"/>
          <w:lang w:val="es-AR"/>
        </w:rPr>
        <w:t xml:space="preserve"> que, en la actualidad, los trabajadores deben poseer “un conjunto de conocimientos, procedimientos y actitudes combinados, coordinados e integrados (...) para el ejercicio profesional” (p. 152).</w:t>
      </w:r>
    </w:p>
    <w:p w14:paraId="11F549F8" w14:textId="7AFD883A" w:rsidR="009545C9" w:rsidRPr="00754C9C" w:rsidRDefault="009545C9" w:rsidP="00754C9C">
      <w:pPr>
        <w:spacing w:before="240" w:after="0" w:line="240" w:lineRule="auto"/>
        <w:jc w:val="both"/>
        <w:rPr>
          <w:rFonts w:ascii="Times New Roman" w:eastAsia="Calibri" w:hAnsi="Times New Roman" w:cs="Times New Roman"/>
          <w:color w:val="000000" w:themeColor="text1"/>
          <w:lang w:val="es-AR"/>
        </w:rPr>
      </w:pPr>
      <w:r w:rsidRPr="00754C9C">
        <w:rPr>
          <w:rFonts w:ascii="Times New Roman" w:eastAsia="Calibri" w:hAnsi="Times New Roman" w:cs="Times New Roman"/>
          <w:color w:val="000000" w:themeColor="text1"/>
          <w:lang w:val="es-AR"/>
        </w:rPr>
        <w:t xml:space="preserve">Son organismos como la Organización Internacional del Trabajo los que, en articulación con entidades locales de cada país, ponen en marcha una red de certificación de trayectos de formación profesional más allá de la forma en que las mismas han sido adquiridas. Por otra parte, autores </w:t>
      </w:r>
      <w:r w:rsidRPr="007155EF">
        <w:rPr>
          <w:rFonts w:ascii="Times New Roman" w:eastAsia="Calibri" w:hAnsi="Times New Roman" w:cs="Times New Roman"/>
          <w:color w:val="000000" w:themeColor="text1"/>
          <w:lang w:val="es-AR"/>
        </w:rPr>
        <w:t>como Irigo</w:t>
      </w:r>
      <w:r w:rsidR="007155EF" w:rsidRPr="007155EF">
        <w:rPr>
          <w:rFonts w:ascii="Times New Roman" w:eastAsia="Calibri" w:hAnsi="Times New Roman" w:cs="Times New Roman"/>
          <w:color w:val="000000" w:themeColor="text1"/>
          <w:lang w:val="es-AR"/>
        </w:rPr>
        <w:t xml:space="preserve">ín </w:t>
      </w:r>
      <w:r w:rsidR="005C6870">
        <w:rPr>
          <w:rFonts w:ascii="Times New Roman" w:eastAsia="Calibri" w:hAnsi="Times New Roman" w:cs="Times New Roman"/>
          <w:color w:val="000000" w:themeColor="text1"/>
          <w:lang w:val="es-AR"/>
        </w:rPr>
        <w:t>(</w:t>
      </w:r>
      <w:r w:rsidRPr="007155EF">
        <w:rPr>
          <w:rFonts w:ascii="Times New Roman" w:eastAsia="Calibri" w:hAnsi="Times New Roman" w:cs="Times New Roman"/>
          <w:color w:val="000000" w:themeColor="text1"/>
          <w:lang w:val="es-AR"/>
        </w:rPr>
        <w:t>2005</w:t>
      </w:r>
      <w:r w:rsidR="000915B5" w:rsidRPr="007155EF">
        <w:rPr>
          <w:rFonts w:ascii="Times New Roman" w:eastAsia="Calibri" w:hAnsi="Times New Roman" w:cs="Times New Roman"/>
          <w:color w:val="000000" w:themeColor="text1"/>
          <w:lang w:val="es-AR"/>
        </w:rPr>
        <w:t xml:space="preserve">, como se </w:t>
      </w:r>
      <w:r w:rsidR="007155EF" w:rsidRPr="007155EF">
        <w:rPr>
          <w:rFonts w:ascii="Times New Roman" w:eastAsia="Calibri" w:hAnsi="Times New Roman" w:cs="Times New Roman"/>
          <w:color w:val="000000" w:themeColor="text1"/>
          <w:lang w:val="es-AR"/>
        </w:rPr>
        <w:t>citó en Ruíz, 2011</w:t>
      </w:r>
      <w:r w:rsidRPr="007155EF">
        <w:rPr>
          <w:rFonts w:ascii="Times New Roman" w:eastAsia="Calibri" w:hAnsi="Times New Roman" w:cs="Times New Roman"/>
          <w:color w:val="000000" w:themeColor="text1"/>
          <w:lang w:val="es-AR"/>
        </w:rPr>
        <w:t>)</w:t>
      </w:r>
      <w:r w:rsidRPr="00754C9C">
        <w:rPr>
          <w:rFonts w:ascii="Times New Roman" w:eastAsia="Calibri" w:hAnsi="Times New Roman" w:cs="Times New Roman"/>
          <w:color w:val="000000" w:themeColor="text1"/>
          <w:lang w:val="es-AR"/>
        </w:rPr>
        <w:t xml:space="preserve"> sostienen que la certificación de competencias puede verse como:</w:t>
      </w:r>
    </w:p>
    <w:p w14:paraId="0A2362B9" w14:textId="16041D32" w:rsidR="009545C9" w:rsidRPr="00754C9C" w:rsidRDefault="009545C9" w:rsidP="00754C9C">
      <w:pPr>
        <w:spacing w:before="240" w:after="0" w:line="240" w:lineRule="auto"/>
        <w:ind w:left="426"/>
        <w:jc w:val="both"/>
        <w:rPr>
          <w:rFonts w:ascii="Times New Roman" w:eastAsia="Calibri" w:hAnsi="Times New Roman" w:cs="Times New Roman"/>
          <w:color w:val="000000" w:themeColor="text1"/>
          <w:lang w:val="es-AR"/>
        </w:rPr>
      </w:pPr>
      <w:r w:rsidRPr="00754C9C">
        <w:rPr>
          <w:rFonts w:ascii="Times New Roman" w:eastAsia="Calibri" w:hAnsi="Times New Roman" w:cs="Times New Roman"/>
          <w:color w:val="000000" w:themeColor="text1"/>
          <w:lang w:val="es-AR"/>
        </w:rPr>
        <w:t>“El reconocimiento público, formal y temporal de la capacidad laboral demostrada por un trabajador, efectuado con base en la evaluación de sus competencias en relación con una norma y sin estar necesariamente sujeto a la culminación de un proceso educativo” (p. 75).</w:t>
      </w:r>
    </w:p>
    <w:p w14:paraId="0A8F0C75" w14:textId="77777777" w:rsidR="009545C9" w:rsidRPr="00754C9C" w:rsidRDefault="009545C9" w:rsidP="00754C9C">
      <w:pPr>
        <w:spacing w:before="240" w:after="0" w:line="240" w:lineRule="auto"/>
        <w:jc w:val="both"/>
        <w:rPr>
          <w:rFonts w:ascii="Times New Roman" w:eastAsia="Calibri" w:hAnsi="Times New Roman" w:cs="Times New Roman"/>
          <w:color w:val="000000" w:themeColor="text1"/>
          <w:lang w:val="es-AR"/>
        </w:rPr>
      </w:pPr>
      <w:r w:rsidRPr="00754C9C">
        <w:rPr>
          <w:rFonts w:ascii="Times New Roman" w:eastAsia="Calibri" w:hAnsi="Times New Roman" w:cs="Times New Roman"/>
          <w:color w:val="000000" w:themeColor="text1"/>
        </w:rPr>
        <w:t xml:space="preserve">Sin embargo, no sólo se ven los beneficios de esta forma de estudio, sino que también se debaten sus limitaciones. En este sentido, se reconoce que es un problema que sean formaciones aisladas, que no permitan el desarrollo de pensamiento crítico en contraposición a las formaciones de nivel superior que entrelazan diversos temas y forman sujetos con otra complejidad analítica. Por otro lado, se comprende la necesidad de la construcción de una estructura de reconocimiento de </w:t>
      </w:r>
      <w:proofErr w:type="spellStart"/>
      <w:r w:rsidRPr="00754C9C">
        <w:rPr>
          <w:rFonts w:ascii="Times New Roman" w:eastAsia="Calibri" w:hAnsi="Times New Roman" w:cs="Times New Roman"/>
          <w:color w:val="000000" w:themeColor="text1"/>
        </w:rPr>
        <w:t>microcredenciales</w:t>
      </w:r>
      <w:proofErr w:type="spellEnd"/>
      <w:r w:rsidRPr="00754C9C">
        <w:rPr>
          <w:rFonts w:ascii="Times New Roman" w:eastAsia="Calibri" w:hAnsi="Times New Roman" w:cs="Times New Roman"/>
          <w:color w:val="000000" w:themeColor="text1"/>
        </w:rPr>
        <w:t xml:space="preserve"> en relación con las certificaciones que las universidades ya poseen, así como también la necesidad de configurar métodos de evaluación de dichos saberes, para así aportar transparencia a las mismas. Sumado a este “acercamiento comprehensivo” a la certificación por fuera del nivel universitario (</w:t>
      </w:r>
      <w:proofErr w:type="spellStart"/>
      <w:r w:rsidRPr="00754C9C">
        <w:rPr>
          <w:rFonts w:ascii="Times New Roman" w:eastAsia="Calibri" w:hAnsi="Times New Roman" w:cs="Times New Roman"/>
          <w:color w:val="000000" w:themeColor="text1"/>
        </w:rPr>
        <w:t>Obreal</w:t>
      </w:r>
      <w:proofErr w:type="spellEnd"/>
      <w:r w:rsidRPr="00754C9C">
        <w:rPr>
          <w:rFonts w:ascii="Times New Roman" w:eastAsia="Calibri" w:hAnsi="Times New Roman" w:cs="Times New Roman"/>
          <w:color w:val="000000" w:themeColor="text1"/>
        </w:rPr>
        <w:t xml:space="preserve"> Global, 2022), la Asociación de Universidades Europeas (2021) refuerza la idea del reconocimiento de certificaciones como las </w:t>
      </w:r>
      <w:proofErr w:type="spellStart"/>
      <w:r w:rsidRPr="00754C9C">
        <w:rPr>
          <w:rFonts w:ascii="Times New Roman" w:eastAsia="Calibri" w:hAnsi="Times New Roman" w:cs="Times New Roman"/>
          <w:color w:val="000000" w:themeColor="text1"/>
        </w:rPr>
        <w:t>microcredenciales</w:t>
      </w:r>
      <w:proofErr w:type="spellEnd"/>
      <w:r w:rsidRPr="00754C9C">
        <w:rPr>
          <w:rFonts w:ascii="Times New Roman" w:eastAsia="Calibri" w:hAnsi="Times New Roman" w:cs="Times New Roman"/>
          <w:color w:val="000000" w:themeColor="text1"/>
        </w:rPr>
        <w:t xml:space="preserve"> como un punto de partida o bien como complementación para una carrera de grado de nivel superior. A la vez, si bien el reconocimiento oficial de este tipo de certificaciones es puesto en práctica en ciertos países de la Unión Europea, los organismos antes mencionados adhieren a la necesidad de vinculación de dichas certificaciones con procesos de evaluación de carácter externo, que se encuentren a cargo de instituciones correspondientes a la educación superior.</w:t>
      </w:r>
    </w:p>
    <w:p w14:paraId="2CDD8F4A" w14:textId="77777777" w:rsidR="009545C9" w:rsidRPr="00754C9C" w:rsidRDefault="009545C9" w:rsidP="00754C9C">
      <w:pPr>
        <w:tabs>
          <w:tab w:val="num" w:pos="720"/>
        </w:tabs>
        <w:spacing w:before="240" w:after="0" w:line="240" w:lineRule="auto"/>
        <w:jc w:val="both"/>
        <w:rPr>
          <w:rFonts w:ascii="Times New Roman" w:eastAsia="Calibri" w:hAnsi="Times New Roman" w:cs="Times New Roman"/>
          <w:color w:val="000000" w:themeColor="text1"/>
          <w:lang w:val="es-AR"/>
        </w:rPr>
      </w:pPr>
      <w:r w:rsidRPr="00754C9C">
        <w:rPr>
          <w:rFonts w:ascii="Times New Roman" w:eastAsia="Calibri" w:hAnsi="Times New Roman" w:cs="Times New Roman"/>
          <w:color w:val="000000" w:themeColor="text1"/>
          <w:lang w:val="es-AR"/>
        </w:rPr>
        <w:lastRenderedPageBreak/>
        <w:t>En el caso de la UBA, en los últimos años comienzan a observarse nuevas propuestas cortas de estudios más allá de las carreras de pregrado y grado. A modo de ejemplo, se observa un crecimiento en la oferta tanto de cursos de extensión que adoptan la forma de diplomaturas en temáticas específicas, como también cursos cortos de actualización específicos para estudiantes que ya cuenten con una carrera de grado, así como también la reciente incorporación de diplomaturas superiores destinadas a graduados universitarios.</w:t>
      </w:r>
    </w:p>
    <w:p w14:paraId="4ACED8DB" w14:textId="77777777" w:rsidR="009545C9" w:rsidRPr="00754C9C" w:rsidRDefault="009545C9" w:rsidP="00754C9C">
      <w:pPr>
        <w:tabs>
          <w:tab w:val="num" w:pos="720"/>
        </w:tabs>
        <w:spacing w:before="240" w:after="0" w:line="240" w:lineRule="auto"/>
        <w:jc w:val="both"/>
        <w:rPr>
          <w:rFonts w:ascii="Times New Roman" w:eastAsia="Calibri" w:hAnsi="Times New Roman" w:cs="Times New Roman"/>
          <w:color w:val="000000" w:themeColor="text1"/>
          <w:lang w:val="es-AR"/>
        </w:rPr>
      </w:pPr>
      <w:r w:rsidRPr="00754C9C">
        <w:rPr>
          <w:rFonts w:ascii="Times New Roman" w:eastAsia="Calibri" w:hAnsi="Times New Roman" w:cs="Times New Roman"/>
          <w:color w:val="000000" w:themeColor="text1"/>
          <w:lang w:val="es-AR"/>
        </w:rPr>
        <w:t>Además, la UBA ofrece, en su oferta académica de grado, cada vez más títulos intermedios como lo es el título de Bachiller universitario, que da cuenta del avance en las trayectorias formativas de los estudiantes de diversas carreras de grado de mayor duración. Este reconocimiento es pensado como una forma de que los estudiantes puedan dar cuenta de ciertos saberes generales en la disciplina de formación antes de la obtención de su diploma de grado. Esta titulación se presenta como un diploma oficial de estudios parciales que los estudiantes pueden presentar en las postulaciones laborales. En este mismo sentido, se destacan también cada vez más ofertas de pregrado con duraciones que van entre los 2 y 3 años como máximo, con un perfil técnico que busca contribuir a una rápida inserción al mundo productivo.</w:t>
      </w:r>
    </w:p>
    <w:p w14:paraId="4B67C075" w14:textId="77777777" w:rsidR="009545C9" w:rsidRPr="00754C9C" w:rsidRDefault="009545C9" w:rsidP="007B5B5F">
      <w:pPr>
        <w:spacing w:line="240" w:lineRule="auto"/>
        <w:rPr>
          <w:rFonts w:ascii="Times New Roman" w:hAnsi="Times New Roman" w:cs="Times New Roman"/>
          <w:lang w:val="es-AR"/>
        </w:rPr>
      </w:pPr>
    </w:p>
    <w:p w14:paraId="77DE1D77" w14:textId="2D7AD1C0" w:rsidR="004C7C5C" w:rsidRDefault="004C7C5C" w:rsidP="00F565A4">
      <w:pPr>
        <w:spacing w:after="0" w:line="240" w:lineRule="auto"/>
        <w:rPr>
          <w:rFonts w:ascii="Times New Roman" w:hAnsi="Times New Roman" w:cs="Times New Roman"/>
          <w:b/>
          <w:bCs/>
          <w:lang w:val="es-AR"/>
        </w:rPr>
      </w:pPr>
      <w:r w:rsidRPr="00772F2E">
        <w:rPr>
          <w:rFonts w:ascii="Times New Roman" w:hAnsi="Times New Roman" w:cs="Times New Roman"/>
          <w:b/>
          <w:bCs/>
          <w:lang w:val="es-AR"/>
        </w:rPr>
        <w:t>La actividad productiva de los graduados universitarios</w:t>
      </w:r>
    </w:p>
    <w:p w14:paraId="6BB13759" w14:textId="77777777" w:rsidR="00F565A4" w:rsidRPr="00772F2E" w:rsidRDefault="00F565A4" w:rsidP="00F565A4">
      <w:pPr>
        <w:spacing w:after="0" w:line="240" w:lineRule="auto"/>
        <w:rPr>
          <w:rFonts w:ascii="Times New Roman" w:hAnsi="Times New Roman" w:cs="Times New Roman"/>
          <w:b/>
          <w:bCs/>
          <w:lang w:val="es-AR"/>
        </w:rPr>
      </w:pPr>
    </w:p>
    <w:p w14:paraId="5A770775" w14:textId="26387D3F" w:rsidR="00CA06FB" w:rsidRDefault="00312D9A" w:rsidP="00F565A4">
      <w:pPr>
        <w:tabs>
          <w:tab w:val="num" w:pos="720"/>
        </w:tabs>
        <w:spacing w:after="0" w:line="240" w:lineRule="auto"/>
        <w:jc w:val="both"/>
        <w:rPr>
          <w:rFonts w:ascii="Times New Roman" w:eastAsia="Calibri" w:hAnsi="Times New Roman" w:cs="Times New Roman"/>
          <w:color w:val="000000" w:themeColor="text1"/>
          <w:lang w:val="es-AR"/>
        </w:rPr>
      </w:pPr>
      <w:r w:rsidRPr="00772F2E">
        <w:rPr>
          <w:rFonts w:ascii="Times New Roman" w:eastAsia="Calibri" w:hAnsi="Times New Roman" w:cs="Times New Roman"/>
          <w:color w:val="000000" w:themeColor="text1"/>
          <w:lang w:val="es-AR"/>
        </w:rPr>
        <w:t xml:space="preserve">En este apartado se presentan </w:t>
      </w:r>
      <w:r w:rsidR="00772F2E">
        <w:rPr>
          <w:rFonts w:ascii="Times New Roman" w:eastAsia="Calibri" w:hAnsi="Times New Roman" w:cs="Times New Roman"/>
          <w:color w:val="000000" w:themeColor="text1"/>
          <w:lang w:val="es-AR"/>
        </w:rPr>
        <w:t xml:space="preserve">los principales </w:t>
      </w:r>
      <w:r w:rsidRPr="00772F2E">
        <w:rPr>
          <w:rFonts w:ascii="Times New Roman" w:eastAsia="Calibri" w:hAnsi="Times New Roman" w:cs="Times New Roman"/>
          <w:color w:val="000000" w:themeColor="text1"/>
          <w:lang w:val="es-AR"/>
        </w:rPr>
        <w:t xml:space="preserve">resultados </w:t>
      </w:r>
      <w:r w:rsidR="00772F2E">
        <w:rPr>
          <w:rFonts w:ascii="Times New Roman" w:eastAsia="Calibri" w:hAnsi="Times New Roman" w:cs="Times New Roman"/>
          <w:color w:val="000000" w:themeColor="text1"/>
          <w:lang w:val="es-AR"/>
        </w:rPr>
        <w:t xml:space="preserve">relativos a la temática analizada, producto del procesamiento de la Encuesta Permanente de Hogares (EPH). Dicho análisis retoma </w:t>
      </w:r>
      <w:r w:rsidRPr="00772F2E">
        <w:rPr>
          <w:rFonts w:ascii="Times New Roman" w:eastAsia="Calibri" w:hAnsi="Times New Roman" w:cs="Times New Roman"/>
          <w:color w:val="000000" w:themeColor="text1"/>
          <w:lang w:val="es-AR"/>
        </w:rPr>
        <w:t>estudios empíricos previos (Busso, 2020 y Riquelme, 2000), continuando las series temporales y asimismo profundizando en algunas variables</w:t>
      </w:r>
      <w:r w:rsidR="00772F2E">
        <w:rPr>
          <w:rFonts w:ascii="Times New Roman" w:eastAsia="Calibri" w:hAnsi="Times New Roman" w:cs="Times New Roman"/>
          <w:color w:val="000000" w:themeColor="text1"/>
          <w:lang w:val="es-AR"/>
        </w:rPr>
        <w:t xml:space="preserve"> de interés</w:t>
      </w:r>
      <w:r w:rsidRPr="00772F2E">
        <w:rPr>
          <w:rFonts w:ascii="Times New Roman" w:eastAsia="Calibri" w:hAnsi="Times New Roman" w:cs="Times New Roman"/>
          <w:color w:val="000000" w:themeColor="text1"/>
          <w:lang w:val="es-AR"/>
        </w:rPr>
        <w:t>.</w:t>
      </w:r>
      <w:r w:rsidR="00CA06FB">
        <w:rPr>
          <w:rFonts w:ascii="Times New Roman" w:eastAsia="Calibri" w:hAnsi="Times New Roman" w:cs="Times New Roman"/>
          <w:color w:val="000000" w:themeColor="text1"/>
          <w:lang w:val="es-AR"/>
        </w:rPr>
        <w:t xml:space="preserve"> Adicionalmente, se problematiza en torno al efecto del máximo nivel educativo alcanzado como factor para la obtención de un empleo, así como también al acceso a lo que podría denominarse empleos de “calidad”.</w:t>
      </w:r>
    </w:p>
    <w:p w14:paraId="0DAC3180" w14:textId="77777777" w:rsidR="00F565A4" w:rsidRDefault="00F565A4" w:rsidP="00F565A4">
      <w:pPr>
        <w:tabs>
          <w:tab w:val="num" w:pos="720"/>
        </w:tabs>
        <w:spacing w:after="0" w:line="240" w:lineRule="auto"/>
        <w:jc w:val="both"/>
        <w:rPr>
          <w:rFonts w:ascii="Times New Roman" w:eastAsia="Calibri" w:hAnsi="Times New Roman" w:cs="Times New Roman"/>
          <w:color w:val="000000" w:themeColor="text1"/>
          <w:lang w:val="es-AR"/>
        </w:rPr>
      </w:pPr>
    </w:p>
    <w:p w14:paraId="4A2A2983" w14:textId="25740AA0" w:rsidR="009D1142" w:rsidRDefault="00312D9A" w:rsidP="00F565A4">
      <w:pPr>
        <w:tabs>
          <w:tab w:val="num" w:pos="720"/>
        </w:tabs>
        <w:spacing w:after="0" w:line="240" w:lineRule="auto"/>
        <w:jc w:val="both"/>
        <w:rPr>
          <w:rFonts w:ascii="Times New Roman" w:eastAsia="Calibri" w:hAnsi="Times New Roman" w:cs="Times New Roman"/>
          <w:color w:val="000000" w:themeColor="text1"/>
          <w:lang w:val="es-AR"/>
        </w:rPr>
      </w:pPr>
      <w:r w:rsidRPr="00772F2E">
        <w:rPr>
          <w:rFonts w:ascii="Times New Roman" w:eastAsia="Calibri" w:hAnsi="Times New Roman" w:cs="Times New Roman"/>
          <w:color w:val="000000" w:themeColor="text1"/>
          <w:lang w:val="es-AR"/>
        </w:rPr>
        <w:t xml:space="preserve">Dado que la información disponible proviene de la </w:t>
      </w:r>
      <w:r w:rsidR="00772F2E">
        <w:rPr>
          <w:rFonts w:ascii="Times New Roman" w:eastAsia="Calibri" w:hAnsi="Times New Roman" w:cs="Times New Roman"/>
          <w:color w:val="000000" w:themeColor="text1"/>
          <w:lang w:val="es-AR"/>
        </w:rPr>
        <w:t>EPH</w:t>
      </w:r>
      <w:r w:rsidRPr="00772F2E">
        <w:rPr>
          <w:rFonts w:ascii="Times New Roman" w:eastAsia="Calibri" w:hAnsi="Times New Roman" w:cs="Times New Roman"/>
          <w:color w:val="000000" w:themeColor="text1"/>
          <w:lang w:val="es-AR"/>
        </w:rPr>
        <w:t>, esta se encuentra circunscripta a la población en los núcleos urbanos, por lo tanto, no se profundiza en la población rural. En primer lugar, es conveniente ver la distribución de la educación superior en la población:</w:t>
      </w:r>
    </w:p>
    <w:p w14:paraId="6FC851FF" w14:textId="77777777" w:rsidR="009D1142" w:rsidRDefault="009D1142">
      <w:pPr>
        <w:rPr>
          <w:rFonts w:ascii="Times New Roman" w:eastAsia="Calibri" w:hAnsi="Times New Roman" w:cs="Times New Roman"/>
          <w:color w:val="000000" w:themeColor="text1"/>
          <w:lang w:val="es-AR"/>
        </w:rPr>
      </w:pPr>
      <w:r>
        <w:rPr>
          <w:rFonts w:ascii="Times New Roman" w:eastAsia="Calibri" w:hAnsi="Times New Roman" w:cs="Times New Roman"/>
          <w:color w:val="000000" w:themeColor="text1"/>
          <w:lang w:val="es-AR"/>
        </w:rPr>
        <w:br w:type="page"/>
      </w:r>
    </w:p>
    <w:p w14:paraId="5C5982B3" w14:textId="77777777" w:rsidR="00312D9A" w:rsidRPr="00772F2E" w:rsidRDefault="00312D9A" w:rsidP="00772F2E">
      <w:pPr>
        <w:spacing w:before="240" w:after="120" w:line="240" w:lineRule="auto"/>
        <w:jc w:val="both"/>
        <w:rPr>
          <w:rFonts w:ascii="Times New Roman" w:eastAsia="Calibri" w:hAnsi="Times New Roman" w:cs="Times New Roman"/>
          <w:i/>
          <w:iCs/>
          <w:color w:val="000000" w:themeColor="text1"/>
          <w:lang w:val="es-AR"/>
        </w:rPr>
      </w:pPr>
      <w:r w:rsidRPr="00772F2E">
        <w:rPr>
          <w:rFonts w:ascii="Times New Roman" w:eastAsia="Calibri" w:hAnsi="Times New Roman" w:cs="Times New Roman"/>
          <w:i/>
          <w:iCs/>
          <w:color w:val="000000" w:themeColor="text1"/>
          <w:lang w:val="es-AR"/>
        </w:rPr>
        <w:lastRenderedPageBreak/>
        <w:t>Cuadro 1: participación de la población con educación superior en la población total. Población Urbana Total (PUT) - Interior Urbano (IU) - Gran Buenos Aires (GBA). 2016 - 2020 - 2024. Valores porcentuales.</w:t>
      </w:r>
    </w:p>
    <w:tbl>
      <w:tblPr>
        <w:tblStyle w:val="Tablaconcuadrcula1clara"/>
        <w:tblW w:w="5000" w:type="pct"/>
        <w:tblLayout w:type="fixed"/>
        <w:tblLook w:val="04A0" w:firstRow="1" w:lastRow="0" w:firstColumn="1" w:lastColumn="0" w:noHBand="0" w:noVBand="1"/>
      </w:tblPr>
      <w:tblGrid>
        <w:gridCol w:w="1839"/>
        <w:gridCol w:w="819"/>
        <w:gridCol w:w="729"/>
        <w:gridCol w:w="730"/>
        <w:gridCol w:w="729"/>
        <w:gridCol w:w="730"/>
        <w:gridCol w:w="730"/>
        <w:gridCol w:w="729"/>
        <w:gridCol w:w="729"/>
        <w:gridCol w:w="730"/>
      </w:tblGrid>
      <w:tr w:rsidR="00312D9A" w:rsidRPr="00772F2E" w14:paraId="28C1117C" w14:textId="77777777" w:rsidTr="00772F2E">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82" w:type="pct"/>
            <w:noWrap/>
            <w:hideMark/>
          </w:tcPr>
          <w:p w14:paraId="70F800CA" w14:textId="77777777" w:rsidR="00312D9A" w:rsidRPr="00772F2E" w:rsidRDefault="00312D9A" w:rsidP="00772F2E">
            <w:pPr>
              <w:rPr>
                <w:rFonts w:ascii="Times New Roman" w:eastAsia="Times New Roman" w:hAnsi="Times New Roman" w:cs="Times New Roman"/>
                <w:lang w:val="es-AR" w:eastAsia="es-AR"/>
              </w:rPr>
            </w:pPr>
          </w:p>
        </w:tc>
        <w:tc>
          <w:tcPr>
            <w:tcW w:w="1340" w:type="pct"/>
            <w:gridSpan w:val="3"/>
            <w:noWrap/>
            <w:hideMark/>
          </w:tcPr>
          <w:p w14:paraId="75433792" w14:textId="77777777" w:rsidR="00312D9A" w:rsidRPr="00772F2E" w:rsidRDefault="00312D9A" w:rsidP="00772F2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2016</w:t>
            </w:r>
          </w:p>
        </w:tc>
        <w:tc>
          <w:tcPr>
            <w:tcW w:w="1289" w:type="pct"/>
            <w:gridSpan w:val="3"/>
            <w:noWrap/>
            <w:hideMark/>
          </w:tcPr>
          <w:p w14:paraId="2EB7D559" w14:textId="77777777" w:rsidR="00312D9A" w:rsidRPr="00772F2E" w:rsidRDefault="00312D9A" w:rsidP="00772F2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2020</w:t>
            </w:r>
          </w:p>
        </w:tc>
        <w:tc>
          <w:tcPr>
            <w:tcW w:w="1289" w:type="pct"/>
            <w:gridSpan w:val="3"/>
            <w:noWrap/>
            <w:hideMark/>
          </w:tcPr>
          <w:p w14:paraId="5D80942B" w14:textId="77777777" w:rsidR="00312D9A" w:rsidRPr="00772F2E" w:rsidRDefault="00312D9A" w:rsidP="00772F2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2024</w:t>
            </w:r>
          </w:p>
        </w:tc>
      </w:tr>
      <w:tr w:rsidR="00312D9A" w:rsidRPr="00772F2E" w14:paraId="0501DF67" w14:textId="77777777" w:rsidTr="00772F2E">
        <w:trPr>
          <w:trHeight w:val="285"/>
        </w:trPr>
        <w:tc>
          <w:tcPr>
            <w:cnfStyle w:val="001000000000" w:firstRow="0" w:lastRow="0" w:firstColumn="1" w:lastColumn="0" w:oddVBand="0" w:evenVBand="0" w:oddHBand="0" w:evenHBand="0" w:firstRowFirstColumn="0" w:firstRowLastColumn="0" w:lastRowFirstColumn="0" w:lastRowLastColumn="0"/>
            <w:tcW w:w="1082" w:type="pct"/>
            <w:noWrap/>
            <w:hideMark/>
          </w:tcPr>
          <w:p w14:paraId="11C8900D" w14:textId="77777777" w:rsidR="00312D9A" w:rsidRPr="00772F2E" w:rsidRDefault="00312D9A" w:rsidP="00772F2E">
            <w:pPr>
              <w:rPr>
                <w:rFonts w:ascii="Times New Roman" w:eastAsia="Times New Roman" w:hAnsi="Times New Roman" w:cs="Times New Roman"/>
                <w:color w:val="000000"/>
                <w:lang w:val="es-AR" w:eastAsia="es-AR"/>
              </w:rPr>
            </w:pPr>
          </w:p>
        </w:tc>
        <w:tc>
          <w:tcPr>
            <w:tcW w:w="482" w:type="pct"/>
            <w:noWrap/>
            <w:hideMark/>
          </w:tcPr>
          <w:p w14:paraId="564AF992"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PUT</w:t>
            </w:r>
          </w:p>
        </w:tc>
        <w:tc>
          <w:tcPr>
            <w:tcW w:w="429" w:type="pct"/>
            <w:noWrap/>
            <w:hideMark/>
          </w:tcPr>
          <w:p w14:paraId="15552E62"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IU</w:t>
            </w:r>
          </w:p>
        </w:tc>
        <w:tc>
          <w:tcPr>
            <w:tcW w:w="430" w:type="pct"/>
            <w:noWrap/>
            <w:hideMark/>
          </w:tcPr>
          <w:p w14:paraId="7FE11EFE"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GBA</w:t>
            </w:r>
          </w:p>
        </w:tc>
        <w:tc>
          <w:tcPr>
            <w:tcW w:w="429" w:type="pct"/>
            <w:noWrap/>
            <w:hideMark/>
          </w:tcPr>
          <w:p w14:paraId="7A6EFBB8"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PUT</w:t>
            </w:r>
          </w:p>
        </w:tc>
        <w:tc>
          <w:tcPr>
            <w:tcW w:w="430" w:type="pct"/>
            <w:noWrap/>
            <w:hideMark/>
          </w:tcPr>
          <w:p w14:paraId="0EBBAF05"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IU</w:t>
            </w:r>
          </w:p>
        </w:tc>
        <w:tc>
          <w:tcPr>
            <w:tcW w:w="430" w:type="pct"/>
            <w:noWrap/>
            <w:hideMark/>
          </w:tcPr>
          <w:p w14:paraId="5135F8F4"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GBA</w:t>
            </w:r>
          </w:p>
        </w:tc>
        <w:tc>
          <w:tcPr>
            <w:tcW w:w="429" w:type="pct"/>
            <w:noWrap/>
            <w:hideMark/>
          </w:tcPr>
          <w:p w14:paraId="1E9C93F1"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PUT</w:t>
            </w:r>
          </w:p>
        </w:tc>
        <w:tc>
          <w:tcPr>
            <w:tcW w:w="429" w:type="pct"/>
            <w:noWrap/>
            <w:hideMark/>
          </w:tcPr>
          <w:p w14:paraId="77E43C38"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IU</w:t>
            </w:r>
          </w:p>
        </w:tc>
        <w:tc>
          <w:tcPr>
            <w:tcW w:w="431" w:type="pct"/>
            <w:noWrap/>
            <w:hideMark/>
          </w:tcPr>
          <w:p w14:paraId="09E72EFA"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GBA</w:t>
            </w:r>
          </w:p>
        </w:tc>
      </w:tr>
      <w:tr w:rsidR="00312D9A" w:rsidRPr="00772F2E" w14:paraId="7013D4C6" w14:textId="77777777" w:rsidTr="00772F2E">
        <w:trPr>
          <w:trHeight w:val="285"/>
        </w:trPr>
        <w:tc>
          <w:tcPr>
            <w:cnfStyle w:val="001000000000" w:firstRow="0" w:lastRow="0" w:firstColumn="1" w:lastColumn="0" w:oddVBand="0" w:evenVBand="0" w:oddHBand="0" w:evenHBand="0" w:firstRowFirstColumn="0" w:firstRowLastColumn="0" w:lastRowFirstColumn="0" w:lastRowLastColumn="0"/>
            <w:tcW w:w="1082" w:type="pct"/>
            <w:noWrap/>
            <w:hideMark/>
          </w:tcPr>
          <w:p w14:paraId="33E416D6" w14:textId="28FA0693" w:rsidR="00312D9A" w:rsidRPr="00772F2E" w:rsidRDefault="00312D9A" w:rsidP="00772F2E">
            <w:pPr>
              <w:rPr>
                <w:rFonts w:ascii="Times New Roman" w:eastAsia="Times New Roman" w:hAnsi="Times New Roman" w:cs="Times New Roman"/>
                <w:color w:val="000000"/>
                <w:lang w:val="es-AR" w:eastAsia="es-AR"/>
              </w:rPr>
            </w:pPr>
            <w:proofErr w:type="gramStart"/>
            <w:r w:rsidRPr="00772F2E">
              <w:rPr>
                <w:rFonts w:ascii="Times New Roman" w:eastAsia="Times New Roman" w:hAnsi="Times New Roman" w:cs="Times New Roman"/>
                <w:color w:val="000000"/>
                <w:lang w:val="es-AR" w:eastAsia="es-AR"/>
              </w:rPr>
              <w:t>Total</w:t>
            </w:r>
            <w:proofErr w:type="gramEnd"/>
            <w:r w:rsidRPr="00772F2E">
              <w:rPr>
                <w:rFonts w:ascii="Times New Roman" w:eastAsia="Times New Roman" w:hAnsi="Times New Roman" w:cs="Times New Roman"/>
                <w:color w:val="000000"/>
                <w:lang w:val="es-AR" w:eastAsia="es-AR"/>
              </w:rPr>
              <w:t xml:space="preserve"> población con </w:t>
            </w:r>
            <w:r w:rsidR="00772F2E">
              <w:rPr>
                <w:rFonts w:ascii="Times New Roman" w:eastAsia="Times New Roman" w:hAnsi="Times New Roman" w:cs="Times New Roman"/>
                <w:color w:val="000000"/>
                <w:lang w:val="es-AR" w:eastAsia="es-AR"/>
              </w:rPr>
              <w:t>ES</w:t>
            </w:r>
          </w:p>
        </w:tc>
        <w:tc>
          <w:tcPr>
            <w:tcW w:w="482" w:type="pct"/>
            <w:noWrap/>
            <w:hideMark/>
          </w:tcPr>
          <w:p w14:paraId="504CCDDB"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31,3%</w:t>
            </w:r>
          </w:p>
        </w:tc>
        <w:tc>
          <w:tcPr>
            <w:tcW w:w="429" w:type="pct"/>
            <w:noWrap/>
            <w:hideMark/>
          </w:tcPr>
          <w:p w14:paraId="2D823AA7"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32,7%</w:t>
            </w:r>
          </w:p>
        </w:tc>
        <w:tc>
          <w:tcPr>
            <w:tcW w:w="430" w:type="pct"/>
            <w:noWrap/>
            <w:hideMark/>
          </w:tcPr>
          <w:p w14:paraId="7810E850"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30,2%</w:t>
            </w:r>
          </w:p>
        </w:tc>
        <w:tc>
          <w:tcPr>
            <w:tcW w:w="429" w:type="pct"/>
            <w:noWrap/>
            <w:hideMark/>
          </w:tcPr>
          <w:p w14:paraId="3BAD487D"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34,4%</w:t>
            </w:r>
          </w:p>
        </w:tc>
        <w:tc>
          <w:tcPr>
            <w:tcW w:w="430" w:type="pct"/>
            <w:noWrap/>
            <w:hideMark/>
          </w:tcPr>
          <w:p w14:paraId="01C2ADF8"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34,6%</w:t>
            </w:r>
          </w:p>
        </w:tc>
        <w:tc>
          <w:tcPr>
            <w:tcW w:w="430" w:type="pct"/>
            <w:noWrap/>
            <w:hideMark/>
          </w:tcPr>
          <w:p w14:paraId="2498AC4E"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34,2%</w:t>
            </w:r>
          </w:p>
        </w:tc>
        <w:tc>
          <w:tcPr>
            <w:tcW w:w="429" w:type="pct"/>
            <w:noWrap/>
            <w:hideMark/>
          </w:tcPr>
          <w:p w14:paraId="1017026F"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37,3%</w:t>
            </w:r>
          </w:p>
        </w:tc>
        <w:tc>
          <w:tcPr>
            <w:tcW w:w="429" w:type="pct"/>
            <w:noWrap/>
            <w:hideMark/>
          </w:tcPr>
          <w:p w14:paraId="5DC51B7D"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37,2%</w:t>
            </w:r>
          </w:p>
        </w:tc>
        <w:tc>
          <w:tcPr>
            <w:tcW w:w="431" w:type="pct"/>
            <w:noWrap/>
            <w:hideMark/>
          </w:tcPr>
          <w:p w14:paraId="6DBC68F8"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37,5%</w:t>
            </w:r>
          </w:p>
        </w:tc>
      </w:tr>
      <w:tr w:rsidR="00312D9A" w:rsidRPr="00772F2E" w14:paraId="1DE5C0A1" w14:textId="77777777" w:rsidTr="00772F2E">
        <w:trPr>
          <w:trHeight w:val="285"/>
        </w:trPr>
        <w:tc>
          <w:tcPr>
            <w:cnfStyle w:val="001000000000" w:firstRow="0" w:lastRow="0" w:firstColumn="1" w:lastColumn="0" w:oddVBand="0" w:evenVBand="0" w:oddHBand="0" w:evenHBand="0" w:firstRowFirstColumn="0" w:firstRowLastColumn="0" w:lastRowFirstColumn="0" w:lastRowLastColumn="0"/>
            <w:tcW w:w="1082" w:type="pct"/>
            <w:noWrap/>
            <w:hideMark/>
          </w:tcPr>
          <w:p w14:paraId="43D69250" w14:textId="77777777" w:rsidR="00312D9A" w:rsidRPr="00772F2E" w:rsidRDefault="00312D9A" w:rsidP="00772F2E">
            <w:pPr>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Completa</w:t>
            </w:r>
          </w:p>
        </w:tc>
        <w:tc>
          <w:tcPr>
            <w:tcW w:w="482" w:type="pct"/>
            <w:noWrap/>
            <w:hideMark/>
          </w:tcPr>
          <w:p w14:paraId="19B7CD93"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16,7%</w:t>
            </w:r>
          </w:p>
        </w:tc>
        <w:tc>
          <w:tcPr>
            <w:tcW w:w="429" w:type="pct"/>
            <w:noWrap/>
            <w:hideMark/>
          </w:tcPr>
          <w:p w14:paraId="3B5630F5"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16,5%</w:t>
            </w:r>
          </w:p>
        </w:tc>
        <w:tc>
          <w:tcPr>
            <w:tcW w:w="430" w:type="pct"/>
            <w:noWrap/>
            <w:hideMark/>
          </w:tcPr>
          <w:p w14:paraId="74A0F573"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16,9%</w:t>
            </w:r>
          </w:p>
        </w:tc>
        <w:tc>
          <w:tcPr>
            <w:tcW w:w="429" w:type="pct"/>
            <w:noWrap/>
            <w:hideMark/>
          </w:tcPr>
          <w:p w14:paraId="5DF543CC"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18,7%</w:t>
            </w:r>
          </w:p>
        </w:tc>
        <w:tc>
          <w:tcPr>
            <w:tcW w:w="430" w:type="pct"/>
            <w:noWrap/>
            <w:hideMark/>
          </w:tcPr>
          <w:p w14:paraId="2536CF3D"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18,1%</w:t>
            </w:r>
          </w:p>
        </w:tc>
        <w:tc>
          <w:tcPr>
            <w:tcW w:w="430" w:type="pct"/>
            <w:noWrap/>
            <w:hideMark/>
          </w:tcPr>
          <w:p w14:paraId="42B920BD"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19,1%</w:t>
            </w:r>
          </w:p>
        </w:tc>
        <w:tc>
          <w:tcPr>
            <w:tcW w:w="429" w:type="pct"/>
            <w:noWrap/>
            <w:hideMark/>
          </w:tcPr>
          <w:p w14:paraId="5329DABC"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20,9%</w:t>
            </w:r>
          </w:p>
        </w:tc>
        <w:tc>
          <w:tcPr>
            <w:tcW w:w="429" w:type="pct"/>
            <w:noWrap/>
            <w:hideMark/>
          </w:tcPr>
          <w:p w14:paraId="07B9439B"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19,8%</w:t>
            </w:r>
          </w:p>
        </w:tc>
        <w:tc>
          <w:tcPr>
            <w:tcW w:w="431" w:type="pct"/>
            <w:noWrap/>
            <w:hideMark/>
          </w:tcPr>
          <w:p w14:paraId="69633499"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21,9%</w:t>
            </w:r>
          </w:p>
        </w:tc>
      </w:tr>
      <w:tr w:rsidR="00312D9A" w:rsidRPr="00772F2E" w14:paraId="64B682BF" w14:textId="77777777" w:rsidTr="00772F2E">
        <w:trPr>
          <w:trHeight w:val="285"/>
        </w:trPr>
        <w:tc>
          <w:tcPr>
            <w:cnfStyle w:val="001000000000" w:firstRow="0" w:lastRow="0" w:firstColumn="1" w:lastColumn="0" w:oddVBand="0" w:evenVBand="0" w:oddHBand="0" w:evenHBand="0" w:firstRowFirstColumn="0" w:firstRowLastColumn="0" w:lastRowFirstColumn="0" w:lastRowLastColumn="0"/>
            <w:tcW w:w="1082" w:type="pct"/>
            <w:noWrap/>
            <w:hideMark/>
          </w:tcPr>
          <w:p w14:paraId="121B9B4F" w14:textId="77777777" w:rsidR="00312D9A" w:rsidRPr="00772F2E" w:rsidRDefault="00312D9A" w:rsidP="00772F2E">
            <w:pPr>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Incompleta</w:t>
            </w:r>
          </w:p>
        </w:tc>
        <w:tc>
          <w:tcPr>
            <w:tcW w:w="482" w:type="pct"/>
            <w:noWrap/>
            <w:hideMark/>
          </w:tcPr>
          <w:p w14:paraId="4821EFBA"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14,6%</w:t>
            </w:r>
          </w:p>
        </w:tc>
        <w:tc>
          <w:tcPr>
            <w:tcW w:w="429" w:type="pct"/>
            <w:noWrap/>
            <w:hideMark/>
          </w:tcPr>
          <w:p w14:paraId="58F69E17"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16,2%</w:t>
            </w:r>
          </w:p>
        </w:tc>
        <w:tc>
          <w:tcPr>
            <w:tcW w:w="430" w:type="pct"/>
            <w:noWrap/>
            <w:hideMark/>
          </w:tcPr>
          <w:p w14:paraId="081BCB4D"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13,3%</w:t>
            </w:r>
          </w:p>
        </w:tc>
        <w:tc>
          <w:tcPr>
            <w:tcW w:w="429" w:type="pct"/>
            <w:noWrap/>
            <w:hideMark/>
          </w:tcPr>
          <w:p w14:paraId="2D52EE83"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15,7%</w:t>
            </w:r>
          </w:p>
        </w:tc>
        <w:tc>
          <w:tcPr>
            <w:tcW w:w="430" w:type="pct"/>
            <w:noWrap/>
            <w:hideMark/>
          </w:tcPr>
          <w:p w14:paraId="6194F181"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16,5%</w:t>
            </w:r>
          </w:p>
        </w:tc>
        <w:tc>
          <w:tcPr>
            <w:tcW w:w="430" w:type="pct"/>
            <w:noWrap/>
            <w:hideMark/>
          </w:tcPr>
          <w:p w14:paraId="2A01BA81"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15,1%</w:t>
            </w:r>
          </w:p>
        </w:tc>
        <w:tc>
          <w:tcPr>
            <w:tcW w:w="429" w:type="pct"/>
            <w:noWrap/>
            <w:hideMark/>
          </w:tcPr>
          <w:p w14:paraId="1F5CBC22"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16,4%</w:t>
            </w:r>
          </w:p>
        </w:tc>
        <w:tc>
          <w:tcPr>
            <w:tcW w:w="429" w:type="pct"/>
            <w:noWrap/>
            <w:hideMark/>
          </w:tcPr>
          <w:p w14:paraId="43AA32F4"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17,4%</w:t>
            </w:r>
          </w:p>
        </w:tc>
        <w:tc>
          <w:tcPr>
            <w:tcW w:w="431" w:type="pct"/>
            <w:noWrap/>
            <w:hideMark/>
          </w:tcPr>
          <w:p w14:paraId="737182DE"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15,6%</w:t>
            </w:r>
          </w:p>
        </w:tc>
      </w:tr>
    </w:tbl>
    <w:p w14:paraId="48C2BC38" w14:textId="77777777" w:rsidR="00312D9A" w:rsidRPr="00772F2E" w:rsidRDefault="00312D9A" w:rsidP="00772F2E">
      <w:pPr>
        <w:tabs>
          <w:tab w:val="num" w:pos="720"/>
        </w:tabs>
        <w:spacing w:after="0" w:line="240" w:lineRule="auto"/>
        <w:jc w:val="both"/>
        <w:rPr>
          <w:rFonts w:ascii="Times New Roman" w:eastAsia="Calibri" w:hAnsi="Times New Roman" w:cs="Times New Roman"/>
          <w:color w:val="000000" w:themeColor="text1"/>
          <w:lang w:val="es-AR"/>
        </w:rPr>
      </w:pPr>
      <w:r w:rsidRPr="00772F2E">
        <w:rPr>
          <w:rFonts w:ascii="Times New Roman" w:eastAsia="Calibri" w:hAnsi="Times New Roman" w:cs="Times New Roman"/>
          <w:color w:val="000000" w:themeColor="text1"/>
          <w:lang w:val="es-AR"/>
        </w:rPr>
        <w:t xml:space="preserve">Fuente: Elaboración propia a partir de </w:t>
      </w:r>
      <w:r w:rsidRPr="00772F2E">
        <w:rPr>
          <w:rFonts w:ascii="Times New Roman" w:eastAsia="Calibri" w:hAnsi="Times New Roman" w:cs="Times New Roman"/>
          <w:color w:val="000000" w:themeColor="text1"/>
        </w:rPr>
        <w:t>Encuesta Permanente de Hogares (EPH-INDEC).</w:t>
      </w:r>
    </w:p>
    <w:p w14:paraId="71BB7A38" w14:textId="77777777" w:rsidR="00312D9A" w:rsidRPr="00772F2E" w:rsidRDefault="00312D9A" w:rsidP="00772F2E">
      <w:pPr>
        <w:tabs>
          <w:tab w:val="num" w:pos="720"/>
        </w:tabs>
        <w:spacing w:after="0" w:line="240" w:lineRule="auto"/>
        <w:jc w:val="both"/>
        <w:rPr>
          <w:rFonts w:ascii="Times New Roman" w:eastAsia="Calibri" w:hAnsi="Times New Roman" w:cs="Times New Roman"/>
          <w:color w:val="000000" w:themeColor="text1"/>
          <w:lang w:val="es-AR"/>
        </w:rPr>
      </w:pPr>
      <w:r w:rsidRPr="00772F2E">
        <w:rPr>
          <w:rFonts w:ascii="Times New Roman" w:eastAsia="Calibri" w:hAnsi="Times New Roman" w:cs="Times New Roman"/>
          <w:color w:val="000000" w:themeColor="text1"/>
          <w:lang w:val="es-AR"/>
        </w:rPr>
        <w:t>Nota metodológica: se realizó un corte etario de la población mayor de 17 años para no subvaluar la población en edad.</w:t>
      </w:r>
    </w:p>
    <w:p w14:paraId="244C4FA8" w14:textId="77777777" w:rsidR="00F565A4" w:rsidRDefault="00F565A4" w:rsidP="00F565A4">
      <w:pPr>
        <w:tabs>
          <w:tab w:val="num" w:pos="720"/>
        </w:tabs>
        <w:spacing w:after="0" w:line="240" w:lineRule="auto"/>
        <w:jc w:val="both"/>
        <w:rPr>
          <w:rFonts w:ascii="Times New Roman" w:eastAsia="Calibri" w:hAnsi="Times New Roman" w:cs="Times New Roman"/>
          <w:color w:val="000000" w:themeColor="text1"/>
          <w:lang w:val="es-AR"/>
        </w:rPr>
      </w:pPr>
    </w:p>
    <w:p w14:paraId="404CBA4B" w14:textId="61696B75" w:rsidR="00312D9A" w:rsidRPr="00772F2E" w:rsidRDefault="00312D9A" w:rsidP="00F565A4">
      <w:pPr>
        <w:tabs>
          <w:tab w:val="num" w:pos="720"/>
        </w:tabs>
        <w:spacing w:after="0" w:line="240" w:lineRule="auto"/>
        <w:jc w:val="both"/>
        <w:rPr>
          <w:rFonts w:ascii="Times New Roman" w:eastAsia="Calibri" w:hAnsi="Times New Roman" w:cs="Times New Roman"/>
          <w:b/>
          <w:color w:val="000000" w:themeColor="text1"/>
          <w:lang w:val="es-AR"/>
        </w:rPr>
      </w:pPr>
      <w:r w:rsidRPr="00772F2E">
        <w:rPr>
          <w:rFonts w:ascii="Times New Roman" w:eastAsia="Calibri" w:hAnsi="Times New Roman" w:cs="Times New Roman"/>
          <w:color w:val="000000" w:themeColor="text1"/>
          <w:lang w:val="es-AR"/>
        </w:rPr>
        <w:t>Como puede observarse, entre los años 2016 y 2024 se evidencia un incremento en la participación de la población urbana con acceso a educación superior, independientemente de su condición de completa o no. Este incremento es relativamente estable en los años observados, mostrando un crecimiento de aproximadamente 3% entre períodos. Este crecimiento puede deberse a varios factores -apertura de instituciones, demandas de educación superior como condición de acceso al mercado de trabajo- no evidenciados a través de los resultados de la EPH. Sobre este total, es importante discriminar entre los tipos de educación superior -universitaria o no universitaria-:</w:t>
      </w:r>
    </w:p>
    <w:p w14:paraId="5A93A423" w14:textId="77777777" w:rsidR="00312D9A" w:rsidRPr="00772F2E" w:rsidRDefault="00312D9A" w:rsidP="00772F2E">
      <w:pPr>
        <w:spacing w:before="240" w:after="120" w:line="240" w:lineRule="auto"/>
        <w:jc w:val="both"/>
        <w:rPr>
          <w:rFonts w:ascii="Times New Roman" w:eastAsia="Calibri" w:hAnsi="Times New Roman" w:cs="Times New Roman"/>
          <w:i/>
          <w:iCs/>
          <w:color w:val="000000" w:themeColor="text1"/>
          <w:lang w:val="es-AR"/>
        </w:rPr>
      </w:pPr>
      <w:r w:rsidRPr="00772F2E">
        <w:rPr>
          <w:rFonts w:ascii="Times New Roman" w:eastAsia="Calibri" w:hAnsi="Times New Roman" w:cs="Times New Roman"/>
          <w:i/>
          <w:iCs/>
          <w:color w:val="000000" w:themeColor="text1"/>
          <w:lang w:val="es-AR"/>
        </w:rPr>
        <w:t>Cuadro 2: Composición de la población mayor de 17 años con educación superior según tipo de educación máxima alcanzada. 2016 - 2020 - 2024. Valores porcentuales.</w:t>
      </w:r>
    </w:p>
    <w:tbl>
      <w:tblPr>
        <w:tblStyle w:val="Tablaconcuadrcula1clara"/>
        <w:tblW w:w="5000" w:type="pct"/>
        <w:tblLayout w:type="fixed"/>
        <w:tblLook w:val="04A0" w:firstRow="1" w:lastRow="0" w:firstColumn="1" w:lastColumn="0" w:noHBand="0" w:noVBand="1"/>
      </w:tblPr>
      <w:tblGrid>
        <w:gridCol w:w="1834"/>
        <w:gridCol w:w="736"/>
        <w:gridCol w:w="741"/>
        <w:gridCol w:w="741"/>
        <w:gridCol w:w="741"/>
        <w:gridCol w:w="739"/>
        <w:gridCol w:w="741"/>
        <w:gridCol w:w="741"/>
        <w:gridCol w:w="741"/>
        <w:gridCol w:w="739"/>
      </w:tblGrid>
      <w:tr w:rsidR="00312D9A" w:rsidRPr="00772F2E" w14:paraId="6F18D070" w14:textId="77777777" w:rsidTr="00772F2E">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80" w:type="pct"/>
            <w:noWrap/>
            <w:hideMark/>
          </w:tcPr>
          <w:p w14:paraId="6D0CCB32" w14:textId="77777777" w:rsidR="00312D9A" w:rsidRPr="00772F2E" w:rsidRDefault="00312D9A" w:rsidP="00772F2E">
            <w:pPr>
              <w:rPr>
                <w:rFonts w:ascii="Times New Roman" w:eastAsia="Times New Roman" w:hAnsi="Times New Roman" w:cs="Times New Roman"/>
                <w:lang w:val="es-AR" w:eastAsia="es-AR"/>
              </w:rPr>
            </w:pPr>
          </w:p>
        </w:tc>
        <w:tc>
          <w:tcPr>
            <w:tcW w:w="1306" w:type="pct"/>
            <w:gridSpan w:val="3"/>
            <w:noWrap/>
            <w:hideMark/>
          </w:tcPr>
          <w:p w14:paraId="1EDC405E" w14:textId="77777777" w:rsidR="00312D9A" w:rsidRPr="00772F2E" w:rsidRDefault="00312D9A" w:rsidP="00772F2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2016</w:t>
            </w:r>
          </w:p>
        </w:tc>
        <w:tc>
          <w:tcPr>
            <w:tcW w:w="1307" w:type="pct"/>
            <w:gridSpan w:val="3"/>
            <w:noWrap/>
            <w:hideMark/>
          </w:tcPr>
          <w:p w14:paraId="029E0BBA" w14:textId="77777777" w:rsidR="00312D9A" w:rsidRPr="00772F2E" w:rsidRDefault="00312D9A" w:rsidP="00772F2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2020</w:t>
            </w:r>
          </w:p>
        </w:tc>
        <w:tc>
          <w:tcPr>
            <w:tcW w:w="1307" w:type="pct"/>
            <w:gridSpan w:val="3"/>
            <w:noWrap/>
            <w:hideMark/>
          </w:tcPr>
          <w:p w14:paraId="04348D2E" w14:textId="77777777" w:rsidR="00312D9A" w:rsidRPr="00772F2E" w:rsidRDefault="00312D9A" w:rsidP="00772F2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2024</w:t>
            </w:r>
          </w:p>
        </w:tc>
      </w:tr>
      <w:tr w:rsidR="00312D9A" w:rsidRPr="00772F2E" w14:paraId="6F53A3AB" w14:textId="77777777" w:rsidTr="00772F2E">
        <w:trPr>
          <w:trHeight w:val="285"/>
        </w:trPr>
        <w:tc>
          <w:tcPr>
            <w:cnfStyle w:val="001000000000" w:firstRow="0" w:lastRow="0" w:firstColumn="1" w:lastColumn="0" w:oddVBand="0" w:evenVBand="0" w:oddHBand="0" w:evenHBand="0" w:firstRowFirstColumn="0" w:firstRowLastColumn="0" w:lastRowFirstColumn="0" w:lastRowLastColumn="0"/>
            <w:tcW w:w="1080" w:type="pct"/>
            <w:noWrap/>
            <w:hideMark/>
          </w:tcPr>
          <w:p w14:paraId="26014866" w14:textId="77777777" w:rsidR="00312D9A" w:rsidRPr="00772F2E" w:rsidRDefault="00312D9A" w:rsidP="00772F2E">
            <w:pPr>
              <w:rPr>
                <w:rFonts w:ascii="Times New Roman" w:eastAsia="Times New Roman" w:hAnsi="Times New Roman" w:cs="Times New Roman"/>
                <w:lang w:val="es-AR" w:eastAsia="es-AR"/>
              </w:rPr>
            </w:pPr>
          </w:p>
        </w:tc>
        <w:tc>
          <w:tcPr>
            <w:tcW w:w="434" w:type="pct"/>
            <w:noWrap/>
            <w:hideMark/>
          </w:tcPr>
          <w:p w14:paraId="1A433504"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PUT</w:t>
            </w:r>
          </w:p>
        </w:tc>
        <w:tc>
          <w:tcPr>
            <w:tcW w:w="436" w:type="pct"/>
            <w:noWrap/>
            <w:hideMark/>
          </w:tcPr>
          <w:p w14:paraId="1F55AAA1"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IU</w:t>
            </w:r>
          </w:p>
        </w:tc>
        <w:tc>
          <w:tcPr>
            <w:tcW w:w="436" w:type="pct"/>
            <w:noWrap/>
            <w:hideMark/>
          </w:tcPr>
          <w:p w14:paraId="347FA39A"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GBA</w:t>
            </w:r>
          </w:p>
        </w:tc>
        <w:tc>
          <w:tcPr>
            <w:tcW w:w="436" w:type="pct"/>
            <w:noWrap/>
            <w:hideMark/>
          </w:tcPr>
          <w:p w14:paraId="1FB41EDE"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PUT</w:t>
            </w:r>
          </w:p>
        </w:tc>
        <w:tc>
          <w:tcPr>
            <w:tcW w:w="435" w:type="pct"/>
            <w:noWrap/>
            <w:hideMark/>
          </w:tcPr>
          <w:p w14:paraId="5C10EEE8"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IU</w:t>
            </w:r>
          </w:p>
        </w:tc>
        <w:tc>
          <w:tcPr>
            <w:tcW w:w="436" w:type="pct"/>
            <w:noWrap/>
            <w:hideMark/>
          </w:tcPr>
          <w:p w14:paraId="10AA2655"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GBA</w:t>
            </w:r>
          </w:p>
        </w:tc>
        <w:tc>
          <w:tcPr>
            <w:tcW w:w="436" w:type="pct"/>
            <w:noWrap/>
            <w:hideMark/>
          </w:tcPr>
          <w:p w14:paraId="6A8D3B81"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PUT</w:t>
            </w:r>
          </w:p>
        </w:tc>
        <w:tc>
          <w:tcPr>
            <w:tcW w:w="436" w:type="pct"/>
            <w:noWrap/>
            <w:hideMark/>
          </w:tcPr>
          <w:p w14:paraId="4730BFA5"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IU</w:t>
            </w:r>
          </w:p>
        </w:tc>
        <w:tc>
          <w:tcPr>
            <w:tcW w:w="433" w:type="pct"/>
            <w:noWrap/>
            <w:hideMark/>
          </w:tcPr>
          <w:p w14:paraId="3434F97B"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GBA</w:t>
            </w:r>
          </w:p>
        </w:tc>
      </w:tr>
      <w:tr w:rsidR="00312D9A" w:rsidRPr="00772F2E" w14:paraId="1C0A62D1" w14:textId="77777777" w:rsidTr="00772F2E">
        <w:trPr>
          <w:trHeight w:val="285"/>
        </w:trPr>
        <w:tc>
          <w:tcPr>
            <w:cnfStyle w:val="001000000000" w:firstRow="0" w:lastRow="0" w:firstColumn="1" w:lastColumn="0" w:oddVBand="0" w:evenVBand="0" w:oddHBand="0" w:evenHBand="0" w:firstRowFirstColumn="0" w:firstRowLastColumn="0" w:lastRowFirstColumn="0" w:lastRowLastColumn="0"/>
            <w:tcW w:w="1080" w:type="pct"/>
            <w:noWrap/>
            <w:hideMark/>
          </w:tcPr>
          <w:p w14:paraId="76BADBF7" w14:textId="77777777" w:rsidR="00312D9A" w:rsidRPr="00772F2E" w:rsidRDefault="00312D9A" w:rsidP="00772F2E">
            <w:pPr>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Educación Superior</w:t>
            </w:r>
          </w:p>
        </w:tc>
        <w:tc>
          <w:tcPr>
            <w:tcW w:w="434" w:type="pct"/>
            <w:noWrap/>
            <w:hideMark/>
          </w:tcPr>
          <w:p w14:paraId="799594E1"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100,0%</w:t>
            </w:r>
          </w:p>
        </w:tc>
        <w:tc>
          <w:tcPr>
            <w:tcW w:w="436" w:type="pct"/>
            <w:noWrap/>
            <w:hideMark/>
          </w:tcPr>
          <w:p w14:paraId="7A7D6935"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100,0%</w:t>
            </w:r>
          </w:p>
        </w:tc>
        <w:tc>
          <w:tcPr>
            <w:tcW w:w="436" w:type="pct"/>
            <w:noWrap/>
            <w:hideMark/>
          </w:tcPr>
          <w:p w14:paraId="3839FEA1"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100,0%</w:t>
            </w:r>
          </w:p>
        </w:tc>
        <w:tc>
          <w:tcPr>
            <w:tcW w:w="436" w:type="pct"/>
            <w:noWrap/>
            <w:hideMark/>
          </w:tcPr>
          <w:p w14:paraId="23EA4161"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100,0%</w:t>
            </w:r>
          </w:p>
        </w:tc>
        <w:tc>
          <w:tcPr>
            <w:tcW w:w="435" w:type="pct"/>
            <w:noWrap/>
            <w:hideMark/>
          </w:tcPr>
          <w:p w14:paraId="6CDAE660"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100,0%</w:t>
            </w:r>
          </w:p>
        </w:tc>
        <w:tc>
          <w:tcPr>
            <w:tcW w:w="436" w:type="pct"/>
            <w:noWrap/>
            <w:hideMark/>
          </w:tcPr>
          <w:p w14:paraId="24C4DD4C"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100,0%</w:t>
            </w:r>
          </w:p>
        </w:tc>
        <w:tc>
          <w:tcPr>
            <w:tcW w:w="436" w:type="pct"/>
            <w:noWrap/>
            <w:hideMark/>
          </w:tcPr>
          <w:p w14:paraId="2F6A8028"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100,0%</w:t>
            </w:r>
          </w:p>
        </w:tc>
        <w:tc>
          <w:tcPr>
            <w:tcW w:w="436" w:type="pct"/>
            <w:noWrap/>
            <w:hideMark/>
          </w:tcPr>
          <w:p w14:paraId="23C34651"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100,0%</w:t>
            </w:r>
          </w:p>
        </w:tc>
        <w:tc>
          <w:tcPr>
            <w:tcW w:w="433" w:type="pct"/>
            <w:noWrap/>
            <w:hideMark/>
          </w:tcPr>
          <w:p w14:paraId="156D455B"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100,0%</w:t>
            </w:r>
          </w:p>
        </w:tc>
      </w:tr>
      <w:tr w:rsidR="00312D9A" w:rsidRPr="00772F2E" w14:paraId="64F08208" w14:textId="77777777" w:rsidTr="00772F2E">
        <w:trPr>
          <w:trHeight w:val="285"/>
        </w:trPr>
        <w:tc>
          <w:tcPr>
            <w:cnfStyle w:val="001000000000" w:firstRow="0" w:lastRow="0" w:firstColumn="1" w:lastColumn="0" w:oddVBand="0" w:evenVBand="0" w:oddHBand="0" w:evenHBand="0" w:firstRowFirstColumn="0" w:firstRowLastColumn="0" w:lastRowFirstColumn="0" w:lastRowLastColumn="0"/>
            <w:tcW w:w="1080" w:type="pct"/>
            <w:noWrap/>
            <w:hideMark/>
          </w:tcPr>
          <w:p w14:paraId="557DAC97" w14:textId="77777777" w:rsidR="00312D9A" w:rsidRPr="00772F2E" w:rsidRDefault="00312D9A" w:rsidP="00772F2E">
            <w:pPr>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No universitaria</w:t>
            </w:r>
          </w:p>
        </w:tc>
        <w:tc>
          <w:tcPr>
            <w:tcW w:w="434" w:type="pct"/>
            <w:noWrap/>
            <w:hideMark/>
          </w:tcPr>
          <w:p w14:paraId="5152ED54"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35,5%</w:t>
            </w:r>
          </w:p>
        </w:tc>
        <w:tc>
          <w:tcPr>
            <w:tcW w:w="436" w:type="pct"/>
            <w:noWrap/>
            <w:hideMark/>
          </w:tcPr>
          <w:p w14:paraId="75678C80"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35,5%</w:t>
            </w:r>
          </w:p>
        </w:tc>
        <w:tc>
          <w:tcPr>
            <w:tcW w:w="436" w:type="pct"/>
            <w:noWrap/>
            <w:hideMark/>
          </w:tcPr>
          <w:p w14:paraId="2085F44D"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35,2%</w:t>
            </w:r>
          </w:p>
        </w:tc>
        <w:tc>
          <w:tcPr>
            <w:tcW w:w="436" w:type="pct"/>
            <w:noWrap/>
            <w:hideMark/>
          </w:tcPr>
          <w:p w14:paraId="4DF9F3BB"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37,5%</w:t>
            </w:r>
          </w:p>
        </w:tc>
        <w:tc>
          <w:tcPr>
            <w:tcW w:w="435" w:type="pct"/>
            <w:noWrap/>
            <w:hideMark/>
          </w:tcPr>
          <w:p w14:paraId="09082AE6"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37,0%</w:t>
            </w:r>
          </w:p>
        </w:tc>
        <w:tc>
          <w:tcPr>
            <w:tcW w:w="436" w:type="pct"/>
            <w:noWrap/>
            <w:hideMark/>
          </w:tcPr>
          <w:p w14:paraId="1962647E"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37,7%</w:t>
            </w:r>
          </w:p>
        </w:tc>
        <w:tc>
          <w:tcPr>
            <w:tcW w:w="436" w:type="pct"/>
            <w:noWrap/>
            <w:hideMark/>
          </w:tcPr>
          <w:p w14:paraId="6EB5EC52"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34,0%</w:t>
            </w:r>
          </w:p>
        </w:tc>
        <w:tc>
          <w:tcPr>
            <w:tcW w:w="436" w:type="pct"/>
            <w:noWrap/>
            <w:hideMark/>
          </w:tcPr>
          <w:p w14:paraId="5437E89E"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37,1%</w:t>
            </w:r>
          </w:p>
        </w:tc>
        <w:tc>
          <w:tcPr>
            <w:tcW w:w="433" w:type="pct"/>
            <w:noWrap/>
            <w:hideMark/>
          </w:tcPr>
          <w:p w14:paraId="7FE3E5B6"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31,5%</w:t>
            </w:r>
          </w:p>
        </w:tc>
      </w:tr>
      <w:tr w:rsidR="00312D9A" w:rsidRPr="00772F2E" w14:paraId="698D920C" w14:textId="77777777" w:rsidTr="00772F2E">
        <w:trPr>
          <w:trHeight w:val="285"/>
        </w:trPr>
        <w:tc>
          <w:tcPr>
            <w:cnfStyle w:val="001000000000" w:firstRow="0" w:lastRow="0" w:firstColumn="1" w:lastColumn="0" w:oddVBand="0" w:evenVBand="0" w:oddHBand="0" w:evenHBand="0" w:firstRowFirstColumn="0" w:firstRowLastColumn="0" w:lastRowFirstColumn="0" w:lastRowLastColumn="0"/>
            <w:tcW w:w="1080" w:type="pct"/>
            <w:noWrap/>
            <w:hideMark/>
          </w:tcPr>
          <w:p w14:paraId="79B9641D" w14:textId="77777777" w:rsidR="00312D9A" w:rsidRPr="00772F2E" w:rsidRDefault="00312D9A" w:rsidP="00772F2E">
            <w:pPr>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Universitaria</w:t>
            </w:r>
          </w:p>
        </w:tc>
        <w:tc>
          <w:tcPr>
            <w:tcW w:w="434" w:type="pct"/>
            <w:noWrap/>
            <w:hideMark/>
          </w:tcPr>
          <w:p w14:paraId="5842AC5D"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64,5%</w:t>
            </w:r>
          </w:p>
        </w:tc>
        <w:tc>
          <w:tcPr>
            <w:tcW w:w="436" w:type="pct"/>
            <w:noWrap/>
            <w:hideMark/>
          </w:tcPr>
          <w:p w14:paraId="10DB4122"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64,5%</w:t>
            </w:r>
          </w:p>
        </w:tc>
        <w:tc>
          <w:tcPr>
            <w:tcW w:w="436" w:type="pct"/>
            <w:noWrap/>
            <w:hideMark/>
          </w:tcPr>
          <w:p w14:paraId="465E648E"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64,8%</w:t>
            </w:r>
          </w:p>
        </w:tc>
        <w:tc>
          <w:tcPr>
            <w:tcW w:w="436" w:type="pct"/>
            <w:noWrap/>
            <w:hideMark/>
          </w:tcPr>
          <w:p w14:paraId="2E44860F"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62,5%</w:t>
            </w:r>
          </w:p>
        </w:tc>
        <w:tc>
          <w:tcPr>
            <w:tcW w:w="435" w:type="pct"/>
            <w:noWrap/>
            <w:hideMark/>
          </w:tcPr>
          <w:p w14:paraId="15D7CB90"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63,0%</w:t>
            </w:r>
          </w:p>
        </w:tc>
        <w:tc>
          <w:tcPr>
            <w:tcW w:w="436" w:type="pct"/>
            <w:noWrap/>
            <w:hideMark/>
          </w:tcPr>
          <w:p w14:paraId="12A90C30"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62,3%</w:t>
            </w:r>
          </w:p>
        </w:tc>
        <w:tc>
          <w:tcPr>
            <w:tcW w:w="436" w:type="pct"/>
            <w:noWrap/>
            <w:hideMark/>
          </w:tcPr>
          <w:p w14:paraId="7A453BBD"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66,0%</w:t>
            </w:r>
          </w:p>
        </w:tc>
        <w:tc>
          <w:tcPr>
            <w:tcW w:w="436" w:type="pct"/>
            <w:noWrap/>
            <w:hideMark/>
          </w:tcPr>
          <w:p w14:paraId="4D11CB9A"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62,9%</w:t>
            </w:r>
          </w:p>
        </w:tc>
        <w:tc>
          <w:tcPr>
            <w:tcW w:w="433" w:type="pct"/>
            <w:noWrap/>
            <w:hideMark/>
          </w:tcPr>
          <w:p w14:paraId="3EBCBC38"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68,5%</w:t>
            </w:r>
          </w:p>
        </w:tc>
      </w:tr>
    </w:tbl>
    <w:p w14:paraId="7728D12A" w14:textId="77777777" w:rsidR="00312D9A" w:rsidRPr="00772F2E" w:rsidRDefault="00312D9A" w:rsidP="00772F2E">
      <w:pPr>
        <w:tabs>
          <w:tab w:val="num" w:pos="720"/>
        </w:tabs>
        <w:spacing w:after="0" w:line="240" w:lineRule="auto"/>
        <w:jc w:val="both"/>
        <w:rPr>
          <w:rFonts w:ascii="Times New Roman" w:eastAsia="Calibri" w:hAnsi="Times New Roman" w:cs="Times New Roman"/>
          <w:color w:val="000000" w:themeColor="text1"/>
          <w:lang w:val="es-AR"/>
        </w:rPr>
      </w:pPr>
      <w:r w:rsidRPr="00772F2E">
        <w:rPr>
          <w:rFonts w:ascii="Times New Roman" w:eastAsia="Calibri" w:hAnsi="Times New Roman" w:cs="Times New Roman"/>
          <w:color w:val="000000" w:themeColor="text1"/>
          <w:lang w:val="es-AR"/>
        </w:rPr>
        <w:t xml:space="preserve">Fuente: Elaboración propia a partir de </w:t>
      </w:r>
      <w:r w:rsidRPr="00772F2E">
        <w:rPr>
          <w:rFonts w:ascii="Times New Roman" w:eastAsia="Calibri" w:hAnsi="Times New Roman" w:cs="Times New Roman"/>
          <w:color w:val="000000" w:themeColor="text1"/>
        </w:rPr>
        <w:t>Encuesta Permanente de Hogares (EPH-INDEC).</w:t>
      </w:r>
    </w:p>
    <w:p w14:paraId="16F2EC62" w14:textId="77777777" w:rsidR="00F565A4" w:rsidRDefault="00F565A4" w:rsidP="00F565A4">
      <w:pPr>
        <w:tabs>
          <w:tab w:val="num" w:pos="720"/>
        </w:tabs>
        <w:spacing w:after="0" w:line="240" w:lineRule="auto"/>
        <w:jc w:val="both"/>
        <w:rPr>
          <w:rFonts w:ascii="Times New Roman" w:eastAsia="Calibri" w:hAnsi="Times New Roman" w:cs="Times New Roman"/>
          <w:color w:val="000000" w:themeColor="text1"/>
          <w:lang w:val="es-AR"/>
        </w:rPr>
      </w:pPr>
    </w:p>
    <w:p w14:paraId="471CDD91" w14:textId="72FE947A" w:rsidR="009D1142" w:rsidRDefault="00312D9A" w:rsidP="009D1142">
      <w:pPr>
        <w:tabs>
          <w:tab w:val="num" w:pos="720"/>
        </w:tabs>
        <w:spacing w:after="0" w:line="240" w:lineRule="auto"/>
        <w:jc w:val="both"/>
        <w:rPr>
          <w:rFonts w:ascii="Times New Roman" w:eastAsia="Calibri" w:hAnsi="Times New Roman" w:cs="Times New Roman"/>
          <w:color w:val="000000" w:themeColor="text1"/>
          <w:lang w:val="es-AR"/>
        </w:rPr>
      </w:pPr>
      <w:r w:rsidRPr="00772F2E">
        <w:rPr>
          <w:rFonts w:ascii="Times New Roman" w:eastAsia="Calibri" w:hAnsi="Times New Roman" w:cs="Times New Roman"/>
          <w:color w:val="000000" w:themeColor="text1"/>
          <w:lang w:val="es-AR"/>
        </w:rPr>
        <w:t>Desagregando la población con educación superior según tipo de educación superior, se evidencia una predominancia significativa de la educación universitaria por sobre la no universitaria. Esto es consistente con la distribución de la matricula según otras fuentes oficiales de información – anuarios estadísticos dependientes de la Red Federal de Información Educativa para la educación superior no universitaria, y anuarios estadísticos dependientes de la Secretaría de Educación del Ministerio de Capital Humano- los cuales muestran una distribución porcentual similar para los años 2023 y 2024. En cuanto a la completitud de los estudios, para el año 2024 se evidencia la siguiente desagregación:</w:t>
      </w:r>
      <w:r w:rsidR="009D1142">
        <w:rPr>
          <w:rFonts w:ascii="Times New Roman" w:eastAsia="Calibri" w:hAnsi="Times New Roman" w:cs="Times New Roman"/>
          <w:color w:val="000000" w:themeColor="text1"/>
          <w:lang w:val="es-AR"/>
        </w:rPr>
        <w:br w:type="page"/>
      </w:r>
    </w:p>
    <w:p w14:paraId="6CEF8BF5" w14:textId="3D3F6016" w:rsidR="00312D9A" w:rsidRPr="00772F2E" w:rsidRDefault="00312D9A" w:rsidP="00772F2E">
      <w:pPr>
        <w:spacing w:before="240" w:after="120" w:line="240" w:lineRule="auto"/>
        <w:jc w:val="both"/>
        <w:rPr>
          <w:rFonts w:ascii="Times New Roman" w:eastAsia="Calibri" w:hAnsi="Times New Roman" w:cs="Times New Roman"/>
          <w:i/>
          <w:iCs/>
          <w:color w:val="000000" w:themeColor="text1"/>
          <w:lang w:val="es-AR"/>
        </w:rPr>
      </w:pPr>
      <w:r w:rsidRPr="00772F2E">
        <w:rPr>
          <w:rFonts w:ascii="Times New Roman" w:eastAsia="Calibri" w:hAnsi="Times New Roman" w:cs="Times New Roman"/>
          <w:i/>
          <w:iCs/>
          <w:color w:val="000000" w:themeColor="text1"/>
          <w:lang w:val="es-AR"/>
        </w:rPr>
        <w:lastRenderedPageBreak/>
        <w:t>Cuadro 3: Participación de la población urbana con educación superior en la población urbana total según tipo de educación superior. Interior país y Gran Buenos Aires, 2024. Mayores de 17 años. Valores porcentuales.</w:t>
      </w:r>
    </w:p>
    <w:tbl>
      <w:tblPr>
        <w:tblStyle w:val="Tablaconcuadrcula1clara"/>
        <w:tblW w:w="5000" w:type="pct"/>
        <w:tblLook w:val="04A0" w:firstRow="1" w:lastRow="0" w:firstColumn="1" w:lastColumn="0" w:noHBand="0" w:noVBand="1"/>
      </w:tblPr>
      <w:tblGrid>
        <w:gridCol w:w="5142"/>
        <w:gridCol w:w="1675"/>
        <w:gridCol w:w="1677"/>
      </w:tblGrid>
      <w:tr w:rsidR="00312D9A" w:rsidRPr="00772F2E" w14:paraId="16F35A2C" w14:textId="77777777" w:rsidTr="00F4458B">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027" w:type="pct"/>
            <w:noWrap/>
            <w:hideMark/>
          </w:tcPr>
          <w:p w14:paraId="3CD91DA1" w14:textId="77777777" w:rsidR="00312D9A" w:rsidRPr="00772F2E" w:rsidRDefault="00312D9A" w:rsidP="00772F2E">
            <w:pPr>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Población con Educación Superior</w:t>
            </w:r>
          </w:p>
        </w:tc>
        <w:tc>
          <w:tcPr>
            <w:tcW w:w="986" w:type="pct"/>
            <w:noWrap/>
            <w:hideMark/>
          </w:tcPr>
          <w:p w14:paraId="70528B6B" w14:textId="77777777" w:rsidR="00312D9A" w:rsidRPr="00772F2E" w:rsidRDefault="00312D9A" w:rsidP="00772F2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IU</w:t>
            </w:r>
          </w:p>
        </w:tc>
        <w:tc>
          <w:tcPr>
            <w:tcW w:w="987" w:type="pct"/>
            <w:noWrap/>
            <w:hideMark/>
          </w:tcPr>
          <w:p w14:paraId="29BB7139" w14:textId="77777777" w:rsidR="00312D9A" w:rsidRPr="00772F2E" w:rsidRDefault="00312D9A" w:rsidP="00772F2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GBA</w:t>
            </w:r>
          </w:p>
        </w:tc>
      </w:tr>
      <w:tr w:rsidR="00312D9A" w:rsidRPr="00772F2E" w14:paraId="533CDADE" w14:textId="77777777" w:rsidTr="00F4458B">
        <w:trPr>
          <w:trHeight w:val="285"/>
        </w:trPr>
        <w:tc>
          <w:tcPr>
            <w:cnfStyle w:val="001000000000" w:firstRow="0" w:lastRow="0" w:firstColumn="1" w:lastColumn="0" w:oddVBand="0" w:evenVBand="0" w:oddHBand="0" w:evenHBand="0" w:firstRowFirstColumn="0" w:firstRowLastColumn="0" w:lastRowFirstColumn="0" w:lastRowLastColumn="0"/>
            <w:tcW w:w="3027" w:type="pct"/>
            <w:noWrap/>
            <w:hideMark/>
          </w:tcPr>
          <w:p w14:paraId="10D701E2" w14:textId="77777777" w:rsidR="00312D9A" w:rsidRPr="00772F2E" w:rsidRDefault="00312D9A" w:rsidP="00772F2E">
            <w:pPr>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Educación superior</w:t>
            </w:r>
          </w:p>
        </w:tc>
        <w:tc>
          <w:tcPr>
            <w:tcW w:w="986" w:type="pct"/>
            <w:noWrap/>
            <w:hideMark/>
          </w:tcPr>
          <w:p w14:paraId="237001E9"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37,2%</w:t>
            </w:r>
          </w:p>
        </w:tc>
        <w:tc>
          <w:tcPr>
            <w:tcW w:w="987" w:type="pct"/>
            <w:noWrap/>
            <w:hideMark/>
          </w:tcPr>
          <w:p w14:paraId="1B061413"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37,4%</w:t>
            </w:r>
          </w:p>
        </w:tc>
      </w:tr>
      <w:tr w:rsidR="00312D9A" w:rsidRPr="00772F2E" w14:paraId="01673C8E" w14:textId="77777777" w:rsidTr="00F4458B">
        <w:trPr>
          <w:trHeight w:val="285"/>
        </w:trPr>
        <w:tc>
          <w:tcPr>
            <w:cnfStyle w:val="001000000000" w:firstRow="0" w:lastRow="0" w:firstColumn="1" w:lastColumn="0" w:oddVBand="0" w:evenVBand="0" w:oddHBand="0" w:evenHBand="0" w:firstRowFirstColumn="0" w:firstRowLastColumn="0" w:lastRowFirstColumn="0" w:lastRowLastColumn="0"/>
            <w:tcW w:w="3027" w:type="pct"/>
            <w:noWrap/>
            <w:hideMark/>
          </w:tcPr>
          <w:p w14:paraId="60A558CE" w14:textId="4CE7FBAC" w:rsidR="00312D9A" w:rsidRPr="00772F2E" w:rsidRDefault="00772F2E" w:rsidP="00772F2E">
            <w:pPr>
              <w:rPr>
                <w:rFonts w:ascii="Times New Roman" w:eastAsia="Times New Roman" w:hAnsi="Times New Roman" w:cs="Times New Roman"/>
                <w:lang w:val="es-AR" w:eastAsia="es-AR"/>
              </w:rPr>
            </w:pPr>
            <w:r>
              <w:rPr>
                <w:rFonts w:ascii="Times New Roman" w:eastAsia="Calibri" w:hAnsi="Times New Roman" w:cs="Times New Roman"/>
                <w:i/>
                <w:iCs/>
                <w:color w:val="000000" w:themeColor="text1"/>
                <w:lang w:val="es-AR"/>
              </w:rPr>
              <w:tab/>
            </w:r>
            <w:r w:rsidR="00312D9A" w:rsidRPr="00772F2E">
              <w:rPr>
                <w:rFonts w:ascii="Times New Roman" w:eastAsia="Times New Roman" w:hAnsi="Times New Roman" w:cs="Times New Roman"/>
                <w:color w:val="000000"/>
                <w:lang w:val="es-AR" w:eastAsia="es-AR"/>
              </w:rPr>
              <w:t>Incompleta</w:t>
            </w:r>
          </w:p>
        </w:tc>
        <w:tc>
          <w:tcPr>
            <w:tcW w:w="986" w:type="pct"/>
            <w:noWrap/>
            <w:hideMark/>
          </w:tcPr>
          <w:p w14:paraId="424CAEBA"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17,6%</w:t>
            </w:r>
          </w:p>
        </w:tc>
        <w:tc>
          <w:tcPr>
            <w:tcW w:w="987" w:type="pct"/>
            <w:noWrap/>
            <w:hideMark/>
          </w:tcPr>
          <w:p w14:paraId="12D7F1E3"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16,0%</w:t>
            </w:r>
          </w:p>
        </w:tc>
      </w:tr>
      <w:tr w:rsidR="00312D9A" w:rsidRPr="00772F2E" w14:paraId="1C5FE115" w14:textId="77777777" w:rsidTr="00F4458B">
        <w:trPr>
          <w:trHeight w:val="285"/>
        </w:trPr>
        <w:tc>
          <w:tcPr>
            <w:cnfStyle w:val="001000000000" w:firstRow="0" w:lastRow="0" w:firstColumn="1" w:lastColumn="0" w:oddVBand="0" w:evenVBand="0" w:oddHBand="0" w:evenHBand="0" w:firstRowFirstColumn="0" w:firstRowLastColumn="0" w:lastRowFirstColumn="0" w:lastRowLastColumn="0"/>
            <w:tcW w:w="3027" w:type="pct"/>
            <w:noWrap/>
            <w:hideMark/>
          </w:tcPr>
          <w:p w14:paraId="708AB1B4" w14:textId="3CCE9D72" w:rsidR="00312D9A" w:rsidRPr="00772F2E" w:rsidRDefault="00772F2E" w:rsidP="00772F2E">
            <w:pPr>
              <w:rPr>
                <w:rFonts w:ascii="Times New Roman" w:eastAsia="Times New Roman" w:hAnsi="Times New Roman" w:cs="Times New Roman"/>
                <w:lang w:val="es-AR" w:eastAsia="es-AR"/>
              </w:rPr>
            </w:pPr>
            <w:r>
              <w:rPr>
                <w:rFonts w:ascii="Times New Roman" w:eastAsia="Calibri" w:hAnsi="Times New Roman" w:cs="Times New Roman"/>
                <w:i/>
                <w:iCs/>
                <w:color w:val="000000" w:themeColor="text1"/>
                <w:lang w:val="es-AR"/>
              </w:rPr>
              <w:tab/>
            </w:r>
            <w:r w:rsidR="00312D9A" w:rsidRPr="00772F2E">
              <w:rPr>
                <w:rFonts w:ascii="Times New Roman" w:eastAsia="Times New Roman" w:hAnsi="Times New Roman" w:cs="Times New Roman"/>
                <w:color w:val="000000"/>
                <w:lang w:val="es-AR" w:eastAsia="es-AR"/>
              </w:rPr>
              <w:t>Completa</w:t>
            </w:r>
          </w:p>
        </w:tc>
        <w:tc>
          <w:tcPr>
            <w:tcW w:w="986" w:type="pct"/>
            <w:noWrap/>
            <w:hideMark/>
          </w:tcPr>
          <w:p w14:paraId="13D04759"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19,6%</w:t>
            </w:r>
          </w:p>
        </w:tc>
        <w:tc>
          <w:tcPr>
            <w:tcW w:w="987" w:type="pct"/>
            <w:noWrap/>
            <w:hideMark/>
          </w:tcPr>
          <w:p w14:paraId="384DD136"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21,4%</w:t>
            </w:r>
          </w:p>
        </w:tc>
      </w:tr>
      <w:tr w:rsidR="00312D9A" w:rsidRPr="00772F2E" w14:paraId="46377122" w14:textId="77777777" w:rsidTr="00F4458B">
        <w:trPr>
          <w:trHeight w:val="285"/>
        </w:trPr>
        <w:tc>
          <w:tcPr>
            <w:cnfStyle w:val="001000000000" w:firstRow="0" w:lastRow="0" w:firstColumn="1" w:lastColumn="0" w:oddVBand="0" w:evenVBand="0" w:oddHBand="0" w:evenHBand="0" w:firstRowFirstColumn="0" w:firstRowLastColumn="0" w:lastRowFirstColumn="0" w:lastRowLastColumn="0"/>
            <w:tcW w:w="3027" w:type="pct"/>
            <w:noWrap/>
            <w:hideMark/>
          </w:tcPr>
          <w:p w14:paraId="254A9BA7" w14:textId="77777777" w:rsidR="00312D9A" w:rsidRPr="00772F2E" w:rsidRDefault="00312D9A" w:rsidP="00772F2E">
            <w:pPr>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Superior no universitario</w:t>
            </w:r>
          </w:p>
        </w:tc>
        <w:tc>
          <w:tcPr>
            <w:tcW w:w="986" w:type="pct"/>
            <w:noWrap/>
            <w:hideMark/>
          </w:tcPr>
          <w:p w14:paraId="3A4211E9"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13,8%</w:t>
            </w:r>
          </w:p>
        </w:tc>
        <w:tc>
          <w:tcPr>
            <w:tcW w:w="987" w:type="pct"/>
            <w:noWrap/>
            <w:hideMark/>
          </w:tcPr>
          <w:p w14:paraId="13B5F2FC"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11,8%</w:t>
            </w:r>
          </w:p>
        </w:tc>
      </w:tr>
      <w:tr w:rsidR="00312D9A" w:rsidRPr="00772F2E" w14:paraId="0068CF02" w14:textId="77777777" w:rsidTr="00F4458B">
        <w:trPr>
          <w:trHeight w:val="285"/>
        </w:trPr>
        <w:tc>
          <w:tcPr>
            <w:cnfStyle w:val="001000000000" w:firstRow="0" w:lastRow="0" w:firstColumn="1" w:lastColumn="0" w:oddVBand="0" w:evenVBand="0" w:oddHBand="0" w:evenHBand="0" w:firstRowFirstColumn="0" w:firstRowLastColumn="0" w:lastRowFirstColumn="0" w:lastRowLastColumn="0"/>
            <w:tcW w:w="3027" w:type="pct"/>
            <w:noWrap/>
            <w:hideMark/>
          </w:tcPr>
          <w:p w14:paraId="57FBF90C" w14:textId="17DBAA22" w:rsidR="00312D9A" w:rsidRPr="00772F2E" w:rsidRDefault="00772F2E" w:rsidP="00772F2E">
            <w:pPr>
              <w:rPr>
                <w:rFonts w:ascii="Times New Roman" w:eastAsia="Times New Roman" w:hAnsi="Times New Roman" w:cs="Times New Roman"/>
                <w:lang w:val="es-AR" w:eastAsia="es-AR"/>
              </w:rPr>
            </w:pPr>
            <w:r>
              <w:rPr>
                <w:rFonts w:ascii="Times New Roman" w:eastAsia="Calibri" w:hAnsi="Times New Roman" w:cs="Times New Roman"/>
                <w:i/>
                <w:iCs/>
                <w:color w:val="000000" w:themeColor="text1"/>
                <w:lang w:val="es-AR"/>
              </w:rPr>
              <w:tab/>
            </w:r>
            <w:r w:rsidR="00312D9A" w:rsidRPr="00772F2E">
              <w:rPr>
                <w:rFonts w:ascii="Times New Roman" w:eastAsia="Times New Roman" w:hAnsi="Times New Roman" w:cs="Times New Roman"/>
                <w:color w:val="000000"/>
                <w:lang w:val="es-AR" w:eastAsia="es-AR"/>
              </w:rPr>
              <w:t>Incompleta</w:t>
            </w:r>
          </w:p>
        </w:tc>
        <w:tc>
          <w:tcPr>
            <w:tcW w:w="986" w:type="pct"/>
            <w:noWrap/>
            <w:hideMark/>
          </w:tcPr>
          <w:p w14:paraId="788E1713"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4,8%</w:t>
            </w:r>
          </w:p>
        </w:tc>
        <w:tc>
          <w:tcPr>
            <w:tcW w:w="987" w:type="pct"/>
            <w:noWrap/>
            <w:hideMark/>
          </w:tcPr>
          <w:p w14:paraId="7E182C4F"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3,4%</w:t>
            </w:r>
          </w:p>
        </w:tc>
      </w:tr>
      <w:tr w:rsidR="00312D9A" w:rsidRPr="00772F2E" w14:paraId="47EBE679" w14:textId="77777777" w:rsidTr="00F4458B">
        <w:trPr>
          <w:trHeight w:val="285"/>
        </w:trPr>
        <w:tc>
          <w:tcPr>
            <w:cnfStyle w:val="001000000000" w:firstRow="0" w:lastRow="0" w:firstColumn="1" w:lastColumn="0" w:oddVBand="0" w:evenVBand="0" w:oddHBand="0" w:evenHBand="0" w:firstRowFirstColumn="0" w:firstRowLastColumn="0" w:lastRowFirstColumn="0" w:lastRowLastColumn="0"/>
            <w:tcW w:w="3027" w:type="pct"/>
            <w:noWrap/>
            <w:hideMark/>
          </w:tcPr>
          <w:p w14:paraId="4FDA4064" w14:textId="70ACC43D" w:rsidR="00312D9A" w:rsidRPr="00772F2E" w:rsidRDefault="00772F2E" w:rsidP="00772F2E">
            <w:pPr>
              <w:rPr>
                <w:rFonts w:ascii="Times New Roman" w:eastAsia="Times New Roman" w:hAnsi="Times New Roman" w:cs="Times New Roman"/>
                <w:lang w:val="es-AR" w:eastAsia="es-AR"/>
              </w:rPr>
            </w:pPr>
            <w:r>
              <w:rPr>
                <w:rFonts w:ascii="Times New Roman" w:eastAsia="Calibri" w:hAnsi="Times New Roman" w:cs="Times New Roman"/>
                <w:i/>
                <w:iCs/>
                <w:color w:val="000000" w:themeColor="text1"/>
                <w:lang w:val="es-AR"/>
              </w:rPr>
              <w:tab/>
            </w:r>
            <w:r w:rsidR="00312D9A" w:rsidRPr="00772F2E">
              <w:rPr>
                <w:rFonts w:ascii="Times New Roman" w:eastAsia="Times New Roman" w:hAnsi="Times New Roman" w:cs="Times New Roman"/>
                <w:color w:val="000000"/>
                <w:lang w:val="es-AR" w:eastAsia="es-AR"/>
              </w:rPr>
              <w:t>Completa</w:t>
            </w:r>
          </w:p>
        </w:tc>
        <w:tc>
          <w:tcPr>
            <w:tcW w:w="986" w:type="pct"/>
            <w:noWrap/>
            <w:hideMark/>
          </w:tcPr>
          <w:p w14:paraId="02E50CCE"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9,0%</w:t>
            </w:r>
          </w:p>
        </w:tc>
        <w:tc>
          <w:tcPr>
            <w:tcW w:w="987" w:type="pct"/>
            <w:noWrap/>
            <w:hideMark/>
          </w:tcPr>
          <w:p w14:paraId="2828FFD9"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8,4%</w:t>
            </w:r>
          </w:p>
        </w:tc>
      </w:tr>
      <w:tr w:rsidR="00312D9A" w:rsidRPr="00772F2E" w14:paraId="06A0AB6D" w14:textId="77777777" w:rsidTr="00F4458B">
        <w:trPr>
          <w:trHeight w:val="285"/>
        </w:trPr>
        <w:tc>
          <w:tcPr>
            <w:cnfStyle w:val="001000000000" w:firstRow="0" w:lastRow="0" w:firstColumn="1" w:lastColumn="0" w:oddVBand="0" w:evenVBand="0" w:oddHBand="0" w:evenHBand="0" w:firstRowFirstColumn="0" w:firstRowLastColumn="0" w:lastRowFirstColumn="0" w:lastRowLastColumn="0"/>
            <w:tcW w:w="3027" w:type="pct"/>
            <w:noWrap/>
            <w:hideMark/>
          </w:tcPr>
          <w:p w14:paraId="3FF59B1B" w14:textId="77777777" w:rsidR="00312D9A" w:rsidRPr="00772F2E" w:rsidRDefault="00312D9A" w:rsidP="00772F2E">
            <w:pPr>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Superior universitario</w:t>
            </w:r>
          </w:p>
        </w:tc>
        <w:tc>
          <w:tcPr>
            <w:tcW w:w="986" w:type="pct"/>
            <w:noWrap/>
            <w:hideMark/>
          </w:tcPr>
          <w:p w14:paraId="4C4C2AE8"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23,4%</w:t>
            </w:r>
          </w:p>
        </w:tc>
        <w:tc>
          <w:tcPr>
            <w:tcW w:w="987" w:type="pct"/>
            <w:noWrap/>
            <w:hideMark/>
          </w:tcPr>
          <w:p w14:paraId="2116E6CB"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25,6%</w:t>
            </w:r>
          </w:p>
        </w:tc>
      </w:tr>
      <w:tr w:rsidR="00312D9A" w:rsidRPr="00772F2E" w14:paraId="2BBF7861" w14:textId="77777777" w:rsidTr="00F4458B">
        <w:trPr>
          <w:trHeight w:val="285"/>
        </w:trPr>
        <w:tc>
          <w:tcPr>
            <w:cnfStyle w:val="001000000000" w:firstRow="0" w:lastRow="0" w:firstColumn="1" w:lastColumn="0" w:oddVBand="0" w:evenVBand="0" w:oddHBand="0" w:evenHBand="0" w:firstRowFirstColumn="0" w:firstRowLastColumn="0" w:lastRowFirstColumn="0" w:lastRowLastColumn="0"/>
            <w:tcW w:w="3027" w:type="pct"/>
            <w:noWrap/>
            <w:hideMark/>
          </w:tcPr>
          <w:p w14:paraId="5CDD387B" w14:textId="5625907E" w:rsidR="00312D9A" w:rsidRPr="00772F2E" w:rsidRDefault="00772F2E" w:rsidP="00772F2E">
            <w:pPr>
              <w:rPr>
                <w:rFonts w:ascii="Times New Roman" w:eastAsia="Times New Roman" w:hAnsi="Times New Roman" w:cs="Times New Roman"/>
                <w:lang w:val="es-AR" w:eastAsia="es-AR"/>
              </w:rPr>
            </w:pPr>
            <w:r>
              <w:rPr>
                <w:rFonts w:ascii="Times New Roman" w:eastAsia="Calibri" w:hAnsi="Times New Roman" w:cs="Times New Roman"/>
                <w:i/>
                <w:iCs/>
                <w:color w:val="000000" w:themeColor="text1"/>
                <w:lang w:val="es-AR"/>
              </w:rPr>
              <w:tab/>
            </w:r>
            <w:r w:rsidR="00312D9A" w:rsidRPr="00772F2E">
              <w:rPr>
                <w:rFonts w:ascii="Times New Roman" w:eastAsia="Times New Roman" w:hAnsi="Times New Roman" w:cs="Times New Roman"/>
                <w:color w:val="000000"/>
                <w:lang w:val="es-AR" w:eastAsia="es-AR"/>
              </w:rPr>
              <w:t>Incompleta</w:t>
            </w:r>
          </w:p>
        </w:tc>
        <w:tc>
          <w:tcPr>
            <w:tcW w:w="986" w:type="pct"/>
            <w:noWrap/>
            <w:hideMark/>
          </w:tcPr>
          <w:p w14:paraId="2DCCB641"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12,8%</w:t>
            </w:r>
          </w:p>
        </w:tc>
        <w:tc>
          <w:tcPr>
            <w:tcW w:w="987" w:type="pct"/>
            <w:noWrap/>
            <w:hideMark/>
          </w:tcPr>
          <w:p w14:paraId="2178A0D9"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12,6%</w:t>
            </w:r>
          </w:p>
        </w:tc>
      </w:tr>
      <w:tr w:rsidR="00312D9A" w:rsidRPr="00772F2E" w14:paraId="025E2200" w14:textId="77777777" w:rsidTr="00F4458B">
        <w:trPr>
          <w:trHeight w:val="285"/>
        </w:trPr>
        <w:tc>
          <w:tcPr>
            <w:cnfStyle w:val="001000000000" w:firstRow="0" w:lastRow="0" w:firstColumn="1" w:lastColumn="0" w:oddVBand="0" w:evenVBand="0" w:oddHBand="0" w:evenHBand="0" w:firstRowFirstColumn="0" w:firstRowLastColumn="0" w:lastRowFirstColumn="0" w:lastRowLastColumn="0"/>
            <w:tcW w:w="3027" w:type="pct"/>
            <w:noWrap/>
            <w:hideMark/>
          </w:tcPr>
          <w:p w14:paraId="6B79E904" w14:textId="236AA2E7" w:rsidR="00312D9A" w:rsidRPr="00772F2E" w:rsidRDefault="00772F2E" w:rsidP="00772F2E">
            <w:pPr>
              <w:rPr>
                <w:rFonts w:ascii="Times New Roman" w:eastAsia="Times New Roman" w:hAnsi="Times New Roman" w:cs="Times New Roman"/>
                <w:lang w:val="es-AR" w:eastAsia="es-AR"/>
              </w:rPr>
            </w:pPr>
            <w:r>
              <w:rPr>
                <w:rFonts w:ascii="Times New Roman" w:eastAsia="Calibri" w:hAnsi="Times New Roman" w:cs="Times New Roman"/>
                <w:i/>
                <w:iCs/>
                <w:color w:val="000000" w:themeColor="text1"/>
                <w:lang w:val="es-AR"/>
              </w:rPr>
              <w:tab/>
            </w:r>
            <w:r w:rsidR="00312D9A" w:rsidRPr="00772F2E">
              <w:rPr>
                <w:rFonts w:ascii="Times New Roman" w:eastAsia="Times New Roman" w:hAnsi="Times New Roman" w:cs="Times New Roman"/>
                <w:color w:val="000000"/>
                <w:lang w:val="es-AR" w:eastAsia="es-AR"/>
              </w:rPr>
              <w:t>Completa</w:t>
            </w:r>
          </w:p>
        </w:tc>
        <w:tc>
          <w:tcPr>
            <w:tcW w:w="986" w:type="pct"/>
            <w:noWrap/>
            <w:hideMark/>
          </w:tcPr>
          <w:p w14:paraId="3EED3F1B"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10,6%</w:t>
            </w:r>
          </w:p>
        </w:tc>
        <w:tc>
          <w:tcPr>
            <w:tcW w:w="987" w:type="pct"/>
            <w:noWrap/>
            <w:hideMark/>
          </w:tcPr>
          <w:p w14:paraId="2E9AC401"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13,0%</w:t>
            </w:r>
          </w:p>
        </w:tc>
      </w:tr>
    </w:tbl>
    <w:p w14:paraId="704AFFFC" w14:textId="77777777" w:rsidR="00312D9A" w:rsidRPr="00772F2E" w:rsidRDefault="00312D9A" w:rsidP="00772F2E">
      <w:pPr>
        <w:tabs>
          <w:tab w:val="num" w:pos="720"/>
        </w:tabs>
        <w:spacing w:after="0" w:line="240" w:lineRule="auto"/>
        <w:jc w:val="both"/>
        <w:rPr>
          <w:rFonts w:ascii="Times New Roman" w:eastAsia="Calibri" w:hAnsi="Times New Roman" w:cs="Times New Roman"/>
          <w:color w:val="000000" w:themeColor="text1"/>
          <w:lang w:val="es-AR"/>
        </w:rPr>
      </w:pPr>
      <w:r w:rsidRPr="00772F2E">
        <w:rPr>
          <w:rFonts w:ascii="Times New Roman" w:eastAsia="Calibri" w:hAnsi="Times New Roman" w:cs="Times New Roman"/>
          <w:color w:val="000000" w:themeColor="text1"/>
          <w:lang w:val="es-AR"/>
        </w:rPr>
        <w:t xml:space="preserve">Fuente: Elaboración propia a partir de </w:t>
      </w:r>
      <w:r w:rsidRPr="00772F2E">
        <w:rPr>
          <w:rFonts w:ascii="Times New Roman" w:eastAsia="Calibri" w:hAnsi="Times New Roman" w:cs="Times New Roman"/>
          <w:color w:val="000000" w:themeColor="text1"/>
        </w:rPr>
        <w:t>Encuesta Permanente de Hogares (EPH-INDEC).</w:t>
      </w:r>
    </w:p>
    <w:p w14:paraId="3E0BC215" w14:textId="77777777" w:rsidR="00F565A4" w:rsidRDefault="00F565A4" w:rsidP="00F565A4">
      <w:pPr>
        <w:tabs>
          <w:tab w:val="num" w:pos="720"/>
        </w:tabs>
        <w:spacing w:after="0" w:line="240" w:lineRule="auto"/>
        <w:jc w:val="both"/>
        <w:rPr>
          <w:rFonts w:ascii="Times New Roman" w:eastAsia="Calibri" w:hAnsi="Times New Roman" w:cs="Times New Roman"/>
          <w:color w:val="000000" w:themeColor="text1"/>
          <w:lang w:val="es-AR"/>
        </w:rPr>
      </w:pPr>
    </w:p>
    <w:p w14:paraId="084B6A47" w14:textId="68311551" w:rsidR="00312D9A" w:rsidRPr="00772F2E" w:rsidRDefault="00312D9A" w:rsidP="00F565A4">
      <w:pPr>
        <w:tabs>
          <w:tab w:val="num" w:pos="720"/>
        </w:tabs>
        <w:spacing w:after="0" w:line="240" w:lineRule="auto"/>
        <w:jc w:val="both"/>
        <w:rPr>
          <w:rFonts w:ascii="Times New Roman" w:eastAsia="Calibri" w:hAnsi="Times New Roman" w:cs="Times New Roman"/>
          <w:color w:val="000000" w:themeColor="text1"/>
          <w:lang w:val="es-AR"/>
        </w:rPr>
      </w:pPr>
      <w:r w:rsidRPr="00772F2E">
        <w:rPr>
          <w:rFonts w:ascii="Times New Roman" w:eastAsia="Calibri" w:hAnsi="Times New Roman" w:cs="Times New Roman"/>
          <w:color w:val="000000" w:themeColor="text1"/>
          <w:lang w:val="es-AR"/>
        </w:rPr>
        <w:t>Se advierte que</w:t>
      </w:r>
      <w:r w:rsidR="00CA06FB">
        <w:rPr>
          <w:rFonts w:ascii="Times New Roman" w:eastAsia="Calibri" w:hAnsi="Times New Roman" w:cs="Times New Roman"/>
          <w:color w:val="000000" w:themeColor="text1"/>
          <w:lang w:val="es-AR"/>
        </w:rPr>
        <w:t>,</w:t>
      </w:r>
      <w:r w:rsidRPr="00772F2E">
        <w:rPr>
          <w:rFonts w:ascii="Times New Roman" w:eastAsia="Calibri" w:hAnsi="Times New Roman" w:cs="Times New Roman"/>
          <w:color w:val="000000" w:themeColor="text1"/>
          <w:lang w:val="es-AR"/>
        </w:rPr>
        <w:t xml:space="preserve"> si bien la participación de la educación superior universitaria es superior a la de la educación superior no universitaria, la completitud de la formación es mayor en la educación superior no universitaria. Este aspecto puede vincularse a que -en virtud de que la educación superior no universitaria agrupa la formación técnica con la formación docente- el título es habilitante para el ejercicio de la profesión (en particular en el caso de la docencia), con lo cual la mayor completitud en parte podría ser explicada por este factor.</w:t>
      </w:r>
    </w:p>
    <w:p w14:paraId="7101BC00" w14:textId="77777777" w:rsidR="00F565A4" w:rsidRDefault="00F565A4" w:rsidP="00F565A4">
      <w:pPr>
        <w:tabs>
          <w:tab w:val="num" w:pos="720"/>
        </w:tabs>
        <w:spacing w:after="0" w:line="240" w:lineRule="auto"/>
        <w:jc w:val="both"/>
        <w:rPr>
          <w:rFonts w:ascii="Times New Roman" w:eastAsia="Calibri" w:hAnsi="Times New Roman" w:cs="Times New Roman"/>
          <w:color w:val="000000" w:themeColor="text1"/>
          <w:lang w:val="es-AR"/>
        </w:rPr>
      </w:pPr>
    </w:p>
    <w:p w14:paraId="5038D66C" w14:textId="64216A8E" w:rsidR="00312D9A" w:rsidRPr="00772F2E" w:rsidRDefault="00312D9A" w:rsidP="00F565A4">
      <w:pPr>
        <w:tabs>
          <w:tab w:val="num" w:pos="720"/>
        </w:tabs>
        <w:spacing w:after="0" w:line="240" w:lineRule="auto"/>
        <w:jc w:val="both"/>
        <w:rPr>
          <w:rFonts w:ascii="Times New Roman" w:eastAsia="Calibri" w:hAnsi="Times New Roman" w:cs="Times New Roman"/>
          <w:color w:val="000000" w:themeColor="text1"/>
          <w:lang w:val="es-AR"/>
        </w:rPr>
      </w:pPr>
      <w:r w:rsidRPr="00772F2E">
        <w:rPr>
          <w:rFonts w:ascii="Times New Roman" w:eastAsia="Calibri" w:hAnsi="Times New Roman" w:cs="Times New Roman"/>
          <w:color w:val="000000" w:themeColor="text1"/>
          <w:lang w:val="es-AR"/>
        </w:rPr>
        <w:t>En cuanto a la actividad económica, se observa que en todas las desagregaciones (población urbana total, interior urbano y gran Buenos Aires), la población con acceso a educación superior tiene una tasa de actividad superior a la del total de la población:</w:t>
      </w:r>
    </w:p>
    <w:p w14:paraId="2F86C2A7" w14:textId="77777777" w:rsidR="00312D9A" w:rsidRPr="00772F2E" w:rsidRDefault="00312D9A" w:rsidP="00772F2E">
      <w:pPr>
        <w:spacing w:before="240" w:after="120" w:line="240" w:lineRule="auto"/>
        <w:jc w:val="both"/>
        <w:rPr>
          <w:rFonts w:ascii="Times New Roman" w:eastAsia="Calibri" w:hAnsi="Times New Roman" w:cs="Times New Roman"/>
          <w:i/>
          <w:iCs/>
          <w:color w:val="000000" w:themeColor="text1"/>
          <w:lang w:val="es-AR"/>
        </w:rPr>
      </w:pPr>
      <w:r w:rsidRPr="00772F2E">
        <w:rPr>
          <w:rFonts w:ascii="Times New Roman" w:eastAsia="Calibri" w:hAnsi="Times New Roman" w:cs="Times New Roman"/>
          <w:i/>
          <w:iCs/>
          <w:color w:val="000000" w:themeColor="text1"/>
          <w:lang w:val="es-AR"/>
        </w:rPr>
        <w:t>Cuadro 4: Población urbana mayor de 17 años económicamente activa según nivel educativo. Valores porcentuales.</w:t>
      </w:r>
    </w:p>
    <w:tbl>
      <w:tblPr>
        <w:tblStyle w:val="Tablaconcuadrcula1clara"/>
        <w:tblW w:w="5000" w:type="pct"/>
        <w:tblLook w:val="04A0" w:firstRow="1" w:lastRow="0" w:firstColumn="1" w:lastColumn="0" w:noHBand="0" w:noVBand="1"/>
      </w:tblPr>
      <w:tblGrid>
        <w:gridCol w:w="1064"/>
        <w:gridCol w:w="1064"/>
        <w:gridCol w:w="1470"/>
        <w:gridCol w:w="1064"/>
        <w:gridCol w:w="1257"/>
        <w:gridCol w:w="1065"/>
        <w:gridCol w:w="1510"/>
      </w:tblGrid>
      <w:tr w:rsidR="00312D9A" w:rsidRPr="00772F2E" w14:paraId="6EF8094D" w14:textId="77777777" w:rsidTr="00F4458B">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14" w:type="pct"/>
            <w:noWrap/>
            <w:hideMark/>
          </w:tcPr>
          <w:p w14:paraId="5FE65D34" w14:textId="77777777" w:rsidR="00312D9A" w:rsidRPr="00772F2E" w:rsidRDefault="00312D9A" w:rsidP="00772F2E">
            <w:pPr>
              <w:jc w:val="center"/>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Año</w:t>
            </w:r>
          </w:p>
        </w:tc>
        <w:tc>
          <w:tcPr>
            <w:tcW w:w="714" w:type="pct"/>
            <w:noWrap/>
            <w:hideMark/>
          </w:tcPr>
          <w:p w14:paraId="23927A3F" w14:textId="77777777" w:rsidR="00312D9A" w:rsidRPr="00772F2E" w:rsidRDefault="00312D9A" w:rsidP="00772F2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PUT</w:t>
            </w:r>
          </w:p>
        </w:tc>
        <w:tc>
          <w:tcPr>
            <w:tcW w:w="714" w:type="pct"/>
            <w:noWrap/>
            <w:hideMark/>
          </w:tcPr>
          <w:p w14:paraId="45687B02" w14:textId="77777777" w:rsidR="00312D9A" w:rsidRPr="00772F2E" w:rsidRDefault="00312D9A" w:rsidP="00772F2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PUT con ES</w:t>
            </w:r>
          </w:p>
        </w:tc>
        <w:tc>
          <w:tcPr>
            <w:tcW w:w="714" w:type="pct"/>
            <w:noWrap/>
            <w:hideMark/>
          </w:tcPr>
          <w:p w14:paraId="5443D770" w14:textId="77777777" w:rsidR="00312D9A" w:rsidRPr="00772F2E" w:rsidRDefault="00312D9A" w:rsidP="00772F2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IU</w:t>
            </w:r>
          </w:p>
        </w:tc>
        <w:tc>
          <w:tcPr>
            <w:tcW w:w="714" w:type="pct"/>
            <w:noWrap/>
            <w:hideMark/>
          </w:tcPr>
          <w:p w14:paraId="49ACCA1D" w14:textId="77777777" w:rsidR="00312D9A" w:rsidRPr="00772F2E" w:rsidRDefault="00312D9A" w:rsidP="00772F2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IU con ES</w:t>
            </w:r>
          </w:p>
        </w:tc>
        <w:tc>
          <w:tcPr>
            <w:tcW w:w="714" w:type="pct"/>
            <w:noWrap/>
            <w:hideMark/>
          </w:tcPr>
          <w:p w14:paraId="04D29FFE" w14:textId="77777777" w:rsidR="00312D9A" w:rsidRPr="00772F2E" w:rsidRDefault="00312D9A" w:rsidP="00772F2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GBA</w:t>
            </w:r>
          </w:p>
        </w:tc>
        <w:tc>
          <w:tcPr>
            <w:tcW w:w="714" w:type="pct"/>
            <w:noWrap/>
            <w:hideMark/>
          </w:tcPr>
          <w:p w14:paraId="1F508481" w14:textId="77777777" w:rsidR="00312D9A" w:rsidRPr="00772F2E" w:rsidRDefault="00312D9A" w:rsidP="00772F2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GBA con ES</w:t>
            </w:r>
          </w:p>
        </w:tc>
      </w:tr>
      <w:tr w:rsidR="00312D9A" w:rsidRPr="00772F2E" w14:paraId="2A04EA52" w14:textId="77777777" w:rsidTr="00F4458B">
        <w:trPr>
          <w:trHeight w:val="285"/>
        </w:trPr>
        <w:tc>
          <w:tcPr>
            <w:cnfStyle w:val="001000000000" w:firstRow="0" w:lastRow="0" w:firstColumn="1" w:lastColumn="0" w:oddVBand="0" w:evenVBand="0" w:oddHBand="0" w:evenHBand="0" w:firstRowFirstColumn="0" w:firstRowLastColumn="0" w:lastRowFirstColumn="0" w:lastRowLastColumn="0"/>
            <w:tcW w:w="714" w:type="pct"/>
            <w:noWrap/>
            <w:hideMark/>
          </w:tcPr>
          <w:p w14:paraId="3C89B0E8" w14:textId="77777777" w:rsidR="00312D9A" w:rsidRPr="00772F2E" w:rsidRDefault="00312D9A" w:rsidP="00CA06FB">
            <w:pPr>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2016</w:t>
            </w:r>
          </w:p>
        </w:tc>
        <w:tc>
          <w:tcPr>
            <w:tcW w:w="714" w:type="pct"/>
            <w:noWrap/>
            <w:hideMark/>
          </w:tcPr>
          <w:p w14:paraId="09547759"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62,4%</w:t>
            </w:r>
          </w:p>
        </w:tc>
        <w:tc>
          <w:tcPr>
            <w:tcW w:w="714" w:type="pct"/>
            <w:noWrap/>
            <w:hideMark/>
          </w:tcPr>
          <w:p w14:paraId="08733441"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70,5%</w:t>
            </w:r>
          </w:p>
        </w:tc>
        <w:tc>
          <w:tcPr>
            <w:tcW w:w="714" w:type="pct"/>
            <w:noWrap/>
            <w:hideMark/>
          </w:tcPr>
          <w:p w14:paraId="46A84774"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59,8%</w:t>
            </w:r>
          </w:p>
        </w:tc>
        <w:tc>
          <w:tcPr>
            <w:tcW w:w="714" w:type="pct"/>
            <w:noWrap/>
            <w:hideMark/>
          </w:tcPr>
          <w:p w14:paraId="40C9FC91"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65,7</w:t>
            </w:r>
          </w:p>
        </w:tc>
        <w:tc>
          <w:tcPr>
            <w:tcW w:w="714" w:type="pct"/>
            <w:noWrap/>
            <w:hideMark/>
          </w:tcPr>
          <w:p w14:paraId="1FEB0ED6"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64,7%</w:t>
            </w:r>
          </w:p>
        </w:tc>
        <w:tc>
          <w:tcPr>
            <w:tcW w:w="714" w:type="pct"/>
            <w:noWrap/>
            <w:hideMark/>
          </w:tcPr>
          <w:p w14:paraId="17A4D826"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74,9%</w:t>
            </w:r>
          </w:p>
        </w:tc>
      </w:tr>
      <w:tr w:rsidR="00312D9A" w:rsidRPr="00772F2E" w14:paraId="1C8D99A0" w14:textId="77777777" w:rsidTr="00F4458B">
        <w:trPr>
          <w:trHeight w:val="285"/>
        </w:trPr>
        <w:tc>
          <w:tcPr>
            <w:cnfStyle w:val="001000000000" w:firstRow="0" w:lastRow="0" w:firstColumn="1" w:lastColumn="0" w:oddVBand="0" w:evenVBand="0" w:oddHBand="0" w:evenHBand="0" w:firstRowFirstColumn="0" w:firstRowLastColumn="0" w:lastRowFirstColumn="0" w:lastRowLastColumn="0"/>
            <w:tcW w:w="714" w:type="pct"/>
            <w:noWrap/>
            <w:hideMark/>
          </w:tcPr>
          <w:p w14:paraId="199E0E54" w14:textId="77777777" w:rsidR="00312D9A" w:rsidRPr="00772F2E" w:rsidRDefault="00312D9A" w:rsidP="00CA06FB">
            <w:pPr>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2017</w:t>
            </w:r>
          </w:p>
        </w:tc>
        <w:tc>
          <w:tcPr>
            <w:tcW w:w="714" w:type="pct"/>
            <w:noWrap/>
            <w:hideMark/>
          </w:tcPr>
          <w:p w14:paraId="5F986B61"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62,8%</w:t>
            </w:r>
          </w:p>
        </w:tc>
        <w:tc>
          <w:tcPr>
            <w:tcW w:w="714" w:type="pct"/>
            <w:noWrap/>
            <w:hideMark/>
          </w:tcPr>
          <w:p w14:paraId="755C5149"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70,2%</w:t>
            </w:r>
          </w:p>
        </w:tc>
        <w:tc>
          <w:tcPr>
            <w:tcW w:w="714" w:type="pct"/>
            <w:noWrap/>
            <w:hideMark/>
          </w:tcPr>
          <w:p w14:paraId="71A750AE"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60,0%</w:t>
            </w:r>
          </w:p>
        </w:tc>
        <w:tc>
          <w:tcPr>
            <w:tcW w:w="714" w:type="pct"/>
            <w:noWrap/>
            <w:hideMark/>
          </w:tcPr>
          <w:p w14:paraId="3ACF2A75"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65,9</w:t>
            </w:r>
          </w:p>
        </w:tc>
        <w:tc>
          <w:tcPr>
            <w:tcW w:w="714" w:type="pct"/>
            <w:noWrap/>
            <w:hideMark/>
          </w:tcPr>
          <w:p w14:paraId="389C9F19"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65,3%</w:t>
            </w:r>
          </w:p>
        </w:tc>
        <w:tc>
          <w:tcPr>
            <w:tcW w:w="714" w:type="pct"/>
            <w:noWrap/>
            <w:hideMark/>
          </w:tcPr>
          <w:p w14:paraId="6B905EB1"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74,2%</w:t>
            </w:r>
          </w:p>
        </w:tc>
      </w:tr>
      <w:tr w:rsidR="00312D9A" w:rsidRPr="00772F2E" w14:paraId="6B927762" w14:textId="77777777" w:rsidTr="00F4458B">
        <w:trPr>
          <w:trHeight w:val="285"/>
        </w:trPr>
        <w:tc>
          <w:tcPr>
            <w:cnfStyle w:val="001000000000" w:firstRow="0" w:lastRow="0" w:firstColumn="1" w:lastColumn="0" w:oddVBand="0" w:evenVBand="0" w:oddHBand="0" w:evenHBand="0" w:firstRowFirstColumn="0" w:firstRowLastColumn="0" w:lastRowFirstColumn="0" w:lastRowLastColumn="0"/>
            <w:tcW w:w="714" w:type="pct"/>
            <w:noWrap/>
            <w:hideMark/>
          </w:tcPr>
          <w:p w14:paraId="7F4B4332" w14:textId="77777777" w:rsidR="00312D9A" w:rsidRPr="00772F2E" w:rsidRDefault="00312D9A" w:rsidP="00CA06FB">
            <w:pPr>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2018</w:t>
            </w:r>
          </w:p>
        </w:tc>
        <w:tc>
          <w:tcPr>
            <w:tcW w:w="714" w:type="pct"/>
            <w:noWrap/>
            <w:hideMark/>
          </w:tcPr>
          <w:p w14:paraId="055DDE96"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63,4%</w:t>
            </w:r>
          </w:p>
        </w:tc>
        <w:tc>
          <w:tcPr>
            <w:tcW w:w="714" w:type="pct"/>
            <w:noWrap/>
            <w:hideMark/>
          </w:tcPr>
          <w:p w14:paraId="7D30D90F"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70,6%</w:t>
            </w:r>
          </w:p>
        </w:tc>
        <w:tc>
          <w:tcPr>
            <w:tcW w:w="714" w:type="pct"/>
            <w:noWrap/>
            <w:hideMark/>
          </w:tcPr>
          <w:p w14:paraId="560419F8"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61,2%</w:t>
            </w:r>
          </w:p>
        </w:tc>
        <w:tc>
          <w:tcPr>
            <w:tcW w:w="714" w:type="pct"/>
            <w:noWrap/>
            <w:hideMark/>
          </w:tcPr>
          <w:p w14:paraId="7665334E"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66,9</w:t>
            </w:r>
          </w:p>
        </w:tc>
        <w:tc>
          <w:tcPr>
            <w:tcW w:w="714" w:type="pct"/>
            <w:noWrap/>
            <w:hideMark/>
          </w:tcPr>
          <w:p w14:paraId="236E2CFA"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65,3%</w:t>
            </w:r>
          </w:p>
        </w:tc>
        <w:tc>
          <w:tcPr>
            <w:tcW w:w="714" w:type="pct"/>
            <w:noWrap/>
            <w:hideMark/>
          </w:tcPr>
          <w:p w14:paraId="54C02D30"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74,0%</w:t>
            </w:r>
          </w:p>
        </w:tc>
      </w:tr>
      <w:tr w:rsidR="00312D9A" w:rsidRPr="00772F2E" w14:paraId="1E0B7DF5" w14:textId="77777777" w:rsidTr="00F4458B">
        <w:trPr>
          <w:trHeight w:val="285"/>
        </w:trPr>
        <w:tc>
          <w:tcPr>
            <w:cnfStyle w:val="001000000000" w:firstRow="0" w:lastRow="0" w:firstColumn="1" w:lastColumn="0" w:oddVBand="0" w:evenVBand="0" w:oddHBand="0" w:evenHBand="0" w:firstRowFirstColumn="0" w:firstRowLastColumn="0" w:lastRowFirstColumn="0" w:lastRowLastColumn="0"/>
            <w:tcW w:w="714" w:type="pct"/>
            <w:noWrap/>
            <w:hideMark/>
          </w:tcPr>
          <w:p w14:paraId="6CFAC87C" w14:textId="77777777" w:rsidR="00312D9A" w:rsidRPr="00772F2E" w:rsidRDefault="00312D9A" w:rsidP="00CA06FB">
            <w:pPr>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2019</w:t>
            </w:r>
          </w:p>
        </w:tc>
        <w:tc>
          <w:tcPr>
            <w:tcW w:w="714" w:type="pct"/>
            <w:noWrap/>
            <w:hideMark/>
          </w:tcPr>
          <w:p w14:paraId="6BEA2DD0"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63,7%</w:t>
            </w:r>
          </w:p>
        </w:tc>
        <w:tc>
          <w:tcPr>
            <w:tcW w:w="714" w:type="pct"/>
            <w:noWrap/>
            <w:hideMark/>
          </w:tcPr>
          <w:p w14:paraId="11EC6CA4"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72,6%</w:t>
            </w:r>
          </w:p>
        </w:tc>
        <w:tc>
          <w:tcPr>
            <w:tcW w:w="714" w:type="pct"/>
            <w:noWrap/>
            <w:hideMark/>
          </w:tcPr>
          <w:p w14:paraId="36108E98"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62,5%</w:t>
            </w:r>
          </w:p>
        </w:tc>
        <w:tc>
          <w:tcPr>
            <w:tcW w:w="714" w:type="pct"/>
            <w:noWrap/>
            <w:hideMark/>
          </w:tcPr>
          <w:p w14:paraId="343B2DD8"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68,2%</w:t>
            </w:r>
          </w:p>
        </w:tc>
        <w:tc>
          <w:tcPr>
            <w:tcW w:w="714" w:type="pct"/>
            <w:noWrap/>
            <w:hideMark/>
          </w:tcPr>
          <w:p w14:paraId="5D5A7C07"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64,8%</w:t>
            </w:r>
          </w:p>
        </w:tc>
        <w:tc>
          <w:tcPr>
            <w:tcW w:w="714" w:type="pct"/>
            <w:noWrap/>
            <w:hideMark/>
          </w:tcPr>
          <w:p w14:paraId="7354FA19"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76,4%</w:t>
            </w:r>
          </w:p>
        </w:tc>
      </w:tr>
      <w:tr w:rsidR="00312D9A" w:rsidRPr="00772F2E" w14:paraId="2CB7D06B" w14:textId="77777777" w:rsidTr="00F4458B">
        <w:trPr>
          <w:trHeight w:val="285"/>
        </w:trPr>
        <w:tc>
          <w:tcPr>
            <w:cnfStyle w:val="001000000000" w:firstRow="0" w:lastRow="0" w:firstColumn="1" w:lastColumn="0" w:oddVBand="0" w:evenVBand="0" w:oddHBand="0" w:evenHBand="0" w:firstRowFirstColumn="0" w:firstRowLastColumn="0" w:lastRowFirstColumn="0" w:lastRowLastColumn="0"/>
            <w:tcW w:w="714" w:type="pct"/>
            <w:noWrap/>
            <w:hideMark/>
          </w:tcPr>
          <w:p w14:paraId="39EBD0A2" w14:textId="77777777" w:rsidR="00312D9A" w:rsidRPr="00772F2E" w:rsidRDefault="00312D9A" w:rsidP="00CA06FB">
            <w:pPr>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2020</w:t>
            </w:r>
          </w:p>
        </w:tc>
        <w:tc>
          <w:tcPr>
            <w:tcW w:w="714" w:type="pct"/>
            <w:noWrap/>
            <w:hideMark/>
          </w:tcPr>
          <w:p w14:paraId="26AFAC46"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58,8%</w:t>
            </w:r>
          </w:p>
        </w:tc>
        <w:tc>
          <w:tcPr>
            <w:tcW w:w="714" w:type="pct"/>
            <w:noWrap/>
            <w:hideMark/>
          </w:tcPr>
          <w:p w14:paraId="3C70AF9A"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68,4%</w:t>
            </w:r>
          </w:p>
        </w:tc>
        <w:tc>
          <w:tcPr>
            <w:tcW w:w="714" w:type="pct"/>
            <w:noWrap/>
            <w:hideMark/>
          </w:tcPr>
          <w:p w14:paraId="4A0D8D4C"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59,8%</w:t>
            </w:r>
          </w:p>
        </w:tc>
        <w:tc>
          <w:tcPr>
            <w:tcW w:w="714" w:type="pct"/>
            <w:noWrap/>
            <w:hideMark/>
          </w:tcPr>
          <w:p w14:paraId="04F27B19"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66,0%</w:t>
            </w:r>
          </w:p>
        </w:tc>
        <w:tc>
          <w:tcPr>
            <w:tcW w:w="714" w:type="pct"/>
            <w:noWrap/>
            <w:hideMark/>
          </w:tcPr>
          <w:p w14:paraId="6569236E"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57,9%</w:t>
            </w:r>
          </w:p>
        </w:tc>
        <w:tc>
          <w:tcPr>
            <w:tcW w:w="714" w:type="pct"/>
            <w:noWrap/>
            <w:hideMark/>
          </w:tcPr>
          <w:p w14:paraId="0D811964"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70,5%</w:t>
            </w:r>
          </w:p>
        </w:tc>
      </w:tr>
      <w:tr w:rsidR="00312D9A" w:rsidRPr="00772F2E" w14:paraId="39887CA5" w14:textId="77777777" w:rsidTr="00F4458B">
        <w:trPr>
          <w:trHeight w:val="285"/>
        </w:trPr>
        <w:tc>
          <w:tcPr>
            <w:cnfStyle w:val="001000000000" w:firstRow="0" w:lastRow="0" w:firstColumn="1" w:lastColumn="0" w:oddVBand="0" w:evenVBand="0" w:oddHBand="0" w:evenHBand="0" w:firstRowFirstColumn="0" w:firstRowLastColumn="0" w:lastRowFirstColumn="0" w:lastRowLastColumn="0"/>
            <w:tcW w:w="714" w:type="pct"/>
            <w:noWrap/>
            <w:hideMark/>
          </w:tcPr>
          <w:p w14:paraId="22C37077" w14:textId="77777777" w:rsidR="00312D9A" w:rsidRPr="00772F2E" w:rsidRDefault="00312D9A" w:rsidP="00CA06FB">
            <w:pPr>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2021</w:t>
            </w:r>
          </w:p>
        </w:tc>
        <w:tc>
          <w:tcPr>
            <w:tcW w:w="714" w:type="pct"/>
            <w:noWrap/>
            <w:hideMark/>
          </w:tcPr>
          <w:p w14:paraId="3EBE45AB"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64,4%</w:t>
            </w:r>
          </w:p>
        </w:tc>
        <w:tc>
          <w:tcPr>
            <w:tcW w:w="714" w:type="pct"/>
            <w:noWrap/>
            <w:hideMark/>
          </w:tcPr>
          <w:p w14:paraId="2483930E"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71,5%</w:t>
            </w:r>
          </w:p>
        </w:tc>
        <w:tc>
          <w:tcPr>
            <w:tcW w:w="714" w:type="pct"/>
            <w:noWrap/>
            <w:hideMark/>
          </w:tcPr>
          <w:p w14:paraId="66AD4312"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62,4%</w:t>
            </w:r>
          </w:p>
        </w:tc>
        <w:tc>
          <w:tcPr>
            <w:tcW w:w="714" w:type="pct"/>
            <w:noWrap/>
            <w:hideMark/>
          </w:tcPr>
          <w:p w14:paraId="1FF2F237"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68,0%</w:t>
            </w:r>
          </w:p>
        </w:tc>
        <w:tc>
          <w:tcPr>
            <w:tcW w:w="714" w:type="pct"/>
            <w:noWrap/>
            <w:hideMark/>
          </w:tcPr>
          <w:p w14:paraId="4642F84E"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66,2%</w:t>
            </w:r>
          </w:p>
        </w:tc>
        <w:tc>
          <w:tcPr>
            <w:tcW w:w="714" w:type="pct"/>
            <w:noWrap/>
            <w:hideMark/>
          </w:tcPr>
          <w:p w14:paraId="123C9763"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74,4%</w:t>
            </w:r>
          </w:p>
        </w:tc>
      </w:tr>
      <w:tr w:rsidR="00312D9A" w:rsidRPr="00772F2E" w14:paraId="0FB10F90" w14:textId="77777777" w:rsidTr="00F4458B">
        <w:trPr>
          <w:trHeight w:val="285"/>
        </w:trPr>
        <w:tc>
          <w:tcPr>
            <w:cnfStyle w:val="001000000000" w:firstRow="0" w:lastRow="0" w:firstColumn="1" w:lastColumn="0" w:oddVBand="0" w:evenVBand="0" w:oddHBand="0" w:evenHBand="0" w:firstRowFirstColumn="0" w:firstRowLastColumn="0" w:lastRowFirstColumn="0" w:lastRowLastColumn="0"/>
            <w:tcW w:w="714" w:type="pct"/>
            <w:noWrap/>
            <w:hideMark/>
          </w:tcPr>
          <w:p w14:paraId="44228AF3" w14:textId="77777777" w:rsidR="00312D9A" w:rsidRPr="00772F2E" w:rsidRDefault="00312D9A" w:rsidP="00CA06FB">
            <w:pPr>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2022</w:t>
            </w:r>
          </w:p>
        </w:tc>
        <w:tc>
          <w:tcPr>
            <w:tcW w:w="714" w:type="pct"/>
            <w:noWrap/>
            <w:hideMark/>
          </w:tcPr>
          <w:p w14:paraId="7C397147"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65,2%</w:t>
            </w:r>
          </w:p>
        </w:tc>
        <w:tc>
          <w:tcPr>
            <w:tcW w:w="714" w:type="pct"/>
            <w:noWrap/>
            <w:hideMark/>
          </w:tcPr>
          <w:p w14:paraId="42BBAB4D"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71,8%</w:t>
            </w:r>
          </w:p>
        </w:tc>
        <w:tc>
          <w:tcPr>
            <w:tcW w:w="714" w:type="pct"/>
            <w:noWrap/>
            <w:hideMark/>
          </w:tcPr>
          <w:p w14:paraId="34A78237"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63,3%</w:t>
            </w:r>
          </w:p>
        </w:tc>
        <w:tc>
          <w:tcPr>
            <w:tcW w:w="714" w:type="pct"/>
            <w:noWrap/>
            <w:hideMark/>
          </w:tcPr>
          <w:p w14:paraId="193B3846"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68,1%</w:t>
            </w:r>
          </w:p>
        </w:tc>
        <w:tc>
          <w:tcPr>
            <w:tcW w:w="714" w:type="pct"/>
            <w:noWrap/>
            <w:hideMark/>
          </w:tcPr>
          <w:p w14:paraId="0FEA8310"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66,9%</w:t>
            </w:r>
          </w:p>
        </w:tc>
        <w:tc>
          <w:tcPr>
            <w:tcW w:w="714" w:type="pct"/>
            <w:noWrap/>
            <w:hideMark/>
          </w:tcPr>
          <w:p w14:paraId="32B2C80B"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75,1%</w:t>
            </w:r>
          </w:p>
        </w:tc>
      </w:tr>
      <w:tr w:rsidR="00312D9A" w:rsidRPr="00772F2E" w14:paraId="33E48B84" w14:textId="77777777" w:rsidTr="00F4458B">
        <w:trPr>
          <w:trHeight w:val="285"/>
        </w:trPr>
        <w:tc>
          <w:tcPr>
            <w:cnfStyle w:val="001000000000" w:firstRow="0" w:lastRow="0" w:firstColumn="1" w:lastColumn="0" w:oddVBand="0" w:evenVBand="0" w:oddHBand="0" w:evenHBand="0" w:firstRowFirstColumn="0" w:firstRowLastColumn="0" w:lastRowFirstColumn="0" w:lastRowLastColumn="0"/>
            <w:tcW w:w="714" w:type="pct"/>
            <w:noWrap/>
            <w:hideMark/>
          </w:tcPr>
          <w:p w14:paraId="16AEB852" w14:textId="77777777" w:rsidR="00312D9A" w:rsidRPr="00772F2E" w:rsidRDefault="00312D9A" w:rsidP="00CA06FB">
            <w:pPr>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2023</w:t>
            </w:r>
          </w:p>
        </w:tc>
        <w:tc>
          <w:tcPr>
            <w:tcW w:w="714" w:type="pct"/>
            <w:noWrap/>
            <w:hideMark/>
          </w:tcPr>
          <w:p w14:paraId="47E1CD52"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65,8%</w:t>
            </w:r>
          </w:p>
        </w:tc>
        <w:tc>
          <w:tcPr>
            <w:tcW w:w="714" w:type="pct"/>
            <w:noWrap/>
            <w:hideMark/>
          </w:tcPr>
          <w:p w14:paraId="3C8EB116"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72,0%</w:t>
            </w:r>
          </w:p>
        </w:tc>
        <w:tc>
          <w:tcPr>
            <w:tcW w:w="714" w:type="pct"/>
            <w:noWrap/>
            <w:hideMark/>
          </w:tcPr>
          <w:p w14:paraId="492C5ADB"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64,2%</w:t>
            </w:r>
          </w:p>
        </w:tc>
        <w:tc>
          <w:tcPr>
            <w:tcW w:w="714" w:type="pct"/>
            <w:noWrap/>
            <w:hideMark/>
          </w:tcPr>
          <w:p w14:paraId="45A6506F"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68,1%</w:t>
            </w:r>
          </w:p>
        </w:tc>
        <w:tc>
          <w:tcPr>
            <w:tcW w:w="714" w:type="pct"/>
            <w:noWrap/>
            <w:hideMark/>
          </w:tcPr>
          <w:p w14:paraId="18689A1A"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67,2%</w:t>
            </w:r>
          </w:p>
        </w:tc>
        <w:tc>
          <w:tcPr>
            <w:tcW w:w="714" w:type="pct"/>
            <w:noWrap/>
            <w:hideMark/>
          </w:tcPr>
          <w:p w14:paraId="7FECA0DF"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75,4%</w:t>
            </w:r>
          </w:p>
        </w:tc>
      </w:tr>
      <w:tr w:rsidR="00312D9A" w:rsidRPr="00772F2E" w14:paraId="2882B55F" w14:textId="77777777" w:rsidTr="00F4458B">
        <w:trPr>
          <w:trHeight w:val="285"/>
        </w:trPr>
        <w:tc>
          <w:tcPr>
            <w:cnfStyle w:val="001000000000" w:firstRow="0" w:lastRow="0" w:firstColumn="1" w:lastColumn="0" w:oddVBand="0" w:evenVBand="0" w:oddHBand="0" w:evenHBand="0" w:firstRowFirstColumn="0" w:firstRowLastColumn="0" w:lastRowFirstColumn="0" w:lastRowLastColumn="0"/>
            <w:tcW w:w="714" w:type="pct"/>
            <w:noWrap/>
            <w:hideMark/>
          </w:tcPr>
          <w:p w14:paraId="61C90E35" w14:textId="77777777" w:rsidR="00312D9A" w:rsidRPr="00772F2E" w:rsidRDefault="00312D9A" w:rsidP="00CA06FB">
            <w:pPr>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2024</w:t>
            </w:r>
          </w:p>
        </w:tc>
        <w:tc>
          <w:tcPr>
            <w:tcW w:w="714" w:type="pct"/>
            <w:noWrap/>
            <w:hideMark/>
          </w:tcPr>
          <w:p w14:paraId="7932FD7D"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65,9%</w:t>
            </w:r>
          </w:p>
        </w:tc>
        <w:tc>
          <w:tcPr>
            <w:tcW w:w="714" w:type="pct"/>
            <w:noWrap/>
            <w:hideMark/>
          </w:tcPr>
          <w:p w14:paraId="34339661"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72,3%</w:t>
            </w:r>
          </w:p>
        </w:tc>
        <w:tc>
          <w:tcPr>
            <w:tcW w:w="714" w:type="pct"/>
            <w:noWrap/>
            <w:hideMark/>
          </w:tcPr>
          <w:p w14:paraId="3A1CC55B"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63,8%</w:t>
            </w:r>
          </w:p>
        </w:tc>
        <w:tc>
          <w:tcPr>
            <w:tcW w:w="714" w:type="pct"/>
            <w:noWrap/>
            <w:hideMark/>
          </w:tcPr>
          <w:p w14:paraId="7CCBFDC9"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67,6%</w:t>
            </w:r>
          </w:p>
        </w:tc>
        <w:tc>
          <w:tcPr>
            <w:tcW w:w="714" w:type="pct"/>
            <w:noWrap/>
            <w:hideMark/>
          </w:tcPr>
          <w:p w14:paraId="38D3FE08"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67,8%</w:t>
            </w:r>
          </w:p>
        </w:tc>
        <w:tc>
          <w:tcPr>
            <w:tcW w:w="714" w:type="pct"/>
            <w:noWrap/>
            <w:hideMark/>
          </w:tcPr>
          <w:p w14:paraId="37C5560B"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76,3%</w:t>
            </w:r>
          </w:p>
        </w:tc>
      </w:tr>
    </w:tbl>
    <w:p w14:paraId="3974BB07" w14:textId="77777777" w:rsidR="00312D9A" w:rsidRPr="00772F2E" w:rsidRDefault="00312D9A" w:rsidP="00772F2E">
      <w:pPr>
        <w:tabs>
          <w:tab w:val="num" w:pos="720"/>
        </w:tabs>
        <w:spacing w:after="0" w:line="240" w:lineRule="auto"/>
        <w:jc w:val="both"/>
        <w:rPr>
          <w:rFonts w:ascii="Times New Roman" w:eastAsia="Calibri" w:hAnsi="Times New Roman" w:cs="Times New Roman"/>
          <w:color w:val="000000" w:themeColor="text1"/>
          <w:lang w:val="es-AR"/>
        </w:rPr>
      </w:pPr>
      <w:r w:rsidRPr="00772F2E">
        <w:rPr>
          <w:rFonts w:ascii="Times New Roman" w:eastAsia="Calibri" w:hAnsi="Times New Roman" w:cs="Times New Roman"/>
          <w:color w:val="000000" w:themeColor="text1"/>
          <w:lang w:val="es-AR"/>
        </w:rPr>
        <w:t xml:space="preserve">Fuente: Elaboración propia a partir de </w:t>
      </w:r>
      <w:r w:rsidRPr="00772F2E">
        <w:rPr>
          <w:rFonts w:ascii="Times New Roman" w:eastAsia="Calibri" w:hAnsi="Times New Roman" w:cs="Times New Roman"/>
          <w:color w:val="000000" w:themeColor="text1"/>
        </w:rPr>
        <w:t>Encuesta Permanente de Hogares (EPH-INDEC).</w:t>
      </w:r>
    </w:p>
    <w:p w14:paraId="7D905C09" w14:textId="77777777" w:rsidR="00F565A4" w:rsidRDefault="00F565A4" w:rsidP="00F565A4">
      <w:pPr>
        <w:tabs>
          <w:tab w:val="num" w:pos="720"/>
        </w:tabs>
        <w:spacing w:after="0" w:line="240" w:lineRule="auto"/>
        <w:jc w:val="both"/>
        <w:rPr>
          <w:rFonts w:ascii="Times New Roman" w:eastAsia="Calibri" w:hAnsi="Times New Roman" w:cs="Times New Roman"/>
          <w:color w:val="000000" w:themeColor="text1"/>
          <w:lang w:val="es-AR"/>
        </w:rPr>
      </w:pPr>
    </w:p>
    <w:p w14:paraId="4FBCB9DE" w14:textId="4DF2FAE7" w:rsidR="00312D9A" w:rsidRDefault="00312D9A" w:rsidP="00F565A4">
      <w:pPr>
        <w:tabs>
          <w:tab w:val="num" w:pos="720"/>
        </w:tabs>
        <w:spacing w:after="0" w:line="240" w:lineRule="auto"/>
        <w:jc w:val="both"/>
        <w:rPr>
          <w:rFonts w:ascii="Times New Roman" w:eastAsia="Calibri" w:hAnsi="Times New Roman" w:cs="Times New Roman"/>
          <w:color w:val="000000" w:themeColor="text1"/>
          <w:lang w:val="es-AR"/>
        </w:rPr>
      </w:pPr>
      <w:r w:rsidRPr="00772F2E">
        <w:rPr>
          <w:rFonts w:ascii="Times New Roman" w:eastAsia="Calibri" w:hAnsi="Times New Roman" w:cs="Times New Roman"/>
          <w:color w:val="000000" w:themeColor="text1"/>
          <w:lang w:val="es-AR"/>
        </w:rPr>
        <w:lastRenderedPageBreak/>
        <w:t>Adicionalmente, si se segmenta la población por grupos de edad, se observa que, en todos los casos, la población con el nivel superior completo tiene tasas de actividad significativamente superiores.</w:t>
      </w:r>
    </w:p>
    <w:p w14:paraId="7CE7010C" w14:textId="77777777" w:rsidR="00F565A4" w:rsidRDefault="00F565A4" w:rsidP="00F565A4">
      <w:pPr>
        <w:spacing w:line="240" w:lineRule="auto"/>
        <w:jc w:val="both"/>
        <w:rPr>
          <w:rFonts w:ascii="Times New Roman" w:eastAsia="Calibri" w:hAnsi="Times New Roman" w:cs="Times New Roman"/>
          <w:color w:val="000000" w:themeColor="text1"/>
        </w:rPr>
      </w:pPr>
    </w:p>
    <w:p w14:paraId="0D29B8BC" w14:textId="09DCF671" w:rsidR="00F565A4" w:rsidRPr="00F565A4" w:rsidRDefault="00F565A4" w:rsidP="00F565A4">
      <w:pPr>
        <w:spacing w:line="240" w:lineRule="auto"/>
        <w:jc w:val="both"/>
        <w:rPr>
          <w:rFonts w:ascii="Times New Roman" w:eastAsia="Calibri" w:hAnsi="Times New Roman" w:cs="Times New Roman"/>
          <w:b/>
          <w:bCs/>
          <w:color w:val="000000" w:themeColor="text1"/>
        </w:rPr>
      </w:pPr>
      <w:r w:rsidRPr="00F565A4">
        <w:rPr>
          <w:rFonts w:ascii="Times New Roman" w:eastAsia="Calibri" w:hAnsi="Times New Roman" w:cs="Times New Roman"/>
          <w:b/>
          <w:bCs/>
          <w:color w:val="000000" w:themeColor="text1"/>
        </w:rPr>
        <w:t>Los efectos de las desigualdades educativas en el acceso al mercado laboral</w:t>
      </w:r>
    </w:p>
    <w:p w14:paraId="163353B7" w14:textId="1A215E42" w:rsidR="00312D9A" w:rsidRPr="00772F2E" w:rsidRDefault="00312D9A" w:rsidP="00F565A4">
      <w:pPr>
        <w:spacing w:line="240" w:lineRule="auto"/>
        <w:jc w:val="both"/>
        <w:rPr>
          <w:rFonts w:ascii="Times New Roman" w:eastAsia="Calibri" w:hAnsi="Times New Roman" w:cs="Times New Roman"/>
          <w:color w:val="000000" w:themeColor="text1"/>
        </w:rPr>
      </w:pPr>
      <w:r w:rsidRPr="00772F2E">
        <w:rPr>
          <w:rFonts w:ascii="Times New Roman" w:eastAsia="Calibri" w:hAnsi="Times New Roman" w:cs="Times New Roman"/>
          <w:color w:val="000000" w:themeColor="text1"/>
        </w:rPr>
        <w:t>Es interesante analizar el impacto del nivel educativo tanto en las condiciones de acceso al mercado laboral como en la calidad del empleo. Según un análisis elaborado por Busso (2020), basado en datos de la EPH correspondientes a los años 2008 y 2017, se advierte una correlación positiva entre el nivel educativo alcanzado y la posibilidad de acceder a empleos de mejor calidad.</w:t>
      </w:r>
    </w:p>
    <w:p w14:paraId="4A1F53B2" w14:textId="77777777" w:rsidR="00312D9A" w:rsidRPr="00772F2E" w:rsidRDefault="00312D9A" w:rsidP="00F565A4">
      <w:pPr>
        <w:spacing w:line="240" w:lineRule="auto"/>
        <w:jc w:val="both"/>
        <w:rPr>
          <w:rFonts w:ascii="Times New Roman" w:eastAsia="Calibri" w:hAnsi="Times New Roman" w:cs="Times New Roman"/>
          <w:color w:val="000000" w:themeColor="text1"/>
        </w:rPr>
      </w:pPr>
      <w:r w:rsidRPr="00772F2E">
        <w:rPr>
          <w:rFonts w:ascii="Times New Roman" w:eastAsia="Calibri" w:hAnsi="Times New Roman" w:cs="Times New Roman"/>
          <w:color w:val="000000" w:themeColor="text1"/>
        </w:rPr>
        <w:t>Sin embargo, se observan cuestiones disimiles dentro del conjunto de estudiantes con educación superior incompleta. El estudio revela que los jóvenes que cursan estudios universitarios superiores tienden a insertarse en empleos más precarios que aquellos que ya no estudian, incluso teniendo el mismo nivel educativo. Esta situación parece vincularse a la necesidad de flexibilizar los tiempos laborales para compatibilizarlos con la dedicación que exigen los estudios. En ese sentido, la informalidad es muchas veces asumida por los propios trabajadores como una alternativa viable, aunque implique una renuncia a ciertos derechos laborales (</w:t>
      </w:r>
      <w:proofErr w:type="spellStart"/>
      <w:r w:rsidRPr="00772F2E">
        <w:rPr>
          <w:rFonts w:ascii="Times New Roman" w:eastAsia="Calibri" w:hAnsi="Times New Roman" w:cs="Times New Roman"/>
          <w:color w:val="000000" w:themeColor="text1"/>
        </w:rPr>
        <w:t>Adamini</w:t>
      </w:r>
      <w:proofErr w:type="spellEnd"/>
      <w:r w:rsidRPr="00772F2E">
        <w:rPr>
          <w:rFonts w:ascii="Times New Roman" w:eastAsia="Calibri" w:hAnsi="Times New Roman" w:cs="Times New Roman"/>
          <w:color w:val="000000" w:themeColor="text1"/>
        </w:rPr>
        <w:t>, 2017).</w:t>
      </w:r>
    </w:p>
    <w:p w14:paraId="2EDAA0B1" w14:textId="77777777" w:rsidR="00312D9A" w:rsidRPr="00772F2E" w:rsidRDefault="00312D9A" w:rsidP="00772F2E">
      <w:pPr>
        <w:spacing w:before="240" w:after="120" w:line="240" w:lineRule="auto"/>
        <w:jc w:val="both"/>
        <w:rPr>
          <w:rFonts w:ascii="Times New Roman" w:eastAsia="Calibri" w:hAnsi="Times New Roman" w:cs="Times New Roman"/>
          <w:i/>
          <w:iCs/>
          <w:color w:val="000000" w:themeColor="text1"/>
          <w:lang w:val="es-AR"/>
        </w:rPr>
      </w:pPr>
      <w:r w:rsidRPr="00772F2E">
        <w:rPr>
          <w:rFonts w:ascii="Times New Roman" w:eastAsia="Calibri" w:hAnsi="Times New Roman" w:cs="Times New Roman"/>
          <w:i/>
          <w:iCs/>
          <w:color w:val="000000" w:themeColor="text1"/>
          <w:lang w:val="es-AR"/>
        </w:rPr>
        <w:t xml:space="preserve">Cuadro 5. Tasa de Empleo no registrado y de </w:t>
      </w:r>
      <w:proofErr w:type="spellStart"/>
      <w:r w:rsidRPr="00772F2E">
        <w:rPr>
          <w:rFonts w:ascii="Times New Roman" w:eastAsia="Calibri" w:hAnsi="Times New Roman" w:cs="Times New Roman"/>
          <w:i/>
          <w:iCs/>
          <w:color w:val="000000" w:themeColor="text1"/>
          <w:lang w:val="es-AR"/>
        </w:rPr>
        <w:t>cuentrapropismo</w:t>
      </w:r>
      <w:proofErr w:type="spellEnd"/>
      <w:r w:rsidRPr="00772F2E">
        <w:rPr>
          <w:rFonts w:ascii="Times New Roman" w:eastAsia="Calibri" w:hAnsi="Times New Roman" w:cs="Times New Roman"/>
          <w:i/>
          <w:iCs/>
          <w:color w:val="000000" w:themeColor="text1"/>
          <w:lang w:val="es-AR"/>
        </w:rPr>
        <w:t xml:space="preserve"> de jóvenes de 18 a 29 años, según nivel educativo y asistencia a educación superior. Población urbana. 2017. Valores porcentuales.</w:t>
      </w:r>
    </w:p>
    <w:tbl>
      <w:tblPr>
        <w:tblStyle w:val="Tablaconcuadrcula1clara"/>
        <w:tblW w:w="5000" w:type="pct"/>
        <w:tblLook w:val="04A0" w:firstRow="1" w:lastRow="0" w:firstColumn="1" w:lastColumn="0" w:noHBand="0" w:noVBand="1"/>
      </w:tblPr>
      <w:tblGrid>
        <w:gridCol w:w="3538"/>
        <w:gridCol w:w="2477"/>
        <w:gridCol w:w="2479"/>
      </w:tblGrid>
      <w:tr w:rsidR="00312D9A" w:rsidRPr="00772F2E" w14:paraId="77DAFFEA" w14:textId="77777777" w:rsidTr="00F445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3" w:type="pct"/>
          </w:tcPr>
          <w:p w14:paraId="145375A7" w14:textId="77777777" w:rsidR="00312D9A" w:rsidRPr="00772F2E" w:rsidRDefault="00312D9A" w:rsidP="00772F2E">
            <w:pPr>
              <w:jc w:val="center"/>
              <w:rPr>
                <w:rFonts w:ascii="Times New Roman" w:eastAsia="Calibri" w:hAnsi="Times New Roman" w:cs="Times New Roman"/>
                <w:b w:val="0"/>
                <w:bCs w:val="0"/>
                <w:color w:val="000000" w:themeColor="text1"/>
              </w:rPr>
            </w:pPr>
            <w:r w:rsidRPr="00772F2E">
              <w:rPr>
                <w:rFonts w:ascii="Times New Roman" w:eastAsia="Calibri" w:hAnsi="Times New Roman" w:cs="Times New Roman"/>
                <w:color w:val="000000" w:themeColor="text1"/>
              </w:rPr>
              <w:t>Nivel educativo</w:t>
            </w:r>
          </w:p>
        </w:tc>
        <w:tc>
          <w:tcPr>
            <w:tcW w:w="1458" w:type="pct"/>
          </w:tcPr>
          <w:p w14:paraId="60D548DB" w14:textId="77777777" w:rsidR="00312D9A" w:rsidRPr="00772F2E" w:rsidRDefault="00312D9A" w:rsidP="00772F2E">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000000" w:themeColor="text1"/>
              </w:rPr>
            </w:pPr>
            <w:r w:rsidRPr="00772F2E">
              <w:rPr>
                <w:rFonts w:ascii="Times New Roman" w:eastAsia="Calibri" w:hAnsi="Times New Roman" w:cs="Times New Roman"/>
                <w:color w:val="000000" w:themeColor="text1"/>
              </w:rPr>
              <w:t>No registrado</w:t>
            </w:r>
          </w:p>
        </w:tc>
        <w:tc>
          <w:tcPr>
            <w:tcW w:w="1459" w:type="pct"/>
          </w:tcPr>
          <w:p w14:paraId="7158D472" w14:textId="77777777" w:rsidR="00312D9A" w:rsidRPr="00772F2E" w:rsidRDefault="00312D9A" w:rsidP="00772F2E">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000000" w:themeColor="text1"/>
              </w:rPr>
            </w:pPr>
            <w:r w:rsidRPr="00772F2E">
              <w:rPr>
                <w:rFonts w:ascii="Times New Roman" w:eastAsia="Calibri" w:hAnsi="Times New Roman" w:cs="Times New Roman"/>
                <w:color w:val="000000" w:themeColor="text1"/>
              </w:rPr>
              <w:t>Cuentapropismo</w:t>
            </w:r>
          </w:p>
        </w:tc>
      </w:tr>
      <w:tr w:rsidR="00312D9A" w:rsidRPr="00772F2E" w14:paraId="0108A505" w14:textId="77777777" w:rsidTr="00F4458B">
        <w:tc>
          <w:tcPr>
            <w:cnfStyle w:val="001000000000" w:firstRow="0" w:lastRow="0" w:firstColumn="1" w:lastColumn="0" w:oddVBand="0" w:evenVBand="0" w:oddHBand="0" w:evenHBand="0" w:firstRowFirstColumn="0" w:firstRowLastColumn="0" w:lastRowFirstColumn="0" w:lastRowLastColumn="0"/>
            <w:tcW w:w="2083" w:type="pct"/>
          </w:tcPr>
          <w:p w14:paraId="2798A06E" w14:textId="77777777" w:rsidR="00312D9A" w:rsidRPr="00772F2E" w:rsidRDefault="00312D9A" w:rsidP="00772F2E">
            <w:pPr>
              <w:jc w:val="both"/>
              <w:rPr>
                <w:rFonts w:ascii="Times New Roman" w:eastAsia="Calibri" w:hAnsi="Times New Roman" w:cs="Times New Roman"/>
                <w:color w:val="000000" w:themeColor="text1"/>
              </w:rPr>
            </w:pPr>
            <w:r w:rsidRPr="00772F2E">
              <w:rPr>
                <w:rFonts w:ascii="Times New Roman" w:eastAsia="Calibri" w:hAnsi="Times New Roman" w:cs="Times New Roman"/>
                <w:color w:val="000000" w:themeColor="text1"/>
              </w:rPr>
              <w:t>Hasta secundaria incompleta</w:t>
            </w:r>
          </w:p>
        </w:tc>
        <w:tc>
          <w:tcPr>
            <w:tcW w:w="1458" w:type="pct"/>
          </w:tcPr>
          <w:p w14:paraId="254F6F82"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72F2E">
              <w:rPr>
                <w:rFonts w:ascii="Times New Roman" w:eastAsia="Calibri" w:hAnsi="Times New Roman" w:cs="Times New Roman"/>
                <w:color w:val="000000" w:themeColor="text1"/>
              </w:rPr>
              <w:t>67,9%</w:t>
            </w:r>
          </w:p>
        </w:tc>
        <w:tc>
          <w:tcPr>
            <w:tcW w:w="1459" w:type="pct"/>
          </w:tcPr>
          <w:p w14:paraId="73759601"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72F2E">
              <w:rPr>
                <w:rFonts w:ascii="Times New Roman" w:eastAsia="Calibri" w:hAnsi="Times New Roman" w:cs="Times New Roman"/>
                <w:color w:val="000000" w:themeColor="text1"/>
              </w:rPr>
              <w:t>17,4%</w:t>
            </w:r>
          </w:p>
        </w:tc>
      </w:tr>
      <w:tr w:rsidR="00312D9A" w:rsidRPr="00772F2E" w14:paraId="120228B6" w14:textId="77777777" w:rsidTr="00F4458B">
        <w:tc>
          <w:tcPr>
            <w:cnfStyle w:val="001000000000" w:firstRow="0" w:lastRow="0" w:firstColumn="1" w:lastColumn="0" w:oddVBand="0" w:evenVBand="0" w:oddHBand="0" w:evenHBand="0" w:firstRowFirstColumn="0" w:firstRowLastColumn="0" w:lastRowFirstColumn="0" w:lastRowLastColumn="0"/>
            <w:tcW w:w="2083" w:type="pct"/>
          </w:tcPr>
          <w:p w14:paraId="43AF5FA6" w14:textId="77777777" w:rsidR="00312D9A" w:rsidRPr="00772F2E" w:rsidRDefault="00312D9A" w:rsidP="00772F2E">
            <w:pPr>
              <w:jc w:val="both"/>
              <w:rPr>
                <w:rFonts w:ascii="Times New Roman" w:eastAsia="Calibri" w:hAnsi="Times New Roman" w:cs="Times New Roman"/>
                <w:color w:val="000000" w:themeColor="text1"/>
              </w:rPr>
            </w:pPr>
            <w:r w:rsidRPr="00772F2E">
              <w:rPr>
                <w:rFonts w:ascii="Times New Roman" w:eastAsia="Calibri" w:hAnsi="Times New Roman" w:cs="Times New Roman"/>
                <w:color w:val="000000" w:themeColor="text1"/>
              </w:rPr>
              <w:t>Secundaria completa</w:t>
            </w:r>
          </w:p>
        </w:tc>
        <w:tc>
          <w:tcPr>
            <w:tcW w:w="1458" w:type="pct"/>
          </w:tcPr>
          <w:p w14:paraId="39F52AF0"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72F2E">
              <w:rPr>
                <w:rFonts w:ascii="Times New Roman" w:eastAsia="Calibri" w:hAnsi="Times New Roman" w:cs="Times New Roman"/>
                <w:color w:val="000000" w:themeColor="text1"/>
              </w:rPr>
              <w:t>45,1%</w:t>
            </w:r>
          </w:p>
        </w:tc>
        <w:tc>
          <w:tcPr>
            <w:tcW w:w="1459" w:type="pct"/>
          </w:tcPr>
          <w:p w14:paraId="0D7D1102"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72F2E">
              <w:rPr>
                <w:rFonts w:ascii="Times New Roman" w:eastAsia="Calibri" w:hAnsi="Times New Roman" w:cs="Times New Roman"/>
                <w:color w:val="000000" w:themeColor="text1"/>
              </w:rPr>
              <w:t>12,2%</w:t>
            </w:r>
          </w:p>
        </w:tc>
      </w:tr>
      <w:tr w:rsidR="00312D9A" w:rsidRPr="00772F2E" w14:paraId="471B87F5" w14:textId="77777777" w:rsidTr="00F4458B">
        <w:tc>
          <w:tcPr>
            <w:cnfStyle w:val="001000000000" w:firstRow="0" w:lastRow="0" w:firstColumn="1" w:lastColumn="0" w:oddVBand="0" w:evenVBand="0" w:oddHBand="0" w:evenHBand="0" w:firstRowFirstColumn="0" w:firstRowLastColumn="0" w:lastRowFirstColumn="0" w:lastRowLastColumn="0"/>
            <w:tcW w:w="2083" w:type="pct"/>
          </w:tcPr>
          <w:p w14:paraId="77E07D52" w14:textId="77777777" w:rsidR="00312D9A" w:rsidRPr="00772F2E" w:rsidRDefault="00312D9A" w:rsidP="00772F2E">
            <w:pPr>
              <w:jc w:val="both"/>
              <w:rPr>
                <w:rFonts w:ascii="Times New Roman" w:eastAsia="Calibri" w:hAnsi="Times New Roman" w:cs="Times New Roman"/>
                <w:color w:val="000000" w:themeColor="text1"/>
              </w:rPr>
            </w:pPr>
            <w:r w:rsidRPr="00772F2E">
              <w:rPr>
                <w:rFonts w:ascii="Times New Roman" w:eastAsia="Calibri" w:hAnsi="Times New Roman" w:cs="Times New Roman"/>
                <w:color w:val="000000" w:themeColor="text1"/>
              </w:rPr>
              <w:t>Superior Universitario incompleto</w:t>
            </w:r>
          </w:p>
        </w:tc>
        <w:tc>
          <w:tcPr>
            <w:tcW w:w="1458" w:type="pct"/>
          </w:tcPr>
          <w:p w14:paraId="7A349D42"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72F2E">
              <w:rPr>
                <w:rFonts w:ascii="Times New Roman" w:eastAsia="Calibri" w:hAnsi="Times New Roman" w:cs="Times New Roman"/>
                <w:color w:val="000000" w:themeColor="text1"/>
              </w:rPr>
              <w:t>43,9%</w:t>
            </w:r>
          </w:p>
        </w:tc>
        <w:tc>
          <w:tcPr>
            <w:tcW w:w="1459" w:type="pct"/>
          </w:tcPr>
          <w:p w14:paraId="4F81F186"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72F2E">
              <w:rPr>
                <w:rFonts w:ascii="Times New Roman" w:eastAsia="Calibri" w:hAnsi="Times New Roman" w:cs="Times New Roman"/>
                <w:color w:val="000000" w:themeColor="text1"/>
              </w:rPr>
              <w:t>11,2%</w:t>
            </w:r>
          </w:p>
        </w:tc>
      </w:tr>
      <w:tr w:rsidR="00312D9A" w:rsidRPr="00772F2E" w14:paraId="33E25089" w14:textId="77777777" w:rsidTr="00F4458B">
        <w:tc>
          <w:tcPr>
            <w:cnfStyle w:val="001000000000" w:firstRow="0" w:lastRow="0" w:firstColumn="1" w:lastColumn="0" w:oddVBand="0" w:evenVBand="0" w:oddHBand="0" w:evenHBand="0" w:firstRowFirstColumn="0" w:firstRowLastColumn="0" w:lastRowFirstColumn="0" w:lastRowLastColumn="0"/>
            <w:tcW w:w="2083" w:type="pct"/>
          </w:tcPr>
          <w:p w14:paraId="063B9986" w14:textId="77777777" w:rsidR="00312D9A" w:rsidRPr="00772F2E" w:rsidRDefault="00312D9A" w:rsidP="00772F2E">
            <w:pPr>
              <w:jc w:val="both"/>
              <w:rPr>
                <w:rFonts w:ascii="Times New Roman" w:eastAsia="Calibri" w:hAnsi="Times New Roman" w:cs="Times New Roman"/>
                <w:color w:val="000000" w:themeColor="text1"/>
              </w:rPr>
            </w:pPr>
            <w:r w:rsidRPr="00772F2E">
              <w:rPr>
                <w:rFonts w:ascii="Times New Roman" w:eastAsia="Calibri" w:hAnsi="Times New Roman" w:cs="Times New Roman"/>
                <w:color w:val="000000" w:themeColor="text1"/>
              </w:rPr>
              <w:t xml:space="preserve">          Asiste</w:t>
            </w:r>
          </w:p>
        </w:tc>
        <w:tc>
          <w:tcPr>
            <w:tcW w:w="1458" w:type="pct"/>
          </w:tcPr>
          <w:p w14:paraId="377D6327"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72F2E">
              <w:rPr>
                <w:rFonts w:ascii="Times New Roman" w:eastAsia="Calibri" w:hAnsi="Times New Roman" w:cs="Times New Roman"/>
                <w:color w:val="000000" w:themeColor="text1"/>
              </w:rPr>
              <w:t>47,1%</w:t>
            </w:r>
          </w:p>
        </w:tc>
        <w:tc>
          <w:tcPr>
            <w:tcW w:w="1459" w:type="pct"/>
          </w:tcPr>
          <w:p w14:paraId="60518EDB"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72F2E">
              <w:rPr>
                <w:rFonts w:ascii="Times New Roman" w:eastAsia="Calibri" w:hAnsi="Times New Roman" w:cs="Times New Roman"/>
                <w:color w:val="000000" w:themeColor="text1"/>
              </w:rPr>
              <w:t>10,4%</w:t>
            </w:r>
          </w:p>
        </w:tc>
      </w:tr>
      <w:tr w:rsidR="00312D9A" w:rsidRPr="00772F2E" w14:paraId="2F05AD82" w14:textId="77777777" w:rsidTr="00F4458B">
        <w:tc>
          <w:tcPr>
            <w:cnfStyle w:val="001000000000" w:firstRow="0" w:lastRow="0" w:firstColumn="1" w:lastColumn="0" w:oddVBand="0" w:evenVBand="0" w:oddHBand="0" w:evenHBand="0" w:firstRowFirstColumn="0" w:firstRowLastColumn="0" w:lastRowFirstColumn="0" w:lastRowLastColumn="0"/>
            <w:tcW w:w="2083" w:type="pct"/>
          </w:tcPr>
          <w:p w14:paraId="0C385D9B" w14:textId="77777777" w:rsidR="00312D9A" w:rsidRPr="00772F2E" w:rsidRDefault="00312D9A" w:rsidP="00772F2E">
            <w:pPr>
              <w:jc w:val="both"/>
              <w:rPr>
                <w:rFonts w:ascii="Times New Roman" w:eastAsia="Calibri" w:hAnsi="Times New Roman" w:cs="Times New Roman"/>
                <w:color w:val="000000" w:themeColor="text1"/>
              </w:rPr>
            </w:pPr>
            <w:r w:rsidRPr="00772F2E">
              <w:rPr>
                <w:rFonts w:ascii="Times New Roman" w:eastAsia="Calibri" w:hAnsi="Times New Roman" w:cs="Times New Roman"/>
                <w:color w:val="000000" w:themeColor="text1"/>
              </w:rPr>
              <w:t xml:space="preserve">          No asiste</w:t>
            </w:r>
          </w:p>
        </w:tc>
        <w:tc>
          <w:tcPr>
            <w:tcW w:w="1458" w:type="pct"/>
          </w:tcPr>
          <w:p w14:paraId="696BC1DF"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72F2E">
              <w:rPr>
                <w:rFonts w:ascii="Times New Roman" w:eastAsia="Calibri" w:hAnsi="Times New Roman" w:cs="Times New Roman"/>
                <w:color w:val="000000" w:themeColor="text1"/>
              </w:rPr>
              <w:t>30,6%</w:t>
            </w:r>
          </w:p>
        </w:tc>
        <w:tc>
          <w:tcPr>
            <w:tcW w:w="1459" w:type="pct"/>
          </w:tcPr>
          <w:p w14:paraId="65F97B8D"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72F2E">
              <w:rPr>
                <w:rFonts w:ascii="Times New Roman" w:eastAsia="Calibri" w:hAnsi="Times New Roman" w:cs="Times New Roman"/>
                <w:color w:val="000000" w:themeColor="text1"/>
              </w:rPr>
              <w:t>14,6%</w:t>
            </w:r>
          </w:p>
        </w:tc>
      </w:tr>
      <w:tr w:rsidR="00312D9A" w:rsidRPr="00772F2E" w14:paraId="464748E2" w14:textId="77777777" w:rsidTr="00F4458B">
        <w:tc>
          <w:tcPr>
            <w:cnfStyle w:val="001000000000" w:firstRow="0" w:lastRow="0" w:firstColumn="1" w:lastColumn="0" w:oddVBand="0" w:evenVBand="0" w:oddHBand="0" w:evenHBand="0" w:firstRowFirstColumn="0" w:firstRowLastColumn="0" w:lastRowFirstColumn="0" w:lastRowLastColumn="0"/>
            <w:tcW w:w="2083" w:type="pct"/>
          </w:tcPr>
          <w:p w14:paraId="07DE338A" w14:textId="77777777" w:rsidR="00312D9A" w:rsidRPr="00772F2E" w:rsidRDefault="00312D9A" w:rsidP="00772F2E">
            <w:pPr>
              <w:jc w:val="both"/>
              <w:rPr>
                <w:rFonts w:ascii="Times New Roman" w:eastAsia="Calibri" w:hAnsi="Times New Roman" w:cs="Times New Roman"/>
                <w:color w:val="000000" w:themeColor="text1"/>
              </w:rPr>
            </w:pPr>
            <w:r w:rsidRPr="00772F2E">
              <w:rPr>
                <w:rFonts w:ascii="Times New Roman" w:eastAsia="Calibri" w:hAnsi="Times New Roman" w:cs="Times New Roman"/>
                <w:color w:val="000000" w:themeColor="text1"/>
              </w:rPr>
              <w:t>Superior Universitario completo</w:t>
            </w:r>
          </w:p>
        </w:tc>
        <w:tc>
          <w:tcPr>
            <w:tcW w:w="1458" w:type="pct"/>
          </w:tcPr>
          <w:p w14:paraId="726BEA67"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72F2E">
              <w:rPr>
                <w:rFonts w:ascii="Times New Roman" w:eastAsia="Calibri" w:hAnsi="Times New Roman" w:cs="Times New Roman"/>
                <w:color w:val="000000" w:themeColor="text1"/>
              </w:rPr>
              <w:t>23,6%</w:t>
            </w:r>
          </w:p>
        </w:tc>
        <w:tc>
          <w:tcPr>
            <w:tcW w:w="1459" w:type="pct"/>
          </w:tcPr>
          <w:p w14:paraId="310C773E"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rPr>
            </w:pPr>
            <w:r w:rsidRPr="00772F2E">
              <w:rPr>
                <w:rFonts w:ascii="Times New Roman" w:eastAsia="Calibri" w:hAnsi="Times New Roman" w:cs="Times New Roman"/>
                <w:color w:val="000000" w:themeColor="text1"/>
              </w:rPr>
              <w:t>9,6%</w:t>
            </w:r>
          </w:p>
        </w:tc>
      </w:tr>
    </w:tbl>
    <w:p w14:paraId="37C3EB41" w14:textId="77777777" w:rsidR="00312D9A" w:rsidRPr="00772F2E" w:rsidRDefault="00312D9A" w:rsidP="00772F2E">
      <w:pPr>
        <w:tabs>
          <w:tab w:val="num" w:pos="720"/>
        </w:tabs>
        <w:spacing w:after="0" w:line="240" w:lineRule="auto"/>
        <w:jc w:val="both"/>
        <w:rPr>
          <w:rFonts w:ascii="Times New Roman" w:eastAsia="Calibri" w:hAnsi="Times New Roman" w:cs="Times New Roman"/>
          <w:color w:val="000000" w:themeColor="text1"/>
          <w:lang w:val="es-AR"/>
        </w:rPr>
      </w:pPr>
      <w:r w:rsidRPr="00772F2E">
        <w:rPr>
          <w:rFonts w:ascii="Times New Roman" w:eastAsia="Calibri" w:hAnsi="Times New Roman" w:cs="Times New Roman"/>
          <w:color w:val="000000" w:themeColor="text1"/>
          <w:lang w:val="es-AR"/>
        </w:rPr>
        <w:t xml:space="preserve">Fuente: </w:t>
      </w:r>
      <w:r w:rsidRPr="00772F2E">
        <w:rPr>
          <w:rFonts w:ascii="Times New Roman" w:eastAsia="Calibri" w:hAnsi="Times New Roman" w:cs="Times New Roman"/>
          <w:color w:val="000000" w:themeColor="text1"/>
        </w:rPr>
        <w:t>Encuesta Permanente de Hogares (EPH-INDEC).</w:t>
      </w:r>
    </w:p>
    <w:p w14:paraId="7224FEB1" w14:textId="77777777" w:rsidR="00312D9A" w:rsidRPr="00772F2E" w:rsidRDefault="00312D9A" w:rsidP="00772F2E">
      <w:pPr>
        <w:spacing w:line="240" w:lineRule="auto"/>
        <w:jc w:val="both"/>
        <w:rPr>
          <w:rFonts w:ascii="Times New Roman" w:eastAsia="Calibri" w:hAnsi="Times New Roman" w:cs="Times New Roman"/>
          <w:color w:val="000000" w:themeColor="text1"/>
        </w:rPr>
      </w:pPr>
    </w:p>
    <w:p w14:paraId="104BC397" w14:textId="77777777" w:rsidR="00312D9A" w:rsidRPr="00772F2E" w:rsidRDefault="00312D9A" w:rsidP="00772F2E">
      <w:pPr>
        <w:spacing w:line="240" w:lineRule="auto"/>
        <w:jc w:val="both"/>
        <w:rPr>
          <w:rFonts w:ascii="Times New Roman" w:eastAsia="Calibri" w:hAnsi="Times New Roman" w:cs="Times New Roman"/>
          <w:color w:val="000000" w:themeColor="text1"/>
        </w:rPr>
      </w:pPr>
      <w:r w:rsidRPr="00772F2E">
        <w:rPr>
          <w:rFonts w:ascii="Times New Roman" w:eastAsia="Calibri" w:hAnsi="Times New Roman" w:cs="Times New Roman"/>
          <w:color w:val="000000" w:themeColor="text1"/>
        </w:rPr>
        <w:t>Además, el análisis muestra que estas desigualdades no se explican únicamente por el nivel educativo, sino que se entrelazan con otras dimensiones estructurales. Los jóvenes de estratos socioeconómicos bajos presentan menores oportunidades de acceso a un empleo pleno formal (Salvia y Tuñón, 2003). Según el estudio de Busso (2020), más de 6 de cada 10 estudiantes-trabajadores de bajos recursos tienen un empleo no registrado mientras que esa cifra para los de nivel socioeconómico más alto es de solo 3 de cada 10 estudiantes-trabajadores.</w:t>
      </w:r>
    </w:p>
    <w:p w14:paraId="459B31ED" w14:textId="77777777" w:rsidR="00312D9A" w:rsidRPr="00772F2E" w:rsidRDefault="00312D9A" w:rsidP="00772F2E">
      <w:pPr>
        <w:spacing w:line="240" w:lineRule="auto"/>
        <w:jc w:val="both"/>
        <w:rPr>
          <w:rFonts w:ascii="Times New Roman" w:eastAsia="Calibri" w:hAnsi="Times New Roman" w:cs="Times New Roman"/>
          <w:color w:val="000000" w:themeColor="text1"/>
        </w:rPr>
      </w:pPr>
      <w:r w:rsidRPr="00772F2E">
        <w:rPr>
          <w:rFonts w:ascii="Times New Roman" w:eastAsia="Calibri" w:hAnsi="Times New Roman" w:cs="Times New Roman"/>
          <w:color w:val="000000" w:themeColor="text1"/>
        </w:rPr>
        <w:t>Al profundizar este análisis desde la distinción de género, se destaca que las jóvenes acceden en mayor medida a empleos informales que sus pares varones, profundizando así las brechas en el mercado laboral.</w:t>
      </w:r>
    </w:p>
    <w:p w14:paraId="6DD7222B" w14:textId="77777777" w:rsidR="00312D9A" w:rsidRPr="00772F2E" w:rsidRDefault="00312D9A" w:rsidP="00772F2E">
      <w:pPr>
        <w:spacing w:line="240" w:lineRule="auto"/>
        <w:jc w:val="both"/>
        <w:rPr>
          <w:rFonts w:ascii="Times New Roman" w:eastAsia="Calibri" w:hAnsi="Times New Roman" w:cs="Times New Roman"/>
          <w:color w:val="000000" w:themeColor="text1"/>
        </w:rPr>
      </w:pPr>
      <w:r w:rsidRPr="00772F2E">
        <w:rPr>
          <w:rFonts w:ascii="Times New Roman" w:eastAsia="Calibri" w:hAnsi="Times New Roman" w:cs="Times New Roman"/>
          <w:color w:val="000000" w:themeColor="text1"/>
        </w:rPr>
        <w:lastRenderedPageBreak/>
        <w:t>El contexto económico también incide en el fenómeno analizado, ya que en períodos de crisis las empresas tienden a flexibilizar sus plantillas recurriendo al empleo informal, lo que afecta especialmente a los sectores más vulnerables, incluidos los jóvenes con formación superior (Busso, 2020).</w:t>
      </w:r>
    </w:p>
    <w:p w14:paraId="7146B9FD" w14:textId="352ECD0B" w:rsidR="00312D9A" w:rsidRPr="00F565A4" w:rsidRDefault="00F565A4" w:rsidP="00772F2E">
      <w:pPr>
        <w:spacing w:line="240" w:lineRule="auto"/>
        <w:jc w:val="both"/>
        <w:rPr>
          <w:rFonts w:ascii="Times New Roman" w:eastAsia="Calibri" w:hAnsi="Times New Roman" w:cs="Times New Roman"/>
          <w:b/>
          <w:bCs/>
          <w:color w:val="000000" w:themeColor="text1"/>
          <w:lang w:val="es-AR"/>
        </w:rPr>
      </w:pPr>
      <w:r>
        <w:rPr>
          <w:rFonts w:ascii="Times New Roman" w:eastAsia="Calibri" w:hAnsi="Times New Roman" w:cs="Times New Roman"/>
          <w:b/>
          <w:bCs/>
          <w:color w:val="000000" w:themeColor="text1"/>
          <w:lang w:val="es-AR"/>
        </w:rPr>
        <w:t>Las posibilidades de acceso a empleos de “calidad”</w:t>
      </w:r>
    </w:p>
    <w:p w14:paraId="36DECA83" w14:textId="77777777" w:rsidR="00312D9A" w:rsidRDefault="00312D9A" w:rsidP="00F565A4">
      <w:pPr>
        <w:spacing w:after="0" w:line="240" w:lineRule="auto"/>
        <w:jc w:val="both"/>
        <w:rPr>
          <w:rFonts w:ascii="Times New Roman" w:hAnsi="Times New Roman" w:cs="Times New Roman"/>
        </w:rPr>
      </w:pPr>
      <w:r w:rsidRPr="00772F2E">
        <w:rPr>
          <w:rFonts w:ascii="Times New Roman" w:hAnsi="Times New Roman" w:cs="Times New Roman"/>
        </w:rPr>
        <w:t>Un abordaje necesario para profundizar en el análisis de la influencia de la formación en relación con la inserción en el mercado laboral es aquel de intentar comprender la posibilidad de las personas de acceder a un empleo “de calidad”. Busso (2020) identifica que, entre 2008 y 2017, se produjo un deterioro generalizado en el acceso al mercado laboral “de calidad” por parte de los jóvenes, incluyendo a aquellos que cursan estudios de nivel superior. Dentro de este grupo, las desigualdades sociales se agudizaron: mientras los estudiantes provenientes de sectores con mayores recursos incrementaron su participación en la población económicamente activa, los jóvenes de sectores populares tendieron a quedar fuera del mercado laboral. La inactividad y las barreras para acceder a empleos protegidos se convierten así en factores centrales para comprender cómo las condiciones de origen continúan influyendo en las trayectorias laborales de los jóvenes, incluso cuando logran acceder a niveles educativos más altos.</w:t>
      </w:r>
    </w:p>
    <w:p w14:paraId="61C39F63" w14:textId="77777777" w:rsidR="00F565A4" w:rsidRPr="00772F2E" w:rsidRDefault="00F565A4" w:rsidP="00F565A4">
      <w:pPr>
        <w:spacing w:after="0" w:line="240" w:lineRule="auto"/>
        <w:jc w:val="both"/>
        <w:rPr>
          <w:rFonts w:ascii="Times New Roman" w:hAnsi="Times New Roman" w:cs="Times New Roman"/>
        </w:rPr>
      </w:pPr>
    </w:p>
    <w:p w14:paraId="2BF4AA11" w14:textId="4BC4119D" w:rsidR="00F565A4" w:rsidRDefault="00312D9A" w:rsidP="00F565A4">
      <w:pPr>
        <w:spacing w:after="0" w:line="240" w:lineRule="auto"/>
        <w:jc w:val="both"/>
        <w:rPr>
          <w:rFonts w:ascii="Times New Roman" w:hAnsi="Times New Roman" w:cs="Times New Roman"/>
        </w:rPr>
      </w:pPr>
      <w:r w:rsidRPr="00772F2E">
        <w:rPr>
          <w:rFonts w:ascii="Times New Roman" w:hAnsi="Times New Roman" w:cs="Times New Roman"/>
        </w:rPr>
        <w:t xml:space="preserve">Por su parte, Bausa y Jara (2023) señalan que hace tiempo que no se observa un crecimiento estable y prolongado con pleno empleo de manera sostenible en la economía argentina. Producto de esta situación, se viene dando un deterioro estructural en lo que respecta a capacidades de desarrollo humano. </w:t>
      </w:r>
      <w:r w:rsidR="005871C2">
        <w:rPr>
          <w:rFonts w:ascii="Times New Roman" w:hAnsi="Times New Roman" w:cs="Times New Roman"/>
        </w:rPr>
        <w:t>En su estudio</w:t>
      </w:r>
      <w:r w:rsidRPr="00772F2E">
        <w:rPr>
          <w:rFonts w:ascii="Times New Roman" w:hAnsi="Times New Roman" w:cs="Times New Roman"/>
        </w:rPr>
        <w:t xml:space="preserve"> desarrollan que la relación entre </w:t>
      </w:r>
      <w:proofErr w:type="gramStart"/>
      <w:r w:rsidRPr="00772F2E">
        <w:rPr>
          <w:rFonts w:ascii="Times New Roman" w:hAnsi="Times New Roman" w:cs="Times New Roman"/>
        </w:rPr>
        <w:t>mayor educación y mayor calidad</w:t>
      </w:r>
      <w:proofErr w:type="gramEnd"/>
      <w:r w:rsidRPr="00772F2E">
        <w:rPr>
          <w:rFonts w:ascii="Times New Roman" w:hAnsi="Times New Roman" w:cs="Times New Roman"/>
        </w:rPr>
        <w:t xml:space="preserve"> laboral se encuentra afectada por la fuerte heterogeneidad productiva-laboral a nivel sectorial (sector público, sector privado formal y sector privado micro informal). De esta forma, el sector en el que se inserten los trabajadores no solo afecta la correlación positiva entre educación y calidad del empleo, sino también la eventual convergencia en materia de remuneraciones laborales.</w:t>
      </w:r>
      <w:r w:rsidR="005871C2">
        <w:rPr>
          <w:rFonts w:ascii="Times New Roman" w:hAnsi="Times New Roman" w:cs="Times New Roman"/>
        </w:rPr>
        <w:t xml:space="preserve"> A su vez</w:t>
      </w:r>
      <w:r w:rsidRPr="00772F2E">
        <w:rPr>
          <w:rFonts w:ascii="Times New Roman" w:hAnsi="Times New Roman" w:cs="Times New Roman"/>
        </w:rPr>
        <w:t>, entienden que el capital educativo tiene mayor influencia en el acceso a un empleo de calidad y en el ingreso laboral en los sectores más dinámicos del mercado laboral, como el sector público y el sector privado formal. La causa principal de esto es que estos sectores deben atenerse a marcos regulatorios laborales preestablecidos y relaciones laborales institucionalizadas.</w:t>
      </w:r>
    </w:p>
    <w:p w14:paraId="31B8A665" w14:textId="77777777" w:rsidR="00F565A4" w:rsidRDefault="00F565A4" w:rsidP="00F565A4">
      <w:pPr>
        <w:spacing w:after="0" w:line="240" w:lineRule="auto"/>
        <w:jc w:val="both"/>
        <w:rPr>
          <w:rFonts w:ascii="Times New Roman" w:hAnsi="Times New Roman" w:cs="Times New Roman"/>
        </w:rPr>
      </w:pPr>
    </w:p>
    <w:p w14:paraId="10DA8F30" w14:textId="642D1CD9" w:rsidR="00312D9A" w:rsidRPr="00772F2E" w:rsidRDefault="00312D9A" w:rsidP="00F565A4">
      <w:pPr>
        <w:spacing w:after="0" w:line="240" w:lineRule="auto"/>
        <w:jc w:val="both"/>
        <w:rPr>
          <w:rFonts w:ascii="Times New Roman" w:eastAsia="Calibri" w:hAnsi="Times New Roman" w:cs="Times New Roman"/>
          <w:color w:val="000000" w:themeColor="text1"/>
          <w:lang w:val="es-AR"/>
        </w:rPr>
      </w:pPr>
      <w:r w:rsidRPr="00772F2E">
        <w:rPr>
          <w:rFonts w:ascii="Times New Roman" w:eastAsia="Calibri" w:hAnsi="Times New Roman" w:cs="Times New Roman"/>
          <w:color w:val="000000" w:themeColor="text1"/>
          <w:lang w:val="es-AR"/>
        </w:rPr>
        <w:t xml:space="preserve">Es interesante analizar el impacto del nivel educativo tanto en las condiciones de acceso al mercado laboral como en la calidad del empleo. Para cuantificar las situaciones de vulnerabilidad asociadas a la desprotección social y la precariedad laboral, se utilizan como indicadores los índices de trabajo no registrado y de cuentapropismo. En los datos de la EPH se observa una clara correlación entre el nivel educativo y la inserción laboral, en particular, una disminución del trabajo no registrado y del cuentapropismo a medida que se alcanzan niveles más altos de estudios universitarios. Sin embargo, se observan diferencias entre quienes aún se encuentran cursando estudios y quienes ya los han finalizado. Tal como se muestra en el cuadro 5, para el año 2017, dentro del conjunto de jóvenes que asisten a la educación superior, el 47% contaban un empleo no registrado, mientras que esa cifra descendía al 31% entre quienes no se encontraban estudiando. Este </w:t>
      </w:r>
      <w:r w:rsidRPr="00772F2E">
        <w:rPr>
          <w:rFonts w:ascii="Times New Roman" w:eastAsia="Calibri" w:hAnsi="Times New Roman" w:cs="Times New Roman"/>
          <w:color w:val="000000" w:themeColor="text1"/>
          <w:lang w:val="es-AR"/>
        </w:rPr>
        <w:lastRenderedPageBreak/>
        <w:t>hecho no necesariamente es evaluado críticamente por estos trabajadores, quienes en muchos casos valoran la flexibilidad como una forma de compatibilizar las exigencias horarias del estudio con el trabajo, aunque sea en detrimento de sus derechos laborales (</w:t>
      </w:r>
      <w:proofErr w:type="spellStart"/>
      <w:r w:rsidRPr="00772F2E">
        <w:rPr>
          <w:rFonts w:ascii="Times New Roman" w:eastAsia="Calibri" w:hAnsi="Times New Roman" w:cs="Times New Roman"/>
          <w:color w:val="000000" w:themeColor="text1"/>
          <w:lang w:val="es-AR"/>
        </w:rPr>
        <w:t>Adamini</w:t>
      </w:r>
      <w:proofErr w:type="spellEnd"/>
      <w:r w:rsidRPr="00772F2E">
        <w:rPr>
          <w:rFonts w:ascii="Times New Roman" w:eastAsia="Calibri" w:hAnsi="Times New Roman" w:cs="Times New Roman"/>
          <w:color w:val="000000" w:themeColor="text1"/>
          <w:lang w:val="es-AR"/>
        </w:rPr>
        <w:t>, 2017).</w:t>
      </w:r>
    </w:p>
    <w:p w14:paraId="2BB3D55E" w14:textId="77777777" w:rsidR="00312D9A" w:rsidRPr="00772F2E" w:rsidRDefault="00312D9A" w:rsidP="00772F2E">
      <w:pPr>
        <w:spacing w:line="240" w:lineRule="auto"/>
        <w:jc w:val="both"/>
        <w:rPr>
          <w:rFonts w:ascii="Times New Roman" w:eastAsia="Calibri" w:hAnsi="Times New Roman" w:cs="Times New Roman"/>
          <w:color w:val="000000" w:themeColor="text1"/>
          <w:lang w:val="es-AR"/>
        </w:rPr>
      </w:pPr>
    </w:p>
    <w:p w14:paraId="2D0D4214" w14:textId="77777777" w:rsidR="00312D9A" w:rsidRPr="00772F2E" w:rsidRDefault="00312D9A" w:rsidP="00772F2E">
      <w:pPr>
        <w:spacing w:line="240" w:lineRule="auto"/>
        <w:jc w:val="both"/>
        <w:rPr>
          <w:rFonts w:ascii="Times New Roman" w:eastAsia="Calibri" w:hAnsi="Times New Roman" w:cs="Times New Roman"/>
          <w:color w:val="000000" w:themeColor="text1"/>
          <w:lang w:val="es-AR"/>
        </w:rPr>
      </w:pPr>
      <w:r w:rsidRPr="00772F2E">
        <w:rPr>
          <w:rFonts w:ascii="Times New Roman" w:eastAsia="Calibri" w:hAnsi="Times New Roman" w:cs="Times New Roman"/>
          <w:color w:val="000000" w:themeColor="text1"/>
          <w:lang w:val="es-AR"/>
        </w:rPr>
        <w:t>Al extender este análisis a los años 2016, 2020 y 2024, respectivamente, se observa en todos los casos que los niveles de empleo precario y de cuentapropismo son mayores a la media en las personas con nivel educativo secundario incompleto o inferior. Asimismo, y con excepción de 2020, las personas con nivel universitario completo presentan mejores indicadores de empleo formal.</w:t>
      </w:r>
    </w:p>
    <w:p w14:paraId="70ACC551" w14:textId="77777777" w:rsidR="00312D9A" w:rsidRPr="00772F2E" w:rsidRDefault="00312D9A" w:rsidP="00772F2E">
      <w:pPr>
        <w:spacing w:line="240" w:lineRule="auto"/>
        <w:jc w:val="both"/>
        <w:rPr>
          <w:rFonts w:ascii="Times New Roman" w:eastAsia="Calibri" w:hAnsi="Times New Roman" w:cs="Times New Roman"/>
          <w:i/>
          <w:iCs/>
          <w:color w:val="000000" w:themeColor="text1"/>
          <w:lang w:val="es-AR"/>
        </w:rPr>
      </w:pPr>
      <w:r w:rsidRPr="00772F2E">
        <w:rPr>
          <w:rFonts w:ascii="Times New Roman" w:eastAsia="Calibri" w:hAnsi="Times New Roman" w:cs="Times New Roman"/>
          <w:i/>
          <w:iCs/>
          <w:color w:val="000000" w:themeColor="text1"/>
          <w:lang w:val="es-AR"/>
        </w:rPr>
        <w:t>Cuadro 6: Tasa de Empleo no registrado y de cuentapropismo de jóvenes de 18 a 29 años, según nivel educativo. Población urbana. 2016 - 2020 - 2024. Valores porcentuales.</w:t>
      </w:r>
    </w:p>
    <w:tbl>
      <w:tblPr>
        <w:tblStyle w:val="Tablaconcuadrcula1clara"/>
        <w:tblW w:w="5000" w:type="pct"/>
        <w:tblLayout w:type="fixed"/>
        <w:tblLook w:val="04A0" w:firstRow="1" w:lastRow="0" w:firstColumn="1" w:lastColumn="0" w:noHBand="0" w:noVBand="1"/>
      </w:tblPr>
      <w:tblGrid>
        <w:gridCol w:w="2184"/>
        <w:gridCol w:w="1051"/>
        <w:gridCol w:w="1052"/>
        <w:gridCol w:w="1052"/>
        <w:gridCol w:w="1053"/>
        <w:gridCol w:w="1052"/>
        <w:gridCol w:w="1050"/>
      </w:tblGrid>
      <w:tr w:rsidR="00312D9A" w:rsidRPr="00772F2E" w14:paraId="5F9B0812" w14:textId="77777777" w:rsidTr="00F4458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86" w:type="pct"/>
            <w:noWrap/>
            <w:hideMark/>
          </w:tcPr>
          <w:p w14:paraId="2F1A9C47" w14:textId="77777777" w:rsidR="00312D9A" w:rsidRPr="00772F2E" w:rsidRDefault="00312D9A" w:rsidP="00772F2E">
            <w:pPr>
              <w:rPr>
                <w:rFonts w:ascii="Times New Roman" w:eastAsia="Times New Roman" w:hAnsi="Times New Roman" w:cs="Times New Roman"/>
                <w:lang w:val="es-AR" w:eastAsia="es-AR"/>
              </w:rPr>
            </w:pPr>
            <w:r w:rsidRPr="00772F2E">
              <w:rPr>
                <w:rFonts w:ascii="Times New Roman" w:eastAsia="Times New Roman" w:hAnsi="Times New Roman" w:cs="Times New Roman"/>
                <w:color w:val="000000"/>
                <w:lang w:val="es-AR" w:eastAsia="es-AR"/>
              </w:rPr>
              <w:t>Nivel educativo</w:t>
            </w:r>
          </w:p>
        </w:tc>
        <w:tc>
          <w:tcPr>
            <w:tcW w:w="1237" w:type="pct"/>
            <w:gridSpan w:val="2"/>
            <w:noWrap/>
            <w:hideMark/>
          </w:tcPr>
          <w:p w14:paraId="2AEA2058" w14:textId="77777777" w:rsidR="00312D9A" w:rsidRPr="00772F2E" w:rsidRDefault="00312D9A" w:rsidP="00772F2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val="es-AR" w:eastAsia="es-AR"/>
              </w:rPr>
            </w:pPr>
            <w:r w:rsidRPr="00772F2E">
              <w:rPr>
                <w:rFonts w:ascii="Times New Roman" w:eastAsia="Times New Roman" w:hAnsi="Times New Roman" w:cs="Times New Roman"/>
                <w:color w:val="000000"/>
                <w:lang w:val="es-AR" w:eastAsia="es-AR"/>
              </w:rPr>
              <w:t>2016</w:t>
            </w:r>
          </w:p>
          <w:p w14:paraId="72E78D8F" w14:textId="77777777" w:rsidR="00312D9A" w:rsidRPr="00772F2E" w:rsidRDefault="00312D9A" w:rsidP="00772F2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p>
        </w:tc>
        <w:tc>
          <w:tcPr>
            <w:tcW w:w="1239" w:type="pct"/>
            <w:gridSpan w:val="2"/>
            <w:noWrap/>
            <w:hideMark/>
          </w:tcPr>
          <w:p w14:paraId="382E8CA1" w14:textId="77777777" w:rsidR="00312D9A" w:rsidRPr="00772F2E" w:rsidRDefault="00312D9A" w:rsidP="00772F2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2020</w:t>
            </w:r>
          </w:p>
        </w:tc>
        <w:tc>
          <w:tcPr>
            <w:tcW w:w="1239" w:type="pct"/>
            <w:gridSpan w:val="2"/>
            <w:noWrap/>
            <w:hideMark/>
          </w:tcPr>
          <w:p w14:paraId="6CD5C2B2" w14:textId="77777777" w:rsidR="00312D9A" w:rsidRPr="00772F2E" w:rsidRDefault="00312D9A" w:rsidP="00772F2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2024</w:t>
            </w:r>
          </w:p>
        </w:tc>
      </w:tr>
      <w:tr w:rsidR="00312D9A" w:rsidRPr="00772F2E" w14:paraId="3F729722" w14:textId="77777777" w:rsidTr="00F4458B">
        <w:trPr>
          <w:trHeight w:val="300"/>
        </w:trPr>
        <w:tc>
          <w:tcPr>
            <w:cnfStyle w:val="001000000000" w:firstRow="0" w:lastRow="0" w:firstColumn="1" w:lastColumn="0" w:oddVBand="0" w:evenVBand="0" w:oddHBand="0" w:evenHBand="0" w:firstRowFirstColumn="0" w:firstRowLastColumn="0" w:lastRowFirstColumn="0" w:lastRowLastColumn="0"/>
            <w:tcW w:w="1286" w:type="pct"/>
            <w:noWrap/>
          </w:tcPr>
          <w:p w14:paraId="59917979" w14:textId="77777777" w:rsidR="00312D9A" w:rsidRPr="00772F2E" w:rsidRDefault="00312D9A" w:rsidP="00772F2E">
            <w:pPr>
              <w:rPr>
                <w:rFonts w:ascii="Times New Roman" w:eastAsia="Times New Roman" w:hAnsi="Times New Roman" w:cs="Times New Roman"/>
                <w:lang w:val="es-AR" w:eastAsia="es-AR"/>
              </w:rPr>
            </w:pPr>
          </w:p>
        </w:tc>
        <w:tc>
          <w:tcPr>
            <w:tcW w:w="619" w:type="pct"/>
            <w:noWrap/>
          </w:tcPr>
          <w:p w14:paraId="3CEDF61E"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es-AR" w:eastAsia="es-AR"/>
              </w:rPr>
            </w:pPr>
            <w:r w:rsidRPr="00772F2E">
              <w:rPr>
                <w:rFonts w:ascii="Times New Roman" w:eastAsia="Times New Roman" w:hAnsi="Times New Roman" w:cs="Times New Roman"/>
                <w:b/>
                <w:bCs/>
                <w:color w:val="000000"/>
                <w:lang w:val="es-AR" w:eastAsia="es-AR"/>
              </w:rPr>
              <w:t>NR</w:t>
            </w:r>
          </w:p>
        </w:tc>
        <w:tc>
          <w:tcPr>
            <w:tcW w:w="619" w:type="pct"/>
          </w:tcPr>
          <w:p w14:paraId="1007AA9A"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es-AR" w:eastAsia="es-AR"/>
              </w:rPr>
            </w:pPr>
            <w:r w:rsidRPr="00772F2E">
              <w:rPr>
                <w:rFonts w:ascii="Times New Roman" w:eastAsia="Times New Roman" w:hAnsi="Times New Roman" w:cs="Times New Roman"/>
                <w:b/>
                <w:bCs/>
                <w:color w:val="000000"/>
                <w:lang w:val="es-AR" w:eastAsia="es-AR"/>
              </w:rPr>
              <w:t>CP</w:t>
            </w:r>
          </w:p>
        </w:tc>
        <w:tc>
          <w:tcPr>
            <w:tcW w:w="619" w:type="pct"/>
            <w:noWrap/>
          </w:tcPr>
          <w:p w14:paraId="11289749"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es-AR" w:eastAsia="es-AR"/>
              </w:rPr>
            </w:pPr>
            <w:r w:rsidRPr="00772F2E">
              <w:rPr>
                <w:rFonts w:ascii="Times New Roman" w:eastAsia="Times New Roman" w:hAnsi="Times New Roman" w:cs="Times New Roman"/>
                <w:b/>
                <w:bCs/>
                <w:color w:val="000000"/>
                <w:lang w:val="es-AR" w:eastAsia="es-AR"/>
              </w:rPr>
              <w:t>NR</w:t>
            </w:r>
          </w:p>
        </w:tc>
        <w:tc>
          <w:tcPr>
            <w:tcW w:w="619" w:type="pct"/>
          </w:tcPr>
          <w:p w14:paraId="5D408DFB"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es-AR" w:eastAsia="es-AR"/>
              </w:rPr>
            </w:pPr>
            <w:r w:rsidRPr="00772F2E">
              <w:rPr>
                <w:rFonts w:ascii="Times New Roman" w:eastAsia="Times New Roman" w:hAnsi="Times New Roman" w:cs="Times New Roman"/>
                <w:b/>
                <w:bCs/>
                <w:color w:val="000000"/>
                <w:lang w:val="es-AR" w:eastAsia="es-AR"/>
              </w:rPr>
              <w:t>CP</w:t>
            </w:r>
          </w:p>
        </w:tc>
        <w:tc>
          <w:tcPr>
            <w:tcW w:w="619" w:type="pct"/>
            <w:noWrap/>
          </w:tcPr>
          <w:p w14:paraId="1093B472"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es-AR" w:eastAsia="es-AR"/>
              </w:rPr>
            </w:pPr>
            <w:r w:rsidRPr="00772F2E">
              <w:rPr>
                <w:rFonts w:ascii="Times New Roman" w:eastAsia="Times New Roman" w:hAnsi="Times New Roman" w:cs="Times New Roman"/>
                <w:b/>
                <w:bCs/>
                <w:color w:val="000000"/>
                <w:lang w:val="es-AR" w:eastAsia="es-AR"/>
              </w:rPr>
              <w:t>NR</w:t>
            </w:r>
          </w:p>
        </w:tc>
        <w:tc>
          <w:tcPr>
            <w:tcW w:w="619" w:type="pct"/>
            <w:noWrap/>
          </w:tcPr>
          <w:p w14:paraId="0D7E403A"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es-AR" w:eastAsia="es-AR"/>
              </w:rPr>
            </w:pPr>
            <w:r w:rsidRPr="00772F2E">
              <w:rPr>
                <w:rFonts w:ascii="Times New Roman" w:eastAsia="Times New Roman" w:hAnsi="Times New Roman" w:cs="Times New Roman"/>
                <w:b/>
                <w:bCs/>
                <w:color w:val="000000"/>
                <w:lang w:val="es-AR" w:eastAsia="es-AR"/>
              </w:rPr>
              <w:t>CP</w:t>
            </w:r>
          </w:p>
        </w:tc>
      </w:tr>
      <w:tr w:rsidR="00312D9A" w:rsidRPr="00772F2E" w14:paraId="2FB1B2AA" w14:textId="77777777" w:rsidTr="00F4458B">
        <w:trPr>
          <w:trHeight w:val="300"/>
        </w:trPr>
        <w:tc>
          <w:tcPr>
            <w:cnfStyle w:val="001000000000" w:firstRow="0" w:lastRow="0" w:firstColumn="1" w:lastColumn="0" w:oddVBand="0" w:evenVBand="0" w:oddHBand="0" w:evenHBand="0" w:firstRowFirstColumn="0" w:firstRowLastColumn="0" w:lastRowFirstColumn="0" w:lastRowLastColumn="0"/>
            <w:tcW w:w="1286" w:type="pct"/>
            <w:noWrap/>
            <w:hideMark/>
          </w:tcPr>
          <w:p w14:paraId="2A1CD7AF" w14:textId="77777777" w:rsidR="00312D9A" w:rsidRPr="00772F2E" w:rsidRDefault="00312D9A" w:rsidP="00772F2E">
            <w:pPr>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Hasta secundaria incompleta</w:t>
            </w:r>
          </w:p>
        </w:tc>
        <w:tc>
          <w:tcPr>
            <w:tcW w:w="619" w:type="pct"/>
            <w:noWrap/>
            <w:hideMark/>
          </w:tcPr>
          <w:p w14:paraId="2F8B105E"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47%</w:t>
            </w:r>
          </w:p>
        </w:tc>
        <w:tc>
          <w:tcPr>
            <w:tcW w:w="619" w:type="pct"/>
          </w:tcPr>
          <w:p w14:paraId="04FFBE0B"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15%</w:t>
            </w:r>
          </w:p>
        </w:tc>
        <w:tc>
          <w:tcPr>
            <w:tcW w:w="619" w:type="pct"/>
            <w:noWrap/>
            <w:hideMark/>
          </w:tcPr>
          <w:p w14:paraId="622A61F1"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38%</w:t>
            </w:r>
          </w:p>
        </w:tc>
        <w:tc>
          <w:tcPr>
            <w:tcW w:w="619" w:type="pct"/>
          </w:tcPr>
          <w:p w14:paraId="0EFC525D"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25%</w:t>
            </w:r>
          </w:p>
        </w:tc>
        <w:tc>
          <w:tcPr>
            <w:tcW w:w="619" w:type="pct"/>
            <w:noWrap/>
            <w:hideMark/>
          </w:tcPr>
          <w:p w14:paraId="00F07E46"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48%</w:t>
            </w:r>
          </w:p>
        </w:tc>
        <w:tc>
          <w:tcPr>
            <w:tcW w:w="619" w:type="pct"/>
            <w:noWrap/>
            <w:hideMark/>
          </w:tcPr>
          <w:p w14:paraId="2528F7A8"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23%</w:t>
            </w:r>
          </w:p>
        </w:tc>
      </w:tr>
      <w:tr w:rsidR="00312D9A" w:rsidRPr="00772F2E" w14:paraId="1BF9AEF5" w14:textId="77777777" w:rsidTr="00F4458B">
        <w:trPr>
          <w:trHeight w:val="300"/>
        </w:trPr>
        <w:tc>
          <w:tcPr>
            <w:cnfStyle w:val="001000000000" w:firstRow="0" w:lastRow="0" w:firstColumn="1" w:lastColumn="0" w:oddVBand="0" w:evenVBand="0" w:oddHBand="0" w:evenHBand="0" w:firstRowFirstColumn="0" w:firstRowLastColumn="0" w:lastRowFirstColumn="0" w:lastRowLastColumn="0"/>
            <w:tcW w:w="1286" w:type="pct"/>
            <w:noWrap/>
            <w:hideMark/>
          </w:tcPr>
          <w:p w14:paraId="4F1FDF70" w14:textId="77777777" w:rsidR="00312D9A" w:rsidRPr="00772F2E" w:rsidRDefault="00312D9A" w:rsidP="00772F2E">
            <w:pPr>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Secundaria completa</w:t>
            </w:r>
          </w:p>
        </w:tc>
        <w:tc>
          <w:tcPr>
            <w:tcW w:w="619" w:type="pct"/>
            <w:noWrap/>
            <w:hideMark/>
          </w:tcPr>
          <w:p w14:paraId="14CBAC4F"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31%</w:t>
            </w:r>
          </w:p>
        </w:tc>
        <w:tc>
          <w:tcPr>
            <w:tcW w:w="619" w:type="pct"/>
          </w:tcPr>
          <w:p w14:paraId="649E21F9"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11%</w:t>
            </w:r>
          </w:p>
        </w:tc>
        <w:tc>
          <w:tcPr>
            <w:tcW w:w="619" w:type="pct"/>
            <w:noWrap/>
            <w:hideMark/>
          </w:tcPr>
          <w:p w14:paraId="218A2E0B"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34%</w:t>
            </w:r>
          </w:p>
        </w:tc>
        <w:tc>
          <w:tcPr>
            <w:tcW w:w="619" w:type="pct"/>
          </w:tcPr>
          <w:p w14:paraId="4D1514A4"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19%</w:t>
            </w:r>
          </w:p>
        </w:tc>
        <w:tc>
          <w:tcPr>
            <w:tcW w:w="619" w:type="pct"/>
            <w:noWrap/>
            <w:hideMark/>
          </w:tcPr>
          <w:p w14:paraId="3CC5BDB5"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40%</w:t>
            </w:r>
          </w:p>
        </w:tc>
        <w:tc>
          <w:tcPr>
            <w:tcW w:w="619" w:type="pct"/>
            <w:noWrap/>
            <w:hideMark/>
          </w:tcPr>
          <w:p w14:paraId="090B9256"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17%</w:t>
            </w:r>
          </w:p>
        </w:tc>
      </w:tr>
      <w:tr w:rsidR="00312D9A" w:rsidRPr="00772F2E" w14:paraId="731CA4AB" w14:textId="77777777" w:rsidTr="00F4458B">
        <w:trPr>
          <w:trHeight w:val="300"/>
        </w:trPr>
        <w:tc>
          <w:tcPr>
            <w:cnfStyle w:val="001000000000" w:firstRow="0" w:lastRow="0" w:firstColumn="1" w:lastColumn="0" w:oddVBand="0" w:evenVBand="0" w:oddHBand="0" w:evenHBand="0" w:firstRowFirstColumn="0" w:firstRowLastColumn="0" w:lastRowFirstColumn="0" w:lastRowLastColumn="0"/>
            <w:tcW w:w="1286" w:type="pct"/>
            <w:noWrap/>
            <w:hideMark/>
          </w:tcPr>
          <w:p w14:paraId="54B9ABF1" w14:textId="77777777" w:rsidR="00312D9A" w:rsidRPr="00772F2E" w:rsidRDefault="00312D9A" w:rsidP="00772F2E">
            <w:pPr>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Superior universitario incompleto</w:t>
            </w:r>
          </w:p>
        </w:tc>
        <w:tc>
          <w:tcPr>
            <w:tcW w:w="619" w:type="pct"/>
            <w:noWrap/>
            <w:hideMark/>
          </w:tcPr>
          <w:p w14:paraId="72062C91"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32%</w:t>
            </w:r>
          </w:p>
        </w:tc>
        <w:tc>
          <w:tcPr>
            <w:tcW w:w="619" w:type="pct"/>
          </w:tcPr>
          <w:p w14:paraId="71E8A5B8"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11%</w:t>
            </w:r>
          </w:p>
        </w:tc>
        <w:tc>
          <w:tcPr>
            <w:tcW w:w="619" w:type="pct"/>
            <w:noWrap/>
            <w:hideMark/>
          </w:tcPr>
          <w:p w14:paraId="052A652E"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25%</w:t>
            </w:r>
          </w:p>
        </w:tc>
        <w:tc>
          <w:tcPr>
            <w:tcW w:w="619" w:type="pct"/>
          </w:tcPr>
          <w:p w14:paraId="46784763"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28%</w:t>
            </w:r>
          </w:p>
        </w:tc>
        <w:tc>
          <w:tcPr>
            <w:tcW w:w="619" w:type="pct"/>
            <w:noWrap/>
            <w:hideMark/>
          </w:tcPr>
          <w:p w14:paraId="0F578B37"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34%</w:t>
            </w:r>
          </w:p>
        </w:tc>
        <w:tc>
          <w:tcPr>
            <w:tcW w:w="619" w:type="pct"/>
            <w:noWrap/>
            <w:hideMark/>
          </w:tcPr>
          <w:p w14:paraId="2C848630"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18%</w:t>
            </w:r>
          </w:p>
        </w:tc>
      </w:tr>
      <w:tr w:rsidR="00312D9A" w:rsidRPr="00772F2E" w14:paraId="616817D4" w14:textId="77777777" w:rsidTr="00F4458B">
        <w:trPr>
          <w:trHeight w:val="300"/>
        </w:trPr>
        <w:tc>
          <w:tcPr>
            <w:cnfStyle w:val="001000000000" w:firstRow="0" w:lastRow="0" w:firstColumn="1" w:lastColumn="0" w:oddVBand="0" w:evenVBand="0" w:oddHBand="0" w:evenHBand="0" w:firstRowFirstColumn="0" w:firstRowLastColumn="0" w:lastRowFirstColumn="0" w:lastRowLastColumn="0"/>
            <w:tcW w:w="1286" w:type="pct"/>
            <w:noWrap/>
            <w:hideMark/>
          </w:tcPr>
          <w:p w14:paraId="2CE62E08" w14:textId="77777777" w:rsidR="00312D9A" w:rsidRPr="00772F2E" w:rsidRDefault="00312D9A" w:rsidP="00772F2E">
            <w:pPr>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Superior universitario completo</w:t>
            </w:r>
          </w:p>
        </w:tc>
        <w:tc>
          <w:tcPr>
            <w:tcW w:w="619" w:type="pct"/>
            <w:noWrap/>
            <w:hideMark/>
          </w:tcPr>
          <w:p w14:paraId="1580B0C4"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21%</w:t>
            </w:r>
          </w:p>
        </w:tc>
        <w:tc>
          <w:tcPr>
            <w:tcW w:w="619" w:type="pct"/>
          </w:tcPr>
          <w:p w14:paraId="050A0A1A"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9%</w:t>
            </w:r>
          </w:p>
        </w:tc>
        <w:tc>
          <w:tcPr>
            <w:tcW w:w="619" w:type="pct"/>
            <w:noWrap/>
            <w:hideMark/>
          </w:tcPr>
          <w:p w14:paraId="6D323214"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28%</w:t>
            </w:r>
          </w:p>
        </w:tc>
        <w:tc>
          <w:tcPr>
            <w:tcW w:w="619" w:type="pct"/>
          </w:tcPr>
          <w:p w14:paraId="39B810AB"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13%</w:t>
            </w:r>
          </w:p>
        </w:tc>
        <w:tc>
          <w:tcPr>
            <w:tcW w:w="619" w:type="pct"/>
            <w:noWrap/>
            <w:hideMark/>
          </w:tcPr>
          <w:p w14:paraId="65643D12"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23%</w:t>
            </w:r>
          </w:p>
        </w:tc>
        <w:tc>
          <w:tcPr>
            <w:tcW w:w="619" w:type="pct"/>
            <w:noWrap/>
            <w:hideMark/>
          </w:tcPr>
          <w:p w14:paraId="5187CA48"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14%</w:t>
            </w:r>
          </w:p>
        </w:tc>
      </w:tr>
      <w:tr w:rsidR="00312D9A" w:rsidRPr="00772F2E" w14:paraId="618EF8CE" w14:textId="77777777" w:rsidTr="00F4458B">
        <w:trPr>
          <w:trHeight w:val="300"/>
        </w:trPr>
        <w:tc>
          <w:tcPr>
            <w:cnfStyle w:val="001000000000" w:firstRow="0" w:lastRow="0" w:firstColumn="1" w:lastColumn="0" w:oddVBand="0" w:evenVBand="0" w:oddHBand="0" w:evenHBand="0" w:firstRowFirstColumn="0" w:firstRowLastColumn="0" w:lastRowFirstColumn="0" w:lastRowLastColumn="0"/>
            <w:tcW w:w="1286" w:type="pct"/>
            <w:noWrap/>
            <w:hideMark/>
          </w:tcPr>
          <w:p w14:paraId="7166FA87" w14:textId="77777777" w:rsidR="00312D9A" w:rsidRPr="00772F2E" w:rsidRDefault="00312D9A" w:rsidP="00772F2E">
            <w:pPr>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Total</w:t>
            </w:r>
          </w:p>
        </w:tc>
        <w:tc>
          <w:tcPr>
            <w:tcW w:w="619" w:type="pct"/>
            <w:noWrap/>
            <w:hideMark/>
          </w:tcPr>
          <w:p w14:paraId="16A5F712"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36%</w:t>
            </w:r>
          </w:p>
        </w:tc>
        <w:tc>
          <w:tcPr>
            <w:tcW w:w="619" w:type="pct"/>
          </w:tcPr>
          <w:p w14:paraId="780421E9"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12%</w:t>
            </w:r>
          </w:p>
        </w:tc>
        <w:tc>
          <w:tcPr>
            <w:tcW w:w="619" w:type="pct"/>
            <w:noWrap/>
            <w:hideMark/>
          </w:tcPr>
          <w:p w14:paraId="5195E693"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32%</w:t>
            </w:r>
          </w:p>
        </w:tc>
        <w:tc>
          <w:tcPr>
            <w:tcW w:w="619" w:type="pct"/>
          </w:tcPr>
          <w:p w14:paraId="7EBB63D9"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22%</w:t>
            </w:r>
          </w:p>
        </w:tc>
        <w:tc>
          <w:tcPr>
            <w:tcW w:w="619" w:type="pct"/>
            <w:noWrap/>
            <w:hideMark/>
          </w:tcPr>
          <w:p w14:paraId="75F282DA"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39%</w:t>
            </w:r>
          </w:p>
        </w:tc>
        <w:tc>
          <w:tcPr>
            <w:tcW w:w="619" w:type="pct"/>
            <w:noWrap/>
            <w:hideMark/>
          </w:tcPr>
          <w:p w14:paraId="7392CB52"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AR" w:eastAsia="es-AR"/>
              </w:rPr>
            </w:pPr>
            <w:r w:rsidRPr="00772F2E">
              <w:rPr>
                <w:rFonts w:ascii="Times New Roman" w:eastAsia="Times New Roman" w:hAnsi="Times New Roman" w:cs="Times New Roman"/>
                <w:color w:val="000000"/>
                <w:lang w:val="es-AR" w:eastAsia="es-AR"/>
              </w:rPr>
              <w:t>18%</w:t>
            </w:r>
          </w:p>
        </w:tc>
      </w:tr>
    </w:tbl>
    <w:p w14:paraId="44EBE5F4" w14:textId="77777777" w:rsidR="00312D9A" w:rsidRPr="00772F2E" w:rsidRDefault="00312D9A" w:rsidP="00772F2E">
      <w:pPr>
        <w:spacing w:line="240" w:lineRule="auto"/>
        <w:jc w:val="both"/>
        <w:rPr>
          <w:rFonts w:ascii="Times New Roman" w:eastAsia="Calibri" w:hAnsi="Times New Roman" w:cs="Times New Roman"/>
          <w:color w:val="000000" w:themeColor="text1"/>
        </w:rPr>
      </w:pPr>
      <w:r w:rsidRPr="00772F2E">
        <w:rPr>
          <w:rFonts w:ascii="Times New Roman" w:eastAsia="Calibri" w:hAnsi="Times New Roman" w:cs="Times New Roman"/>
          <w:color w:val="000000" w:themeColor="text1"/>
          <w:lang w:val="es-AR"/>
        </w:rPr>
        <w:t xml:space="preserve">Fuente: Elaboración propia a partir de procesamiento de </w:t>
      </w:r>
      <w:r w:rsidRPr="00772F2E">
        <w:rPr>
          <w:rFonts w:ascii="Times New Roman" w:eastAsia="Calibri" w:hAnsi="Times New Roman" w:cs="Times New Roman"/>
          <w:color w:val="000000" w:themeColor="text1"/>
        </w:rPr>
        <w:t>Encuesta Permanente de Hogares (EPH-INDEC).</w:t>
      </w:r>
    </w:p>
    <w:p w14:paraId="445E33BB" w14:textId="32DDCB0F" w:rsidR="00312D9A" w:rsidRPr="00772F2E" w:rsidRDefault="00057064" w:rsidP="00772F2E">
      <w:pPr>
        <w:spacing w:line="240" w:lineRule="auto"/>
        <w:jc w:val="both"/>
        <w:rPr>
          <w:rFonts w:ascii="Times New Roman" w:hAnsi="Times New Roman" w:cs="Times New Roman"/>
        </w:rPr>
      </w:pPr>
      <w:r>
        <w:rPr>
          <w:rFonts w:ascii="Times New Roman" w:eastAsia="Calibri" w:hAnsi="Times New Roman" w:cs="Times New Roman"/>
          <w:color w:val="000000" w:themeColor="text1"/>
        </w:rPr>
        <w:t xml:space="preserve">Por último, se propuso </w:t>
      </w:r>
      <w:r w:rsidR="00312D9A" w:rsidRPr="00772F2E">
        <w:rPr>
          <w:rFonts w:ascii="Times New Roman" w:hAnsi="Times New Roman" w:cs="Times New Roman"/>
        </w:rPr>
        <w:t>comparar la población general con la que alcanzó estudios superiores</w:t>
      </w:r>
      <w:r>
        <w:rPr>
          <w:rFonts w:ascii="Times New Roman" w:hAnsi="Times New Roman" w:cs="Times New Roman"/>
        </w:rPr>
        <w:t xml:space="preserve"> en términos de acceso al mercado laboral</w:t>
      </w:r>
      <w:r w:rsidR="00312D9A" w:rsidRPr="00772F2E">
        <w:rPr>
          <w:rFonts w:ascii="Times New Roman" w:hAnsi="Times New Roman" w:cs="Times New Roman"/>
        </w:rPr>
        <w:t xml:space="preserve">, se tomaron de la EPH 2024 una serie de variables que describen las condiciones laborales y de ingreso y se realizó una prueba de Χ² para determinar si existían diferencias significativas entre los porcentajes de ambos grupos. Las pruebas se realizaron sobre la población urbana total (incluyendo todos los conglomerados de la EPH) entre 18 y 64 años. </w:t>
      </w:r>
    </w:p>
    <w:p w14:paraId="1BD05942" w14:textId="77777777" w:rsidR="00057064" w:rsidRDefault="00312D9A" w:rsidP="00772F2E">
      <w:pPr>
        <w:spacing w:line="240" w:lineRule="auto"/>
        <w:jc w:val="both"/>
        <w:rPr>
          <w:rFonts w:ascii="Times New Roman" w:hAnsi="Times New Roman" w:cs="Times New Roman"/>
        </w:rPr>
      </w:pPr>
      <w:r w:rsidRPr="00772F2E">
        <w:rPr>
          <w:rFonts w:ascii="Times New Roman" w:hAnsi="Times New Roman" w:cs="Times New Roman"/>
        </w:rPr>
        <w:t>De los datos se desprende que se presentan diferencias muy significativas (</w:t>
      </w:r>
      <w:r w:rsidRPr="00772F2E">
        <w:rPr>
          <w:rFonts w:ascii="Times New Roman" w:hAnsi="Times New Roman" w:cs="Times New Roman"/>
          <w:i/>
          <w:iCs/>
        </w:rPr>
        <w:t>p-</w:t>
      </w:r>
      <w:proofErr w:type="spellStart"/>
      <w:r w:rsidRPr="00772F2E">
        <w:rPr>
          <w:rFonts w:ascii="Times New Roman" w:hAnsi="Times New Roman" w:cs="Times New Roman"/>
          <w:i/>
          <w:iCs/>
        </w:rPr>
        <w:t>value</w:t>
      </w:r>
      <w:proofErr w:type="spellEnd"/>
      <w:r w:rsidRPr="00772F2E">
        <w:rPr>
          <w:rFonts w:ascii="Times New Roman" w:hAnsi="Times New Roman" w:cs="Times New Roman"/>
        </w:rPr>
        <w:t xml:space="preserve"> muy inferior a 0,05) entre las personas que acceden a educación superior y las que no, teniendo las primeras mejores indicadores ocupacionales.</w:t>
      </w:r>
    </w:p>
    <w:p w14:paraId="7838B734" w14:textId="77777777" w:rsidR="00057064" w:rsidRDefault="00057064" w:rsidP="00057064">
      <w:pPr>
        <w:spacing w:line="240" w:lineRule="auto"/>
        <w:jc w:val="both"/>
        <w:rPr>
          <w:rFonts w:ascii="Times New Roman" w:hAnsi="Times New Roman" w:cs="Times New Roman"/>
        </w:rPr>
      </w:pPr>
      <w:r>
        <w:rPr>
          <w:rFonts w:ascii="Times New Roman" w:hAnsi="Times New Roman" w:cs="Times New Roman"/>
        </w:rPr>
        <w:t>A partir de este análisis, se identificó una m</w:t>
      </w:r>
      <w:r w:rsidR="00312D9A" w:rsidRPr="00772F2E">
        <w:rPr>
          <w:rFonts w:ascii="Times New Roman" w:hAnsi="Times New Roman" w:cs="Times New Roman"/>
        </w:rPr>
        <w:t>ayor participación de los que estudiaron en nivel superior en la población económicamente activa, con una diferencia mayor en el caso de las mujeres, aunque se da la excepción en los inactivos hombres en donde superan a aquellos sin estudios superiores.</w:t>
      </w:r>
      <w:r>
        <w:rPr>
          <w:rFonts w:ascii="Times New Roman" w:hAnsi="Times New Roman" w:cs="Times New Roman"/>
        </w:rPr>
        <w:t xml:space="preserve"> A la vez, se observaron i</w:t>
      </w:r>
      <w:r w:rsidR="00312D9A" w:rsidRPr="00772F2E">
        <w:rPr>
          <w:rFonts w:ascii="Times New Roman" w:hAnsi="Times New Roman" w:cs="Times New Roman"/>
        </w:rPr>
        <w:t xml:space="preserve">ndicadores de precariedad </w:t>
      </w:r>
      <w:r w:rsidR="00312D9A" w:rsidRPr="00772F2E">
        <w:rPr>
          <w:rFonts w:ascii="Times New Roman" w:hAnsi="Times New Roman" w:cs="Times New Roman"/>
        </w:rPr>
        <w:lastRenderedPageBreak/>
        <w:t xml:space="preserve">laboral </w:t>
      </w:r>
      <w:r>
        <w:rPr>
          <w:rFonts w:ascii="Times New Roman" w:hAnsi="Times New Roman" w:cs="Times New Roman"/>
        </w:rPr>
        <w:t>-</w:t>
      </w:r>
      <w:r w:rsidR="00312D9A" w:rsidRPr="00772F2E">
        <w:rPr>
          <w:rFonts w:ascii="Times New Roman" w:hAnsi="Times New Roman" w:cs="Times New Roman"/>
        </w:rPr>
        <w:t>como desocupación, empleo no registrado y cuentapropismo</w:t>
      </w:r>
      <w:r>
        <w:rPr>
          <w:rFonts w:ascii="Times New Roman" w:hAnsi="Times New Roman" w:cs="Times New Roman"/>
        </w:rPr>
        <w:t>-</w:t>
      </w:r>
      <w:r w:rsidR="00312D9A" w:rsidRPr="00772F2E">
        <w:rPr>
          <w:rFonts w:ascii="Times New Roman" w:hAnsi="Times New Roman" w:cs="Times New Roman"/>
        </w:rPr>
        <w:t xml:space="preserve"> menores en la población con educación superior.</w:t>
      </w:r>
    </w:p>
    <w:p w14:paraId="0A6B26BF" w14:textId="5C7AD66E" w:rsidR="00312D9A" w:rsidRPr="00772F2E" w:rsidRDefault="00057064" w:rsidP="00772F2E">
      <w:pPr>
        <w:spacing w:line="240" w:lineRule="auto"/>
        <w:jc w:val="both"/>
        <w:rPr>
          <w:rFonts w:ascii="Times New Roman" w:hAnsi="Times New Roman" w:cs="Times New Roman"/>
        </w:rPr>
      </w:pPr>
      <w:r>
        <w:rPr>
          <w:rFonts w:ascii="Times New Roman" w:hAnsi="Times New Roman" w:cs="Times New Roman"/>
        </w:rPr>
        <w:t>Complementariamente, puede destacarse que, d</w:t>
      </w:r>
      <w:r w:rsidR="00312D9A" w:rsidRPr="00772F2E">
        <w:rPr>
          <w:rFonts w:ascii="Times New Roman" w:hAnsi="Times New Roman" w:cs="Times New Roman"/>
        </w:rPr>
        <w:t>el conjunto de personas con educación superior, el 41% se encuentra en el quintil más alto de ingreso y sólo el 14% de este grupo pertenece al quintil más bajo. En contraposición, de las personas sin educación superior, sólo un 9% pertenece al grupo de mayores ingresos, mientras que el 21% de ellos posee el ingreso más bajo.</w:t>
      </w:r>
    </w:p>
    <w:p w14:paraId="4BBA10D4" w14:textId="77777777" w:rsidR="00312D9A" w:rsidRPr="00772F2E" w:rsidRDefault="00312D9A" w:rsidP="00772F2E">
      <w:pPr>
        <w:spacing w:line="240" w:lineRule="auto"/>
        <w:rPr>
          <w:rFonts w:ascii="Times New Roman" w:hAnsi="Times New Roman" w:cs="Times New Roman"/>
          <w:i/>
          <w:iCs/>
        </w:rPr>
      </w:pPr>
      <w:r w:rsidRPr="00772F2E">
        <w:rPr>
          <w:rFonts w:ascii="Times New Roman" w:hAnsi="Times New Roman" w:cs="Times New Roman"/>
          <w:i/>
          <w:iCs/>
        </w:rPr>
        <w:t>Cuadro 7: Población urbana de 18 a 64 años con y sin estudios superiores, variables seleccionadas. 2024. Diferencias porcentuales.</w:t>
      </w:r>
    </w:p>
    <w:tbl>
      <w:tblPr>
        <w:tblStyle w:val="Tablaconcuadrcula1clara"/>
        <w:tblW w:w="5000" w:type="pct"/>
        <w:tblLook w:val="04A0" w:firstRow="1" w:lastRow="0" w:firstColumn="1" w:lastColumn="0" w:noHBand="0" w:noVBand="1"/>
      </w:tblPr>
      <w:tblGrid>
        <w:gridCol w:w="2030"/>
        <w:gridCol w:w="903"/>
        <w:gridCol w:w="1176"/>
        <w:gridCol w:w="906"/>
        <w:gridCol w:w="1264"/>
        <w:gridCol w:w="1173"/>
        <w:gridCol w:w="1042"/>
      </w:tblGrid>
      <w:tr w:rsidR="00312D9A" w:rsidRPr="00772F2E" w14:paraId="1688BFB4" w14:textId="77777777" w:rsidTr="00F4458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52" w:type="pct"/>
            <w:noWrap/>
            <w:hideMark/>
          </w:tcPr>
          <w:p w14:paraId="3C246BA2" w14:textId="77777777" w:rsidR="00312D9A" w:rsidRPr="00772F2E" w:rsidRDefault="00312D9A" w:rsidP="00772F2E">
            <w:pPr>
              <w:rPr>
                <w:rFonts w:ascii="Times New Roman" w:eastAsia="Times New Roman" w:hAnsi="Times New Roman" w:cs="Times New Roman"/>
                <w:lang w:eastAsia="es-AR"/>
              </w:rPr>
            </w:pPr>
          </w:p>
        </w:tc>
        <w:tc>
          <w:tcPr>
            <w:tcW w:w="1249" w:type="pct"/>
            <w:gridSpan w:val="2"/>
            <w:noWrap/>
            <w:hideMark/>
          </w:tcPr>
          <w:p w14:paraId="5C41FECA" w14:textId="77777777" w:rsidR="00312D9A" w:rsidRPr="00772F2E" w:rsidRDefault="00312D9A" w:rsidP="00772F2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 xml:space="preserve">Sin </w:t>
            </w:r>
            <w:proofErr w:type="spellStart"/>
            <w:r w:rsidRPr="00772F2E">
              <w:rPr>
                <w:rFonts w:ascii="Times New Roman" w:eastAsia="Times New Roman" w:hAnsi="Times New Roman" w:cs="Times New Roman"/>
                <w:color w:val="000000"/>
                <w:lang w:eastAsia="es-AR"/>
              </w:rPr>
              <w:t>educ</w:t>
            </w:r>
            <w:proofErr w:type="spellEnd"/>
            <w:r w:rsidRPr="00772F2E">
              <w:rPr>
                <w:rFonts w:ascii="Times New Roman" w:eastAsia="Times New Roman" w:hAnsi="Times New Roman" w:cs="Times New Roman"/>
                <w:color w:val="000000"/>
                <w:lang w:eastAsia="es-AR"/>
              </w:rPr>
              <w:t>. superior</w:t>
            </w:r>
          </w:p>
        </w:tc>
        <w:tc>
          <w:tcPr>
            <w:tcW w:w="1242" w:type="pct"/>
            <w:gridSpan w:val="2"/>
            <w:noWrap/>
            <w:hideMark/>
          </w:tcPr>
          <w:p w14:paraId="6AD87C86" w14:textId="77777777" w:rsidR="00312D9A" w:rsidRPr="00772F2E" w:rsidRDefault="00312D9A" w:rsidP="00772F2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 xml:space="preserve">Con </w:t>
            </w:r>
            <w:proofErr w:type="spellStart"/>
            <w:r w:rsidRPr="00772F2E">
              <w:rPr>
                <w:rFonts w:ascii="Times New Roman" w:eastAsia="Times New Roman" w:hAnsi="Times New Roman" w:cs="Times New Roman"/>
                <w:color w:val="000000"/>
                <w:lang w:eastAsia="es-AR"/>
              </w:rPr>
              <w:t>educ</w:t>
            </w:r>
            <w:proofErr w:type="spellEnd"/>
            <w:r w:rsidRPr="00772F2E">
              <w:rPr>
                <w:rFonts w:ascii="Times New Roman" w:eastAsia="Times New Roman" w:hAnsi="Times New Roman" w:cs="Times New Roman"/>
                <w:color w:val="000000"/>
                <w:lang w:eastAsia="es-AR"/>
              </w:rPr>
              <w:t>. superior</w:t>
            </w:r>
          </w:p>
        </w:tc>
        <w:tc>
          <w:tcPr>
            <w:tcW w:w="1357" w:type="pct"/>
            <w:gridSpan w:val="2"/>
            <w:noWrap/>
            <w:hideMark/>
          </w:tcPr>
          <w:p w14:paraId="0E2E0529" w14:textId="77777777" w:rsidR="00312D9A" w:rsidRPr="00772F2E" w:rsidRDefault="00312D9A" w:rsidP="00772F2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AR"/>
              </w:rPr>
            </w:pPr>
          </w:p>
        </w:tc>
      </w:tr>
      <w:tr w:rsidR="00312D9A" w:rsidRPr="00772F2E" w14:paraId="0ADA8911" w14:textId="77777777" w:rsidTr="00F4458B">
        <w:trPr>
          <w:trHeight w:val="300"/>
        </w:trPr>
        <w:tc>
          <w:tcPr>
            <w:cnfStyle w:val="001000000000" w:firstRow="0" w:lastRow="0" w:firstColumn="1" w:lastColumn="0" w:oddVBand="0" w:evenVBand="0" w:oddHBand="0" w:evenHBand="0" w:firstRowFirstColumn="0" w:firstRowLastColumn="0" w:lastRowFirstColumn="0" w:lastRowLastColumn="0"/>
            <w:tcW w:w="1152" w:type="pct"/>
            <w:noWrap/>
            <w:hideMark/>
          </w:tcPr>
          <w:p w14:paraId="172F0CA6" w14:textId="77777777" w:rsidR="00312D9A" w:rsidRPr="00772F2E" w:rsidRDefault="00312D9A" w:rsidP="00772F2E">
            <w:pPr>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 </w:t>
            </w:r>
          </w:p>
        </w:tc>
        <w:tc>
          <w:tcPr>
            <w:tcW w:w="543" w:type="pct"/>
            <w:noWrap/>
            <w:hideMark/>
          </w:tcPr>
          <w:p w14:paraId="0304EEE3"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w:t>
            </w:r>
          </w:p>
        </w:tc>
        <w:tc>
          <w:tcPr>
            <w:tcW w:w="706" w:type="pct"/>
            <w:noWrap/>
            <w:hideMark/>
          </w:tcPr>
          <w:p w14:paraId="6F4D1EE1"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N</w:t>
            </w:r>
          </w:p>
        </w:tc>
        <w:tc>
          <w:tcPr>
            <w:tcW w:w="518" w:type="pct"/>
            <w:noWrap/>
            <w:hideMark/>
          </w:tcPr>
          <w:p w14:paraId="7CA68237"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w:t>
            </w:r>
          </w:p>
        </w:tc>
        <w:tc>
          <w:tcPr>
            <w:tcW w:w="724" w:type="pct"/>
            <w:noWrap/>
            <w:hideMark/>
          </w:tcPr>
          <w:p w14:paraId="1ADE7F14"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N</w:t>
            </w:r>
          </w:p>
        </w:tc>
        <w:tc>
          <w:tcPr>
            <w:tcW w:w="724" w:type="pct"/>
            <w:noWrap/>
            <w:hideMark/>
          </w:tcPr>
          <w:p w14:paraId="64BDE8EC"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Χ²</w:t>
            </w:r>
          </w:p>
        </w:tc>
        <w:tc>
          <w:tcPr>
            <w:tcW w:w="633" w:type="pct"/>
            <w:noWrap/>
            <w:hideMark/>
          </w:tcPr>
          <w:p w14:paraId="649D8A96"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p-</w:t>
            </w:r>
            <w:proofErr w:type="spellStart"/>
            <w:r w:rsidRPr="00772F2E">
              <w:rPr>
                <w:rFonts w:ascii="Times New Roman" w:eastAsia="Times New Roman" w:hAnsi="Times New Roman" w:cs="Times New Roman"/>
                <w:color w:val="000000"/>
                <w:lang w:eastAsia="es-AR"/>
              </w:rPr>
              <w:t>value</w:t>
            </w:r>
            <w:proofErr w:type="spellEnd"/>
          </w:p>
        </w:tc>
      </w:tr>
      <w:tr w:rsidR="00312D9A" w:rsidRPr="00772F2E" w14:paraId="1D90F465" w14:textId="77777777" w:rsidTr="00F4458B">
        <w:trPr>
          <w:trHeight w:val="300"/>
        </w:trPr>
        <w:tc>
          <w:tcPr>
            <w:cnfStyle w:val="001000000000" w:firstRow="0" w:lastRow="0" w:firstColumn="1" w:lastColumn="0" w:oddVBand="0" w:evenVBand="0" w:oddHBand="0" w:evenHBand="0" w:firstRowFirstColumn="0" w:firstRowLastColumn="0" w:lastRowFirstColumn="0" w:lastRowLastColumn="0"/>
            <w:tcW w:w="1152" w:type="pct"/>
            <w:noWrap/>
            <w:hideMark/>
          </w:tcPr>
          <w:p w14:paraId="7CC90C37" w14:textId="77777777" w:rsidR="00312D9A" w:rsidRPr="00772F2E" w:rsidRDefault="00312D9A" w:rsidP="00772F2E">
            <w:pPr>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Inactivos</w:t>
            </w:r>
          </w:p>
        </w:tc>
        <w:tc>
          <w:tcPr>
            <w:tcW w:w="543" w:type="pct"/>
            <w:noWrap/>
            <w:hideMark/>
          </w:tcPr>
          <w:p w14:paraId="47E69F47"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25,6%</w:t>
            </w:r>
          </w:p>
        </w:tc>
        <w:tc>
          <w:tcPr>
            <w:tcW w:w="706" w:type="pct"/>
            <w:noWrap/>
            <w:hideMark/>
          </w:tcPr>
          <w:p w14:paraId="75794606"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10836067</w:t>
            </w:r>
          </w:p>
        </w:tc>
        <w:tc>
          <w:tcPr>
            <w:tcW w:w="518" w:type="pct"/>
            <w:noWrap/>
            <w:hideMark/>
          </w:tcPr>
          <w:p w14:paraId="48804F36"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21,6%</w:t>
            </w:r>
          </w:p>
        </w:tc>
        <w:tc>
          <w:tcPr>
            <w:tcW w:w="724" w:type="pct"/>
            <w:noWrap/>
            <w:hideMark/>
          </w:tcPr>
          <w:p w14:paraId="7D6BAE58"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7163099</w:t>
            </w:r>
          </w:p>
        </w:tc>
        <w:tc>
          <w:tcPr>
            <w:tcW w:w="724" w:type="pct"/>
            <w:noWrap/>
            <w:hideMark/>
          </w:tcPr>
          <w:p w14:paraId="270C5D1B"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38140.59</w:t>
            </w:r>
          </w:p>
        </w:tc>
        <w:tc>
          <w:tcPr>
            <w:tcW w:w="633" w:type="pct"/>
            <w:noWrap/>
            <w:hideMark/>
          </w:tcPr>
          <w:p w14:paraId="205CA775"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&lt; 0.05</w:t>
            </w:r>
          </w:p>
        </w:tc>
      </w:tr>
      <w:tr w:rsidR="00312D9A" w:rsidRPr="00772F2E" w14:paraId="04477E18" w14:textId="77777777" w:rsidTr="00F4458B">
        <w:trPr>
          <w:trHeight w:val="300"/>
        </w:trPr>
        <w:tc>
          <w:tcPr>
            <w:cnfStyle w:val="001000000000" w:firstRow="0" w:lastRow="0" w:firstColumn="1" w:lastColumn="0" w:oddVBand="0" w:evenVBand="0" w:oddHBand="0" w:evenHBand="0" w:firstRowFirstColumn="0" w:firstRowLastColumn="0" w:lastRowFirstColumn="0" w:lastRowLastColumn="0"/>
            <w:tcW w:w="1152" w:type="pct"/>
            <w:noWrap/>
            <w:hideMark/>
          </w:tcPr>
          <w:p w14:paraId="5CFC85B4" w14:textId="77777777" w:rsidR="00312D9A" w:rsidRPr="00772F2E" w:rsidRDefault="00312D9A" w:rsidP="00772F2E">
            <w:pPr>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Inactivos H</w:t>
            </w:r>
          </w:p>
        </w:tc>
        <w:tc>
          <w:tcPr>
            <w:tcW w:w="543" w:type="pct"/>
            <w:noWrap/>
            <w:hideMark/>
          </w:tcPr>
          <w:p w14:paraId="5EA24160"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12,8%</w:t>
            </w:r>
          </w:p>
        </w:tc>
        <w:tc>
          <w:tcPr>
            <w:tcW w:w="706" w:type="pct"/>
            <w:noWrap/>
            <w:hideMark/>
          </w:tcPr>
          <w:p w14:paraId="11B2EACD"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5694490</w:t>
            </w:r>
          </w:p>
        </w:tc>
        <w:tc>
          <w:tcPr>
            <w:tcW w:w="518" w:type="pct"/>
            <w:noWrap/>
            <w:hideMark/>
          </w:tcPr>
          <w:p w14:paraId="17E675AB"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17,0%</w:t>
            </w:r>
          </w:p>
        </w:tc>
        <w:tc>
          <w:tcPr>
            <w:tcW w:w="724" w:type="pct"/>
            <w:noWrap/>
            <w:hideMark/>
          </w:tcPr>
          <w:p w14:paraId="7F3CE7A0"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3122293</w:t>
            </w:r>
          </w:p>
        </w:tc>
        <w:tc>
          <w:tcPr>
            <w:tcW w:w="724" w:type="pct"/>
            <w:noWrap/>
            <w:hideMark/>
          </w:tcPr>
          <w:p w14:paraId="5E8EE267"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28467.44</w:t>
            </w:r>
          </w:p>
        </w:tc>
        <w:tc>
          <w:tcPr>
            <w:tcW w:w="633" w:type="pct"/>
            <w:noWrap/>
            <w:hideMark/>
          </w:tcPr>
          <w:p w14:paraId="2A907E3C"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&lt; 0.05</w:t>
            </w:r>
          </w:p>
        </w:tc>
      </w:tr>
      <w:tr w:rsidR="00312D9A" w:rsidRPr="00772F2E" w14:paraId="00BBC392" w14:textId="77777777" w:rsidTr="00F4458B">
        <w:trPr>
          <w:trHeight w:val="300"/>
        </w:trPr>
        <w:tc>
          <w:tcPr>
            <w:cnfStyle w:val="001000000000" w:firstRow="0" w:lastRow="0" w:firstColumn="1" w:lastColumn="0" w:oddVBand="0" w:evenVBand="0" w:oddHBand="0" w:evenHBand="0" w:firstRowFirstColumn="0" w:firstRowLastColumn="0" w:lastRowFirstColumn="0" w:lastRowLastColumn="0"/>
            <w:tcW w:w="1152" w:type="pct"/>
            <w:noWrap/>
            <w:hideMark/>
          </w:tcPr>
          <w:p w14:paraId="45BD1E55" w14:textId="77777777" w:rsidR="00312D9A" w:rsidRPr="00772F2E" w:rsidRDefault="00312D9A" w:rsidP="00772F2E">
            <w:pPr>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Inactivos M</w:t>
            </w:r>
          </w:p>
        </w:tc>
        <w:tc>
          <w:tcPr>
            <w:tcW w:w="543" w:type="pct"/>
            <w:noWrap/>
            <w:hideMark/>
          </w:tcPr>
          <w:p w14:paraId="034184E4"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39,8%</w:t>
            </w:r>
          </w:p>
        </w:tc>
        <w:tc>
          <w:tcPr>
            <w:tcW w:w="706" w:type="pct"/>
            <w:noWrap/>
            <w:hideMark/>
          </w:tcPr>
          <w:p w14:paraId="0393C26C"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5141577</w:t>
            </w:r>
          </w:p>
        </w:tc>
        <w:tc>
          <w:tcPr>
            <w:tcW w:w="518" w:type="pct"/>
            <w:noWrap/>
            <w:hideMark/>
          </w:tcPr>
          <w:p w14:paraId="5696676D"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25,1%</w:t>
            </w:r>
          </w:p>
        </w:tc>
        <w:tc>
          <w:tcPr>
            <w:tcW w:w="724" w:type="pct"/>
            <w:noWrap/>
            <w:hideMark/>
          </w:tcPr>
          <w:p w14:paraId="630AA84A"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4040806</w:t>
            </w:r>
          </w:p>
        </w:tc>
        <w:tc>
          <w:tcPr>
            <w:tcW w:w="724" w:type="pct"/>
            <w:noWrap/>
            <w:hideMark/>
          </w:tcPr>
          <w:p w14:paraId="2AE6F86C"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217464.8</w:t>
            </w:r>
          </w:p>
        </w:tc>
        <w:tc>
          <w:tcPr>
            <w:tcW w:w="633" w:type="pct"/>
            <w:noWrap/>
            <w:hideMark/>
          </w:tcPr>
          <w:p w14:paraId="79D52365"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&lt; 0.05</w:t>
            </w:r>
          </w:p>
        </w:tc>
      </w:tr>
      <w:tr w:rsidR="00312D9A" w:rsidRPr="00772F2E" w14:paraId="46174F21" w14:textId="77777777" w:rsidTr="00F4458B">
        <w:trPr>
          <w:trHeight w:val="257"/>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3E4A5E7A" w14:textId="77777777" w:rsidR="00312D9A" w:rsidRPr="00772F2E" w:rsidRDefault="00312D9A" w:rsidP="00772F2E">
            <w:pPr>
              <w:rPr>
                <w:rFonts w:ascii="Times New Roman" w:eastAsia="Times New Roman" w:hAnsi="Times New Roman" w:cs="Times New Roman"/>
                <w:b w:val="0"/>
                <w:bCs w:val="0"/>
                <w:color w:val="000000"/>
                <w:lang w:eastAsia="es-AR"/>
              </w:rPr>
            </w:pPr>
            <w:r w:rsidRPr="00772F2E">
              <w:rPr>
                <w:rFonts w:ascii="Times New Roman" w:eastAsia="Times New Roman" w:hAnsi="Times New Roman" w:cs="Times New Roman"/>
                <w:color w:val="000000"/>
                <w:lang w:eastAsia="es-AR"/>
              </w:rPr>
              <w:t> </w:t>
            </w:r>
          </w:p>
        </w:tc>
      </w:tr>
      <w:tr w:rsidR="00312D9A" w:rsidRPr="00772F2E" w14:paraId="6AF092A4" w14:textId="77777777" w:rsidTr="00F4458B">
        <w:trPr>
          <w:trHeight w:val="300"/>
        </w:trPr>
        <w:tc>
          <w:tcPr>
            <w:cnfStyle w:val="001000000000" w:firstRow="0" w:lastRow="0" w:firstColumn="1" w:lastColumn="0" w:oddVBand="0" w:evenVBand="0" w:oddHBand="0" w:evenHBand="0" w:firstRowFirstColumn="0" w:firstRowLastColumn="0" w:lastRowFirstColumn="0" w:lastRowLastColumn="0"/>
            <w:tcW w:w="1152" w:type="pct"/>
            <w:noWrap/>
            <w:hideMark/>
          </w:tcPr>
          <w:p w14:paraId="07437E02" w14:textId="77777777" w:rsidR="00312D9A" w:rsidRPr="00772F2E" w:rsidRDefault="00312D9A" w:rsidP="00772F2E">
            <w:pPr>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Desocupados</w:t>
            </w:r>
          </w:p>
        </w:tc>
        <w:tc>
          <w:tcPr>
            <w:tcW w:w="543" w:type="pct"/>
            <w:noWrap/>
            <w:hideMark/>
          </w:tcPr>
          <w:p w14:paraId="4345BE1C"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6,3%</w:t>
            </w:r>
          </w:p>
        </w:tc>
        <w:tc>
          <w:tcPr>
            <w:tcW w:w="706" w:type="pct"/>
            <w:noWrap/>
            <w:hideMark/>
          </w:tcPr>
          <w:p w14:paraId="659B1887"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6972103</w:t>
            </w:r>
          </w:p>
        </w:tc>
        <w:tc>
          <w:tcPr>
            <w:tcW w:w="518" w:type="pct"/>
            <w:noWrap/>
            <w:hideMark/>
          </w:tcPr>
          <w:p w14:paraId="0A08E384"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3,8%</w:t>
            </w:r>
          </w:p>
        </w:tc>
        <w:tc>
          <w:tcPr>
            <w:tcW w:w="724" w:type="pct"/>
            <w:noWrap/>
            <w:hideMark/>
          </w:tcPr>
          <w:p w14:paraId="120CE4B8"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5135649</w:t>
            </w:r>
          </w:p>
        </w:tc>
        <w:tc>
          <w:tcPr>
            <w:tcW w:w="724" w:type="pct"/>
            <w:noWrap/>
            <w:hideMark/>
          </w:tcPr>
          <w:p w14:paraId="13AF2F4D"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36766.78</w:t>
            </w:r>
          </w:p>
        </w:tc>
        <w:tc>
          <w:tcPr>
            <w:tcW w:w="633" w:type="pct"/>
            <w:noWrap/>
            <w:hideMark/>
          </w:tcPr>
          <w:p w14:paraId="42B66940"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&lt; 0.05</w:t>
            </w:r>
          </w:p>
        </w:tc>
      </w:tr>
      <w:tr w:rsidR="00312D9A" w:rsidRPr="00772F2E" w14:paraId="46021267" w14:textId="77777777" w:rsidTr="00F4458B">
        <w:trPr>
          <w:trHeight w:val="300"/>
        </w:trPr>
        <w:tc>
          <w:tcPr>
            <w:cnfStyle w:val="001000000000" w:firstRow="0" w:lastRow="0" w:firstColumn="1" w:lastColumn="0" w:oddVBand="0" w:evenVBand="0" w:oddHBand="0" w:evenHBand="0" w:firstRowFirstColumn="0" w:firstRowLastColumn="0" w:lastRowFirstColumn="0" w:lastRowLastColumn="0"/>
            <w:tcW w:w="1152" w:type="pct"/>
            <w:noWrap/>
            <w:hideMark/>
          </w:tcPr>
          <w:p w14:paraId="2A3687FA" w14:textId="77777777" w:rsidR="00312D9A" w:rsidRPr="00772F2E" w:rsidRDefault="00312D9A" w:rsidP="00772F2E">
            <w:pPr>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Desocupados H</w:t>
            </w:r>
          </w:p>
        </w:tc>
        <w:tc>
          <w:tcPr>
            <w:tcW w:w="543" w:type="pct"/>
            <w:noWrap/>
            <w:hideMark/>
          </w:tcPr>
          <w:p w14:paraId="090B58F7"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5,4%</w:t>
            </w:r>
          </w:p>
        </w:tc>
        <w:tc>
          <w:tcPr>
            <w:tcW w:w="706" w:type="pct"/>
            <w:noWrap/>
            <w:hideMark/>
          </w:tcPr>
          <w:p w14:paraId="1360B8BA"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4303407</w:t>
            </w:r>
          </w:p>
        </w:tc>
        <w:tc>
          <w:tcPr>
            <w:tcW w:w="518" w:type="pct"/>
            <w:noWrap/>
            <w:hideMark/>
          </w:tcPr>
          <w:p w14:paraId="009B6581"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2,6%</w:t>
            </w:r>
          </w:p>
        </w:tc>
        <w:tc>
          <w:tcPr>
            <w:tcW w:w="724" w:type="pct"/>
            <w:noWrap/>
            <w:hideMark/>
          </w:tcPr>
          <w:p w14:paraId="6491C699"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2372023</w:t>
            </w:r>
          </w:p>
        </w:tc>
        <w:tc>
          <w:tcPr>
            <w:tcW w:w="724" w:type="pct"/>
            <w:noWrap/>
            <w:hideMark/>
          </w:tcPr>
          <w:p w14:paraId="477CD963"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29323.89</w:t>
            </w:r>
          </w:p>
        </w:tc>
        <w:tc>
          <w:tcPr>
            <w:tcW w:w="633" w:type="pct"/>
            <w:noWrap/>
            <w:hideMark/>
          </w:tcPr>
          <w:p w14:paraId="1BAC8F4C"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&lt; 0.05</w:t>
            </w:r>
          </w:p>
        </w:tc>
      </w:tr>
      <w:tr w:rsidR="00312D9A" w:rsidRPr="00772F2E" w14:paraId="69C366D2" w14:textId="77777777" w:rsidTr="00F4458B">
        <w:trPr>
          <w:trHeight w:val="300"/>
        </w:trPr>
        <w:tc>
          <w:tcPr>
            <w:cnfStyle w:val="001000000000" w:firstRow="0" w:lastRow="0" w:firstColumn="1" w:lastColumn="0" w:oddVBand="0" w:evenVBand="0" w:oddHBand="0" w:evenHBand="0" w:firstRowFirstColumn="0" w:firstRowLastColumn="0" w:lastRowFirstColumn="0" w:lastRowLastColumn="0"/>
            <w:tcW w:w="1152" w:type="pct"/>
            <w:noWrap/>
            <w:hideMark/>
          </w:tcPr>
          <w:p w14:paraId="5888D14F" w14:textId="77777777" w:rsidR="00312D9A" w:rsidRPr="00772F2E" w:rsidRDefault="00312D9A" w:rsidP="00772F2E">
            <w:pPr>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Desocupados M</w:t>
            </w:r>
          </w:p>
        </w:tc>
        <w:tc>
          <w:tcPr>
            <w:tcW w:w="543" w:type="pct"/>
            <w:noWrap/>
            <w:hideMark/>
          </w:tcPr>
          <w:p w14:paraId="13D2A004"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7,6%</w:t>
            </w:r>
          </w:p>
        </w:tc>
        <w:tc>
          <w:tcPr>
            <w:tcW w:w="706" w:type="pct"/>
            <w:noWrap/>
            <w:hideMark/>
          </w:tcPr>
          <w:p w14:paraId="1251648A"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2668696</w:t>
            </w:r>
          </w:p>
        </w:tc>
        <w:tc>
          <w:tcPr>
            <w:tcW w:w="518" w:type="pct"/>
            <w:noWrap/>
            <w:hideMark/>
          </w:tcPr>
          <w:p w14:paraId="578AC69E"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4,8%</w:t>
            </w:r>
          </w:p>
        </w:tc>
        <w:tc>
          <w:tcPr>
            <w:tcW w:w="724" w:type="pct"/>
            <w:noWrap/>
            <w:hideMark/>
          </w:tcPr>
          <w:p w14:paraId="01F275FE"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2763626</w:t>
            </w:r>
          </w:p>
        </w:tc>
        <w:tc>
          <w:tcPr>
            <w:tcW w:w="724" w:type="pct"/>
            <w:noWrap/>
            <w:hideMark/>
          </w:tcPr>
          <w:p w14:paraId="4DA5358A"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18081.04</w:t>
            </w:r>
          </w:p>
        </w:tc>
        <w:tc>
          <w:tcPr>
            <w:tcW w:w="633" w:type="pct"/>
            <w:noWrap/>
            <w:hideMark/>
          </w:tcPr>
          <w:p w14:paraId="5603C5AD"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&lt; 0.05</w:t>
            </w:r>
          </w:p>
        </w:tc>
      </w:tr>
      <w:tr w:rsidR="00312D9A" w:rsidRPr="00772F2E" w14:paraId="77D0E3F9" w14:textId="77777777" w:rsidTr="00F4458B">
        <w:trPr>
          <w:trHeight w:val="300"/>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084C727D" w14:textId="77777777" w:rsidR="00312D9A" w:rsidRPr="00772F2E" w:rsidRDefault="00312D9A" w:rsidP="00772F2E">
            <w:pPr>
              <w:rPr>
                <w:rFonts w:ascii="Times New Roman" w:eastAsia="Times New Roman" w:hAnsi="Times New Roman" w:cs="Times New Roman"/>
                <w:b w:val="0"/>
                <w:bCs w:val="0"/>
                <w:color w:val="000000"/>
                <w:lang w:eastAsia="es-AR"/>
              </w:rPr>
            </w:pPr>
            <w:r w:rsidRPr="00772F2E">
              <w:rPr>
                <w:rFonts w:ascii="Times New Roman" w:eastAsia="Times New Roman" w:hAnsi="Times New Roman" w:cs="Times New Roman"/>
                <w:color w:val="000000"/>
                <w:lang w:eastAsia="es-AR"/>
              </w:rPr>
              <w:t> </w:t>
            </w:r>
          </w:p>
        </w:tc>
      </w:tr>
      <w:tr w:rsidR="00312D9A" w:rsidRPr="00772F2E" w14:paraId="70E549AF" w14:textId="77777777" w:rsidTr="00F4458B">
        <w:trPr>
          <w:trHeight w:val="300"/>
        </w:trPr>
        <w:tc>
          <w:tcPr>
            <w:cnfStyle w:val="001000000000" w:firstRow="0" w:lastRow="0" w:firstColumn="1" w:lastColumn="0" w:oddVBand="0" w:evenVBand="0" w:oddHBand="0" w:evenHBand="0" w:firstRowFirstColumn="0" w:firstRowLastColumn="0" w:lastRowFirstColumn="0" w:lastRowLastColumn="0"/>
            <w:tcW w:w="1152" w:type="pct"/>
            <w:noWrap/>
            <w:hideMark/>
          </w:tcPr>
          <w:p w14:paraId="23C6BB00" w14:textId="77777777" w:rsidR="00312D9A" w:rsidRPr="00772F2E" w:rsidRDefault="00312D9A" w:rsidP="00772F2E">
            <w:pPr>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Empleo no reg.</w:t>
            </w:r>
          </w:p>
        </w:tc>
        <w:tc>
          <w:tcPr>
            <w:tcW w:w="543" w:type="pct"/>
            <w:noWrap/>
            <w:hideMark/>
          </w:tcPr>
          <w:p w14:paraId="1A00A613"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48,3%</w:t>
            </w:r>
          </w:p>
        </w:tc>
        <w:tc>
          <w:tcPr>
            <w:tcW w:w="706" w:type="pct"/>
            <w:noWrap/>
            <w:hideMark/>
          </w:tcPr>
          <w:p w14:paraId="25EFEDC9"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1093396</w:t>
            </w:r>
          </w:p>
        </w:tc>
        <w:tc>
          <w:tcPr>
            <w:tcW w:w="518" w:type="pct"/>
            <w:noWrap/>
            <w:hideMark/>
          </w:tcPr>
          <w:p w14:paraId="00820B6B"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36,8%</w:t>
            </w:r>
          </w:p>
        </w:tc>
        <w:tc>
          <w:tcPr>
            <w:tcW w:w="724" w:type="pct"/>
            <w:noWrap/>
            <w:hideMark/>
          </w:tcPr>
          <w:p w14:paraId="17FCC1B8"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456511</w:t>
            </w:r>
          </w:p>
        </w:tc>
        <w:tc>
          <w:tcPr>
            <w:tcW w:w="724" w:type="pct"/>
            <w:noWrap/>
            <w:hideMark/>
          </w:tcPr>
          <w:p w14:paraId="56A06C03"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17011.79</w:t>
            </w:r>
          </w:p>
        </w:tc>
        <w:tc>
          <w:tcPr>
            <w:tcW w:w="633" w:type="pct"/>
            <w:noWrap/>
            <w:hideMark/>
          </w:tcPr>
          <w:p w14:paraId="635C8EF5"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&lt; 0.05</w:t>
            </w:r>
          </w:p>
        </w:tc>
      </w:tr>
      <w:tr w:rsidR="00312D9A" w:rsidRPr="00772F2E" w14:paraId="2BDB7A49" w14:textId="77777777" w:rsidTr="00F4458B">
        <w:trPr>
          <w:trHeight w:val="300"/>
        </w:trPr>
        <w:tc>
          <w:tcPr>
            <w:cnfStyle w:val="001000000000" w:firstRow="0" w:lastRow="0" w:firstColumn="1" w:lastColumn="0" w:oddVBand="0" w:evenVBand="0" w:oddHBand="0" w:evenHBand="0" w:firstRowFirstColumn="0" w:firstRowLastColumn="0" w:lastRowFirstColumn="0" w:lastRowLastColumn="0"/>
            <w:tcW w:w="1152" w:type="pct"/>
            <w:noWrap/>
            <w:hideMark/>
          </w:tcPr>
          <w:p w14:paraId="2748A202" w14:textId="77777777" w:rsidR="00312D9A" w:rsidRPr="00772F2E" w:rsidRDefault="00312D9A" w:rsidP="00772F2E">
            <w:pPr>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Cuentapropismo</w:t>
            </w:r>
          </w:p>
        </w:tc>
        <w:tc>
          <w:tcPr>
            <w:tcW w:w="543" w:type="pct"/>
            <w:noWrap/>
            <w:hideMark/>
          </w:tcPr>
          <w:p w14:paraId="287BDBB4"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25,0%</w:t>
            </w:r>
          </w:p>
        </w:tc>
        <w:tc>
          <w:tcPr>
            <w:tcW w:w="706" w:type="pct"/>
            <w:noWrap/>
            <w:hideMark/>
          </w:tcPr>
          <w:p w14:paraId="32A84BFA"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7411251</w:t>
            </w:r>
          </w:p>
        </w:tc>
        <w:tc>
          <w:tcPr>
            <w:tcW w:w="518" w:type="pct"/>
            <w:noWrap/>
            <w:hideMark/>
          </w:tcPr>
          <w:p w14:paraId="7D778983"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18,1%</w:t>
            </w:r>
          </w:p>
        </w:tc>
        <w:tc>
          <w:tcPr>
            <w:tcW w:w="724" w:type="pct"/>
            <w:noWrap/>
            <w:hideMark/>
          </w:tcPr>
          <w:p w14:paraId="6DE362AB"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5316811</w:t>
            </w:r>
          </w:p>
        </w:tc>
        <w:tc>
          <w:tcPr>
            <w:tcW w:w="724" w:type="pct"/>
            <w:noWrap/>
            <w:hideMark/>
          </w:tcPr>
          <w:p w14:paraId="474D3288"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91227.95</w:t>
            </w:r>
          </w:p>
        </w:tc>
        <w:tc>
          <w:tcPr>
            <w:tcW w:w="633" w:type="pct"/>
            <w:noWrap/>
            <w:hideMark/>
          </w:tcPr>
          <w:p w14:paraId="77986159"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&lt; 0.05</w:t>
            </w:r>
          </w:p>
        </w:tc>
      </w:tr>
      <w:tr w:rsidR="00312D9A" w:rsidRPr="00772F2E" w14:paraId="76B2E306" w14:textId="77777777" w:rsidTr="00F4458B">
        <w:trPr>
          <w:trHeight w:val="300"/>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1DEF0C2D" w14:textId="77777777" w:rsidR="00312D9A" w:rsidRPr="00772F2E" w:rsidRDefault="00312D9A" w:rsidP="00772F2E">
            <w:pPr>
              <w:rPr>
                <w:rFonts w:ascii="Times New Roman" w:eastAsia="Times New Roman" w:hAnsi="Times New Roman" w:cs="Times New Roman"/>
                <w:b w:val="0"/>
                <w:bCs w:val="0"/>
                <w:color w:val="000000"/>
                <w:lang w:eastAsia="es-AR"/>
              </w:rPr>
            </w:pPr>
            <w:r w:rsidRPr="00772F2E">
              <w:rPr>
                <w:rFonts w:ascii="Times New Roman" w:eastAsia="Times New Roman" w:hAnsi="Times New Roman" w:cs="Times New Roman"/>
                <w:color w:val="000000"/>
                <w:lang w:eastAsia="es-AR"/>
              </w:rPr>
              <w:t> </w:t>
            </w:r>
          </w:p>
        </w:tc>
      </w:tr>
      <w:tr w:rsidR="00312D9A" w:rsidRPr="00772F2E" w14:paraId="774A070F" w14:textId="77777777" w:rsidTr="00F4458B">
        <w:trPr>
          <w:trHeight w:val="300"/>
        </w:trPr>
        <w:tc>
          <w:tcPr>
            <w:cnfStyle w:val="001000000000" w:firstRow="0" w:lastRow="0" w:firstColumn="1" w:lastColumn="0" w:oddVBand="0" w:evenVBand="0" w:oddHBand="0" w:evenHBand="0" w:firstRowFirstColumn="0" w:firstRowLastColumn="0" w:lastRowFirstColumn="0" w:lastRowLastColumn="0"/>
            <w:tcW w:w="1152" w:type="pct"/>
            <w:noWrap/>
            <w:hideMark/>
          </w:tcPr>
          <w:p w14:paraId="47BC64BA" w14:textId="77777777" w:rsidR="00312D9A" w:rsidRPr="00772F2E" w:rsidRDefault="00312D9A" w:rsidP="00772F2E">
            <w:pPr>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Quintil 1 ingresos</w:t>
            </w:r>
          </w:p>
        </w:tc>
        <w:tc>
          <w:tcPr>
            <w:tcW w:w="543" w:type="pct"/>
            <w:noWrap/>
            <w:hideMark/>
          </w:tcPr>
          <w:p w14:paraId="2170FDAD"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21,4%</w:t>
            </w:r>
          </w:p>
        </w:tc>
        <w:tc>
          <w:tcPr>
            <w:tcW w:w="706" w:type="pct"/>
            <w:noWrap/>
            <w:hideMark/>
          </w:tcPr>
          <w:p w14:paraId="06C0A1FB"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5412275</w:t>
            </w:r>
          </w:p>
        </w:tc>
        <w:tc>
          <w:tcPr>
            <w:tcW w:w="518" w:type="pct"/>
            <w:noWrap/>
            <w:hideMark/>
          </w:tcPr>
          <w:p w14:paraId="2712BC47"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9,2%</w:t>
            </w:r>
          </w:p>
        </w:tc>
        <w:tc>
          <w:tcPr>
            <w:tcW w:w="724" w:type="pct"/>
            <w:noWrap/>
            <w:hideMark/>
          </w:tcPr>
          <w:p w14:paraId="14CDBC13"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3914697</w:t>
            </w:r>
          </w:p>
        </w:tc>
        <w:tc>
          <w:tcPr>
            <w:tcW w:w="724" w:type="pct"/>
            <w:noWrap/>
            <w:hideMark/>
          </w:tcPr>
          <w:p w14:paraId="33B4D4EF"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1121522</w:t>
            </w:r>
          </w:p>
        </w:tc>
        <w:tc>
          <w:tcPr>
            <w:tcW w:w="633" w:type="pct"/>
            <w:noWrap/>
            <w:hideMark/>
          </w:tcPr>
          <w:p w14:paraId="3B5998DC"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&lt; 0.05</w:t>
            </w:r>
          </w:p>
        </w:tc>
      </w:tr>
      <w:tr w:rsidR="00312D9A" w:rsidRPr="00772F2E" w14:paraId="3F21E28E" w14:textId="77777777" w:rsidTr="00F4458B">
        <w:trPr>
          <w:trHeight w:val="300"/>
        </w:trPr>
        <w:tc>
          <w:tcPr>
            <w:cnfStyle w:val="001000000000" w:firstRow="0" w:lastRow="0" w:firstColumn="1" w:lastColumn="0" w:oddVBand="0" w:evenVBand="0" w:oddHBand="0" w:evenHBand="0" w:firstRowFirstColumn="0" w:firstRowLastColumn="0" w:lastRowFirstColumn="0" w:lastRowLastColumn="0"/>
            <w:tcW w:w="1152" w:type="pct"/>
            <w:noWrap/>
            <w:hideMark/>
          </w:tcPr>
          <w:p w14:paraId="6DFDD42A" w14:textId="77777777" w:rsidR="00312D9A" w:rsidRPr="00772F2E" w:rsidRDefault="00312D9A" w:rsidP="00772F2E">
            <w:pPr>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Quintil 5 ingresos</w:t>
            </w:r>
          </w:p>
        </w:tc>
        <w:tc>
          <w:tcPr>
            <w:tcW w:w="543" w:type="pct"/>
            <w:noWrap/>
            <w:hideMark/>
          </w:tcPr>
          <w:p w14:paraId="3DC14A11"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14,2%</w:t>
            </w:r>
          </w:p>
        </w:tc>
        <w:tc>
          <w:tcPr>
            <w:tcW w:w="706" w:type="pct"/>
            <w:noWrap/>
            <w:hideMark/>
          </w:tcPr>
          <w:p w14:paraId="3B433CED"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5412275</w:t>
            </w:r>
          </w:p>
        </w:tc>
        <w:tc>
          <w:tcPr>
            <w:tcW w:w="518" w:type="pct"/>
            <w:noWrap/>
            <w:hideMark/>
          </w:tcPr>
          <w:p w14:paraId="1D852645"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41,0%</w:t>
            </w:r>
          </w:p>
        </w:tc>
        <w:tc>
          <w:tcPr>
            <w:tcW w:w="724" w:type="pct"/>
            <w:noWrap/>
            <w:hideMark/>
          </w:tcPr>
          <w:p w14:paraId="1819D433"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3914697</w:t>
            </w:r>
          </w:p>
        </w:tc>
        <w:tc>
          <w:tcPr>
            <w:tcW w:w="724" w:type="pct"/>
            <w:noWrap/>
            <w:hideMark/>
          </w:tcPr>
          <w:p w14:paraId="31EE65AC"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1121522</w:t>
            </w:r>
          </w:p>
        </w:tc>
        <w:tc>
          <w:tcPr>
            <w:tcW w:w="633" w:type="pct"/>
            <w:noWrap/>
            <w:hideMark/>
          </w:tcPr>
          <w:p w14:paraId="21BF335B"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&lt; 0.05</w:t>
            </w:r>
          </w:p>
        </w:tc>
      </w:tr>
    </w:tbl>
    <w:p w14:paraId="11FD39C8" w14:textId="77777777" w:rsidR="00312D9A" w:rsidRPr="00772F2E" w:rsidRDefault="00312D9A" w:rsidP="00772F2E">
      <w:pPr>
        <w:spacing w:line="240" w:lineRule="auto"/>
        <w:jc w:val="both"/>
        <w:rPr>
          <w:rFonts w:ascii="Times New Roman" w:hAnsi="Times New Roman" w:cs="Times New Roman"/>
          <w:lang w:val="es-AR"/>
        </w:rPr>
      </w:pPr>
      <w:r w:rsidRPr="00772F2E">
        <w:rPr>
          <w:rFonts w:ascii="Times New Roman" w:hAnsi="Times New Roman" w:cs="Times New Roman"/>
          <w:lang w:val="es-AR"/>
        </w:rPr>
        <w:t>Fuente: Elaboración propia a partir de procesamiento de Encuesta Permanente de Hogares (EPH-INDEC).</w:t>
      </w:r>
    </w:p>
    <w:p w14:paraId="54D4A844" w14:textId="670F2160" w:rsidR="009D1142" w:rsidRDefault="00312D9A" w:rsidP="00057064">
      <w:pPr>
        <w:spacing w:line="240" w:lineRule="auto"/>
        <w:jc w:val="both"/>
        <w:rPr>
          <w:rFonts w:ascii="Times New Roman" w:hAnsi="Times New Roman" w:cs="Times New Roman"/>
        </w:rPr>
      </w:pPr>
      <w:r w:rsidRPr="00772F2E">
        <w:rPr>
          <w:rFonts w:ascii="Times New Roman" w:hAnsi="Times New Roman" w:cs="Times New Roman"/>
        </w:rPr>
        <w:t>El análisis previo se repitió para examinar las diferencias entre universitarios que lograron graduarse y aquellos que no, tomando la población urbana entre 25 y 64 años. Se analizaron los porcentajes y se repitió la prueba de Χ². Se encontrar diferencias significativas (p-</w:t>
      </w:r>
      <w:proofErr w:type="spellStart"/>
      <w:r w:rsidRPr="00772F2E">
        <w:rPr>
          <w:rFonts w:ascii="Times New Roman" w:hAnsi="Times New Roman" w:cs="Times New Roman"/>
        </w:rPr>
        <w:t>value</w:t>
      </w:r>
      <w:proofErr w:type="spellEnd"/>
      <w:r w:rsidRPr="00772F2E">
        <w:rPr>
          <w:rFonts w:ascii="Times New Roman" w:hAnsi="Times New Roman" w:cs="Times New Roman"/>
        </w:rPr>
        <w:t xml:space="preserve"> &lt; 0.05) entre los dos grupos. </w:t>
      </w:r>
      <w:r w:rsidR="00057064">
        <w:rPr>
          <w:rFonts w:ascii="Times New Roman" w:hAnsi="Times New Roman" w:cs="Times New Roman"/>
        </w:rPr>
        <w:t xml:space="preserve">Nuevamente, se logró registrar </w:t>
      </w:r>
      <w:proofErr w:type="spellStart"/>
      <w:r w:rsidR="00057064">
        <w:rPr>
          <w:rFonts w:ascii="Times New Roman" w:hAnsi="Times New Roman" w:cs="Times New Roman"/>
        </w:rPr>
        <w:t>quye</w:t>
      </w:r>
      <w:proofErr w:type="spellEnd"/>
      <w:r w:rsidR="00057064">
        <w:rPr>
          <w:rFonts w:ascii="Times New Roman" w:hAnsi="Times New Roman" w:cs="Times New Roman"/>
        </w:rPr>
        <w:t xml:space="preserve"> l</w:t>
      </w:r>
      <w:r w:rsidRPr="00772F2E">
        <w:rPr>
          <w:rFonts w:ascii="Times New Roman" w:hAnsi="Times New Roman" w:cs="Times New Roman"/>
        </w:rPr>
        <w:t xml:space="preserve">os indicadores de empleo son mejores para los graduados, destacándose </w:t>
      </w:r>
      <w:r w:rsidR="00057064">
        <w:rPr>
          <w:rFonts w:ascii="Times New Roman" w:hAnsi="Times New Roman" w:cs="Times New Roman"/>
        </w:rPr>
        <w:t>tasas de i</w:t>
      </w:r>
      <w:r w:rsidRPr="00772F2E">
        <w:rPr>
          <w:rFonts w:ascii="Times New Roman" w:hAnsi="Times New Roman" w:cs="Times New Roman"/>
        </w:rPr>
        <w:t>nactividad, desocupación, empleo no registrado y cuentapropismo menor</w:t>
      </w:r>
      <w:r w:rsidR="00057064">
        <w:rPr>
          <w:rFonts w:ascii="Times New Roman" w:hAnsi="Times New Roman" w:cs="Times New Roman"/>
        </w:rPr>
        <w:t>es</w:t>
      </w:r>
      <w:r w:rsidRPr="00772F2E">
        <w:rPr>
          <w:rFonts w:ascii="Times New Roman" w:hAnsi="Times New Roman" w:cs="Times New Roman"/>
        </w:rPr>
        <w:t xml:space="preserve"> en los graduados (con unos porcentajes que oscilan en promedio en el doble de desfavorable para los que no se graduaron)</w:t>
      </w:r>
      <w:r w:rsidR="00057064">
        <w:rPr>
          <w:rFonts w:ascii="Times New Roman" w:hAnsi="Times New Roman" w:cs="Times New Roman"/>
        </w:rPr>
        <w:t>; Así como también i</w:t>
      </w:r>
      <w:r w:rsidRPr="00772F2E">
        <w:rPr>
          <w:rFonts w:ascii="Times New Roman" w:hAnsi="Times New Roman" w:cs="Times New Roman"/>
        </w:rPr>
        <w:t>ngresos más altos en los graduados, con más de la mitad (58%) en el primer quintil de ingresos y sólo un 2.3% en el quintil más bajo, mientras que los que no lograron graduarse cuentan con un 31.9% en el quintil más alto y un 15.3% en el más bajo.</w:t>
      </w:r>
    </w:p>
    <w:p w14:paraId="4A803CA3" w14:textId="77777777" w:rsidR="009D1142" w:rsidRDefault="009D1142">
      <w:pPr>
        <w:rPr>
          <w:rFonts w:ascii="Times New Roman" w:hAnsi="Times New Roman" w:cs="Times New Roman"/>
        </w:rPr>
      </w:pPr>
      <w:r>
        <w:rPr>
          <w:rFonts w:ascii="Times New Roman" w:hAnsi="Times New Roman" w:cs="Times New Roman"/>
        </w:rPr>
        <w:br w:type="page"/>
      </w:r>
    </w:p>
    <w:p w14:paraId="54BC44F9" w14:textId="77777777" w:rsidR="00312D9A" w:rsidRPr="00772F2E" w:rsidRDefault="00312D9A" w:rsidP="00772F2E">
      <w:pPr>
        <w:spacing w:line="240" w:lineRule="auto"/>
        <w:jc w:val="both"/>
        <w:rPr>
          <w:rFonts w:ascii="Times New Roman" w:hAnsi="Times New Roman" w:cs="Times New Roman"/>
          <w:i/>
          <w:iCs/>
        </w:rPr>
      </w:pPr>
      <w:r w:rsidRPr="00772F2E">
        <w:rPr>
          <w:rFonts w:ascii="Times New Roman" w:hAnsi="Times New Roman" w:cs="Times New Roman"/>
          <w:i/>
          <w:iCs/>
        </w:rPr>
        <w:lastRenderedPageBreak/>
        <w:t>Tabla 8: Población urbana de 25 a 64 años con estudios universitarios según graduación. Variables seleccionadas. 2024. Diferencias porcentuales</w:t>
      </w:r>
    </w:p>
    <w:tbl>
      <w:tblPr>
        <w:tblStyle w:val="Tablaconcuadrcula1clara"/>
        <w:tblW w:w="5000" w:type="pct"/>
        <w:tblLook w:val="04A0" w:firstRow="1" w:lastRow="0" w:firstColumn="1" w:lastColumn="0" w:noHBand="0" w:noVBand="1"/>
      </w:tblPr>
      <w:tblGrid>
        <w:gridCol w:w="2045"/>
        <w:gridCol w:w="928"/>
        <w:gridCol w:w="1167"/>
        <w:gridCol w:w="928"/>
        <w:gridCol w:w="1167"/>
        <w:gridCol w:w="1230"/>
        <w:gridCol w:w="1029"/>
      </w:tblGrid>
      <w:tr w:rsidR="00312D9A" w:rsidRPr="00772F2E" w14:paraId="55863420" w14:textId="77777777" w:rsidTr="00F4458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4" w:type="pct"/>
            <w:noWrap/>
            <w:hideMark/>
          </w:tcPr>
          <w:p w14:paraId="55AEE27E" w14:textId="77777777" w:rsidR="00312D9A" w:rsidRPr="00772F2E" w:rsidRDefault="00312D9A" w:rsidP="00772F2E">
            <w:pPr>
              <w:rPr>
                <w:rFonts w:ascii="Times New Roman" w:eastAsia="Times New Roman" w:hAnsi="Times New Roman" w:cs="Times New Roman"/>
                <w:lang w:eastAsia="es-AR"/>
              </w:rPr>
            </w:pPr>
          </w:p>
        </w:tc>
        <w:tc>
          <w:tcPr>
            <w:tcW w:w="1233" w:type="pct"/>
            <w:gridSpan w:val="2"/>
            <w:noWrap/>
            <w:hideMark/>
          </w:tcPr>
          <w:p w14:paraId="3133D40A" w14:textId="77777777" w:rsidR="00312D9A" w:rsidRPr="00772F2E" w:rsidRDefault="00312D9A" w:rsidP="00772F2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Sin graduar</w:t>
            </w:r>
          </w:p>
        </w:tc>
        <w:tc>
          <w:tcPr>
            <w:tcW w:w="1233" w:type="pct"/>
            <w:gridSpan w:val="2"/>
            <w:noWrap/>
            <w:hideMark/>
          </w:tcPr>
          <w:p w14:paraId="2C5A5C6D" w14:textId="77777777" w:rsidR="00312D9A" w:rsidRPr="00772F2E" w:rsidRDefault="00312D9A" w:rsidP="00772F2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Graduados</w:t>
            </w:r>
          </w:p>
        </w:tc>
        <w:tc>
          <w:tcPr>
            <w:tcW w:w="724" w:type="pct"/>
            <w:noWrap/>
            <w:hideMark/>
          </w:tcPr>
          <w:p w14:paraId="21987E71" w14:textId="77777777" w:rsidR="00312D9A" w:rsidRPr="00772F2E" w:rsidRDefault="00312D9A" w:rsidP="00772F2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p>
        </w:tc>
        <w:tc>
          <w:tcPr>
            <w:tcW w:w="606" w:type="pct"/>
            <w:noWrap/>
            <w:hideMark/>
          </w:tcPr>
          <w:p w14:paraId="72377B68" w14:textId="77777777" w:rsidR="00312D9A" w:rsidRPr="00772F2E" w:rsidRDefault="00312D9A" w:rsidP="00772F2E">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AR"/>
              </w:rPr>
            </w:pPr>
          </w:p>
        </w:tc>
      </w:tr>
      <w:tr w:rsidR="00312D9A" w:rsidRPr="00772F2E" w14:paraId="2DCBE7FC" w14:textId="77777777" w:rsidTr="00F4458B">
        <w:trPr>
          <w:trHeight w:val="300"/>
        </w:trPr>
        <w:tc>
          <w:tcPr>
            <w:cnfStyle w:val="001000000000" w:firstRow="0" w:lastRow="0" w:firstColumn="1" w:lastColumn="0" w:oddVBand="0" w:evenVBand="0" w:oddHBand="0" w:evenHBand="0" w:firstRowFirstColumn="0" w:firstRowLastColumn="0" w:lastRowFirstColumn="0" w:lastRowLastColumn="0"/>
            <w:tcW w:w="1204" w:type="pct"/>
            <w:noWrap/>
            <w:hideMark/>
          </w:tcPr>
          <w:p w14:paraId="188A8678" w14:textId="77777777" w:rsidR="00312D9A" w:rsidRPr="00772F2E" w:rsidRDefault="00312D9A" w:rsidP="00772F2E">
            <w:pPr>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 </w:t>
            </w:r>
          </w:p>
        </w:tc>
        <w:tc>
          <w:tcPr>
            <w:tcW w:w="546" w:type="pct"/>
            <w:noWrap/>
            <w:hideMark/>
          </w:tcPr>
          <w:p w14:paraId="15557114"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w:t>
            </w:r>
          </w:p>
        </w:tc>
        <w:tc>
          <w:tcPr>
            <w:tcW w:w="687" w:type="pct"/>
            <w:noWrap/>
            <w:hideMark/>
          </w:tcPr>
          <w:p w14:paraId="09DFCAAF"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N</w:t>
            </w:r>
          </w:p>
        </w:tc>
        <w:tc>
          <w:tcPr>
            <w:tcW w:w="546" w:type="pct"/>
            <w:noWrap/>
            <w:hideMark/>
          </w:tcPr>
          <w:p w14:paraId="696F5AD0"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w:t>
            </w:r>
          </w:p>
        </w:tc>
        <w:tc>
          <w:tcPr>
            <w:tcW w:w="687" w:type="pct"/>
            <w:noWrap/>
            <w:hideMark/>
          </w:tcPr>
          <w:p w14:paraId="6FFBC316"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N</w:t>
            </w:r>
          </w:p>
        </w:tc>
        <w:tc>
          <w:tcPr>
            <w:tcW w:w="724" w:type="pct"/>
            <w:noWrap/>
            <w:hideMark/>
          </w:tcPr>
          <w:p w14:paraId="287827EB"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Χ²</w:t>
            </w:r>
          </w:p>
        </w:tc>
        <w:tc>
          <w:tcPr>
            <w:tcW w:w="606" w:type="pct"/>
            <w:noWrap/>
            <w:hideMark/>
          </w:tcPr>
          <w:p w14:paraId="24A01ED7"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p-</w:t>
            </w:r>
            <w:proofErr w:type="spellStart"/>
            <w:r w:rsidRPr="00772F2E">
              <w:rPr>
                <w:rFonts w:ascii="Times New Roman" w:eastAsia="Times New Roman" w:hAnsi="Times New Roman" w:cs="Times New Roman"/>
                <w:color w:val="000000"/>
                <w:lang w:eastAsia="es-AR"/>
              </w:rPr>
              <w:t>value</w:t>
            </w:r>
            <w:proofErr w:type="spellEnd"/>
          </w:p>
        </w:tc>
      </w:tr>
      <w:tr w:rsidR="00312D9A" w:rsidRPr="00772F2E" w14:paraId="033EF6F8" w14:textId="77777777" w:rsidTr="00F4458B">
        <w:trPr>
          <w:trHeight w:val="300"/>
        </w:trPr>
        <w:tc>
          <w:tcPr>
            <w:cnfStyle w:val="001000000000" w:firstRow="0" w:lastRow="0" w:firstColumn="1" w:lastColumn="0" w:oddVBand="0" w:evenVBand="0" w:oddHBand="0" w:evenHBand="0" w:firstRowFirstColumn="0" w:firstRowLastColumn="0" w:lastRowFirstColumn="0" w:lastRowLastColumn="0"/>
            <w:tcW w:w="1204" w:type="pct"/>
            <w:noWrap/>
            <w:hideMark/>
          </w:tcPr>
          <w:p w14:paraId="028F8C23" w14:textId="77777777" w:rsidR="00312D9A" w:rsidRPr="00772F2E" w:rsidRDefault="00312D9A" w:rsidP="00772F2E">
            <w:pPr>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Inactivos</w:t>
            </w:r>
          </w:p>
        </w:tc>
        <w:tc>
          <w:tcPr>
            <w:tcW w:w="546" w:type="pct"/>
            <w:noWrap/>
            <w:hideMark/>
          </w:tcPr>
          <w:p w14:paraId="57FFC92B"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16,4%</w:t>
            </w:r>
          </w:p>
        </w:tc>
        <w:tc>
          <w:tcPr>
            <w:tcW w:w="687" w:type="pct"/>
            <w:noWrap/>
            <w:hideMark/>
          </w:tcPr>
          <w:p w14:paraId="0AD56825"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1524982</w:t>
            </w:r>
          </w:p>
        </w:tc>
        <w:tc>
          <w:tcPr>
            <w:tcW w:w="546" w:type="pct"/>
            <w:noWrap/>
            <w:hideMark/>
          </w:tcPr>
          <w:p w14:paraId="3808FEAD"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6,7%</w:t>
            </w:r>
          </w:p>
        </w:tc>
        <w:tc>
          <w:tcPr>
            <w:tcW w:w="687" w:type="pct"/>
            <w:noWrap/>
            <w:hideMark/>
          </w:tcPr>
          <w:p w14:paraId="4C1F0545"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2143473</w:t>
            </w:r>
          </w:p>
        </w:tc>
        <w:tc>
          <w:tcPr>
            <w:tcW w:w="724" w:type="pct"/>
            <w:noWrap/>
            <w:hideMark/>
          </w:tcPr>
          <w:p w14:paraId="5D19FA69"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87824.06</w:t>
            </w:r>
          </w:p>
        </w:tc>
        <w:tc>
          <w:tcPr>
            <w:tcW w:w="606" w:type="pct"/>
            <w:noWrap/>
            <w:hideMark/>
          </w:tcPr>
          <w:p w14:paraId="48A87FE3"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&lt; 0.05</w:t>
            </w:r>
          </w:p>
        </w:tc>
      </w:tr>
      <w:tr w:rsidR="00312D9A" w:rsidRPr="00772F2E" w14:paraId="3F119A06" w14:textId="77777777" w:rsidTr="00F4458B">
        <w:trPr>
          <w:trHeight w:val="300"/>
        </w:trPr>
        <w:tc>
          <w:tcPr>
            <w:cnfStyle w:val="001000000000" w:firstRow="0" w:lastRow="0" w:firstColumn="1" w:lastColumn="0" w:oddVBand="0" w:evenVBand="0" w:oddHBand="0" w:evenHBand="0" w:firstRowFirstColumn="0" w:firstRowLastColumn="0" w:lastRowFirstColumn="0" w:lastRowLastColumn="0"/>
            <w:tcW w:w="1204" w:type="pct"/>
            <w:noWrap/>
            <w:hideMark/>
          </w:tcPr>
          <w:p w14:paraId="219530DB" w14:textId="77777777" w:rsidR="00312D9A" w:rsidRPr="00772F2E" w:rsidRDefault="00312D9A" w:rsidP="00772F2E">
            <w:pPr>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Inactivos H</w:t>
            </w:r>
          </w:p>
        </w:tc>
        <w:tc>
          <w:tcPr>
            <w:tcW w:w="546" w:type="pct"/>
            <w:noWrap/>
            <w:hideMark/>
          </w:tcPr>
          <w:p w14:paraId="73801434"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10,1%</w:t>
            </w:r>
          </w:p>
        </w:tc>
        <w:tc>
          <w:tcPr>
            <w:tcW w:w="687" w:type="pct"/>
            <w:noWrap/>
            <w:hideMark/>
          </w:tcPr>
          <w:p w14:paraId="13940D26"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737806</w:t>
            </w:r>
          </w:p>
        </w:tc>
        <w:tc>
          <w:tcPr>
            <w:tcW w:w="546" w:type="pct"/>
            <w:noWrap/>
            <w:hideMark/>
          </w:tcPr>
          <w:p w14:paraId="31C920D4"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2,2%</w:t>
            </w:r>
          </w:p>
        </w:tc>
        <w:tc>
          <w:tcPr>
            <w:tcW w:w="687" w:type="pct"/>
            <w:noWrap/>
            <w:hideMark/>
          </w:tcPr>
          <w:p w14:paraId="0BFD3D6F"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946556</w:t>
            </w:r>
          </w:p>
        </w:tc>
        <w:tc>
          <w:tcPr>
            <w:tcW w:w="724" w:type="pct"/>
            <w:noWrap/>
            <w:hideMark/>
          </w:tcPr>
          <w:p w14:paraId="0D2A8BB1"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49595.84</w:t>
            </w:r>
          </w:p>
        </w:tc>
        <w:tc>
          <w:tcPr>
            <w:tcW w:w="606" w:type="pct"/>
            <w:noWrap/>
            <w:hideMark/>
          </w:tcPr>
          <w:p w14:paraId="343DB9E7"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&lt; 0.05</w:t>
            </w:r>
          </w:p>
        </w:tc>
      </w:tr>
      <w:tr w:rsidR="00312D9A" w:rsidRPr="00772F2E" w14:paraId="44A5B0FA" w14:textId="77777777" w:rsidTr="00F4458B">
        <w:trPr>
          <w:trHeight w:val="300"/>
        </w:trPr>
        <w:tc>
          <w:tcPr>
            <w:cnfStyle w:val="001000000000" w:firstRow="0" w:lastRow="0" w:firstColumn="1" w:lastColumn="0" w:oddVBand="0" w:evenVBand="0" w:oddHBand="0" w:evenHBand="0" w:firstRowFirstColumn="0" w:firstRowLastColumn="0" w:lastRowFirstColumn="0" w:lastRowLastColumn="0"/>
            <w:tcW w:w="1204" w:type="pct"/>
            <w:noWrap/>
            <w:hideMark/>
          </w:tcPr>
          <w:p w14:paraId="214EC07B" w14:textId="77777777" w:rsidR="00312D9A" w:rsidRPr="00772F2E" w:rsidRDefault="00312D9A" w:rsidP="00772F2E">
            <w:pPr>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Inactivos M</w:t>
            </w:r>
          </w:p>
        </w:tc>
        <w:tc>
          <w:tcPr>
            <w:tcW w:w="546" w:type="pct"/>
            <w:noWrap/>
            <w:hideMark/>
          </w:tcPr>
          <w:p w14:paraId="653B0287"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22,3%</w:t>
            </w:r>
          </w:p>
        </w:tc>
        <w:tc>
          <w:tcPr>
            <w:tcW w:w="687" w:type="pct"/>
            <w:noWrap/>
            <w:hideMark/>
          </w:tcPr>
          <w:p w14:paraId="23DCD8B3"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787176</w:t>
            </w:r>
          </w:p>
        </w:tc>
        <w:tc>
          <w:tcPr>
            <w:tcW w:w="546" w:type="pct"/>
            <w:noWrap/>
            <w:hideMark/>
          </w:tcPr>
          <w:p w14:paraId="6A7214D4"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10,3%</w:t>
            </w:r>
          </w:p>
        </w:tc>
        <w:tc>
          <w:tcPr>
            <w:tcW w:w="687" w:type="pct"/>
            <w:noWrap/>
            <w:hideMark/>
          </w:tcPr>
          <w:p w14:paraId="359605FF"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1196917</w:t>
            </w:r>
          </w:p>
        </w:tc>
        <w:tc>
          <w:tcPr>
            <w:tcW w:w="724" w:type="pct"/>
            <w:noWrap/>
            <w:hideMark/>
          </w:tcPr>
          <w:p w14:paraId="5770E093"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53528.72</w:t>
            </w:r>
          </w:p>
        </w:tc>
        <w:tc>
          <w:tcPr>
            <w:tcW w:w="606" w:type="pct"/>
            <w:noWrap/>
            <w:hideMark/>
          </w:tcPr>
          <w:p w14:paraId="2064588C"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&lt; 0.05</w:t>
            </w:r>
          </w:p>
        </w:tc>
      </w:tr>
      <w:tr w:rsidR="00312D9A" w:rsidRPr="00772F2E" w14:paraId="7AEA60DE" w14:textId="77777777" w:rsidTr="00F4458B">
        <w:trPr>
          <w:trHeight w:val="300"/>
        </w:trPr>
        <w:tc>
          <w:tcPr>
            <w:cnfStyle w:val="001000000000" w:firstRow="0" w:lastRow="0" w:firstColumn="1" w:lastColumn="0" w:oddVBand="0" w:evenVBand="0" w:oddHBand="0" w:evenHBand="0" w:firstRowFirstColumn="0" w:firstRowLastColumn="0" w:lastRowFirstColumn="0" w:lastRowLastColumn="0"/>
            <w:tcW w:w="5000" w:type="pct"/>
            <w:gridSpan w:val="7"/>
            <w:noWrap/>
          </w:tcPr>
          <w:p w14:paraId="2383308D" w14:textId="77777777" w:rsidR="00312D9A" w:rsidRPr="00772F2E" w:rsidRDefault="00312D9A" w:rsidP="00772F2E">
            <w:pPr>
              <w:rPr>
                <w:rFonts w:ascii="Times New Roman" w:eastAsia="Times New Roman" w:hAnsi="Times New Roman" w:cs="Times New Roman"/>
                <w:color w:val="000000"/>
                <w:lang w:eastAsia="es-AR"/>
              </w:rPr>
            </w:pPr>
          </w:p>
        </w:tc>
      </w:tr>
      <w:tr w:rsidR="00312D9A" w:rsidRPr="00772F2E" w14:paraId="332D054B" w14:textId="77777777" w:rsidTr="00F4458B">
        <w:trPr>
          <w:trHeight w:val="300"/>
        </w:trPr>
        <w:tc>
          <w:tcPr>
            <w:cnfStyle w:val="001000000000" w:firstRow="0" w:lastRow="0" w:firstColumn="1" w:lastColumn="0" w:oddVBand="0" w:evenVBand="0" w:oddHBand="0" w:evenHBand="0" w:firstRowFirstColumn="0" w:firstRowLastColumn="0" w:lastRowFirstColumn="0" w:lastRowLastColumn="0"/>
            <w:tcW w:w="1204" w:type="pct"/>
            <w:noWrap/>
            <w:hideMark/>
          </w:tcPr>
          <w:p w14:paraId="0C932813" w14:textId="77777777" w:rsidR="00312D9A" w:rsidRPr="00772F2E" w:rsidRDefault="00312D9A" w:rsidP="00772F2E">
            <w:pPr>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Desocupados</w:t>
            </w:r>
          </w:p>
        </w:tc>
        <w:tc>
          <w:tcPr>
            <w:tcW w:w="546" w:type="pct"/>
            <w:noWrap/>
            <w:hideMark/>
          </w:tcPr>
          <w:p w14:paraId="04752B76"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3,7%</w:t>
            </w:r>
          </w:p>
        </w:tc>
        <w:tc>
          <w:tcPr>
            <w:tcW w:w="687" w:type="pct"/>
            <w:noWrap/>
            <w:hideMark/>
          </w:tcPr>
          <w:p w14:paraId="1E10F715"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1278866</w:t>
            </w:r>
          </w:p>
        </w:tc>
        <w:tc>
          <w:tcPr>
            <w:tcW w:w="546" w:type="pct"/>
            <w:noWrap/>
            <w:hideMark/>
          </w:tcPr>
          <w:p w14:paraId="0BE3905D"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2,7%</w:t>
            </w:r>
          </w:p>
        </w:tc>
        <w:tc>
          <w:tcPr>
            <w:tcW w:w="687" w:type="pct"/>
            <w:noWrap/>
            <w:hideMark/>
          </w:tcPr>
          <w:p w14:paraId="3425E7F3"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2018480</w:t>
            </w:r>
          </w:p>
        </w:tc>
        <w:tc>
          <w:tcPr>
            <w:tcW w:w="724" w:type="pct"/>
            <w:noWrap/>
            <w:hideMark/>
          </w:tcPr>
          <w:p w14:paraId="2D40168B"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2423.202</w:t>
            </w:r>
          </w:p>
        </w:tc>
        <w:tc>
          <w:tcPr>
            <w:tcW w:w="606" w:type="pct"/>
            <w:noWrap/>
            <w:hideMark/>
          </w:tcPr>
          <w:p w14:paraId="0EAD8DFE"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&lt; 0.05</w:t>
            </w:r>
          </w:p>
        </w:tc>
      </w:tr>
      <w:tr w:rsidR="00312D9A" w:rsidRPr="00772F2E" w14:paraId="0AB60E21" w14:textId="77777777" w:rsidTr="00F4458B">
        <w:trPr>
          <w:trHeight w:val="300"/>
        </w:trPr>
        <w:tc>
          <w:tcPr>
            <w:cnfStyle w:val="001000000000" w:firstRow="0" w:lastRow="0" w:firstColumn="1" w:lastColumn="0" w:oddVBand="0" w:evenVBand="0" w:oddHBand="0" w:evenHBand="0" w:firstRowFirstColumn="0" w:firstRowLastColumn="0" w:lastRowFirstColumn="0" w:lastRowLastColumn="0"/>
            <w:tcW w:w="1204" w:type="pct"/>
            <w:noWrap/>
            <w:hideMark/>
          </w:tcPr>
          <w:p w14:paraId="6130D4AD" w14:textId="77777777" w:rsidR="00312D9A" w:rsidRPr="00772F2E" w:rsidRDefault="00312D9A" w:rsidP="00772F2E">
            <w:pPr>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Desocupados H</w:t>
            </w:r>
          </w:p>
        </w:tc>
        <w:tc>
          <w:tcPr>
            <w:tcW w:w="546" w:type="pct"/>
            <w:noWrap/>
            <w:hideMark/>
          </w:tcPr>
          <w:p w14:paraId="295BE729"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2,5%</w:t>
            </w:r>
          </w:p>
        </w:tc>
        <w:tc>
          <w:tcPr>
            <w:tcW w:w="687" w:type="pct"/>
            <w:noWrap/>
            <w:hideMark/>
          </w:tcPr>
          <w:p w14:paraId="45BFE277"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666089</w:t>
            </w:r>
          </w:p>
        </w:tc>
        <w:tc>
          <w:tcPr>
            <w:tcW w:w="546" w:type="pct"/>
            <w:noWrap/>
            <w:hideMark/>
          </w:tcPr>
          <w:p w14:paraId="6D5FCF83"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1,4%</w:t>
            </w:r>
          </w:p>
        </w:tc>
        <w:tc>
          <w:tcPr>
            <w:tcW w:w="687" w:type="pct"/>
            <w:noWrap/>
            <w:hideMark/>
          </w:tcPr>
          <w:p w14:paraId="0FA8BE18"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935563</w:t>
            </w:r>
          </w:p>
        </w:tc>
        <w:tc>
          <w:tcPr>
            <w:tcW w:w="724" w:type="pct"/>
            <w:noWrap/>
            <w:hideMark/>
          </w:tcPr>
          <w:p w14:paraId="5791489A"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2711.447</w:t>
            </w:r>
          </w:p>
        </w:tc>
        <w:tc>
          <w:tcPr>
            <w:tcW w:w="606" w:type="pct"/>
            <w:noWrap/>
            <w:hideMark/>
          </w:tcPr>
          <w:p w14:paraId="7B9B2A63"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&lt; 0.05</w:t>
            </w:r>
          </w:p>
        </w:tc>
      </w:tr>
      <w:tr w:rsidR="00312D9A" w:rsidRPr="00772F2E" w14:paraId="7BF503A0" w14:textId="77777777" w:rsidTr="00F4458B">
        <w:trPr>
          <w:trHeight w:val="300"/>
        </w:trPr>
        <w:tc>
          <w:tcPr>
            <w:cnfStyle w:val="001000000000" w:firstRow="0" w:lastRow="0" w:firstColumn="1" w:lastColumn="0" w:oddVBand="0" w:evenVBand="0" w:oddHBand="0" w:evenHBand="0" w:firstRowFirstColumn="0" w:firstRowLastColumn="0" w:lastRowFirstColumn="0" w:lastRowLastColumn="0"/>
            <w:tcW w:w="1204" w:type="pct"/>
            <w:noWrap/>
            <w:hideMark/>
          </w:tcPr>
          <w:p w14:paraId="0548CCB4" w14:textId="77777777" w:rsidR="00312D9A" w:rsidRPr="00772F2E" w:rsidRDefault="00312D9A" w:rsidP="00772F2E">
            <w:pPr>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Desocupados M</w:t>
            </w:r>
          </w:p>
        </w:tc>
        <w:tc>
          <w:tcPr>
            <w:tcW w:w="546" w:type="pct"/>
            <w:noWrap/>
            <w:hideMark/>
          </w:tcPr>
          <w:p w14:paraId="54E1B828"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5,0%</w:t>
            </w:r>
          </w:p>
        </w:tc>
        <w:tc>
          <w:tcPr>
            <w:tcW w:w="687" w:type="pct"/>
            <w:noWrap/>
            <w:hideMark/>
          </w:tcPr>
          <w:p w14:paraId="7262BB28"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612777</w:t>
            </w:r>
          </w:p>
        </w:tc>
        <w:tc>
          <w:tcPr>
            <w:tcW w:w="546" w:type="pct"/>
            <w:noWrap/>
            <w:hideMark/>
          </w:tcPr>
          <w:p w14:paraId="50B2EB8F"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3,9%</w:t>
            </w:r>
          </w:p>
        </w:tc>
        <w:tc>
          <w:tcPr>
            <w:tcW w:w="687" w:type="pct"/>
            <w:noWrap/>
            <w:hideMark/>
          </w:tcPr>
          <w:p w14:paraId="7B03BADE"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1082917</w:t>
            </w:r>
          </w:p>
        </w:tc>
        <w:tc>
          <w:tcPr>
            <w:tcW w:w="724" w:type="pct"/>
            <w:noWrap/>
            <w:hideMark/>
          </w:tcPr>
          <w:p w14:paraId="5924C265"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1140.507</w:t>
            </w:r>
          </w:p>
        </w:tc>
        <w:tc>
          <w:tcPr>
            <w:tcW w:w="606" w:type="pct"/>
            <w:noWrap/>
            <w:hideMark/>
          </w:tcPr>
          <w:p w14:paraId="72427E52"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&lt; 0.05</w:t>
            </w:r>
          </w:p>
        </w:tc>
      </w:tr>
      <w:tr w:rsidR="00312D9A" w:rsidRPr="00772F2E" w14:paraId="67322129" w14:textId="77777777" w:rsidTr="00F4458B">
        <w:trPr>
          <w:trHeight w:val="300"/>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01990A70" w14:textId="77777777" w:rsidR="00312D9A" w:rsidRPr="00772F2E" w:rsidRDefault="00312D9A" w:rsidP="00772F2E">
            <w:pPr>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 </w:t>
            </w:r>
          </w:p>
        </w:tc>
      </w:tr>
      <w:tr w:rsidR="00312D9A" w:rsidRPr="00772F2E" w14:paraId="1528C3C1" w14:textId="77777777" w:rsidTr="00F4458B">
        <w:trPr>
          <w:trHeight w:val="300"/>
        </w:trPr>
        <w:tc>
          <w:tcPr>
            <w:cnfStyle w:val="001000000000" w:firstRow="0" w:lastRow="0" w:firstColumn="1" w:lastColumn="0" w:oddVBand="0" w:evenVBand="0" w:oddHBand="0" w:evenHBand="0" w:firstRowFirstColumn="0" w:firstRowLastColumn="0" w:lastRowFirstColumn="0" w:lastRowLastColumn="0"/>
            <w:tcW w:w="1204" w:type="pct"/>
            <w:noWrap/>
            <w:hideMark/>
          </w:tcPr>
          <w:p w14:paraId="092EFDC3" w14:textId="77777777" w:rsidR="00312D9A" w:rsidRPr="00772F2E" w:rsidRDefault="00312D9A" w:rsidP="00772F2E">
            <w:pPr>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Empleo no reg.</w:t>
            </w:r>
          </w:p>
        </w:tc>
        <w:tc>
          <w:tcPr>
            <w:tcW w:w="546" w:type="pct"/>
            <w:noWrap/>
            <w:hideMark/>
          </w:tcPr>
          <w:p w14:paraId="6AC9D4F0"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41,4%</w:t>
            </w:r>
          </w:p>
        </w:tc>
        <w:tc>
          <w:tcPr>
            <w:tcW w:w="687" w:type="pct"/>
            <w:noWrap/>
            <w:hideMark/>
          </w:tcPr>
          <w:p w14:paraId="5BFAF6BE"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142624</w:t>
            </w:r>
          </w:p>
        </w:tc>
        <w:tc>
          <w:tcPr>
            <w:tcW w:w="546" w:type="pct"/>
            <w:noWrap/>
            <w:hideMark/>
          </w:tcPr>
          <w:p w14:paraId="45D8C518"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22,7%</w:t>
            </w:r>
          </w:p>
        </w:tc>
        <w:tc>
          <w:tcPr>
            <w:tcW w:w="687" w:type="pct"/>
            <w:noWrap/>
            <w:hideMark/>
          </w:tcPr>
          <w:p w14:paraId="280DFD0A"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80916</w:t>
            </w:r>
          </w:p>
        </w:tc>
        <w:tc>
          <w:tcPr>
            <w:tcW w:w="724" w:type="pct"/>
            <w:noWrap/>
            <w:hideMark/>
          </w:tcPr>
          <w:p w14:paraId="3BB141DF"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7991.241</w:t>
            </w:r>
          </w:p>
        </w:tc>
        <w:tc>
          <w:tcPr>
            <w:tcW w:w="606" w:type="pct"/>
            <w:noWrap/>
            <w:hideMark/>
          </w:tcPr>
          <w:p w14:paraId="1A38EEAB"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&lt; 0.05</w:t>
            </w:r>
          </w:p>
        </w:tc>
      </w:tr>
      <w:tr w:rsidR="00312D9A" w:rsidRPr="00772F2E" w14:paraId="5AF9F19E" w14:textId="77777777" w:rsidTr="00F4458B">
        <w:trPr>
          <w:trHeight w:val="300"/>
        </w:trPr>
        <w:tc>
          <w:tcPr>
            <w:cnfStyle w:val="001000000000" w:firstRow="0" w:lastRow="0" w:firstColumn="1" w:lastColumn="0" w:oddVBand="0" w:evenVBand="0" w:oddHBand="0" w:evenHBand="0" w:firstRowFirstColumn="0" w:firstRowLastColumn="0" w:lastRowFirstColumn="0" w:lastRowLastColumn="0"/>
            <w:tcW w:w="1204" w:type="pct"/>
            <w:noWrap/>
            <w:hideMark/>
          </w:tcPr>
          <w:p w14:paraId="57EA8E57" w14:textId="77777777" w:rsidR="00312D9A" w:rsidRPr="00772F2E" w:rsidRDefault="00312D9A" w:rsidP="00772F2E">
            <w:pPr>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Cuentapropismo</w:t>
            </w:r>
          </w:p>
        </w:tc>
        <w:tc>
          <w:tcPr>
            <w:tcW w:w="546" w:type="pct"/>
            <w:noWrap/>
            <w:hideMark/>
          </w:tcPr>
          <w:p w14:paraId="5C638788"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22,0%</w:t>
            </w:r>
          </w:p>
        </w:tc>
        <w:tc>
          <w:tcPr>
            <w:tcW w:w="687" w:type="pct"/>
            <w:noWrap/>
            <w:hideMark/>
          </w:tcPr>
          <w:p w14:paraId="715343C5"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1263741</w:t>
            </w:r>
          </w:p>
        </w:tc>
        <w:tc>
          <w:tcPr>
            <w:tcW w:w="546" w:type="pct"/>
            <w:noWrap/>
            <w:hideMark/>
          </w:tcPr>
          <w:p w14:paraId="225BD4D4"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16,6%</w:t>
            </w:r>
          </w:p>
        </w:tc>
        <w:tc>
          <w:tcPr>
            <w:tcW w:w="687" w:type="pct"/>
            <w:noWrap/>
            <w:hideMark/>
          </w:tcPr>
          <w:p w14:paraId="38009106"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1990275</w:t>
            </w:r>
          </w:p>
        </w:tc>
        <w:tc>
          <w:tcPr>
            <w:tcW w:w="724" w:type="pct"/>
            <w:noWrap/>
            <w:hideMark/>
          </w:tcPr>
          <w:p w14:paraId="08C85C04"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24678.88</w:t>
            </w:r>
          </w:p>
        </w:tc>
        <w:tc>
          <w:tcPr>
            <w:tcW w:w="606" w:type="pct"/>
            <w:noWrap/>
            <w:hideMark/>
          </w:tcPr>
          <w:p w14:paraId="097EA7D9"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&lt; 0.05</w:t>
            </w:r>
          </w:p>
        </w:tc>
      </w:tr>
      <w:tr w:rsidR="00312D9A" w:rsidRPr="00772F2E" w14:paraId="2A535A05" w14:textId="77777777" w:rsidTr="00F4458B">
        <w:trPr>
          <w:trHeight w:val="300"/>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41B726AC" w14:textId="77777777" w:rsidR="00312D9A" w:rsidRPr="00772F2E" w:rsidRDefault="00312D9A" w:rsidP="00772F2E">
            <w:pPr>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 </w:t>
            </w:r>
          </w:p>
        </w:tc>
      </w:tr>
      <w:tr w:rsidR="00312D9A" w:rsidRPr="00772F2E" w14:paraId="7D63554D" w14:textId="77777777" w:rsidTr="00F4458B">
        <w:trPr>
          <w:trHeight w:val="300"/>
        </w:trPr>
        <w:tc>
          <w:tcPr>
            <w:cnfStyle w:val="001000000000" w:firstRow="0" w:lastRow="0" w:firstColumn="1" w:lastColumn="0" w:oddVBand="0" w:evenVBand="0" w:oddHBand="0" w:evenHBand="0" w:firstRowFirstColumn="0" w:firstRowLastColumn="0" w:lastRowFirstColumn="0" w:lastRowLastColumn="0"/>
            <w:tcW w:w="1204" w:type="pct"/>
            <w:noWrap/>
            <w:hideMark/>
          </w:tcPr>
          <w:p w14:paraId="5AB13ADF" w14:textId="77777777" w:rsidR="00312D9A" w:rsidRPr="00772F2E" w:rsidRDefault="00312D9A" w:rsidP="00772F2E">
            <w:pPr>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Quintil 1 ingresos</w:t>
            </w:r>
          </w:p>
        </w:tc>
        <w:tc>
          <w:tcPr>
            <w:tcW w:w="546" w:type="pct"/>
            <w:noWrap/>
            <w:hideMark/>
          </w:tcPr>
          <w:p w14:paraId="5C2C5AAC"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31,9%</w:t>
            </w:r>
          </w:p>
        </w:tc>
        <w:tc>
          <w:tcPr>
            <w:tcW w:w="687" w:type="pct"/>
            <w:noWrap/>
            <w:hideMark/>
          </w:tcPr>
          <w:p w14:paraId="2C9F5446"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1037175</w:t>
            </w:r>
          </w:p>
        </w:tc>
        <w:tc>
          <w:tcPr>
            <w:tcW w:w="546" w:type="pct"/>
            <w:noWrap/>
            <w:hideMark/>
          </w:tcPr>
          <w:p w14:paraId="7770C875"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58,0%</w:t>
            </w:r>
          </w:p>
        </w:tc>
        <w:tc>
          <w:tcPr>
            <w:tcW w:w="687" w:type="pct"/>
            <w:noWrap/>
            <w:hideMark/>
          </w:tcPr>
          <w:p w14:paraId="3CC73833"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1427443</w:t>
            </w:r>
          </w:p>
        </w:tc>
        <w:tc>
          <w:tcPr>
            <w:tcW w:w="724" w:type="pct"/>
            <w:noWrap/>
            <w:hideMark/>
          </w:tcPr>
          <w:p w14:paraId="41C3D491"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273645.2</w:t>
            </w:r>
          </w:p>
        </w:tc>
        <w:tc>
          <w:tcPr>
            <w:tcW w:w="606" w:type="pct"/>
            <w:noWrap/>
            <w:hideMark/>
          </w:tcPr>
          <w:p w14:paraId="10BEA8ED"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&lt; 0.05</w:t>
            </w:r>
          </w:p>
        </w:tc>
      </w:tr>
      <w:tr w:rsidR="00312D9A" w:rsidRPr="00772F2E" w14:paraId="0771193F" w14:textId="77777777" w:rsidTr="00F4458B">
        <w:trPr>
          <w:trHeight w:val="300"/>
        </w:trPr>
        <w:tc>
          <w:tcPr>
            <w:cnfStyle w:val="001000000000" w:firstRow="0" w:lastRow="0" w:firstColumn="1" w:lastColumn="0" w:oddVBand="0" w:evenVBand="0" w:oddHBand="0" w:evenHBand="0" w:firstRowFirstColumn="0" w:firstRowLastColumn="0" w:lastRowFirstColumn="0" w:lastRowLastColumn="0"/>
            <w:tcW w:w="1204" w:type="pct"/>
            <w:noWrap/>
            <w:hideMark/>
          </w:tcPr>
          <w:p w14:paraId="66CC5691" w14:textId="77777777" w:rsidR="00312D9A" w:rsidRPr="00772F2E" w:rsidRDefault="00312D9A" w:rsidP="00772F2E">
            <w:pPr>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Quintil 5 ingresos</w:t>
            </w:r>
          </w:p>
        </w:tc>
        <w:tc>
          <w:tcPr>
            <w:tcW w:w="546" w:type="pct"/>
            <w:noWrap/>
            <w:hideMark/>
          </w:tcPr>
          <w:p w14:paraId="4821F295"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15,3%</w:t>
            </w:r>
          </w:p>
        </w:tc>
        <w:tc>
          <w:tcPr>
            <w:tcW w:w="687" w:type="pct"/>
            <w:noWrap/>
            <w:hideMark/>
          </w:tcPr>
          <w:p w14:paraId="59642C46"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1037175</w:t>
            </w:r>
          </w:p>
        </w:tc>
        <w:tc>
          <w:tcPr>
            <w:tcW w:w="546" w:type="pct"/>
            <w:noWrap/>
            <w:hideMark/>
          </w:tcPr>
          <w:p w14:paraId="730353B7"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2,3%</w:t>
            </w:r>
          </w:p>
        </w:tc>
        <w:tc>
          <w:tcPr>
            <w:tcW w:w="687" w:type="pct"/>
            <w:noWrap/>
            <w:hideMark/>
          </w:tcPr>
          <w:p w14:paraId="61AF8EF6"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1427443</w:t>
            </w:r>
          </w:p>
        </w:tc>
        <w:tc>
          <w:tcPr>
            <w:tcW w:w="724" w:type="pct"/>
            <w:noWrap/>
            <w:hideMark/>
          </w:tcPr>
          <w:p w14:paraId="270C5A65" w14:textId="77777777" w:rsidR="00312D9A" w:rsidRPr="00772F2E" w:rsidRDefault="00312D9A" w:rsidP="00772F2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273645.2</w:t>
            </w:r>
          </w:p>
        </w:tc>
        <w:tc>
          <w:tcPr>
            <w:tcW w:w="606" w:type="pct"/>
            <w:noWrap/>
            <w:hideMark/>
          </w:tcPr>
          <w:p w14:paraId="1FF4A52B" w14:textId="77777777" w:rsidR="00312D9A" w:rsidRPr="00772F2E" w:rsidRDefault="00312D9A" w:rsidP="00772F2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AR"/>
              </w:rPr>
            </w:pPr>
            <w:r w:rsidRPr="00772F2E">
              <w:rPr>
                <w:rFonts w:ascii="Times New Roman" w:eastAsia="Times New Roman" w:hAnsi="Times New Roman" w:cs="Times New Roman"/>
                <w:color w:val="000000"/>
                <w:lang w:eastAsia="es-AR"/>
              </w:rPr>
              <w:t>&lt; 0.05</w:t>
            </w:r>
          </w:p>
        </w:tc>
      </w:tr>
    </w:tbl>
    <w:p w14:paraId="18E24953" w14:textId="77777777" w:rsidR="00312D9A" w:rsidRPr="00772F2E" w:rsidRDefault="00312D9A" w:rsidP="00772F2E">
      <w:pPr>
        <w:spacing w:line="240" w:lineRule="auto"/>
        <w:jc w:val="both"/>
        <w:rPr>
          <w:rFonts w:ascii="Times New Roman" w:hAnsi="Times New Roman" w:cs="Times New Roman"/>
          <w:lang w:val="es-AR"/>
        </w:rPr>
      </w:pPr>
      <w:r w:rsidRPr="00772F2E">
        <w:rPr>
          <w:rFonts w:ascii="Times New Roman" w:hAnsi="Times New Roman" w:cs="Times New Roman"/>
          <w:lang w:val="es-AR"/>
        </w:rPr>
        <w:t xml:space="preserve">Fuente: Elaboración propia a partir de procesamiento de </w:t>
      </w:r>
      <w:r w:rsidRPr="00772F2E">
        <w:rPr>
          <w:rFonts w:ascii="Times New Roman" w:hAnsi="Times New Roman" w:cs="Times New Roman"/>
        </w:rPr>
        <w:t>Encuesta Permanente de Hogares (EPH-INDEC).</w:t>
      </w:r>
    </w:p>
    <w:p w14:paraId="6354D178" w14:textId="77777777" w:rsidR="00057064" w:rsidRDefault="00057064">
      <w:pPr>
        <w:rPr>
          <w:rFonts w:ascii="Times New Roman" w:hAnsi="Times New Roman" w:cs="Times New Roman"/>
          <w:b/>
          <w:bCs/>
          <w:lang w:val="es-AR"/>
        </w:rPr>
      </w:pPr>
      <w:r>
        <w:rPr>
          <w:rFonts w:ascii="Times New Roman" w:hAnsi="Times New Roman" w:cs="Times New Roman"/>
          <w:b/>
          <w:bCs/>
          <w:lang w:val="es-AR"/>
        </w:rPr>
        <w:br w:type="page"/>
      </w:r>
    </w:p>
    <w:p w14:paraId="12CE0BCB" w14:textId="1F5D8F72" w:rsidR="005F3B2E" w:rsidRPr="00772F2E" w:rsidRDefault="005F3B2E" w:rsidP="00772F2E">
      <w:pPr>
        <w:spacing w:line="240" w:lineRule="auto"/>
        <w:rPr>
          <w:rFonts w:ascii="Times New Roman" w:hAnsi="Times New Roman" w:cs="Times New Roman"/>
          <w:b/>
          <w:bCs/>
          <w:lang w:val="es-AR"/>
        </w:rPr>
      </w:pPr>
      <w:r w:rsidRPr="00772F2E">
        <w:rPr>
          <w:rFonts w:ascii="Times New Roman" w:hAnsi="Times New Roman" w:cs="Times New Roman"/>
          <w:b/>
          <w:bCs/>
          <w:lang w:val="es-AR"/>
        </w:rPr>
        <w:lastRenderedPageBreak/>
        <w:t>Conclusiones</w:t>
      </w:r>
    </w:p>
    <w:p w14:paraId="1C52BE00" w14:textId="5F05836E" w:rsidR="004C7C5C" w:rsidRPr="00772F2E" w:rsidRDefault="004C7C5C" w:rsidP="00772F2E">
      <w:pPr>
        <w:spacing w:line="240" w:lineRule="auto"/>
        <w:jc w:val="both"/>
        <w:rPr>
          <w:rFonts w:ascii="Times New Roman" w:hAnsi="Times New Roman" w:cs="Times New Roman"/>
          <w:lang w:val="es-ES"/>
        </w:rPr>
      </w:pPr>
      <w:r w:rsidRPr="00772F2E">
        <w:rPr>
          <w:rFonts w:ascii="Times New Roman" w:hAnsi="Times New Roman" w:cs="Times New Roman"/>
          <w:lang w:val="es-ES"/>
        </w:rPr>
        <w:t xml:space="preserve">Este estudio se propuso analizar la relación entre la población universitaria de Argentina y el mercado laboral, con énfasis en el acceso al trabajo, en el marco de las transformaciones del mercado </w:t>
      </w:r>
      <w:r w:rsidR="003B733E">
        <w:rPr>
          <w:rFonts w:ascii="Times New Roman" w:hAnsi="Times New Roman" w:cs="Times New Roman"/>
          <w:lang w:val="es-ES"/>
        </w:rPr>
        <w:t>laboral</w:t>
      </w:r>
      <w:r w:rsidRPr="00772F2E">
        <w:rPr>
          <w:rFonts w:ascii="Times New Roman" w:hAnsi="Times New Roman" w:cs="Times New Roman"/>
          <w:lang w:val="es-ES"/>
        </w:rPr>
        <w:t xml:space="preserve"> y las consiguientes tensiones entre la formación académica y las demandas productivas. Se partió de la </w:t>
      </w:r>
      <w:proofErr w:type="spellStart"/>
      <w:r w:rsidRPr="00772F2E">
        <w:rPr>
          <w:rFonts w:ascii="Times New Roman" w:hAnsi="Times New Roman" w:cs="Times New Roman"/>
          <w:lang w:val="es-ES"/>
        </w:rPr>
        <w:t>complejización</w:t>
      </w:r>
      <w:proofErr w:type="spellEnd"/>
      <w:r w:rsidRPr="00772F2E">
        <w:rPr>
          <w:rFonts w:ascii="Times New Roman" w:hAnsi="Times New Roman" w:cs="Times New Roman"/>
          <w:lang w:val="es-ES"/>
        </w:rPr>
        <w:t xml:space="preserve"> de este escenario debido al aumento de demanda de educación superior impulsada por tres grandes dinámicas: los cambios provenientes del desarrollo tecnológico, la demanda emergente de la expansión y democratización de los estudios universitarios, y las expectativas y redefiniciones de la vinculación entre la universidad y el sector productivo. El abordaje incluyó la revisión de literatura académica y el análisis de los datos provenientes de la Encuesta Permanente de Hogares en las olas de 2016, 2020 y 2024. Se busc</w:t>
      </w:r>
      <w:r w:rsidR="009D1142">
        <w:rPr>
          <w:rFonts w:ascii="Times New Roman" w:hAnsi="Times New Roman" w:cs="Times New Roman"/>
          <w:lang w:val="es-ES"/>
        </w:rPr>
        <w:t>ó</w:t>
      </w:r>
      <w:r w:rsidRPr="00772F2E">
        <w:rPr>
          <w:rFonts w:ascii="Times New Roman" w:hAnsi="Times New Roman" w:cs="Times New Roman"/>
          <w:lang w:val="es-ES"/>
        </w:rPr>
        <w:t xml:space="preserve"> que este trabajo contribuya en la comprensión de la articulación entre las dimensiones educativas y laborales desde una perspectiva estructural y diacrónica. </w:t>
      </w:r>
    </w:p>
    <w:p w14:paraId="2D4FC7F0" w14:textId="77777777" w:rsidR="004C7C5C" w:rsidRPr="00772F2E" w:rsidRDefault="004C7C5C" w:rsidP="00772F2E">
      <w:pPr>
        <w:spacing w:line="240" w:lineRule="auto"/>
        <w:jc w:val="both"/>
        <w:rPr>
          <w:rFonts w:ascii="Times New Roman" w:hAnsi="Times New Roman" w:cs="Times New Roman"/>
          <w:lang w:val="es-ES"/>
        </w:rPr>
      </w:pPr>
      <w:r w:rsidRPr="00772F2E">
        <w:rPr>
          <w:rFonts w:ascii="Times New Roman" w:hAnsi="Times New Roman" w:cs="Times New Roman"/>
          <w:lang w:val="es-ES"/>
        </w:rPr>
        <w:t>En términos de la revisión del estado del arte, con el desarrollo tecnológico se observa una demanda creciente hacia la educación superior que no logra acortar la brecha entre las capacidades de los graduados y la demanda de los empleadores. Además de las nuevas necesidades ligadas a la tecnología, se acentúa la necesidad de conocimientos entendidos como “habilidades transversales”, tales como el pensamiento crítico, la resolución de problemas, comunicación, etc.  Desde el punto de vista de los estudiantes, la decisión de cursar estudios superiores está vinculada a la posibilidad de mayores ingresos a futuro. En el caso argentino en particular, es frecuente el trabajo entre los estudiantes con el doble objetivo de la obtención de ingresos y experiencia laboral.</w:t>
      </w:r>
    </w:p>
    <w:p w14:paraId="68B61608" w14:textId="05D899B5" w:rsidR="004C7C5C" w:rsidRPr="00772F2E" w:rsidRDefault="004C7C5C" w:rsidP="00772F2E">
      <w:pPr>
        <w:spacing w:line="240" w:lineRule="auto"/>
        <w:jc w:val="both"/>
        <w:rPr>
          <w:rFonts w:ascii="Times New Roman" w:hAnsi="Times New Roman" w:cs="Times New Roman"/>
          <w:lang w:val="es-ES"/>
        </w:rPr>
      </w:pPr>
      <w:r w:rsidRPr="00772F2E">
        <w:rPr>
          <w:rFonts w:ascii="Times New Roman" w:hAnsi="Times New Roman" w:cs="Times New Roman"/>
          <w:lang w:val="es-ES"/>
        </w:rPr>
        <w:t xml:space="preserve">En paralelo a los estudios tradicionales, se puede observar una demanda de flexibilidad en la oferta académica, en forma de títulos intermedios o técnicos. Sin embargo, la bibliografía especializada también advierte que </w:t>
      </w:r>
      <w:r w:rsidR="009D1142">
        <w:rPr>
          <w:rFonts w:ascii="Times New Roman" w:hAnsi="Times New Roman" w:cs="Times New Roman"/>
          <w:lang w:val="es-ES"/>
        </w:rPr>
        <w:t xml:space="preserve">existe el riesgo de </w:t>
      </w:r>
      <w:r w:rsidRPr="00772F2E">
        <w:rPr>
          <w:rFonts w:ascii="Times New Roman" w:hAnsi="Times New Roman" w:cs="Times New Roman"/>
          <w:lang w:val="es-ES"/>
        </w:rPr>
        <w:t>generar una oferta de menor calidad que no provee una base sólida de conocimientos.</w:t>
      </w:r>
    </w:p>
    <w:p w14:paraId="2C781490" w14:textId="77777777" w:rsidR="004C7C5C" w:rsidRPr="00772F2E" w:rsidRDefault="004C7C5C" w:rsidP="00772F2E">
      <w:pPr>
        <w:spacing w:line="240" w:lineRule="auto"/>
        <w:jc w:val="both"/>
        <w:rPr>
          <w:rFonts w:ascii="Times New Roman" w:hAnsi="Times New Roman" w:cs="Times New Roman"/>
          <w:lang w:val="es-ES"/>
        </w:rPr>
      </w:pPr>
      <w:r w:rsidRPr="00772F2E">
        <w:rPr>
          <w:rFonts w:ascii="Times New Roman" w:hAnsi="Times New Roman" w:cs="Times New Roman"/>
          <w:lang w:val="es-ES"/>
        </w:rPr>
        <w:t>Frente a estas demandas y a la que plantea el sector productivo, se puede observar una capacidad de respuesta distinta en las universidades públicas y privadas. Mientras que las últimas cuentan con procesos más ágiles para estructurar ofertas más sensibles al mercado, las universidades públicas cuentan con restricciones presupuestarias y mecanismos complejos de gestión. En todos los casos, es necesario un aseguramiento de la calidad. Las instituciones reciben la presión de dar respuestas a estas demandas de distintos actores y fuentes desarrollando cambios en su estructura académica, enfoques pedagógicos y articulación con actores externos.</w:t>
      </w:r>
    </w:p>
    <w:p w14:paraId="0D8D2F85" w14:textId="77777777" w:rsidR="004C7C5C" w:rsidRPr="00772F2E" w:rsidRDefault="004C7C5C" w:rsidP="00772F2E">
      <w:pPr>
        <w:spacing w:line="240" w:lineRule="auto"/>
        <w:jc w:val="both"/>
        <w:rPr>
          <w:rFonts w:ascii="Times New Roman" w:hAnsi="Times New Roman" w:cs="Times New Roman"/>
          <w:lang w:val="es-ES"/>
        </w:rPr>
      </w:pPr>
      <w:r w:rsidRPr="00772F2E">
        <w:rPr>
          <w:rFonts w:ascii="Times New Roman" w:hAnsi="Times New Roman" w:cs="Times New Roman"/>
          <w:lang w:val="es-ES"/>
        </w:rPr>
        <w:t>En el período estudiado, 2016 a 2024, hay un crecimiento constante de la población que accede a la universidad, con una preferencia por las instituciones universitarias. Las personas que accedieron a los estudios superiores poseen una perspectiva de empleos de mayor calidad (expresado en ingresos, estabilidad, empleo registrado) si bien al momento de ser estudiantes (con estudios incompletos) pueden tener temporalmente empleos más precarios, lo que puede atribuirse a la necesidad de combinar estos con los estudios.</w:t>
      </w:r>
    </w:p>
    <w:p w14:paraId="7C64B3E4" w14:textId="77777777" w:rsidR="004C7C5C" w:rsidRPr="00772F2E" w:rsidRDefault="004C7C5C" w:rsidP="00772F2E">
      <w:pPr>
        <w:spacing w:line="240" w:lineRule="auto"/>
        <w:jc w:val="both"/>
        <w:rPr>
          <w:rFonts w:ascii="Times New Roman" w:hAnsi="Times New Roman" w:cs="Times New Roman"/>
          <w:lang w:val="es-ES"/>
        </w:rPr>
      </w:pPr>
      <w:r w:rsidRPr="00772F2E">
        <w:rPr>
          <w:rFonts w:ascii="Times New Roman" w:hAnsi="Times New Roman" w:cs="Times New Roman"/>
          <w:lang w:val="es-ES"/>
        </w:rPr>
        <w:lastRenderedPageBreak/>
        <w:t>Debe tenerse en cuenta, sin embargo, que la trayectoria educacional completa está afectada por cuestiones estructurales como el estrato social, con una participación menor de los estratos más bajos en los estudios superiores.</w:t>
      </w:r>
    </w:p>
    <w:p w14:paraId="544B704F" w14:textId="3C654173" w:rsidR="00057064" w:rsidRDefault="004C7C5C" w:rsidP="00772F2E">
      <w:pPr>
        <w:spacing w:line="240" w:lineRule="auto"/>
        <w:jc w:val="both"/>
        <w:rPr>
          <w:rFonts w:ascii="Times New Roman" w:hAnsi="Times New Roman" w:cs="Times New Roman"/>
          <w:lang w:val="es-ES"/>
        </w:rPr>
      </w:pPr>
      <w:r w:rsidRPr="00772F2E">
        <w:rPr>
          <w:rFonts w:ascii="Times New Roman" w:hAnsi="Times New Roman" w:cs="Times New Roman"/>
          <w:lang w:val="es-ES"/>
        </w:rPr>
        <w:t>La inserción laboral de los graduados universitarios muestra una correlación positiva entre nivel educativo y calidad del empleo, aunque persisten brechas según género, origen social y tipo de institución a la que asistieron.</w:t>
      </w:r>
    </w:p>
    <w:p w14:paraId="138CBA1D" w14:textId="77777777" w:rsidR="00057064" w:rsidRDefault="00057064">
      <w:pPr>
        <w:rPr>
          <w:rFonts w:ascii="Times New Roman" w:hAnsi="Times New Roman" w:cs="Times New Roman"/>
          <w:lang w:val="es-ES"/>
        </w:rPr>
      </w:pPr>
      <w:r>
        <w:rPr>
          <w:rFonts w:ascii="Times New Roman" w:hAnsi="Times New Roman" w:cs="Times New Roman"/>
          <w:lang w:val="es-ES"/>
        </w:rPr>
        <w:br w:type="page"/>
      </w:r>
    </w:p>
    <w:p w14:paraId="39B57161" w14:textId="69DC08D7" w:rsidR="005F3B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lastRenderedPageBreak/>
        <w:t>Referencias Bibliográficas (APA 7)</w:t>
      </w:r>
    </w:p>
    <w:p w14:paraId="57765061" w14:textId="77777777" w:rsidR="00D10169" w:rsidRPr="00B71883" w:rsidRDefault="00D10169" w:rsidP="00D10169">
      <w:pPr>
        <w:ind w:left="709" w:hanging="709"/>
        <w:jc w:val="both"/>
        <w:rPr>
          <w:rFonts w:ascii="Times New Roman" w:hAnsi="Times New Roman" w:cs="Times New Roman"/>
          <w:lang w:val="en-US"/>
        </w:rPr>
      </w:pPr>
      <w:r w:rsidRPr="00610FDF">
        <w:rPr>
          <w:rFonts w:ascii="Times New Roman" w:hAnsi="Times New Roman" w:cs="Times New Roman"/>
        </w:rPr>
        <w:t>Adamini, M. (2017). Precarización laboral encubierta detrás de la educación como forma de pago: el caso de las pasantías universitarias. </w:t>
      </w:r>
      <w:r w:rsidRPr="00B71883">
        <w:rPr>
          <w:rFonts w:ascii="Times New Roman" w:hAnsi="Times New Roman" w:cs="Times New Roman"/>
          <w:lang w:val="en-US"/>
        </w:rPr>
        <w:t xml:space="preserve">Praxis </w:t>
      </w:r>
      <w:proofErr w:type="spellStart"/>
      <w:r w:rsidRPr="00B71883">
        <w:rPr>
          <w:rFonts w:ascii="Times New Roman" w:hAnsi="Times New Roman" w:cs="Times New Roman"/>
          <w:lang w:val="en-US"/>
        </w:rPr>
        <w:t>Educativa</w:t>
      </w:r>
      <w:proofErr w:type="spellEnd"/>
      <w:r w:rsidRPr="00B71883">
        <w:rPr>
          <w:rFonts w:ascii="Times New Roman" w:hAnsi="Times New Roman" w:cs="Times New Roman"/>
          <w:lang w:val="en-US"/>
        </w:rPr>
        <w:t>, 21(3), 32-39.</w:t>
      </w:r>
    </w:p>
    <w:p w14:paraId="224CC947" w14:textId="77777777" w:rsidR="00754C9C" w:rsidRPr="00754C9C" w:rsidRDefault="00754C9C" w:rsidP="00754C9C">
      <w:pPr>
        <w:ind w:left="709" w:hanging="709"/>
        <w:jc w:val="both"/>
        <w:rPr>
          <w:rFonts w:ascii="Times New Roman" w:hAnsi="Times New Roman" w:cs="Times New Roman"/>
          <w:lang w:val="en-US"/>
        </w:rPr>
      </w:pPr>
      <w:r w:rsidRPr="00754C9C">
        <w:rPr>
          <w:rFonts w:ascii="Times New Roman" w:hAnsi="Times New Roman" w:cs="Times New Roman"/>
          <w:lang w:val="en-US"/>
        </w:rPr>
        <w:t xml:space="preserve">Aedo, C., y Walker, I. (2012). Skills for the 21st Century in Latin America and the Caribbean. Washington DC: World Bank. </w:t>
      </w:r>
      <w:proofErr w:type="spellStart"/>
      <w:r w:rsidRPr="00754C9C">
        <w:rPr>
          <w:rFonts w:ascii="Times New Roman" w:hAnsi="Times New Roman" w:cs="Times New Roman"/>
          <w:lang w:val="en-US"/>
        </w:rPr>
        <w:t>Recuperado</w:t>
      </w:r>
      <w:proofErr w:type="spellEnd"/>
      <w:r w:rsidRPr="00754C9C">
        <w:rPr>
          <w:rFonts w:ascii="Times New Roman" w:hAnsi="Times New Roman" w:cs="Times New Roman"/>
          <w:lang w:val="en-US"/>
        </w:rPr>
        <w:t xml:space="preserve"> de https://openknowledge.worldbank.org/handle/10986/2236</w:t>
      </w:r>
    </w:p>
    <w:p w14:paraId="53459C16" w14:textId="4323D6F3" w:rsidR="008D2B11" w:rsidRPr="00610FDF" w:rsidRDefault="008D2B11" w:rsidP="008D2B11">
      <w:pPr>
        <w:ind w:left="709" w:hanging="709"/>
        <w:jc w:val="both"/>
        <w:rPr>
          <w:rFonts w:ascii="Times New Roman" w:hAnsi="Times New Roman" w:cs="Times New Roman"/>
          <w:lang w:val="es-AR"/>
        </w:rPr>
      </w:pPr>
      <w:r w:rsidRPr="00610FDF">
        <w:rPr>
          <w:rFonts w:ascii="Times New Roman" w:hAnsi="Times New Roman" w:cs="Times New Roman"/>
          <w:lang w:val="es-AR"/>
        </w:rPr>
        <w:t xml:space="preserve">Barletta, C. M. (2025), Una revisión a los procesos de transición entre universidad y trabajo desde la perspectiva del ciclo de vida, </w:t>
      </w:r>
      <w:r w:rsidRPr="00610FDF">
        <w:rPr>
          <w:rFonts w:ascii="Times New Roman" w:hAnsi="Times New Roman" w:cs="Times New Roman"/>
          <w:i/>
          <w:iCs/>
          <w:lang w:val="es-AR"/>
        </w:rPr>
        <w:t>Trayectorias Universitarias</w:t>
      </w:r>
      <w:r w:rsidRPr="00610FDF">
        <w:rPr>
          <w:rFonts w:ascii="Times New Roman" w:hAnsi="Times New Roman" w:cs="Times New Roman"/>
          <w:lang w:val="es-AR"/>
        </w:rPr>
        <w:t>, 11 (20), e178, 2025ISSN 2469-0090, https://doi.org/10.24215/24690090e178</w:t>
      </w:r>
    </w:p>
    <w:p w14:paraId="155C1565" w14:textId="77777777" w:rsidR="00412211" w:rsidRPr="00610FDF" w:rsidRDefault="00412211" w:rsidP="00412211">
      <w:pPr>
        <w:ind w:left="709" w:hanging="709"/>
        <w:jc w:val="both"/>
        <w:rPr>
          <w:rFonts w:ascii="Times New Roman" w:hAnsi="Times New Roman" w:cs="Times New Roman"/>
        </w:rPr>
      </w:pPr>
      <w:r w:rsidRPr="00610FDF">
        <w:rPr>
          <w:rFonts w:ascii="Times New Roman" w:hAnsi="Times New Roman" w:cs="Times New Roman"/>
          <w:lang w:val="en-US"/>
        </w:rPr>
        <w:t xml:space="preserve">Brown, M., &amp; Nic-Giolla-Mhichil, M. (2022). </w:t>
      </w:r>
      <w:r w:rsidRPr="00610FDF">
        <w:rPr>
          <w:rFonts w:ascii="Times New Roman" w:hAnsi="Times New Roman" w:cs="Times New Roman"/>
        </w:rPr>
        <w:t xml:space="preserve">Descifrando las </w:t>
      </w:r>
      <w:proofErr w:type="spellStart"/>
      <w:r w:rsidRPr="00610FDF">
        <w:rPr>
          <w:rFonts w:ascii="Times New Roman" w:hAnsi="Times New Roman" w:cs="Times New Roman"/>
        </w:rPr>
        <w:t>microcredenciales</w:t>
      </w:r>
      <w:proofErr w:type="spellEnd"/>
      <w:r w:rsidRPr="00610FDF">
        <w:rPr>
          <w:rFonts w:ascii="Times New Roman" w:hAnsi="Times New Roman" w:cs="Times New Roman"/>
        </w:rPr>
        <w:t xml:space="preserve">: en qué consisten, ventajas e inconvenientes. Culture and </w:t>
      </w:r>
      <w:proofErr w:type="spellStart"/>
      <w:r w:rsidRPr="00610FDF">
        <w:rPr>
          <w:rFonts w:ascii="Times New Roman" w:hAnsi="Times New Roman" w:cs="Times New Roman"/>
        </w:rPr>
        <w:t>Education</w:t>
      </w:r>
      <w:proofErr w:type="spellEnd"/>
      <w:r w:rsidRPr="00610FDF">
        <w:rPr>
          <w:rFonts w:ascii="Times New Roman" w:hAnsi="Times New Roman" w:cs="Times New Roman"/>
        </w:rPr>
        <w:t>, 34(4), 938-973.</w:t>
      </w:r>
    </w:p>
    <w:p w14:paraId="49480E47" w14:textId="77777777" w:rsidR="008460A9" w:rsidRPr="00610FDF" w:rsidRDefault="008460A9" w:rsidP="008460A9">
      <w:pPr>
        <w:ind w:left="709" w:hanging="709"/>
        <w:jc w:val="both"/>
        <w:rPr>
          <w:rFonts w:ascii="Times New Roman" w:hAnsi="Times New Roman" w:cs="Times New Roman"/>
        </w:rPr>
      </w:pPr>
      <w:r w:rsidRPr="00610FDF">
        <w:rPr>
          <w:rFonts w:ascii="Times New Roman" w:hAnsi="Times New Roman" w:cs="Times New Roman"/>
        </w:rPr>
        <w:t>Brunner, J. J. (2015). Medio siglo de transformaciones de la educación superior chilena: Un ensayo de interpretación. En A. Bernasconi (Ed.), La educación superior de Chile: Transformación, desarrollo y crisis. Santiago de Chile: Ediciones UC.</w:t>
      </w:r>
    </w:p>
    <w:p w14:paraId="5EE6F523" w14:textId="44BD90F8" w:rsidR="00754C9C" w:rsidRPr="00754C9C" w:rsidRDefault="00754C9C" w:rsidP="00754C9C">
      <w:pPr>
        <w:ind w:left="709" w:hanging="709"/>
        <w:jc w:val="both"/>
        <w:rPr>
          <w:rFonts w:ascii="Times New Roman" w:hAnsi="Times New Roman" w:cs="Times New Roman"/>
        </w:rPr>
      </w:pPr>
      <w:r w:rsidRPr="00754C9C">
        <w:rPr>
          <w:rFonts w:ascii="Times New Roman" w:hAnsi="Times New Roman" w:cs="Times New Roman"/>
        </w:rPr>
        <w:t xml:space="preserve">de Navarrete, F. C. F., &amp; </w:t>
      </w:r>
      <w:proofErr w:type="spellStart"/>
      <w:r w:rsidRPr="00754C9C">
        <w:rPr>
          <w:rFonts w:ascii="Times New Roman" w:hAnsi="Times New Roman" w:cs="Times New Roman"/>
        </w:rPr>
        <w:t>Pomeda</w:t>
      </w:r>
      <w:proofErr w:type="spellEnd"/>
      <w:r w:rsidRPr="00754C9C">
        <w:rPr>
          <w:rFonts w:ascii="Times New Roman" w:hAnsi="Times New Roman" w:cs="Times New Roman"/>
        </w:rPr>
        <w:t>, J. R. (2015). Cambios y tendencias en la educación superior: los retos para la universidad. </w:t>
      </w:r>
      <w:r w:rsidRPr="00754C9C">
        <w:rPr>
          <w:rFonts w:ascii="Times New Roman" w:hAnsi="Times New Roman" w:cs="Times New Roman"/>
          <w:i/>
          <w:iCs/>
        </w:rPr>
        <w:t>Encuentros multidisciplinares</w:t>
      </w:r>
      <w:r w:rsidRPr="00754C9C">
        <w:rPr>
          <w:rFonts w:ascii="Times New Roman" w:hAnsi="Times New Roman" w:cs="Times New Roman"/>
        </w:rPr>
        <w:t>, </w:t>
      </w:r>
      <w:r w:rsidRPr="00754C9C">
        <w:rPr>
          <w:rFonts w:ascii="Times New Roman" w:hAnsi="Times New Roman" w:cs="Times New Roman"/>
          <w:i/>
          <w:iCs/>
        </w:rPr>
        <w:t>17</w:t>
      </w:r>
      <w:r w:rsidRPr="00754C9C">
        <w:rPr>
          <w:rFonts w:ascii="Times New Roman" w:hAnsi="Times New Roman" w:cs="Times New Roman"/>
        </w:rPr>
        <w:t>(49), 30-39.</w:t>
      </w:r>
    </w:p>
    <w:p w14:paraId="31CED689" w14:textId="0DA06FA0" w:rsidR="00893A59" w:rsidRPr="00610FDF" w:rsidRDefault="00893A59" w:rsidP="00893A59">
      <w:pPr>
        <w:ind w:left="709" w:hanging="709"/>
        <w:jc w:val="both"/>
        <w:rPr>
          <w:rFonts w:ascii="Times New Roman" w:hAnsi="Times New Roman" w:cs="Times New Roman"/>
        </w:rPr>
      </w:pPr>
      <w:proofErr w:type="spellStart"/>
      <w:r w:rsidRPr="00610FDF">
        <w:rPr>
          <w:rFonts w:ascii="Times New Roman" w:hAnsi="Times New Roman" w:cs="Times New Roman"/>
        </w:rPr>
        <w:t>Donnet</w:t>
      </w:r>
      <w:proofErr w:type="spellEnd"/>
      <w:r w:rsidRPr="00610FDF">
        <w:rPr>
          <w:rFonts w:ascii="Times New Roman" w:hAnsi="Times New Roman" w:cs="Times New Roman"/>
        </w:rPr>
        <w:t xml:space="preserve">, C., Zanichelli, M. y </w:t>
      </w:r>
      <w:proofErr w:type="spellStart"/>
      <w:r w:rsidRPr="00610FDF">
        <w:rPr>
          <w:rFonts w:ascii="Times New Roman" w:hAnsi="Times New Roman" w:cs="Times New Roman"/>
        </w:rPr>
        <w:t>Etcheverría</w:t>
      </w:r>
      <w:proofErr w:type="spellEnd"/>
      <w:r w:rsidRPr="00610FDF">
        <w:rPr>
          <w:rFonts w:ascii="Times New Roman" w:hAnsi="Times New Roman" w:cs="Times New Roman"/>
        </w:rPr>
        <w:t xml:space="preserve">, J (2018) Inserción laboral de jóvenes universitarios. En Chavez Rodríguez, C. y Garrido Noguera, C.(eds.) La vinculación Universidad-Empresa, (pp. 29-47). </w:t>
      </w:r>
      <w:proofErr w:type="spellStart"/>
      <w:r w:rsidRPr="00610FDF">
        <w:rPr>
          <w:rFonts w:ascii="Times New Roman" w:hAnsi="Times New Roman" w:cs="Times New Roman"/>
        </w:rPr>
        <w:t>RedUE</w:t>
      </w:r>
      <w:proofErr w:type="spellEnd"/>
      <w:r w:rsidRPr="00610FDF">
        <w:rPr>
          <w:rFonts w:ascii="Times New Roman" w:hAnsi="Times New Roman" w:cs="Times New Roman"/>
        </w:rPr>
        <w:t>.</w:t>
      </w:r>
    </w:p>
    <w:p w14:paraId="5CD6577B" w14:textId="77777777" w:rsidR="008758EE" w:rsidRDefault="008758EE" w:rsidP="008758EE">
      <w:pPr>
        <w:ind w:left="709" w:hanging="709"/>
        <w:jc w:val="both"/>
        <w:rPr>
          <w:rFonts w:ascii="Times New Roman" w:hAnsi="Times New Roman" w:cs="Times New Roman"/>
        </w:rPr>
      </w:pPr>
      <w:r w:rsidRPr="00610FDF">
        <w:rPr>
          <w:rFonts w:ascii="Times New Roman" w:hAnsi="Times New Roman" w:cs="Times New Roman"/>
        </w:rPr>
        <w:t>Didriksson, A. (2008). Contexto global y regional de la educación superior en América Latina y el Caribe. En A. Gazzola y A. Didriksson (</w:t>
      </w:r>
      <w:proofErr w:type="spellStart"/>
      <w:r w:rsidRPr="00610FDF">
        <w:rPr>
          <w:rFonts w:ascii="Times New Roman" w:hAnsi="Times New Roman" w:cs="Times New Roman"/>
        </w:rPr>
        <w:t>Coords</w:t>
      </w:r>
      <w:proofErr w:type="spellEnd"/>
      <w:r w:rsidRPr="00610FDF">
        <w:rPr>
          <w:rFonts w:ascii="Times New Roman" w:hAnsi="Times New Roman" w:cs="Times New Roman"/>
        </w:rPr>
        <w:t>.), Tendencias de la Educación Superior en América Latina y el Caribe. Caracas: IESALC-UNESCO.</w:t>
      </w:r>
    </w:p>
    <w:p w14:paraId="4CA705B6" w14:textId="5D21B4A0" w:rsidR="00434D37" w:rsidRPr="00610FDF" w:rsidRDefault="00434D37" w:rsidP="008758EE">
      <w:pPr>
        <w:ind w:left="709" w:hanging="709"/>
        <w:jc w:val="both"/>
        <w:rPr>
          <w:rFonts w:ascii="Times New Roman" w:hAnsi="Times New Roman" w:cs="Times New Roman"/>
        </w:rPr>
      </w:pPr>
      <w:r>
        <w:rPr>
          <w:rFonts w:ascii="Times New Roman" w:hAnsi="Times New Roman" w:cs="Times New Roman"/>
        </w:rPr>
        <w:t xml:space="preserve">Fernández Rodríguez, E. (2009). </w:t>
      </w:r>
      <w:r w:rsidR="00015EEF">
        <w:rPr>
          <w:rFonts w:ascii="Times New Roman" w:hAnsi="Times New Roman" w:cs="Times New Roman"/>
        </w:rPr>
        <w:t xml:space="preserve">El discurso de la </w:t>
      </w:r>
      <w:r w:rsidR="00663B44">
        <w:rPr>
          <w:rFonts w:ascii="Times New Roman" w:hAnsi="Times New Roman" w:cs="Times New Roman"/>
        </w:rPr>
        <w:t>formación basada en competencias profesionales. Un</w:t>
      </w:r>
      <w:r w:rsidR="003401EF">
        <w:rPr>
          <w:rFonts w:ascii="Times New Roman" w:hAnsi="Times New Roman" w:cs="Times New Roman"/>
        </w:rPr>
        <w:t xml:space="preserve"> análisis crítico de la formación inicial de profesionales en la Educación Superior. </w:t>
      </w:r>
      <w:r w:rsidR="003401EF" w:rsidRPr="009E3C0F">
        <w:rPr>
          <w:rFonts w:ascii="Times New Roman" w:hAnsi="Times New Roman" w:cs="Times New Roman"/>
          <w:i/>
          <w:iCs/>
        </w:rPr>
        <w:t>Re</w:t>
      </w:r>
      <w:r w:rsidR="001A0D88" w:rsidRPr="009E3C0F">
        <w:rPr>
          <w:rFonts w:ascii="Times New Roman" w:hAnsi="Times New Roman" w:cs="Times New Roman"/>
          <w:i/>
          <w:iCs/>
        </w:rPr>
        <w:t>vista Electrónica Interuniversitaria de Formación del Profesorado</w:t>
      </w:r>
      <w:r w:rsidR="001A0D88">
        <w:rPr>
          <w:rFonts w:ascii="Times New Roman" w:hAnsi="Times New Roman" w:cs="Times New Roman"/>
        </w:rPr>
        <w:t xml:space="preserve">, </w:t>
      </w:r>
      <w:r w:rsidR="001A0D88" w:rsidRPr="009E3C0F">
        <w:rPr>
          <w:rFonts w:ascii="Times New Roman" w:hAnsi="Times New Roman" w:cs="Times New Roman"/>
          <w:i/>
          <w:iCs/>
        </w:rPr>
        <w:t>1</w:t>
      </w:r>
      <w:r w:rsidR="009E3C0F" w:rsidRPr="009E3C0F">
        <w:rPr>
          <w:rFonts w:ascii="Times New Roman" w:hAnsi="Times New Roman" w:cs="Times New Roman"/>
          <w:i/>
          <w:iCs/>
        </w:rPr>
        <w:t>2</w:t>
      </w:r>
      <w:r w:rsidR="009E3C0F">
        <w:rPr>
          <w:rFonts w:ascii="Times New Roman" w:hAnsi="Times New Roman" w:cs="Times New Roman"/>
        </w:rPr>
        <w:t>(1), 151-160.</w:t>
      </w:r>
      <w:r w:rsidR="0000733E">
        <w:rPr>
          <w:rFonts w:ascii="Times New Roman" w:hAnsi="Times New Roman" w:cs="Times New Roman"/>
        </w:rPr>
        <w:t xml:space="preserve"> </w:t>
      </w:r>
      <w:r w:rsidR="0000733E" w:rsidRPr="0000733E">
        <w:rPr>
          <w:rFonts w:ascii="Times New Roman" w:hAnsi="Times New Roman" w:cs="Times New Roman"/>
        </w:rPr>
        <w:t>E-ISSN: 1575-0965</w:t>
      </w:r>
      <w:r w:rsidR="0000733E">
        <w:rPr>
          <w:rFonts w:ascii="Times New Roman" w:hAnsi="Times New Roman" w:cs="Times New Roman"/>
        </w:rPr>
        <w:t>.</w:t>
      </w:r>
    </w:p>
    <w:p w14:paraId="4FBE0255" w14:textId="426447AC" w:rsidR="00AC42F1" w:rsidRPr="002A6BCC" w:rsidRDefault="00AC42F1" w:rsidP="00AC42F1">
      <w:pPr>
        <w:ind w:left="709" w:hanging="709"/>
        <w:jc w:val="both"/>
        <w:rPr>
          <w:rFonts w:ascii="Times New Roman" w:hAnsi="Times New Roman" w:cs="Times New Roman"/>
        </w:rPr>
      </w:pPr>
      <w:r w:rsidRPr="00610FDF">
        <w:rPr>
          <w:rFonts w:ascii="Times New Roman" w:hAnsi="Times New Roman" w:cs="Times New Roman"/>
        </w:rPr>
        <w:t xml:space="preserve">García de Fanelli, A. M. (2014). Rendimiento académico y abandono universitario: modelos, resultados y alcances de la producción académica en la Argentina. </w:t>
      </w:r>
      <w:r w:rsidRPr="009E3C0F">
        <w:rPr>
          <w:rFonts w:ascii="Times New Roman" w:hAnsi="Times New Roman" w:cs="Times New Roman"/>
          <w:i/>
          <w:iCs/>
        </w:rPr>
        <w:t>Revista Argentina de Educación Superior</w:t>
      </w:r>
      <w:r w:rsidRPr="00610FDF">
        <w:rPr>
          <w:rFonts w:ascii="Times New Roman" w:hAnsi="Times New Roman" w:cs="Times New Roman"/>
        </w:rPr>
        <w:t xml:space="preserve">, </w:t>
      </w:r>
      <w:r w:rsidRPr="009E3C0F">
        <w:rPr>
          <w:rFonts w:ascii="Times New Roman" w:hAnsi="Times New Roman" w:cs="Times New Roman"/>
          <w:i/>
          <w:iCs/>
        </w:rPr>
        <w:t>6</w:t>
      </w:r>
      <w:r w:rsidRPr="00610FDF">
        <w:rPr>
          <w:rFonts w:ascii="Times New Roman" w:hAnsi="Times New Roman" w:cs="Times New Roman"/>
        </w:rPr>
        <w:t>(8), 9-38.</w:t>
      </w:r>
    </w:p>
    <w:p w14:paraId="476C4C12" w14:textId="77777777" w:rsidR="00AC42F1" w:rsidRDefault="00AC42F1" w:rsidP="00AC42F1">
      <w:pPr>
        <w:ind w:left="709" w:hanging="709"/>
        <w:jc w:val="both"/>
        <w:rPr>
          <w:rFonts w:ascii="Times New Roman" w:hAnsi="Times New Roman" w:cs="Times New Roman"/>
        </w:rPr>
      </w:pPr>
      <w:r w:rsidRPr="00610FDF">
        <w:rPr>
          <w:rFonts w:ascii="Times New Roman" w:hAnsi="Times New Roman" w:cs="Times New Roman"/>
        </w:rPr>
        <w:t>García de Fanelli, A. M. y Adrogué, C. (2015). La masificación de la educación superior en Argentina: un análisis de sus resultados. En M. Páez de la Torre (Comp.), Indicadores y tendencias de la educación en la Argentina. Buenos Aires: Eudeba-OEI.</w:t>
      </w:r>
    </w:p>
    <w:p w14:paraId="4793E243" w14:textId="5F60537D" w:rsidR="003B36DE" w:rsidRDefault="003B36DE" w:rsidP="00AC42F1">
      <w:pPr>
        <w:ind w:left="709" w:hanging="709"/>
        <w:jc w:val="both"/>
        <w:rPr>
          <w:rFonts w:ascii="Times New Roman" w:hAnsi="Times New Roman" w:cs="Times New Roman"/>
        </w:rPr>
      </w:pPr>
      <w:proofErr w:type="spellStart"/>
      <w:r w:rsidRPr="003B36DE">
        <w:rPr>
          <w:rFonts w:ascii="Times New Roman" w:hAnsi="Times New Roman" w:cs="Times New Roman"/>
        </w:rPr>
        <w:lastRenderedPageBreak/>
        <w:t>Irigo</w:t>
      </w:r>
      <w:r w:rsidR="005C6870">
        <w:rPr>
          <w:rFonts w:ascii="Times New Roman" w:hAnsi="Times New Roman" w:cs="Times New Roman"/>
        </w:rPr>
        <w:t>í</w:t>
      </w:r>
      <w:r w:rsidRPr="003B36DE">
        <w:rPr>
          <w:rFonts w:ascii="Times New Roman" w:hAnsi="Times New Roman" w:cs="Times New Roman"/>
        </w:rPr>
        <w:t>n</w:t>
      </w:r>
      <w:proofErr w:type="spellEnd"/>
      <w:r w:rsidRPr="003B36DE">
        <w:rPr>
          <w:rFonts w:ascii="Times New Roman" w:hAnsi="Times New Roman" w:cs="Times New Roman"/>
        </w:rPr>
        <w:t xml:space="preserve">, M. E. (2005). Desafíos de la formación por competencias en la Educación Superior. Primer Encuentro Internacional de Educación Superior: Formación por Competencias, organizado por el Ministerio de Educación Nacional de Colombia, SENA, Universidad de Antioquia, Universidad Nacional de Colombia y ACIET, Medellín, 7-10 de junio. Citado en Ruiz, J. I. L. (2011). </w:t>
      </w:r>
      <w:r w:rsidRPr="00122682">
        <w:rPr>
          <w:rFonts w:ascii="Times New Roman" w:hAnsi="Times New Roman" w:cs="Times New Roman"/>
          <w:i/>
          <w:iCs/>
        </w:rPr>
        <w:t>Un giro copernicano en la enseñanza universitaria: formación por competencias</w:t>
      </w:r>
      <w:r w:rsidRPr="003B36DE">
        <w:rPr>
          <w:rFonts w:ascii="Times New Roman" w:hAnsi="Times New Roman" w:cs="Times New Roman"/>
        </w:rPr>
        <w:t xml:space="preserve">. Revista de educación, </w:t>
      </w:r>
      <w:r w:rsidR="005C6870">
        <w:rPr>
          <w:rFonts w:ascii="Times New Roman" w:hAnsi="Times New Roman" w:cs="Times New Roman"/>
        </w:rPr>
        <w:t>(</w:t>
      </w:r>
      <w:r w:rsidRPr="003B36DE">
        <w:rPr>
          <w:rFonts w:ascii="Times New Roman" w:hAnsi="Times New Roman" w:cs="Times New Roman"/>
        </w:rPr>
        <w:t>356</w:t>
      </w:r>
      <w:r w:rsidR="005C6870">
        <w:rPr>
          <w:rFonts w:ascii="Times New Roman" w:hAnsi="Times New Roman" w:cs="Times New Roman"/>
        </w:rPr>
        <w:t>)</w:t>
      </w:r>
      <w:r w:rsidRPr="003B36DE">
        <w:rPr>
          <w:rFonts w:ascii="Times New Roman" w:hAnsi="Times New Roman" w:cs="Times New Roman"/>
        </w:rPr>
        <w:t>, 279-301</w:t>
      </w:r>
    </w:p>
    <w:p w14:paraId="4D85378F" w14:textId="77777777" w:rsidR="00754C9C" w:rsidRPr="00754C9C" w:rsidRDefault="00754C9C" w:rsidP="00754C9C">
      <w:pPr>
        <w:ind w:left="709" w:hanging="709"/>
        <w:jc w:val="both"/>
        <w:rPr>
          <w:rFonts w:ascii="Times New Roman" w:hAnsi="Times New Roman" w:cs="Times New Roman"/>
          <w:lang w:val="es-AR"/>
        </w:rPr>
      </w:pPr>
      <w:r w:rsidRPr="00754C9C">
        <w:rPr>
          <w:rFonts w:ascii="Times New Roman" w:hAnsi="Times New Roman" w:cs="Times New Roman"/>
        </w:rPr>
        <w:t xml:space="preserve">Llamas, A. C. S. (2023). Determinantes en la Elección de Carreras Universitarias por Estudiantes: Una revisión sobre los Factores que Inciden en la Toma de Decisiones Vocacionales. </w:t>
      </w:r>
      <w:r w:rsidRPr="00754C9C">
        <w:rPr>
          <w:rFonts w:ascii="Times New Roman" w:hAnsi="Times New Roman" w:cs="Times New Roman"/>
          <w:i/>
          <w:iCs/>
          <w:lang w:val="es-AR"/>
        </w:rPr>
        <w:t>Revista científica anfib</w:t>
      </w:r>
      <w:r w:rsidRPr="00754C9C">
        <w:rPr>
          <w:rFonts w:ascii="Times New Roman" w:hAnsi="Times New Roman" w:cs="Times New Roman"/>
          <w:lang w:val="es-AR"/>
        </w:rPr>
        <w:t>ios, 6(1), 104-111.</w:t>
      </w:r>
    </w:p>
    <w:p w14:paraId="6DFB249A" w14:textId="781334D7" w:rsidR="005B4246" w:rsidRDefault="005B4246" w:rsidP="00754C9C">
      <w:pPr>
        <w:ind w:left="709" w:hanging="709"/>
        <w:jc w:val="both"/>
        <w:rPr>
          <w:rFonts w:ascii="Times New Roman" w:hAnsi="Times New Roman" w:cs="Times New Roman"/>
        </w:rPr>
      </w:pPr>
      <w:r>
        <w:rPr>
          <w:rFonts w:ascii="Times New Roman" w:hAnsi="Times New Roman" w:cs="Times New Roman"/>
        </w:rPr>
        <w:t>Marquina, M. (202</w:t>
      </w:r>
      <w:r w:rsidR="003A048F">
        <w:rPr>
          <w:rFonts w:ascii="Times New Roman" w:hAnsi="Times New Roman" w:cs="Times New Roman"/>
        </w:rPr>
        <w:t>5). Dilemas del currículo universitario argentino</w:t>
      </w:r>
      <w:r w:rsidR="00C15987">
        <w:rPr>
          <w:rFonts w:ascii="Times New Roman" w:hAnsi="Times New Roman" w:cs="Times New Roman"/>
        </w:rPr>
        <w:t xml:space="preserve"> en un contexto global de trayectos flexibles de formación en</w:t>
      </w:r>
      <w:r w:rsidR="003A048F">
        <w:rPr>
          <w:rFonts w:ascii="Times New Roman" w:hAnsi="Times New Roman" w:cs="Times New Roman"/>
        </w:rPr>
        <w:t xml:space="preserve"> </w:t>
      </w:r>
      <w:r w:rsidRPr="005B4246">
        <w:rPr>
          <w:rFonts w:ascii="Times New Roman" w:hAnsi="Times New Roman" w:cs="Times New Roman"/>
        </w:rPr>
        <w:t>A. Vila y S. Morelli (</w:t>
      </w:r>
      <w:proofErr w:type="spellStart"/>
      <w:r w:rsidRPr="005B4246">
        <w:rPr>
          <w:rFonts w:ascii="Times New Roman" w:hAnsi="Times New Roman" w:cs="Times New Roman"/>
        </w:rPr>
        <w:t>Coords</w:t>
      </w:r>
      <w:proofErr w:type="spellEnd"/>
      <w:r w:rsidRPr="005B4246">
        <w:rPr>
          <w:rFonts w:ascii="Times New Roman" w:hAnsi="Times New Roman" w:cs="Times New Roman"/>
        </w:rPr>
        <w:t xml:space="preserve">.), </w:t>
      </w:r>
      <w:r w:rsidRPr="008B154F">
        <w:rPr>
          <w:rFonts w:ascii="Times New Roman" w:hAnsi="Times New Roman" w:cs="Times New Roman"/>
          <w:i/>
          <w:iCs/>
        </w:rPr>
        <w:t xml:space="preserve">La universidad de la </w:t>
      </w:r>
      <w:proofErr w:type="spellStart"/>
      <w:r w:rsidRPr="008B154F">
        <w:rPr>
          <w:rFonts w:ascii="Times New Roman" w:hAnsi="Times New Roman" w:cs="Times New Roman"/>
          <w:i/>
          <w:iCs/>
        </w:rPr>
        <w:t>pospandemia</w:t>
      </w:r>
      <w:proofErr w:type="spellEnd"/>
      <w:r w:rsidRPr="008B154F">
        <w:rPr>
          <w:rFonts w:ascii="Times New Roman" w:hAnsi="Times New Roman" w:cs="Times New Roman"/>
          <w:i/>
          <w:iCs/>
        </w:rPr>
        <w:t xml:space="preserve">. Políticas para la extensión, el </w:t>
      </w:r>
      <w:proofErr w:type="spellStart"/>
      <w:r w:rsidRPr="008B154F">
        <w:rPr>
          <w:rFonts w:ascii="Times New Roman" w:hAnsi="Times New Roman" w:cs="Times New Roman"/>
          <w:i/>
          <w:iCs/>
        </w:rPr>
        <w:t>curriculum</w:t>
      </w:r>
      <w:proofErr w:type="spellEnd"/>
      <w:r w:rsidRPr="008B154F">
        <w:rPr>
          <w:rFonts w:ascii="Times New Roman" w:hAnsi="Times New Roman" w:cs="Times New Roman"/>
          <w:i/>
          <w:iCs/>
        </w:rPr>
        <w:t xml:space="preserve"> y la producción de saberes</w:t>
      </w:r>
      <w:r w:rsidRPr="005B4246">
        <w:rPr>
          <w:rFonts w:ascii="Times New Roman" w:hAnsi="Times New Roman" w:cs="Times New Roman"/>
        </w:rPr>
        <w:t xml:space="preserve"> </w:t>
      </w:r>
      <w:r w:rsidR="008B154F">
        <w:rPr>
          <w:rFonts w:ascii="Times New Roman" w:hAnsi="Times New Roman" w:cs="Times New Roman"/>
        </w:rPr>
        <w:t>(</w:t>
      </w:r>
      <w:r w:rsidRPr="005B4246">
        <w:rPr>
          <w:rFonts w:ascii="Times New Roman" w:hAnsi="Times New Roman" w:cs="Times New Roman"/>
        </w:rPr>
        <w:t>pp. 33-60</w:t>
      </w:r>
      <w:r w:rsidR="008B154F">
        <w:rPr>
          <w:rFonts w:ascii="Times New Roman" w:hAnsi="Times New Roman" w:cs="Times New Roman"/>
        </w:rPr>
        <w:t>)</w:t>
      </w:r>
      <w:r w:rsidRPr="005B4246">
        <w:rPr>
          <w:rFonts w:ascii="Times New Roman" w:hAnsi="Times New Roman" w:cs="Times New Roman"/>
        </w:rPr>
        <w:t>. Homo Sapiens: Rosario. ISBN 978-987-771-026-7.</w:t>
      </w:r>
    </w:p>
    <w:p w14:paraId="4350AFE5" w14:textId="4A7B0EFF" w:rsidR="00754C9C" w:rsidRPr="00754C9C" w:rsidRDefault="00754C9C" w:rsidP="00754C9C">
      <w:pPr>
        <w:ind w:left="709" w:hanging="709"/>
        <w:jc w:val="both"/>
        <w:rPr>
          <w:rFonts w:ascii="Times New Roman" w:hAnsi="Times New Roman" w:cs="Times New Roman"/>
        </w:rPr>
      </w:pPr>
      <w:r w:rsidRPr="00754C9C">
        <w:rPr>
          <w:rFonts w:ascii="Times New Roman" w:hAnsi="Times New Roman" w:cs="Times New Roman"/>
        </w:rPr>
        <w:t>Mateo Díaz, M. (2019). El futuro ya está aquí. En Mateo Díaz, M. y Rucci, G. (Ed.), El Futuro ya está aquí: Habilidades Transversales en América Latina y el Caribe en el Siglo XXI (pp.11-38). Washington, DC: Banco Interamericano de Desarrollo. http:// dx.doi.org/10.18235/0001950</w:t>
      </w:r>
    </w:p>
    <w:p w14:paraId="799AE351" w14:textId="63E92A42" w:rsidR="002F29A2" w:rsidRPr="00B71883" w:rsidRDefault="002F29A2" w:rsidP="002F29A2">
      <w:pPr>
        <w:ind w:left="709" w:hanging="709"/>
        <w:jc w:val="both"/>
        <w:rPr>
          <w:rFonts w:ascii="Times New Roman" w:hAnsi="Times New Roman" w:cs="Times New Roman"/>
          <w:lang w:val="en-US"/>
        </w:rPr>
      </w:pPr>
      <w:r w:rsidRPr="00610FDF">
        <w:rPr>
          <w:rFonts w:ascii="Times New Roman" w:hAnsi="Times New Roman" w:cs="Times New Roman"/>
        </w:rPr>
        <w:t xml:space="preserve">Mendonça, M. (2019). Expansión y diversificación en la educación superior Argentina del siglo XX: el sistema universitario como un </w:t>
      </w:r>
      <w:proofErr w:type="spellStart"/>
      <w:r w:rsidRPr="00610FDF">
        <w:rPr>
          <w:rFonts w:ascii="Times New Roman" w:hAnsi="Times New Roman" w:cs="Times New Roman"/>
        </w:rPr>
        <w:t>patchwork</w:t>
      </w:r>
      <w:proofErr w:type="spellEnd"/>
      <w:r w:rsidRPr="00610FDF">
        <w:rPr>
          <w:rFonts w:ascii="Times New Roman" w:hAnsi="Times New Roman" w:cs="Times New Roman"/>
        </w:rPr>
        <w:t>. </w:t>
      </w:r>
      <w:r w:rsidRPr="00B71883">
        <w:rPr>
          <w:rFonts w:ascii="Times New Roman" w:hAnsi="Times New Roman" w:cs="Times New Roman"/>
          <w:i/>
          <w:iCs/>
          <w:lang w:val="en-US"/>
        </w:rPr>
        <w:t>Debate Universitario CAEE-UAI</w:t>
      </w:r>
      <w:r w:rsidRPr="00B71883">
        <w:rPr>
          <w:rFonts w:ascii="Times New Roman" w:hAnsi="Times New Roman" w:cs="Times New Roman"/>
          <w:lang w:val="en-US"/>
        </w:rPr>
        <w:t>, </w:t>
      </w:r>
      <w:r w:rsidRPr="00B71883">
        <w:rPr>
          <w:rFonts w:ascii="Times New Roman" w:hAnsi="Times New Roman" w:cs="Times New Roman"/>
          <w:i/>
          <w:iCs/>
          <w:lang w:val="en-US"/>
        </w:rPr>
        <w:t>7</w:t>
      </w:r>
      <w:r w:rsidRPr="00B71883">
        <w:rPr>
          <w:rFonts w:ascii="Times New Roman" w:hAnsi="Times New Roman" w:cs="Times New Roman"/>
          <w:lang w:val="en-US"/>
        </w:rPr>
        <w:t>(14), 9-23.</w:t>
      </w:r>
    </w:p>
    <w:p w14:paraId="7A7D81EC" w14:textId="77777777" w:rsidR="00754C9C" w:rsidRPr="00754C9C" w:rsidRDefault="00754C9C" w:rsidP="00754C9C">
      <w:pPr>
        <w:ind w:left="709" w:hanging="709"/>
        <w:jc w:val="both"/>
        <w:rPr>
          <w:rFonts w:ascii="Times New Roman" w:hAnsi="Times New Roman" w:cs="Times New Roman"/>
        </w:rPr>
      </w:pPr>
      <w:r w:rsidRPr="00754C9C">
        <w:rPr>
          <w:rFonts w:ascii="Times New Roman" w:hAnsi="Times New Roman" w:cs="Times New Roman"/>
          <w:lang w:val="en-US"/>
        </w:rPr>
        <w:t xml:space="preserve">OBREAL GLOBAL (2022). Flexibilization, </w:t>
      </w:r>
      <w:proofErr w:type="spellStart"/>
      <w:r w:rsidRPr="00754C9C">
        <w:rPr>
          <w:rFonts w:ascii="Times New Roman" w:hAnsi="Times New Roman" w:cs="Times New Roman"/>
          <w:lang w:val="en-US"/>
        </w:rPr>
        <w:t>Modularisation</w:t>
      </w:r>
      <w:proofErr w:type="spellEnd"/>
      <w:r w:rsidRPr="00754C9C">
        <w:rPr>
          <w:rFonts w:ascii="Times New Roman" w:hAnsi="Times New Roman" w:cs="Times New Roman"/>
          <w:lang w:val="en-US"/>
        </w:rPr>
        <w:t xml:space="preserve"> and Internationalization in Higher Education. </w:t>
      </w:r>
      <w:r w:rsidRPr="00754C9C">
        <w:rPr>
          <w:rFonts w:ascii="Times New Roman" w:hAnsi="Times New Roman" w:cs="Times New Roman"/>
        </w:rPr>
        <w:t>The Vita Global White Paper.</w:t>
      </w:r>
    </w:p>
    <w:p w14:paraId="34DCD4A5" w14:textId="3ABFB113" w:rsidR="00754C9C" w:rsidRPr="00754C9C" w:rsidRDefault="00754C9C" w:rsidP="00754C9C">
      <w:pPr>
        <w:ind w:left="709" w:hanging="709"/>
        <w:jc w:val="both"/>
        <w:rPr>
          <w:rFonts w:ascii="Times New Roman" w:hAnsi="Times New Roman" w:cs="Times New Roman"/>
        </w:rPr>
      </w:pPr>
      <w:r w:rsidRPr="00754C9C">
        <w:rPr>
          <w:rFonts w:ascii="Times New Roman" w:hAnsi="Times New Roman" w:cs="Times New Roman"/>
        </w:rPr>
        <w:t xml:space="preserve">Organización para la Cooperación y el Desarrollo Económico. (2019a). Estrategia de Competencias de la OCDE 2019: Competencias para construir un futuro mejor. OECD Publishing, Paris/ Fundación Santillana, Madrid. https://doi. </w:t>
      </w:r>
      <w:proofErr w:type="spellStart"/>
      <w:r w:rsidRPr="00754C9C">
        <w:rPr>
          <w:rFonts w:ascii="Times New Roman" w:hAnsi="Times New Roman" w:cs="Times New Roman"/>
        </w:rPr>
        <w:t>org</w:t>
      </w:r>
      <w:proofErr w:type="spellEnd"/>
      <w:r w:rsidRPr="00754C9C">
        <w:rPr>
          <w:rFonts w:ascii="Times New Roman" w:hAnsi="Times New Roman" w:cs="Times New Roman"/>
        </w:rPr>
        <w:t>/10.1787/e3527cfb-es</w:t>
      </w:r>
    </w:p>
    <w:p w14:paraId="2A556D5B" w14:textId="77777777" w:rsidR="00610FDF" w:rsidRPr="00610FDF" w:rsidRDefault="00610FDF" w:rsidP="00610FDF">
      <w:pPr>
        <w:ind w:left="709" w:hanging="709"/>
        <w:jc w:val="both"/>
        <w:rPr>
          <w:rFonts w:ascii="Times New Roman" w:hAnsi="Times New Roman" w:cs="Times New Roman"/>
        </w:rPr>
      </w:pPr>
      <w:r w:rsidRPr="00610FDF">
        <w:rPr>
          <w:rFonts w:ascii="Times New Roman" w:hAnsi="Times New Roman" w:cs="Times New Roman"/>
        </w:rPr>
        <w:t>Pizarro-Barceló, R., &amp; Herrero-</w:t>
      </w:r>
      <w:proofErr w:type="spellStart"/>
      <w:r w:rsidRPr="00610FDF">
        <w:rPr>
          <w:rFonts w:ascii="Times New Roman" w:hAnsi="Times New Roman" w:cs="Times New Roman"/>
        </w:rPr>
        <w:t>Montagud</w:t>
      </w:r>
      <w:proofErr w:type="spellEnd"/>
      <w:r w:rsidRPr="00610FDF">
        <w:rPr>
          <w:rFonts w:ascii="Times New Roman" w:hAnsi="Times New Roman" w:cs="Times New Roman"/>
        </w:rPr>
        <w:t>, M. (2016). Empleabilidad y déficit formativo de los egresados universitarios. Investigaciones de Economía de la Educación, 11(11), 835-850.</w:t>
      </w:r>
    </w:p>
    <w:p w14:paraId="21FDAD47" w14:textId="6E2D6800" w:rsidR="00497C42" w:rsidRPr="00610FDF" w:rsidRDefault="00610FDF" w:rsidP="00610FDF">
      <w:pPr>
        <w:ind w:left="709" w:hanging="709"/>
        <w:jc w:val="both"/>
        <w:rPr>
          <w:rFonts w:ascii="Times New Roman" w:hAnsi="Times New Roman" w:cs="Times New Roman"/>
        </w:rPr>
      </w:pPr>
      <w:r w:rsidRPr="00610FDF">
        <w:rPr>
          <w:rFonts w:ascii="Times New Roman" w:hAnsi="Times New Roman" w:cs="Times New Roman"/>
        </w:rPr>
        <w:t xml:space="preserve">Rabanal Oyarce, </w:t>
      </w:r>
      <w:proofErr w:type="spellStart"/>
      <w:proofErr w:type="gramStart"/>
      <w:r w:rsidRPr="00610FDF">
        <w:rPr>
          <w:rFonts w:ascii="Times New Roman" w:hAnsi="Times New Roman" w:cs="Times New Roman"/>
        </w:rPr>
        <w:t>R.,Huamán</w:t>
      </w:r>
      <w:proofErr w:type="spellEnd"/>
      <w:proofErr w:type="gramEnd"/>
      <w:r w:rsidRPr="00610FDF">
        <w:rPr>
          <w:rFonts w:ascii="Times New Roman" w:hAnsi="Times New Roman" w:cs="Times New Roman"/>
        </w:rPr>
        <w:t xml:space="preserve"> Muñoz, C. </w:t>
      </w:r>
      <w:proofErr w:type="spellStart"/>
      <w:proofErr w:type="gramStart"/>
      <w:r w:rsidRPr="00610FDF">
        <w:rPr>
          <w:rFonts w:ascii="Times New Roman" w:hAnsi="Times New Roman" w:cs="Times New Roman"/>
        </w:rPr>
        <w:t>R.,Murga</w:t>
      </w:r>
      <w:proofErr w:type="spellEnd"/>
      <w:proofErr w:type="gramEnd"/>
      <w:r w:rsidRPr="00610FDF">
        <w:rPr>
          <w:rFonts w:ascii="Times New Roman" w:hAnsi="Times New Roman" w:cs="Times New Roman"/>
        </w:rPr>
        <w:t xml:space="preserve"> Valderrama, N. L., &amp; Chauca Valqui, P. (2020). Desarrollo de competencias personales y sociales para la inserción laboral de egresados universitarios. Revista de ciencias sociales, 26(2), 250-258.</w:t>
      </w:r>
    </w:p>
    <w:sectPr w:rsidR="00497C42" w:rsidRPr="00610FDF" w:rsidSect="00701F64">
      <w:headerReference w:type="default" r:id="rId8"/>
      <w:footerReference w:type="default" r:id="rId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7045B" w14:textId="77777777" w:rsidR="000171F6" w:rsidRPr="00BA642E" w:rsidRDefault="000171F6" w:rsidP="00C802F5">
      <w:pPr>
        <w:spacing w:after="0" w:line="240" w:lineRule="auto"/>
      </w:pPr>
      <w:r w:rsidRPr="00BA642E">
        <w:separator/>
      </w:r>
    </w:p>
  </w:endnote>
  <w:endnote w:type="continuationSeparator" w:id="0">
    <w:p w14:paraId="239A36D8" w14:textId="77777777" w:rsidR="000171F6" w:rsidRPr="00BA642E" w:rsidRDefault="000171F6"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F34AD" w14:textId="77777777" w:rsidR="000171F6" w:rsidRPr="00BA642E" w:rsidRDefault="000171F6" w:rsidP="00C802F5">
      <w:pPr>
        <w:spacing w:after="0" w:line="240" w:lineRule="auto"/>
      </w:pPr>
      <w:r w:rsidRPr="00BA642E">
        <w:separator/>
      </w:r>
    </w:p>
  </w:footnote>
  <w:footnote w:type="continuationSeparator" w:id="0">
    <w:p w14:paraId="6BEB0A5E" w14:textId="77777777" w:rsidR="000171F6" w:rsidRPr="00BA642E" w:rsidRDefault="000171F6"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45EC3"/>
    <w:multiLevelType w:val="hybridMultilevel"/>
    <w:tmpl w:val="095C7C5E"/>
    <w:lvl w:ilvl="0" w:tplc="62B6801A">
      <w:start w:val="5"/>
      <w:numFmt w:val="bullet"/>
      <w:lvlText w:val=""/>
      <w:lvlJc w:val="left"/>
      <w:pPr>
        <w:ind w:left="720" w:hanging="360"/>
      </w:pPr>
      <w:rPr>
        <w:rFonts w:ascii="Symbol" w:eastAsiaTheme="minorHAnsi" w:hAnsi="Symbo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5E390097"/>
    <w:multiLevelType w:val="multilevel"/>
    <w:tmpl w:val="7D047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2772953">
    <w:abstractNumId w:val="1"/>
  </w:num>
  <w:num w:numId="2" w16cid:durableId="1202548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043B9"/>
    <w:rsid w:val="0000733E"/>
    <w:rsid w:val="00015EEF"/>
    <w:rsid w:val="000171F6"/>
    <w:rsid w:val="0003333A"/>
    <w:rsid w:val="00057064"/>
    <w:rsid w:val="000915B5"/>
    <w:rsid w:val="000B16AB"/>
    <w:rsid w:val="000B79BB"/>
    <w:rsid w:val="000F2C5C"/>
    <w:rsid w:val="000F6A73"/>
    <w:rsid w:val="00122682"/>
    <w:rsid w:val="001565FF"/>
    <w:rsid w:val="00167E5C"/>
    <w:rsid w:val="001816D6"/>
    <w:rsid w:val="00185F5E"/>
    <w:rsid w:val="001923DC"/>
    <w:rsid w:val="001A0D88"/>
    <w:rsid w:val="001C2FFB"/>
    <w:rsid w:val="001E1168"/>
    <w:rsid w:val="002327C3"/>
    <w:rsid w:val="00250E17"/>
    <w:rsid w:val="00256CBF"/>
    <w:rsid w:val="00270F00"/>
    <w:rsid w:val="002A6BCC"/>
    <w:rsid w:val="002E5A60"/>
    <w:rsid w:val="002F29A2"/>
    <w:rsid w:val="00300221"/>
    <w:rsid w:val="00312392"/>
    <w:rsid w:val="00312D9A"/>
    <w:rsid w:val="003401EF"/>
    <w:rsid w:val="0034161A"/>
    <w:rsid w:val="00357751"/>
    <w:rsid w:val="00362701"/>
    <w:rsid w:val="00373418"/>
    <w:rsid w:val="00390A3F"/>
    <w:rsid w:val="003A048F"/>
    <w:rsid w:val="003B36DE"/>
    <w:rsid w:val="003B733E"/>
    <w:rsid w:val="004040C0"/>
    <w:rsid w:val="00412211"/>
    <w:rsid w:val="00434D37"/>
    <w:rsid w:val="00437E9C"/>
    <w:rsid w:val="00497C42"/>
    <w:rsid w:val="004C7C5C"/>
    <w:rsid w:val="00502AA5"/>
    <w:rsid w:val="00512316"/>
    <w:rsid w:val="00546933"/>
    <w:rsid w:val="00546B92"/>
    <w:rsid w:val="00547B3C"/>
    <w:rsid w:val="00550766"/>
    <w:rsid w:val="005871C2"/>
    <w:rsid w:val="00593D52"/>
    <w:rsid w:val="005A5E84"/>
    <w:rsid w:val="005B4246"/>
    <w:rsid w:val="005C6870"/>
    <w:rsid w:val="005F3B2E"/>
    <w:rsid w:val="00610FDF"/>
    <w:rsid w:val="006263D4"/>
    <w:rsid w:val="00663B44"/>
    <w:rsid w:val="00701F64"/>
    <w:rsid w:val="007155EF"/>
    <w:rsid w:val="00731EAE"/>
    <w:rsid w:val="00754C9C"/>
    <w:rsid w:val="007601FF"/>
    <w:rsid w:val="00772F2E"/>
    <w:rsid w:val="007A211D"/>
    <w:rsid w:val="007B5B5F"/>
    <w:rsid w:val="007D233B"/>
    <w:rsid w:val="007E308D"/>
    <w:rsid w:val="008403BD"/>
    <w:rsid w:val="008460A9"/>
    <w:rsid w:val="0085070B"/>
    <w:rsid w:val="00852A59"/>
    <w:rsid w:val="00875167"/>
    <w:rsid w:val="008758EE"/>
    <w:rsid w:val="00893A59"/>
    <w:rsid w:val="008B154F"/>
    <w:rsid w:val="008C0F6D"/>
    <w:rsid w:val="008D2B11"/>
    <w:rsid w:val="008F156D"/>
    <w:rsid w:val="009545C9"/>
    <w:rsid w:val="00986138"/>
    <w:rsid w:val="009D1142"/>
    <w:rsid w:val="009E3C0F"/>
    <w:rsid w:val="00A17247"/>
    <w:rsid w:val="00A30BAB"/>
    <w:rsid w:val="00A61112"/>
    <w:rsid w:val="00A703EB"/>
    <w:rsid w:val="00AC42F1"/>
    <w:rsid w:val="00AF75D7"/>
    <w:rsid w:val="00B220B1"/>
    <w:rsid w:val="00B71883"/>
    <w:rsid w:val="00B76BE9"/>
    <w:rsid w:val="00BA642E"/>
    <w:rsid w:val="00BC236F"/>
    <w:rsid w:val="00C15987"/>
    <w:rsid w:val="00C35AD2"/>
    <w:rsid w:val="00C802F5"/>
    <w:rsid w:val="00C96B2C"/>
    <w:rsid w:val="00CA06FB"/>
    <w:rsid w:val="00CA1FC4"/>
    <w:rsid w:val="00CC04C1"/>
    <w:rsid w:val="00D10169"/>
    <w:rsid w:val="00D83668"/>
    <w:rsid w:val="00D843EC"/>
    <w:rsid w:val="00D85337"/>
    <w:rsid w:val="00D92639"/>
    <w:rsid w:val="00DB39A3"/>
    <w:rsid w:val="00E220D7"/>
    <w:rsid w:val="00E84AFE"/>
    <w:rsid w:val="00EC162F"/>
    <w:rsid w:val="00EC2572"/>
    <w:rsid w:val="00EC729B"/>
    <w:rsid w:val="00F565A4"/>
    <w:rsid w:val="00F8004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Textocomentario">
    <w:name w:val="annotation text"/>
    <w:basedOn w:val="Normal"/>
    <w:link w:val="TextocomentarioCar"/>
    <w:uiPriority w:val="99"/>
    <w:unhideWhenUsed/>
    <w:rsid w:val="004C7C5C"/>
    <w:pPr>
      <w:spacing w:line="240" w:lineRule="auto"/>
    </w:pPr>
    <w:rPr>
      <w:kern w:val="0"/>
      <w:sz w:val="20"/>
      <w:szCs w:val="20"/>
      <w:lang w:val="es-ES"/>
      <w14:ligatures w14:val="none"/>
    </w:rPr>
  </w:style>
  <w:style w:type="character" w:customStyle="1" w:styleId="TextocomentarioCar">
    <w:name w:val="Texto comentario Car"/>
    <w:basedOn w:val="Fuentedeprrafopredeter"/>
    <w:link w:val="Textocomentario"/>
    <w:uiPriority w:val="99"/>
    <w:rsid w:val="004C7C5C"/>
    <w:rPr>
      <w:kern w:val="0"/>
      <w:sz w:val="20"/>
      <w:szCs w:val="20"/>
      <w:lang w:val="es-ES"/>
      <w14:ligatures w14:val="none"/>
    </w:rPr>
  </w:style>
  <w:style w:type="character" w:styleId="Refdecomentario">
    <w:name w:val="annotation reference"/>
    <w:basedOn w:val="Fuentedeprrafopredeter"/>
    <w:uiPriority w:val="99"/>
    <w:semiHidden/>
    <w:unhideWhenUsed/>
    <w:rsid w:val="004C7C5C"/>
    <w:rPr>
      <w:sz w:val="16"/>
      <w:szCs w:val="16"/>
    </w:rPr>
  </w:style>
  <w:style w:type="table" w:styleId="Tablaconcuadrcula1clara">
    <w:name w:val="Grid Table 1 Light"/>
    <w:basedOn w:val="Tablanormal"/>
    <w:uiPriority w:val="46"/>
    <w:rsid w:val="00312D9A"/>
    <w:pPr>
      <w:spacing w:after="0" w:line="240" w:lineRule="auto"/>
    </w:pPr>
    <w:rPr>
      <w:kern w:val="0"/>
      <w:lang w:val="es-ES"/>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n">
    <w:name w:val="Revision"/>
    <w:hidden/>
    <w:uiPriority w:val="99"/>
    <w:semiHidden/>
    <w:rsid w:val="00986138"/>
    <w:pPr>
      <w:spacing w:after="0" w:line="240" w:lineRule="auto"/>
    </w:pPr>
    <w:rPr>
      <w:lang w:val="es-419"/>
    </w:rPr>
  </w:style>
  <w:style w:type="paragraph" w:styleId="Asuntodelcomentario">
    <w:name w:val="annotation subject"/>
    <w:basedOn w:val="Textocomentario"/>
    <w:next w:val="Textocomentario"/>
    <w:link w:val="AsuntodelcomentarioCar"/>
    <w:uiPriority w:val="99"/>
    <w:semiHidden/>
    <w:unhideWhenUsed/>
    <w:rsid w:val="0003333A"/>
    <w:rPr>
      <w:b/>
      <w:bCs/>
      <w:kern w:val="2"/>
      <w:lang w:val="es-419"/>
      <w14:ligatures w14:val="standardContextual"/>
    </w:rPr>
  </w:style>
  <w:style w:type="character" w:customStyle="1" w:styleId="AsuntodelcomentarioCar">
    <w:name w:val="Asunto del comentario Car"/>
    <w:basedOn w:val="TextocomentarioCar"/>
    <w:link w:val="Asuntodelcomentario"/>
    <w:uiPriority w:val="99"/>
    <w:semiHidden/>
    <w:rsid w:val="0003333A"/>
    <w:rPr>
      <w:b/>
      <w:bCs/>
      <w:kern w:val="0"/>
      <w:sz w:val="20"/>
      <w:szCs w:val="20"/>
      <w:lang w:val="es-419"/>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7A7A4-A301-4702-AD9C-E03523A95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8282</Words>
  <Characters>45554</Characters>
  <Application>Microsoft Office Word</Application>
  <DocSecurity>0</DocSecurity>
  <Lines>379</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IGNACIO EDUARDO BRITOS</cp:lastModifiedBy>
  <cp:revision>2</cp:revision>
  <dcterms:created xsi:type="dcterms:W3CDTF">2026-07-04T23:56:00Z</dcterms:created>
  <dcterms:modified xsi:type="dcterms:W3CDTF">2026-07-04T23:56:00Z</dcterms:modified>
</cp:coreProperties>
</file>