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8326" w14:textId="77777777" w:rsidR="006046AD" w:rsidRDefault="006046AD">
      <w:pPr>
        <w:jc w:val="center"/>
        <w:rPr>
          <w:rFonts w:ascii="Times New Roman" w:eastAsia="Times New Roman" w:hAnsi="Times New Roman" w:cs="Times New Roman"/>
        </w:rPr>
      </w:pPr>
    </w:p>
    <w:p w14:paraId="43982065" w14:textId="77777777" w:rsidR="006046AD" w:rsidRPr="00C85EBD" w:rsidRDefault="00000000">
      <w:pPr>
        <w:jc w:val="center"/>
        <w:rPr>
          <w:rFonts w:ascii="Times New Roman" w:eastAsia="Times New Roman" w:hAnsi="Times New Roman" w:cs="Times New Roman"/>
          <w:b/>
          <w:bCs/>
          <w:lang w:val="es-ES"/>
        </w:rPr>
      </w:pPr>
      <w:r w:rsidRPr="00C85EBD">
        <w:rPr>
          <w:rFonts w:ascii="Times New Roman" w:eastAsia="Times New Roman" w:hAnsi="Times New Roman" w:cs="Times New Roman"/>
          <w:b/>
          <w:bCs/>
          <w:lang w:val="es-ES"/>
        </w:rPr>
        <w:t>Movilidad académica de grado: impactos en trayectorias estudiantiles en Udelar (Uruguay).</w:t>
      </w:r>
    </w:p>
    <w:p w14:paraId="3E1FA97E" w14:textId="77777777" w:rsidR="006046AD" w:rsidRPr="00C85EBD" w:rsidRDefault="006046AD">
      <w:pPr>
        <w:jc w:val="center"/>
        <w:rPr>
          <w:rFonts w:ascii="Times New Roman" w:eastAsia="Times New Roman" w:hAnsi="Times New Roman" w:cs="Times New Roman"/>
          <w:b/>
          <w:bCs/>
          <w:lang w:val="es-ES"/>
        </w:rPr>
      </w:pPr>
    </w:p>
    <w:p w14:paraId="5FB628B4" w14:textId="77777777" w:rsidR="006046AD" w:rsidRPr="00C85EBD" w:rsidRDefault="00000000">
      <w:pPr>
        <w:spacing w:after="0" w:line="240" w:lineRule="auto"/>
        <w:jc w:val="right"/>
        <w:rPr>
          <w:rFonts w:ascii="Times New Roman" w:eastAsia="Times New Roman" w:hAnsi="Times New Roman" w:cs="Times New Roman"/>
          <w:lang w:val="es-ES"/>
        </w:rPr>
      </w:pPr>
      <w:r w:rsidRPr="00C85EBD">
        <w:rPr>
          <w:rFonts w:ascii="Times New Roman" w:eastAsia="Times New Roman" w:hAnsi="Times New Roman" w:cs="Times New Roman"/>
          <w:lang w:val="es-ES"/>
        </w:rPr>
        <w:t>Hernández, Camila</w:t>
      </w:r>
    </w:p>
    <w:p w14:paraId="6A446ABD" w14:textId="77777777" w:rsidR="006046AD" w:rsidRPr="00C85EBD" w:rsidRDefault="00000000">
      <w:pPr>
        <w:spacing w:after="0" w:line="240" w:lineRule="auto"/>
        <w:jc w:val="right"/>
        <w:rPr>
          <w:rFonts w:ascii="Times New Roman" w:eastAsia="Times New Roman" w:hAnsi="Times New Roman" w:cs="Times New Roman"/>
          <w:lang w:val="es-ES"/>
        </w:rPr>
      </w:pPr>
      <w:r w:rsidRPr="00C85EBD">
        <w:rPr>
          <w:rFonts w:ascii="Times New Roman" w:eastAsia="Times New Roman" w:hAnsi="Times New Roman" w:cs="Times New Roman"/>
          <w:lang w:val="es-ES"/>
        </w:rPr>
        <w:t>Facultad de Veterinaria de la Universidad de la República</w:t>
      </w:r>
    </w:p>
    <w:p w14:paraId="5DBFBD55" w14:textId="77777777" w:rsidR="006046AD" w:rsidRPr="00C85EBD" w:rsidRDefault="00000000">
      <w:pPr>
        <w:spacing w:after="0" w:line="240" w:lineRule="auto"/>
        <w:jc w:val="right"/>
        <w:rPr>
          <w:rFonts w:ascii="Times New Roman" w:eastAsia="Times New Roman" w:hAnsi="Times New Roman" w:cs="Times New Roman"/>
          <w:lang w:val="es-ES"/>
        </w:rPr>
      </w:pPr>
      <w:r w:rsidRPr="00C85EBD">
        <w:rPr>
          <w:rFonts w:ascii="Times New Roman" w:eastAsia="Times New Roman" w:hAnsi="Times New Roman" w:cs="Times New Roman"/>
          <w:lang w:val="es-ES"/>
        </w:rPr>
        <w:t>camhdb18@gmail.com</w:t>
      </w:r>
    </w:p>
    <w:p w14:paraId="1FCF5C91" w14:textId="77777777" w:rsidR="006046AD" w:rsidRPr="00C85EBD" w:rsidRDefault="006046AD">
      <w:pPr>
        <w:rPr>
          <w:rFonts w:ascii="Times New Roman" w:eastAsia="Times New Roman" w:hAnsi="Times New Roman" w:cs="Times New Roman"/>
          <w:lang w:val="es-ES"/>
        </w:rPr>
      </w:pPr>
    </w:p>
    <w:p w14:paraId="711EF5B9" w14:textId="77777777" w:rsidR="006046AD" w:rsidRPr="00C85EBD" w:rsidRDefault="00000000">
      <w:pPr>
        <w:spacing w:after="0" w:line="240" w:lineRule="auto"/>
        <w:jc w:val="right"/>
        <w:rPr>
          <w:rFonts w:ascii="Times New Roman" w:eastAsia="Times New Roman" w:hAnsi="Times New Roman" w:cs="Times New Roman"/>
          <w:lang w:val="es-ES"/>
        </w:rPr>
      </w:pPr>
      <w:r w:rsidRPr="00C85EBD">
        <w:rPr>
          <w:rFonts w:ascii="Times New Roman" w:eastAsia="Times New Roman" w:hAnsi="Times New Roman" w:cs="Times New Roman"/>
          <w:lang w:val="es-ES"/>
        </w:rPr>
        <w:t>Varesi, Alejandro</w:t>
      </w:r>
    </w:p>
    <w:p w14:paraId="4BC5AC3F" w14:textId="77777777" w:rsidR="006046AD" w:rsidRPr="00C85EBD" w:rsidRDefault="00000000">
      <w:pPr>
        <w:spacing w:after="0" w:line="240" w:lineRule="auto"/>
        <w:jc w:val="right"/>
        <w:rPr>
          <w:rFonts w:ascii="Times New Roman" w:eastAsia="Times New Roman" w:hAnsi="Times New Roman" w:cs="Times New Roman"/>
          <w:lang w:val="es-ES"/>
        </w:rPr>
      </w:pPr>
      <w:r w:rsidRPr="00C85EBD">
        <w:rPr>
          <w:rFonts w:ascii="Times New Roman" w:eastAsia="Times New Roman" w:hAnsi="Times New Roman" w:cs="Times New Roman"/>
          <w:lang w:val="es-ES"/>
        </w:rPr>
        <w:t>Facultad de Veterinaria de la Universidad de la República</w:t>
      </w:r>
    </w:p>
    <w:p w14:paraId="796DD868" w14:textId="77777777" w:rsidR="006046AD" w:rsidRPr="00C85EBD" w:rsidRDefault="00000000">
      <w:pPr>
        <w:spacing w:after="0" w:line="240" w:lineRule="auto"/>
        <w:jc w:val="right"/>
        <w:rPr>
          <w:rFonts w:ascii="Times New Roman" w:eastAsia="Times New Roman" w:hAnsi="Times New Roman" w:cs="Times New Roman"/>
          <w:lang w:val="es-ES"/>
        </w:rPr>
      </w:pPr>
      <w:r w:rsidRPr="00C85EBD">
        <w:rPr>
          <w:rFonts w:ascii="Times New Roman" w:eastAsia="Times New Roman" w:hAnsi="Times New Roman" w:cs="Times New Roman"/>
          <w:lang w:val="es-ES"/>
        </w:rPr>
        <w:t>alevaresi@gmail.com</w:t>
      </w:r>
    </w:p>
    <w:p w14:paraId="061400BA" w14:textId="77777777" w:rsidR="006046AD" w:rsidRPr="00C85EBD" w:rsidRDefault="006046AD">
      <w:pPr>
        <w:spacing w:after="0" w:line="240" w:lineRule="auto"/>
        <w:jc w:val="right"/>
        <w:rPr>
          <w:rFonts w:ascii="Times New Roman" w:eastAsia="Times New Roman" w:hAnsi="Times New Roman" w:cs="Times New Roman"/>
          <w:lang w:val="es-ES"/>
        </w:rPr>
      </w:pPr>
    </w:p>
    <w:p w14:paraId="486C8542" w14:textId="77777777" w:rsidR="006046AD" w:rsidRPr="00C85EBD" w:rsidRDefault="00000000">
      <w:pPr>
        <w:tabs>
          <w:tab w:val="center" w:pos="4252"/>
          <w:tab w:val="right" w:pos="8504"/>
        </w:tabs>
        <w:spacing w:after="0" w:line="240" w:lineRule="auto"/>
        <w:rPr>
          <w:rFonts w:ascii="Times New Roman" w:eastAsia="Times New Roman" w:hAnsi="Times New Roman" w:cs="Times New Roman"/>
          <w:b/>
          <w:bCs/>
          <w:color w:val="EE0000"/>
          <w:lang w:val="es-ES"/>
        </w:rPr>
      </w:pPr>
      <w:r w:rsidRPr="00C85EBD">
        <w:rPr>
          <w:rFonts w:ascii="Times New Roman" w:eastAsia="Times New Roman" w:hAnsi="Times New Roman" w:cs="Times New Roman"/>
          <w:lang w:val="es-ES"/>
        </w:rPr>
        <w:tab/>
      </w:r>
      <w:r w:rsidRPr="00C85EBD">
        <w:rPr>
          <w:rFonts w:ascii="Times New Roman" w:eastAsia="Times New Roman" w:hAnsi="Times New Roman" w:cs="Times New Roman"/>
          <w:lang w:val="es-ES"/>
        </w:rPr>
        <w:tab/>
      </w:r>
    </w:p>
    <w:p w14:paraId="06411CD5"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b/>
          <w:bCs/>
          <w:lang w:val="es-ES"/>
        </w:rPr>
        <w:t xml:space="preserve">Resumen: </w:t>
      </w:r>
    </w:p>
    <w:p w14:paraId="0AFBC16B"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Esta investigación pretende analizar datos de 114 estudiantes de la Facultad de Veterinaria de la Universidad de la República que realizaron movilidad académica de grado entre 2022 y 2025, período marcado por el retorno a la plena presencialidad institucional tras la pandemia de Covid-19. El estudio indaga exhaustivamente sobre la influencia multidimensional de la internacionalización en las trayectorias académicas, las preferencias en la elección de actividades curriculares o extracurriculares en el exterior y su correspondencia con los contenidos formales impartidos en la carrera de origen. En cuanto a los objetivos específicos en primer lugar se busca identificar el nivel de avance en la carrera del estudiantado tanto al momento de efectuar el intercambio como en la actualidad, para medir el impacto temporal de la experiencia. En segundo </w:t>
      </w:r>
      <w:proofErr w:type="gramStart"/>
      <w:r w:rsidRPr="00C85EBD">
        <w:rPr>
          <w:rFonts w:ascii="Times New Roman" w:eastAsia="Times New Roman" w:hAnsi="Times New Roman" w:cs="Times New Roman"/>
          <w:lang w:val="es-ES"/>
        </w:rPr>
        <w:t>lugar</w:t>
      </w:r>
      <w:proofErr w:type="gramEnd"/>
      <w:r w:rsidRPr="00C85EBD">
        <w:rPr>
          <w:rFonts w:ascii="Times New Roman" w:eastAsia="Times New Roman" w:hAnsi="Times New Roman" w:cs="Times New Roman"/>
          <w:lang w:val="es-ES"/>
        </w:rPr>
        <w:t xml:space="preserve"> se analizan las asignaturas efectivamente cursadas en las universidades de destino para determinar su correspondencia con el Plan de Estudios local, distinguiendo específicamente si su convalidación se enmarca dentro de la malla curricular obligatoria o si complementan la formación a través de los trayectos de la malla flexible. Por </w:t>
      </w:r>
      <w:proofErr w:type="gramStart"/>
      <w:r w:rsidRPr="00C85EBD">
        <w:rPr>
          <w:rFonts w:ascii="Times New Roman" w:eastAsia="Times New Roman" w:hAnsi="Times New Roman" w:cs="Times New Roman"/>
          <w:lang w:val="es-ES"/>
        </w:rPr>
        <w:t>último</w:t>
      </w:r>
      <w:proofErr w:type="gramEnd"/>
      <w:r w:rsidRPr="00C85EBD">
        <w:rPr>
          <w:rFonts w:ascii="Times New Roman" w:eastAsia="Times New Roman" w:hAnsi="Times New Roman" w:cs="Times New Roman"/>
          <w:lang w:val="es-ES"/>
        </w:rPr>
        <w:t xml:space="preserve"> se explora la motivación subyacente en la elección de dichas plazas y propuestas formativas. A nivel metodológico la investigación adopta un enfoque descriptivo y analítico. Para su desarrollo se utilizó la base de datos del Servicio Central de Informática de la Universidad de la República a través del sistema Trébol, donde se almacenan diferentes datos sociodemográficos y académicos de los estudiantes de Facultad de Veterinaria. Se recabaron datos sobre la percepción de los estudiantes respecto a la movilidad. Este relevamiento permitió correlacionar la situación académica previa al viaje con el estado actual, evidenciando el impacto en el avance y registrando los procesos de convalidación de créditos a su retorno. Los datos preliminares analizados indican que la mayoría de las movilidades son realizadas por estudiantes de tercer año en adelante, perfil que prioriza activamente experiencias prácticas que aporten valor a su futuro desempeño profesional. De los datos obtenidos, la totalidad de los estudiantes valoran positivamente la experiencia, asegurando que obtuvieron herramientas, perspectivas y </w:t>
      </w:r>
      <w:r w:rsidRPr="00C85EBD">
        <w:rPr>
          <w:rFonts w:ascii="Times New Roman" w:eastAsia="Times New Roman" w:hAnsi="Times New Roman" w:cs="Times New Roman"/>
          <w:lang w:val="es-ES"/>
        </w:rPr>
        <w:lastRenderedPageBreak/>
        <w:t>experiencias que consolidan su formación. La movilidad les permitió adquirir herramientas académicas y profesionales, fortalecer la autonomía, adaptabilidad, y reafirmar su vocación, así como ampliar sus perspectivas. Los principales destinos de movilidad son Brasil y Argentina; otros destinos importantes en Sudamérica son Colombia y Bolivia. En estos destinos las movilidades se realizan mayormente enmarcadas en programas de movilidad como el Programa de Movilidad Académica Regional de Carreras Acreditadas y el Espacio Académico Común Ampliado Latinoamericano de la Asociación de Universidades Grupo Montevideo. Por fuera de la región destaca España, donde la movilidad se desarrolla principalmente a partir de convenios de cooperación bilateral que no contemplan becas de apoyo económico más allá de la exoneración de matrículas académicas. El trabajo constata que la movilidad internacional de grado constituye una herramienta que enriquece significativamente las trayectorias académicas, aportando evidencia sustancial para el diseño, evaluación y profundización de las políticas institucionales de internacionalización en estrecha sintonía con los intereses reales del estudiantado.</w:t>
      </w:r>
    </w:p>
    <w:p w14:paraId="7737D586" w14:textId="77777777" w:rsidR="006046AD" w:rsidRPr="00C85EBD" w:rsidRDefault="006046AD">
      <w:pPr>
        <w:spacing w:line="240" w:lineRule="auto"/>
        <w:jc w:val="both"/>
        <w:rPr>
          <w:rFonts w:ascii="Times New Roman" w:eastAsia="Times New Roman" w:hAnsi="Times New Roman" w:cs="Times New Roman"/>
          <w:lang w:val="es-ES"/>
        </w:rPr>
      </w:pPr>
    </w:p>
    <w:p w14:paraId="3407639A" w14:textId="05EC5451" w:rsidR="006046AD" w:rsidRPr="00C85EBD" w:rsidRDefault="00000000">
      <w:pPr>
        <w:spacing w:line="240" w:lineRule="auto"/>
        <w:jc w:val="both"/>
        <w:rPr>
          <w:rFonts w:ascii="Times New Roman" w:eastAsia="Times New Roman" w:hAnsi="Times New Roman" w:cs="Times New Roman"/>
          <w:b/>
          <w:bCs/>
          <w:lang w:val="es-ES"/>
        </w:rPr>
      </w:pPr>
      <w:r w:rsidRPr="00C85EBD">
        <w:rPr>
          <w:rFonts w:ascii="Times New Roman" w:eastAsia="Times New Roman" w:hAnsi="Times New Roman" w:cs="Times New Roman"/>
          <w:b/>
          <w:bCs/>
          <w:lang w:val="es-ES"/>
        </w:rPr>
        <w:t>Palabras clave:</w:t>
      </w:r>
      <w:r w:rsidRPr="00C85EBD">
        <w:rPr>
          <w:rFonts w:ascii="Times New Roman" w:eastAsia="Times New Roman" w:hAnsi="Times New Roman" w:cs="Times New Roman"/>
          <w:lang w:val="es-ES"/>
        </w:rPr>
        <w:t xml:space="preserve"> Movilidad Académica, Internacionalización, Trayectorias Acad</w:t>
      </w:r>
      <w:r w:rsidR="00C85EBD">
        <w:rPr>
          <w:rFonts w:ascii="Times New Roman" w:eastAsia="Times New Roman" w:hAnsi="Times New Roman" w:cs="Times New Roman"/>
          <w:lang w:val="es-ES"/>
        </w:rPr>
        <w:t>é</w:t>
      </w:r>
      <w:r w:rsidRPr="00C85EBD">
        <w:rPr>
          <w:rFonts w:ascii="Times New Roman" w:eastAsia="Times New Roman" w:hAnsi="Times New Roman" w:cs="Times New Roman"/>
          <w:lang w:val="es-ES"/>
        </w:rPr>
        <w:t>micas.</w:t>
      </w:r>
    </w:p>
    <w:p w14:paraId="1A84D068" w14:textId="77777777" w:rsidR="006046AD" w:rsidRPr="00C85EBD" w:rsidRDefault="00000000">
      <w:pPr>
        <w:spacing w:line="240" w:lineRule="auto"/>
        <w:rPr>
          <w:rFonts w:ascii="Arial" w:eastAsia="Arial" w:hAnsi="Arial" w:cs="Arial"/>
          <w:color w:val="222222"/>
          <w:sz w:val="16"/>
          <w:szCs w:val="16"/>
          <w:lang w:val="es-ES"/>
        </w:rPr>
      </w:pPr>
      <w:r w:rsidRPr="00C85EBD">
        <w:rPr>
          <w:rFonts w:ascii="Times New Roman" w:eastAsia="Times New Roman" w:hAnsi="Times New Roman" w:cs="Times New Roman"/>
          <w:b/>
          <w:bCs/>
          <w:lang w:val="es-ES"/>
        </w:rPr>
        <w:t>Introducción</w:t>
      </w:r>
    </w:p>
    <w:p w14:paraId="743BE7DD" w14:textId="49ED25C4" w:rsidR="006046AD" w:rsidRPr="00C85EBD" w:rsidRDefault="00000000">
      <w:pPr>
        <w:spacing w:line="240" w:lineRule="auto"/>
        <w:jc w:val="both"/>
        <w:rPr>
          <w:rFonts w:ascii="Times New Roman" w:eastAsia="Times New Roman" w:hAnsi="Times New Roman" w:cs="Times New Roman"/>
          <w:b/>
          <w:bCs/>
          <w:highlight w:val="yellow"/>
          <w:lang w:val="es-ES"/>
        </w:rPr>
      </w:pPr>
      <w:r w:rsidRPr="00C85EBD">
        <w:rPr>
          <w:rFonts w:ascii="Times New Roman" w:eastAsia="Times New Roman" w:hAnsi="Times New Roman" w:cs="Times New Roman"/>
          <w:b/>
          <w:bCs/>
          <w:lang w:val="es-ES"/>
        </w:rPr>
        <w:t>Internacionalización de la educación superior</w:t>
      </w:r>
    </w:p>
    <w:p w14:paraId="393B116E"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La internacionalización de la educación superior ha experimentado una importante evolución conceptual en las últimas décadas, pasando de ser un aspecto marginal a una estrategia institucional central. En el sector universitario este fenómeno comenzó a ganar un espacio protagónico hacia fines de la década de 1980 (</w:t>
      </w:r>
      <w:proofErr w:type="spellStart"/>
      <w:r w:rsidRPr="00C85EBD">
        <w:rPr>
          <w:rFonts w:ascii="Times New Roman" w:eastAsia="Times New Roman" w:hAnsi="Times New Roman" w:cs="Times New Roman"/>
          <w:lang w:val="es-ES"/>
        </w:rPr>
        <w:t>Rabossi</w:t>
      </w:r>
      <w:proofErr w:type="spellEnd"/>
      <w:r w:rsidRPr="00C85EBD">
        <w:rPr>
          <w:rFonts w:ascii="Times New Roman" w:eastAsia="Times New Roman" w:hAnsi="Times New Roman" w:cs="Times New Roman"/>
          <w:lang w:val="es-ES"/>
        </w:rPr>
        <w:t xml:space="preserve"> y Guaglianone, 2020, p. 2558). Tradicionalmente este concepto fue definido como "el proceso intencional de integrar una dimensión internacional, intercultural o global en el propósito, las funciones y la oferta de la educación superior" (de Wit et al., 2015, citado en Leask, 2021, pp. 22-23). Sin </w:t>
      </w:r>
      <w:proofErr w:type="gramStart"/>
      <w:r w:rsidRPr="00C85EBD">
        <w:rPr>
          <w:rFonts w:ascii="Times New Roman" w:eastAsia="Times New Roman" w:hAnsi="Times New Roman" w:cs="Times New Roman"/>
          <w:lang w:val="es-ES"/>
        </w:rPr>
        <w:t>embargo</w:t>
      </w:r>
      <w:proofErr w:type="gramEnd"/>
      <w:r w:rsidRPr="00C85EBD">
        <w:rPr>
          <w:rFonts w:ascii="Times New Roman" w:eastAsia="Times New Roman" w:hAnsi="Times New Roman" w:cs="Times New Roman"/>
          <w:lang w:val="es-ES"/>
        </w:rPr>
        <w:t xml:space="preserve"> la definición contemporánea más aceptada globalmente promueve el enfoque de la Internacionalización de la Educación Superior para la Sociedad, el cual añade que este proceso debe buscar incrementar la calidad académica para todos los estudiantes "con la finalidad de hacer una contribución significativa a la sociedad" (de Wit et al., 2015, citado en Gacel-Ávila, 2022, pp. 406-407).</w:t>
      </w:r>
    </w:p>
    <w:p w14:paraId="2A188473"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Para que esta visión trascienda el discurso declarativo resulta imperativo adoptar lo que Hudzik y McCarthy (2012) denomina "Internacionalización Comprehensiva" </w:t>
      </w:r>
      <w:r w:rsidRPr="00C85EBD">
        <w:rPr>
          <w:rFonts w:ascii="Times New Roman" w:eastAsia="Times New Roman" w:hAnsi="Times New Roman" w:cs="Times New Roman"/>
          <w:highlight w:val="white"/>
          <w:lang w:val="es-ES"/>
        </w:rPr>
        <w:t>(IC)</w:t>
      </w:r>
      <w:r w:rsidRPr="00C85EBD">
        <w:rPr>
          <w:rFonts w:ascii="Times New Roman" w:eastAsia="Times New Roman" w:hAnsi="Times New Roman" w:cs="Times New Roman"/>
          <w:lang w:val="es-ES"/>
        </w:rPr>
        <w:t xml:space="preserve">. Este concepto implica un compromiso, confirmado a través de la acción, para integrar perspectivas internacionales y comparadas en la enseñanza, la investigación y los servicios, moldeando así el ethos y los valores de toda la institución (Gacel-Ávila, 2022, p. 407). La implementación de la IC es fundamental para transitar de un modelo elitista, centrado casi exclusivamente en la movilidad física de una pequeña élite de estudiantes, hacia una internacionalización inclusiva y solidaria que beneficie a la totalidad de la comunidad universitaria. Como señalan de Wit y </w:t>
      </w:r>
      <w:proofErr w:type="spellStart"/>
      <w:r w:rsidRPr="00C85EBD">
        <w:rPr>
          <w:rFonts w:ascii="Times New Roman" w:eastAsia="Times New Roman" w:hAnsi="Times New Roman" w:cs="Times New Roman"/>
          <w:lang w:val="es-ES"/>
        </w:rPr>
        <w:t>Deca</w:t>
      </w:r>
      <w:proofErr w:type="spellEnd"/>
      <w:r w:rsidRPr="00C85EBD">
        <w:rPr>
          <w:rFonts w:ascii="Times New Roman" w:eastAsia="Times New Roman" w:hAnsi="Times New Roman" w:cs="Times New Roman"/>
          <w:lang w:val="es-ES"/>
        </w:rPr>
        <w:t xml:space="preserve"> (2020), es imperativo prestar atención al 95% de los estudiantes no móviles (pp. 5-6), mediante estrategias como la internacionalización en casa y la internacionalización del currículo (Gacel-Ávila, 2022, </w:t>
      </w:r>
      <w:r w:rsidRPr="00C85EBD">
        <w:rPr>
          <w:rFonts w:ascii="Times New Roman" w:eastAsia="Times New Roman" w:hAnsi="Times New Roman" w:cs="Times New Roman"/>
          <w:lang w:val="es-ES"/>
        </w:rPr>
        <w:lastRenderedPageBreak/>
        <w:t xml:space="preserve">p. 404). En </w:t>
      </w:r>
      <w:proofErr w:type="gramStart"/>
      <w:r w:rsidRPr="00C85EBD">
        <w:rPr>
          <w:rFonts w:ascii="Times New Roman" w:eastAsia="Times New Roman" w:hAnsi="Times New Roman" w:cs="Times New Roman"/>
          <w:lang w:val="es-ES"/>
        </w:rPr>
        <w:t>consecuencia</w:t>
      </w:r>
      <w:proofErr w:type="gramEnd"/>
      <w:r w:rsidRPr="00C85EBD">
        <w:rPr>
          <w:rFonts w:ascii="Times New Roman" w:eastAsia="Times New Roman" w:hAnsi="Times New Roman" w:cs="Times New Roman"/>
          <w:lang w:val="es-ES"/>
        </w:rPr>
        <w:t xml:space="preserve"> la IC demanda repensar el rol de ese 5% de estudiantes que sí logra efectivizar una movilidad internacional. El esfuerzo de las universidades no debe culminar con el envío y recepción de estos alumnos, sino que debe enfocarse en articular mecanismos para capitalizar su experiencia a su retorno. Al fomentar que estos estudiantes compartan sus vivencias, integren nuevas metodologías y socialicen sus redes de contacto a través de diversas actividades académicas y de extensión, se logra que su privilegio individual se convierta en un bien colectivo, transformándolos en verdaderos catalizadores de la internacionalización en casa y enriqueciendo el espacio universitario local para quienes no logran acceder a una experiencia de movilidad.</w:t>
      </w:r>
    </w:p>
    <w:p w14:paraId="099E014E"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En el contexto específico de América Latina, las acciones y políticas de internacionalización comenzaron a tomar vigor a lo largo de las últimas décadas (Fernández Lamarra y García, 2016, p. 14). En esta región la internacionalización no se concibe como un proceso neutral, sino que se encuentra fuertemente atravesada por tensiones frente a los modelos hegemónicos globales que, como advierten de Wit y </w:t>
      </w:r>
      <w:proofErr w:type="spellStart"/>
      <w:r w:rsidRPr="00C85EBD">
        <w:rPr>
          <w:rFonts w:ascii="Times New Roman" w:eastAsia="Times New Roman" w:hAnsi="Times New Roman" w:cs="Times New Roman"/>
          <w:lang w:val="es-ES"/>
        </w:rPr>
        <w:t>Deca</w:t>
      </w:r>
      <w:proofErr w:type="spellEnd"/>
      <w:r w:rsidRPr="00C85EBD">
        <w:rPr>
          <w:rFonts w:ascii="Times New Roman" w:eastAsia="Times New Roman" w:hAnsi="Times New Roman" w:cs="Times New Roman"/>
          <w:lang w:val="es-ES"/>
        </w:rPr>
        <w:t xml:space="preserve"> (2020), han estado crecientemente orientados por lógicas económicas, de competencia y posicionamiento en rankings (p. 5), estando entonces orientados por lógicas de mercado, competencia y estandarización (</w:t>
      </w:r>
      <w:proofErr w:type="spellStart"/>
      <w:r w:rsidRPr="00C85EBD">
        <w:rPr>
          <w:rFonts w:ascii="Times New Roman" w:eastAsia="Times New Roman" w:hAnsi="Times New Roman" w:cs="Times New Roman"/>
          <w:lang w:val="es-ES"/>
        </w:rPr>
        <w:t>Oregioni</w:t>
      </w:r>
      <w:proofErr w:type="spellEnd"/>
      <w:r w:rsidRPr="00C85EBD">
        <w:rPr>
          <w:rFonts w:ascii="Times New Roman" w:eastAsia="Times New Roman" w:hAnsi="Times New Roman" w:cs="Times New Roman"/>
          <w:lang w:val="es-ES"/>
        </w:rPr>
        <w:t>, 2023, p.112; Sanabia et al., 2025, p. 6).</w:t>
      </w:r>
    </w:p>
    <w:p w14:paraId="0DA4B26E"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Frente a la dependencia académica de los centros líderes mundiales, emerge la necesidad de adoptar una perspectiva situada, histórica y contextual que impulse estrategias no hegemónicas basadas en la cooperación Sur-Sur (Sanabia et al., 2025, pp. 5-7). Desde esta visión latinoamericana, la educación superior se reafirma como un bien público social y un deber del Estado, donde el currículo y la internacionalización deben actuar como catalizadores para la integración solidaria regional, valorando los saberes generados localmente, promoviendo el plurilingüismo y orientando la producción de conocimiento a la resolución de las problemáticas de nuestras sociedades (</w:t>
      </w:r>
      <w:proofErr w:type="spellStart"/>
      <w:r w:rsidRPr="00C85EBD">
        <w:rPr>
          <w:rFonts w:ascii="Times New Roman" w:eastAsia="Times New Roman" w:hAnsi="Times New Roman" w:cs="Times New Roman"/>
          <w:lang w:val="es-ES"/>
        </w:rPr>
        <w:t>Oregioni</w:t>
      </w:r>
      <w:proofErr w:type="spellEnd"/>
      <w:r w:rsidRPr="00C85EBD">
        <w:rPr>
          <w:rFonts w:ascii="Times New Roman" w:eastAsia="Times New Roman" w:hAnsi="Times New Roman" w:cs="Times New Roman"/>
          <w:lang w:val="es-ES"/>
        </w:rPr>
        <w:t>, 2023, pp. 112-118).</w:t>
      </w:r>
    </w:p>
    <w:p w14:paraId="025DD612" w14:textId="77777777" w:rsidR="006046AD" w:rsidRPr="00C85EBD" w:rsidRDefault="00000000">
      <w:pPr>
        <w:spacing w:line="240" w:lineRule="auto"/>
        <w:jc w:val="both"/>
        <w:rPr>
          <w:rFonts w:ascii="Times New Roman" w:eastAsia="Times New Roman" w:hAnsi="Times New Roman" w:cs="Times New Roman"/>
          <w:b/>
          <w:bCs/>
          <w:shd w:val="clear" w:color="auto" w:fill="F4CCCC"/>
          <w:lang w:val="es-ES"/>
        </w:rPr>
      </w:pPr>
      <w:r w:rsidRPr="00C85EBD">
        <w:rPr>
          <w:rFonts w:ascii="Times New Roman" w:eastAsia="Times New Roman" w:hAnsi="Times New Roman" w:cs="Times New Roman"/>
          <w:b/>
          <w:bCs/>
          <w:lang w:val="es-ES"/>
        </w:rPr>
        <w:t>Movilidad académica como forma de internacionalización</w:t>
      </w:r>
    </w:p>
    <w:p w14:paraId="64EA152D"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La internacionalización tiene como una de sus facetas más notorias a la movilidad académica, la cual opera dentro de un sistema donde los flujos de estudiantes e investigadores se dirigen de manera predominante hacia los centros industrializados. Esta dinámica suele estar motivada por la necesidad de acceder a tecnología de punta que no existe en los propios países (</w:t>
      </w:r>
      <w:proofErr w:type="spellStart"/>
      <w:r w:rsidRPr="00C85EBD">
        <w:rPr>
          <w:rFonts w:ascii="Times New Roman" w:eastAsia="Times New Roman" w:hAnsi="Times New Roman" w:cs="Times New Roman"/>
          <w:highlight w:val="white"/>
          <w:lang w:val="es-ES"/>
        </w:rPr>
        <w:t>Rabossi</w:t>
      </w:r>
      <w:proofErr w:type="spellEnd"/>
      <w:r w:rsidRPr="00C85EBD">
        <w:rPr>
          <w:rFonts w:ascii="Times New Roman" w:eastAsia="Times New Roman" w:hAnsi="Times New Roman" w:cs="Times New Roman"/>
          <w:highlight w:val="white"/>
          <w:lang w:val="es-ES"/>
        </w:rPr>
        <w:t xml:space="preserve"> y Guaglianone, 2020, pp. 2558-2559), con la expectativa de que, posteriormente, estos graduados e investigadores retornen a sus lugares de origen importando los saberes y conocimientos adquiridos para volcarlos en su región (</w:t>
      </w:r>
      <w:proofErr w:type="spellStart"/>
      <w:r w:rsidRPr="00C85EBD">
        <w:rPr>
          <w:rFonts w:ascii="Times New Roman" w:eastAsia="Times New Roman" w:hAnsi="Times New Roman" w:cs="Times New Roman"/>
          <w:highlight w:val="white"/>
          <w:lang w:val="es-ES"/>
        </w:rPr>
        <w:t>Rabossi</w:t>
      </w:r>
      <w:proofErr w:type="spellEnd"/>
      <w:r w:rsidRPr="00C85EBD">
        <w:rPr>
          <w:rFonts w:ascii="Times New Roman" w:eastAsia="Times New Roman" w:hAnsi="Times New Roman" w:cs="Times New Roman"/>
          <w:highlight w:val="white"/>
          <w:lang w:val="es-ES"/>
        </w:rPr>
        <w:t xml:space="preserve"> y Guaglianone, 2020, p. 2559).</w:t>
      </w:r>
    </w:p>
    <w:p w14:paraId="033B58BD"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A pesar de esta expectativa positiva, en América Latina este fenómeno ha sido históricamente limitado, representando apenas el 7% de la movilidad mundial hacia principios de los años 2000 (Gómez Ortiz et al., 2008, p. 93). La movilidad física ha sido objeto de fuertes críticas por su carácter excluyente. En la etapa </w:t>
      </w:r>
      <w:proofErr w:type="spellStart"/>
      <w:r w:rsidRPr="00C85EBD">
        <w:rPr>
          <w:rFonts w:ascii="Times New Roman" w:eastAsia="Times New Roman" w:hAnsi="Times New Roman" w:cs="Times New Roman"/>
          <w:highlight w:val="white"/>
          <w:lang w:val="es-ES"/>
        </w:rPr>
        <w:t>pre-pandémica</w:t>
      </w:r>
      <w:proofErr w:type="spellEnd"/>
      <w:r w:rsidRPr="00C85EBD">
        <w:rPr>
          <w:rFonts w:ascii="Times New Roman" w:eastAsia="Times New Roman" w:hAnsi="Times New Roman" w:cs="Times New Roman"/>
          <w:highlight w:val="white"/>
          <w:lang w:val="es-ES"/>
        </w:rPr>
        <w:t xml:space="preserve">, la movilidad saliente en las universidades latinoamericanas representaba solo el 1,34% de la matrícula total, mientras que la entrante apenas alcanzaba el 0,83% (UNESCO-UIS, 2021, citado en </w:t>
      </w:r>
      <w:proofErr w:type="spellStart"/>
      <w:r w:rsidRPr="00C85EBD">
        <w:rPr>
          <w:rFonts w:ascii="Times New Roman" w:eastAsia="Times New Roman" w:hAnsi="Times New Roman" w:cs="Times New Roman"/>
          <w:highlight w:val="white"/>
          <w:lang w:val="es-ES"/>
        </w:rPr>
        <w:t>Beneitone</w:t>
      </w:r>
      <w:proofErr w:type="spellEnd"/>
      <w:r w:rsidRPr="00C85EBD">
        <w:rPr>
          <w:rFonts w:ascii="Times New Roman" w:eastAsia="Times New Roman" w:hAnsi="Times New Roman" w:cs="Times New Roman"/>
          <w:highlight w:val="white"/>
          <w:lang w:val="es-ES"/>
        </w:rPr>
        <w:t xml:space="preserve">, 2022, p. 425). Estas cifras evidencian que los esfuerzos institucionales quedan circunscritos a una pequeña minoría, configurando una </w:t>
      </w:r>
      <w:r w:rsidRPr="00C85EBD">
        <w:rPr>
          <w:rFonts w:ascii="Times New Roman" w:eastAsia="Times New Roman" w:hAnsi="Times New Roman" w:cs="Times New Roman"/>
          <w:highlight w:val="white"/>
          <w:lang w:val="es-ES"/>
        </w:rPr>
        <w:lastRenderedPageBreak/>
        <w:t>internacionalización con rasgos elitistas y "para pocos" (</w:t>
      </w:r>
      <w:proofErr w:type="spellStart"/>
      <w:r w:rsidRPr="00C85EBD">
        <w:rPr>
          <w:rFonts w:ascii="Times New Roman" w:eastAsia="Times New Roman" w:hAnsi="Times New Roman" w:cs="Times New Roman"/>
          <w:highlight w:val="white"/>
          <w:lang w:val="es-ES"/>
        </w:rPr>
        <w:t>Beneitone</w:t>
      </w:r>
      <w:proofErr w:type="spellEnd"/>
      <w:r w:rsidRPr="00C85EBD">
        <w:rPr>
          <w:rFonts w:ascii="Times New Roman" w:eastAsia="Times New Roman" w:hAnsi="Times New Roman" w:cs="Times New Roman"/>
          <w:highlight w:val="white"/>
          <w:lang w:val="es-ES"/>
        </w:rPr>
        <w:t>, 2022, p. 425). Frente a la dependencia de los flujos asimétricos hacia el norte global y el elitismo de estos programas, las universidades latinoamericanas han incrementado sus esfuerzos para construir redes de cooperación Sur-Sur (Sanabia et al., 2025, p. 5-6). Esta perspectiva solidaria busca la integración regional mediante la creación de espacios académicos comunes.</w:t>
      </w:r>
    </w:p>
    <w:p w14:paraId="16C7F8AB"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highlight w:val="white"/>
          <w:lang w:val="es-ES"/>
        </w:rPr>
        <w:t xml:space="preserve">En Uruguay la Universidad de la República (Udelar) gestiona estas acciones a través de su Servicio de Relaciones Internacionales (SRI), priorizando la cooperación multilateral y la acreditación regional. La inserción de la Udelar en este contexto se materializa mediante </w:t>
      </w:r>
      <w:r w:rsidRPr="00C85EBD">
        <w:rPr>
          <w:rFonts w:ascii="Times New Roman" w:eastAsia="Times New Roman" w:hAnsi="Times New Roman" w:cs="Times New Roman"/>
          <w:lang w:val="es-ES"/>
        </w:rPr>
        <w:t xml:space="preserve">dos modalidades; programas con beca de apoyo económico y movilidad por convenio. En la movilidad por convenio el estudiante asume todos los costos, a excepción del pago de matrículas en la universidad destino. Dentro de la movilidad con beca, existen varios Programas que mencionaremos a continuación, cabe aclarar que para esta modalidad el estudiante no elige la Universidad destino, sino que le es asignada de acuerdo a las plazas ofertadas / vacantes, esto representa una diferencia importante con la movilidad por convenio donde el estudiante selecciona la universidad a donde desea ser nominado. </w:t>
      </w:r>
    </w:p>
    <w:p w14:paraId="109B7FD5" w14:textId="78A8F64D"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En lo que respecta a los programas de movilidad académica, el apoyo económico se distribuye de la siguiente manera: la Udelar financia el costo del pasaje y el seguro de asistencia de salud, mientras que la universidad destino asume el alojamiento y manutención, además de la exoneración de todos los costos académicos. El estudiante se hace cargo del costo de visa y cualquier otro gasto que se genere y no esté cubierto por la universidad de origen y la de destino. Este sistema se aplica a los programas que se detallan en </w:t>
      </w:r>
      <w:r w:rsidR="00C85EBD" w:rsidRPr="00C85EBD">
        <w:rPr>
          <w:rFonts w:ascii="Times New Roman" w:eastAsia="Times New Roman" w:hAnsi="Times New Roman" w:cs="Times New Roman"/>
          <w:lang w:val="es-ES"/>
        </w:rPr>
        <w:t>esta</w:t>
      </w:r>
      <w:r w:rsidRPr="00C85EBD">
        <w:rPr>
          <w:rFonts w:ascii="Times New Roman" w:eastAsia="Times New Roman" w:hAnsi="Times New Roman" w:cs="Times New Roman"/>
          <w:lang w:val="es-ES"/>
        </w:rPr>
        <w:t xml:space="preserve"> investigación, a excepción de Erasmus+ y del Programa Piloto, que adoptan una modalidad distinta respecto a los apoyos ofrecidos. Los mencionados Programas enmarcan la movilidad en el principio de reciprocidad, promoviendo el intercambio académico-cultural, la integración e internacionalización de la educación superior en la región, contribuyendo a mejorar la calidad de la enseñanza, lo que se condice con la mencionada base de cooperación Sur-Sur.</w:t>
      </w:r>
    </w:p>
    <w:p w14:paraId="3883D257" w14:textId="77777777" w:rsidR="006046AD" w:rsidRPr="00C85EBD" w:rsidRDefault="00000000">
      <w:pPr>
        <w:spacing w:line="240" w:lineRule="auto"/>
        <w:jc w:val="both"/>
        <w:rPr>
          <w:rFonts w:ascii="Times New Roman" w:eastAsia="Times New Roman" w:hAnsi="Times New Roman" w:cs="Times New Roman"/>
          <w:highlight w:val="yellow"/>
          <w:lang w:val="es-ES"/>
        </w:rPr>
      </w:pPr>
      <w:r w:rsidRPr="00C85EBD">
        <w:rPr>
          <w:rFonts w:ascii="Times New Roman" w:eastAsia="Times New Roman" w:hAnsi="Times New Roman" w:cs="Times New Roman"/>
          <w:lang w:val="es-ES"/>
        </w:rPr>
        <w:t xml:space="preserve">Por </w:t>
      </w:r>
      <w:proofErr w:type="gramStart"/>
      <w:r w:rsidRPr="00C85EBD">
        <w:rPr>
          <w:rFonts w:ascii="Times New Roman" w:eastAsia="Times New Roman" w:hAnsi="Times New Roman" w:cs="Times New Roman"/>
          <w:lang w:val="es-ES"/>
        </w:rPr>
        <w:t>último</w:t>
      </w:r>
      <w:proofErr w:type="gramEnd"/>
      <w:r w:rsidRPr="00C85EBD">
        <w:rPr>
          <w:rFonts w:ascii="Times New Roman" w:eastAsia="Times New Roman" w:hAnsi="Times New Roman" w:cs="Times New Roman"/>
          <w:lang w:val="es-ES"/>
        </w:rPr>
        <w:t xml:space="preserve"> mencionamos la movilidad por convenio, donde los estudiantes eligen la universidad destino de su preferencia, siempre que exista un acuerdo de cooperación bilateral vigente y activo entre la Udelar y dicha universidad. En este caso se exoneran los costos académicos, pero el estudiante asume el r</w:t>
      </w:r>
      <w:r w:rsidRPr="00C85EBD">
        <w:rPr>
          <w:rFonts w:ascii="Times New Roman" w:eastAsia="Times New Roman" w:hAnsi="Times New Roman" w:cs="Times New Roman"/>
          <w:highlight w:val="white"/>
          <w:lang w:val="es-ES"/>
        </w:rPr>
        <w:t>esto de los gastos. A diferencia de los programas con beca, bajo la modalidad de convenio es posible realizar estancias más cortas en lugar de semestrales, por lo que esta modalidad cobra un especial interés para los estudiantes que desean realizar exclusivamente prácticas. Este tipo de movilidades pueden efectuarse durante el periodo de receso académico, posibilitando al estudiante continuar el cursado semestral según lo establecido en la malla curricular de su carrera.</w:t>
      </w:r>
    </w:p>
    <w:p w14:paraId="342923C8" w14:textId="77777777" w:rsidR="006046AD" w:rsidRPr="00C85EBD" w:rsidRDefault="00000000">
      <w:pPr>
        <w:spacing w:line="240" w:lineRule="auto"/>
        <w:jc w:val="both"/>
        <w:rPr>
          <w:rFonts w:ascii="Times New Roman" w:eastAsia="Times New Roman" w:hAnsi="Times New Roman" w:cs="Times New Roman"/>
          <w:b/>
          <w:bCs/>
          <w:highlight w:val="white"/>
          <w:lang w:val="es-ES"/>
        </w:rPr>
      </w:pPr>
      <w:r w:rsidRPr="00C85EBD">
        <w:rPr>
          <w:rFonts w:ascii="Times New Roman" w:eastAsia="Times New Roman" w:hAnsi="Times New Roman" w:cs="Times New Roman"/>
          <w:b/>
          <w:bCs/>
          <w:highlight w:val="white"/>
          <w:lang w:val="es-ES"/>
        </w:rPr>
        <w:t>Articulación curricular y procesos de convalidación en la Facultad de Veterinaria</w:t>
      </w:r>
    </w:p>
    <w:p w14:paraId="294E70C5"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highlight w:val="white"/>
          <w:lang w:val="es-ES"/>
        </w:rPr>
        <w:t xml:space="preserve">Para respaldar e impulsar el intercambio estudiantil, la Facultad de Veterinaria (FV) de la Udelar ha establecido lineamientos específicos para la adecuación de cursado y convalidación de asignaturas orientados a quienes participan en una movilidad académica </w:t>
      </w:r>
      <w:r w:rsidRPr="00C85EBD">
        <w:rPr>
          <w:rFonts w:ascii="Times New Roman" w:eastAsia="Times New Roman" w:hAnsi="Times New Roman" w:cs="Times New Roman"/>
          <w:highlight w:val="white"/>
          <w:lang w:val="es-ES"/>
        </w:rPr>
        <w:lastRenderedPageBreak/>
        <w:t>internacional. Como medida para facilitar las trayectorias académicas lo</w:t>
      </w:r>
      <w:r w:rsidRPr="00C85EBD">
        <w:rPr>
          <w:rFonts w:ascii="Times New Roman" w:eastAsia="Times New Roman" w:hAnsi="Times New Roman" w:cs="Times New Roman"/>
          <w:lang w:val="es-ES"/>
        </w:rPr>
        <w:t xml:space="preserve">s estudiantes que realizan movilidad de grado adquieren flexibilidad en el sistema de </w:t>
      </w:r>
      <w:proofErr w:type="spellStart"/>
      <w:r w:rsidRPr="00C85EBD">
        <w:rPr>
          <w:rFonts w:ascii="Times New Roman" w:eastAsia="Times New Roman" w:hAnsi="Times New Roman" w:cs="Times New Roman"/>
          <w:lang w:val="es-ES"/>
        </w:rPr>
        <w:t>previaturas</w:t>
      </w:r>
      <w:proofErr w:type="spellEnd"/>
      <w:r w:rsidRPr="00C85EBD">
        <w:rPr>
          <w:rFonts w:ascii="Times New Roman" w:eastAsia="Times New Roman" w:hAnsi="Times New Roman" w:cs="Times New Roman"/>
          <w:lang w:val="es-ES"/>
        </w:rPr>
        <w:t xml:space="preserve"> en relación con las Unidades Curriculares (UC) que les hubiese correspondido cursar durante su semestre en el exterior. Esta flexibilización les permite cursar dichas asignaturas pendientes al año siguiente, en paralelo al resto de las asignaturas que correspondía cursar en función de lo establecido en el trayecto teórico de la malla curricular. No </w:t>
      </w:r>
      <w:proofErr w:type="gramStart"/>
      <w:r w:rsidRPr="00C85EBD">
        <w:rPr>
          <w:rFonts w:ascii="Times New Roman" w:eastAsia="Times New Roman" w:hAnsi="Times New Roman" w:cs="Times New Roman"/>
          <w:lang w:val="es-ES"/>
        </w:rPr>
        <w:t>obstante</w:t>
      </w:r>
      <w:proofErr w:type="gramEnd"/>
      <w:r w:rsidRPr="00C85EBD">
        <w:rPr>
          <w:rFonts w:ascii="Times New Roman" w:eastAsia="Times New Roman" w:hAnsi="Times New Roman" w:cs="Times New Roman"/>
          <w:lang w:val="es-ES"/>
        </w:rPr>
        <w:t xml:space="preserve"> la normativa establece excepciones estrictas para algunas UC asociadas a la clínica veterinaria. En estos casos específicos, si la movilidad coincide con el semestre en que se dicta la parte I de estas asignaturas, el estudiante no podrá cursar la parte II en el semestre inmediatamente posterior.  </w:t>
      </w:r>
    </w:p>
    <w:p w14:paraId="4149097D"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Respecto al reconocimiento de los saberes adquiridos los estudiantes tienen la posibilidad de revalidar UC que resulten equivalentes a las estipuladas en el plan de estudios. En todos los casos la reválida está supeditada a la evaluación y aprobación de la equivalencia de contenidos por parte del responsable de la UC correspondiente. En el caso de que no existiese equivalencia con UC obligatorias se procederá a la acreditación de la actividad académica cursada en el extranjero como parte de la trayectoria flexible, la cual está compuesta por unidades curriculares opcionales, espacios de formación integral y prácticas pre profesionalizantes. Esta trayectoria flexible tiene como objetivo permitir al estudiantado formar su propio perfil de egreso, brindando la posibilidad de especializarse en una o más áreas de su interés. La posibilidad de realizar estas actividades en el marco de una movilidad académica, resulta una oportunidad fundamental en el acceso a realidades, tecnologías y conocimientos potencialmente diferentes a lo ofertado en FV.  </w:t>
      </w:r>
    </w:p>
    <w:p w14:paraId="29FDC4AC" w14:textId="77777777" w:rsidR="006046AD" w:rsidRPr="00C85EBD" w:rsidRDefault="00000000">
      <w:pPr>
        <w:spacing w:line="240" w:lineRule="auto"/>
        <w:jc w:val="both"/>
        <w:rPr>
          <w:rFonts w:ascii="Times New Roman" w:eastAsia="Times New Roman" w:hAnsi="Times New Roman" w:cs="Times New Roman"/>
          <w:b/>
          <w:bCs/>
          <w:lang w:val="es-ES"/>
        </w:rPr>
      </w:pPr>
      <w:r w:rsidRPr="00C85EBD">
        <w:rPr>
          <w:rFonts w:ascii="Times New Roman" w:eastAsia="Times New Roman" w:hAnsi="Times New Roman" w:cs="Times New Roman"/>
          <w:lang w:val="es-ES"/>
        </w:rPr>
        <w:t>A pesar del mencionado marco normativo y los esfuerzos institucionales descritos, actualmente no existen estudios que evalúen de forma sistemática el impacto de estas movilidades en las trayectorias de los estudiantes. Por ello resulta de vital importancia generar información sobre cómo se desarrollan estas experiencias académicas a fin de evaluar y mejorar estos procesos de internacionalización. Para abordar este vacío de conocimiento, el presente estudio detallará los destinos de movilidad elegidos por el estudiantado, el tipo de actividades académicas que realizan en el extranjero y cómo se efectúa su convalidación al retorno. Se evaluará el impacto real de la experiencia en el avance de la carrera y se analizará la percepción de los estudiantes respecto a la utilidad de la movilidad tanto para su formación integral como para su futuro ejercicio profesional.</w:t>
      </w:r>
    </w:p>
    <w:p w14:paraId="076EC02C"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b/>
          <w:bCs/>
          <w:lang w:val="es-ES"/>
        </w:rPr>
        <w:t>Objetivo General</w:t>
      </w:r>
    </w:p>
    <w:p w14:paraId="3ECF089D" w14:textId="77777777" w:rsidR="006046AD" w:rsidRPr="00C85EBD" w:rsidRDefault="00000000">
      <w:pPr>
        <w:spacing w:line="240" w:lineRule="auto"/>
        <w:jc w:val="both"/>
        <w:rPr>
          <w:rFonts w:ascii="Times New Roman" w:eastAsia="Times New Roman" w:hAnsi="Times New Roman" w:cs="Times New Roman"/>
          <w:highlight w:val="yellow"/>
          <w:lang w:val="es-ES"/>
        </w:rPr>
      </w:pPr>
      <w:r w:rsidRPr="00C85EBD">
        <w:rPr>
          <w:rFonts w:ascii="Times New Roman" w:eastAsia="Times New Roman" w:hAnsi="Times New Roman" w:cs="Times New Roman"/>
          <w:lang w:val="es-ES"/>
        </w:rPr>
        <w:t>Analizar de manera integral las características, motivaciones y el impacto de las movilidades académicas salientes de los estudiantes de la Facultad de Veterinaria durante el período 2022-2025.</w:t>
      </w:r>
    </w:p>
    <w:p w14:paraId="278A4475" w14:textId="77777777" w:rsidR="006046AD" w:rsidRDefault="00000000">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b/>
          <w:bCs/>
        </w:rPr>
        <w:t>Objetivos</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Específicos</w:t>
      </w:r>
      <w:proofErr w:type="spellEnd"/>
    </w:p>
    <w:p w14:paraId="7E70F2AC" w14:textId="77777777" w:rsidR="006046AD" w:rsidRPr="00C85EBD" w:rsidRDefault="00000000">
      <w:pPr>
        <w:numPr>
          <w:ilvl w:val="0"/>
          <w:numId w:val="1"/>
        </w:numPr>
        <w:spacing w:after="200"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Caracterizar a la población estudiantil participante y mapear los destinos de movilidad durante el período 2022-2025 para identificar patrones de preferencia.</w:t>
      </w:r>
    </w:p>
    <w:p w14:paraId="4E1ABD33" w14:textId="77777777" w:rsidR="006046AD" w:rsidRPr="00C85EBD" w:rsidRDefault="00000000">
      <w:pPr>
        <w:numPr>
          <w:ilvl w:val="0"/>
          <w:numId w:val="1"/>
        </w:numPr>
        <w:spacing w:after="200"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lastRenderedPageBreak/>
        <w:t>Determinar las principales razones que impulsan la movilidad estudiantil y categorizar los tipos de actividades priorizadas en el extranjero, destacando las áreas de especialización más demandadas.</w:t>
      </w:r>
    </w:p>
    <w:p w14:paraId="72D92C29" w14:textId="77777777" w:rsidR="006046AD" w:rsidRPr="00C85EBD" w:rsidRDefault="00000000">
      <w:pPr>
        <w:numPr>
          <w:ilvl w:val="0"/>
          <w:numId w:val="1"/>
        </w:num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Analizar los procesos de reválida iniciados por los estudiantes tras el retorno.</w:t>
      </w:r>
    </w:p>
    <w:p w14:paraId="10800A8C" w14:textId="77777777" w:rsidR="006046AD" w:rsidRPr="00C85EBD" w:rsidRDefault="00000000">
      <w:pPr>
        <w:numPr>
          <w:ilvl w:val="0"/>
          <w:numId w:val="1"/>
        </w:numPr>
        <w:spacing w:before="200" w:after="200"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Examinar la percepción de los estudiantes sobre el aporte de la movilidad a su trayectoria académica, su desarrollo profesional y su crecimiento personal.</w:t>
      </w:r>
    </w:p>
    <w:p w14:paraId="1B2154D5"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b/>
          <w:bCs/>
          <w:lang w:val="es-ES"/>
        </w:rPr>
        <w:t>Metodología</w:t>
      </w:r>
    </w:p>
    <w:p w14:paraId="68C03D27"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La presente investigación adopta un enfoque cuantitativo de alcance descriptivo, retrospectivo y analítico. La población de estudio se compone de los datos de 114 estudiantes de la FV de la Udelar que realizaron movilidad académica de grado en el período comprendido entre los años 2022 y 2025. Este marco temporal resulta de particular interés, ya que representa la etapa de retorno a la plena presencialidad institucional y la reactivación de los intercambios físicos tras la pandemia de Covid-19.  </w:t>
      </w:r>
    </w:p>
    <w:p w14:paraId="31F6EFD7"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Para llevar a cabo el estudio y abarcar la influencia multidimensional de la internacionalización en las trayectorias académicas, el diseño metodológico contempló la recolección de datos a través de diversas fuentes de información.</w:t>
      </w:r>
    </w:p>
    <w:p w14:paraId="695BC972"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Respecto a los registros institucionales se recurrió a fuentes secundarias utilizando la base de datos del Servicio Central de Informática de la Universidad de la República (SeCIU) mediante el sistema Trébol. De esta plataforma se extrajeron datos sociodemográficos y el historial académico formal del estudiantado. De forma complementaria a este sistema, se solicitó al Departamento de Administración de la Enseñanza las escolaridades (certificados de notas) de los estudiantes que integran la población de estudio. La utilización conjunta de estos insumos permitió correlacionar de manera objetiva la situación académica previa a la movilidad con el estado de avance actual, evidenciando el impacto temporal de la experiencia, constatando los procesos de convalidación de créditos efectuados al retorno y posibilitando un análisis mucho más detallado de la trayectoria académica.</w:t>
      </w:r>
    </w:p>
    <w:p w14:paraId="014BF90D"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En segundo </w:t>
      </w:r>
      <w:proofErr w:type="gramStart"/>
      <w:r w:rsidRPr="00C85EBD">
        <w:rPr>
          <w:rFonts w:ascii="Times New Roman" w:eastAsia="Times New Roman" w:hAnsi="Times New Roman" w:cs="Times New Roman"/>
          <w:lang w:val="es-ES"/>
        </w:rPr>
        <w:t>lugar</w:t>
      </w:r>
      <w:proofErr w:type="gramEnd"/>
      <w:r w:rsidRPr="00C85EBD">
        <w:rPr>
          <w:rFonts w:ascii="Times New Roman" w:eastAsia="Times New Roman" w:hAnsi="Times New Roman" w:cs="Times New Roman"/>
          <w:lang w:val="es-ES"/>
        </w:rPr>
        <w:t xml:space="preserve"> se implementó una recolección de datos primarios mediante la aplicación de un cuestionario virtual para indagar sobre la percepción de los estudiantes respecto a la movilidad. Este instrumento permitió recabar información subjetiva fundamental, como las motivaciones para la elección de los destinos, las preferencias por ciertas actividades curriculares o extracurriculares y la valoración general del impacto de la experiencia en su formación y futuro ejercicio profesional.</w:t>
      </w:r>
    </w:p>
    <w:p w14:paraId="5A9E2B02"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Para el procesamiento de los datos, se realizó un análisis exhaustivo de las asignaturas efectivamente cursadas en las universidades de destino. Se determinó su correspondencia con el plan de estudios, categorizando y distinguiendo si la convalidación de dichos saberes se enmarcó dentro de las exigencias de la malla curricular obligatoria o </w:t>
      </w:r>
      <w:proofErr w:type="gramStart"/>
      <w:r w:rsidRPr="00C85EBD">
        <w:rPr>
          <w:rFonts w:ascii="Times New Roman" w:eastAsia="Times New Roman" w:hAnsi="Times New Roman" w:cs="Times New Roman"/>
          <w:lang w:val="es-ES"/>
        </w:rPr>
        <w:t>si</w:t>
      </w:r>
      <w:proofErr w:type="gramEnd"/>
      <w:r w:rsidRPr="00C85EBD">
        <w:rPr>
          <w:rFonts w:ascii="Times New Roman" w:eastAsia="Times New Roman" w:hAnsi="Times New Roman" w:cs="Times New Roman"/>
          <w:lang w:val="es-ES"/>
        </w:rPr>
        <w:t xml:space="preserve"> por el contrario, contribuyeron a complementar la formación del estudiante mediante los trayectos de la malla flexible.</w:t>
      </w:r>
    </w:p>
    <w:p w14:paraId="00E4C9EB"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b/>
          <w:bCs/>
          <w:lang w:val="es-ES"/>
        </w:rPr>
        <w:lastRenderedPageBreak/>
        <w:t>Resultados y discusión</w:t>
      </w:r>
      <w:r>
        <w:rPr>
          <w:noProof/>
        </w:rPr>
        <mc:AlternateContent>
          <mc:Choice Requires="wpg">
            <w:drawing>
              <wp:anchor distT="114300" distB="114300" distL="114300" distR="114300" simplePos="0" relativeHeight="251658240" behindDoc="0" locked="0" layoutInCell="1" hidden="0" allowOverlap="1" wp14:anchorId="06543C5C" wp14:editId="689C50EA">
                <wp:simplePos x="0" y="0"/>
                <wp:positionH relativeFrom="column">
                  <wp:posOffset>2875605</wp:posOffset>
                </wp:positionH>
                <wp:positionV relativeFrom="paragraph">
                  <wp:posOffset>247650</wp:posOffset>
                </wp:positionV>
                <wp:extent cx="2523898" cy="2755522"/>
                <wp:effectExtent l="0" t="0" r="0" b="0"/>
                <wp:wrapSquare wrapText="bothSides" distT="114300" distB="114300" distL="114300" distR="114300"/>
                <wp:docPr id="1" name="Grupo 1"/>
                <wp:cNvGraphicFramePr/>
                <a:graphic xmlns:a="http://schemas.openxmlformats.org/drawingml/2006/main">
                  <a:graphicData uri="http://schemas.microsoft.com/office/word/2010/wordprocessingGroup">
                    <wpg:wgp>
                      <wpg:cNvGrpSpPr/>
                      <wpg:grpSpPr>
                        <a:xfrm>
                          <a:off x="0" y="0"/>
                          <a:ext cx="2523898" cy="2755522"/>
                          <a:chOff x="152400" y="152400"/>
                          <a:chExt cx="2990850" cy="3271125"/>
                        </a:xfrm>
                      </wpg:grpSpPr>
                      <pic:pic xmlns:pic="http://schemas.openxmlformats.org/drawingml/2006/picture">
                        <pic:nvPicPr>
                          <pic:cNvPr id="2" name="Shape 2"/>
                          <pic:cNvPicPr preferRelativeResize="0"/>
                        </pic:nvPicPr>
                        <pic:blipFill>
                          <a:blip r:embed="rId8">
                            <a:alphaModFix/>
                          </a:blip>
                          <a:stretch>
                            <a:fillRect/>
                          </a:stretch>
                        </pic:blipFill>
                        <pic:spPr>
                          <a:xfrm>
                            <a:off x="152400" y="152400"/>
                            <a:ext cx="2990850" cy="2828925"/>
                          </a:xfrm>
                          <a:prstGeom prst="rect">
                            <a:avLst/>
                          </a:prstGeom>
                          <a:noFill/>
                          <a:ln>
                            <a:noFill/>
                          </a:ln>
                        </pic:spPr>
                      </pic:pic>
                      <wps:wsp>
                        <wps:cNvPr id="452541160" name="Cuadro de texto 452541160"/>
                        <wps:cNvSpPr txBox="1"/>
                        <wps:spPr>
                          <a:xfrm>
                            <a:off x="171100" y="3003225"/>
                            <a:ext cx="2952000" cy="420300"/>
                          </a:xfrm>
                          <a:prstGeom prst="rect">
                            <a:avLst/>
                          </a:prstGeom>
                          <a:noFill/>
                          <a:ln>
                            <a:noFill/>
                          </a:ln>
                        </wps:spPr>
                        <wps:txbx>
                          <w:txbxContent>
                            <w:p w14:paraId="53278033" w14:textId="77777777" w:rsidR="006046AD" w:rsidRPr="00C85EBD" w:rsidRDefault="00000000">
                              <w:pPr>
                                <w:spacing w:after="0" w:line="240" w:lineRule="auto"/>
                                <w:jc w:val="both"/>
                                <w:textDirection w:val="btLr"/>
                                <w:rPr>
                                  <w:lang w:val="es-ES"/>
                                </w:rPr>
                              </w:pPr>
                              <w:r w:rsidRPr="00C85EBD">
                                <w:rPr>
                                  <w:rFonts w:ascii="Times New Roman" w:eastAsia="Times New Roman" w:hAnsi="Times New Roman" w:cs="Times New Roman"/>
                                  <w:color w:val="000000"/>
                                  <w:sz w:val="20"/>
                                  <w:lang w:val="es-ES"/>
                                </w:rPr>
                                <w:t>Figura 1. Distribución por país de destino de las movilidades académicas realizadas entre 2022 y 2025.</w:t>
                              </w:r>
                            </w:p>
                          </w:txbxContent>
                        </wps:txbx>
                        <wps:bodyPr spcFirstLastPara="1" wrap="square" lIns="91425" tIns="91425" rIns="91425" bIns="91425" anchor="t" anchorCtr="0">
                          <a:noAutofit/>
                        </wps:bodyPr>
                      </wps:wsp>
                    </wpg:wgp>
                  </a:graphicData>
                </a:graphic>
              </wp:anchor>
            </w:drawing>
          </mc:Choice>
          <mc:Fallback>
            <w:pict>
              <v:group w14:anchorId="06543C5C" id="Grupo 1" o:spid="_x0000_s1026" style="position:absolute;left:0;text-align:left;margin-left:226.45pt;margin-top:19.5pt;width:198.75pt;height:216.95pt;z-index:251658240;mso-wrap-distance-top:9pt;mso-wrap-distance-bottom:9pt" coordorigin="1524,1524" coordsize="29908,32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29908;height:282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">
                  <v:imagedata r:id="rId9" o:title=""/>
                </v:shape>
                <v:shapetype id="_x0000_t202" coordsize="21600,21600" o:spt="202" path="m,l,21600r21600,l21600,xe">
                  <v:stroke joinstyle="miter"/>
                  <v:path gradientshapeok="t" o:connecttype="rect"/>
                </v:shapetype>
                <v:shape id="Cuadro de texto 452541160" o:spid="_x0000_s1028" type="#_x0000_t202" style="position:absolute;left:1711;top:30032;width:29520;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" filled="f" stroked="f">
                  <v:textbox inset="2.53958mm,2.53958mm,2.53958mm,2.53958mm">
                    <w:txbxContent>
                      <w:p w14:paraId="53278033" w14:textId="77777777" w:rsidR="006046AD" w:rsidRPr="00C85EBD" w:rsidRDefault="00000000">
                        <w:pPr>
                          <w:spacing w:after="0" w:line="240" w:lineRule="auto"/>
                          <w:jc w:val="both"/>
                          <w:textDirection w:val="btLr"/>
                          <w:rPr>
                            <w:lang w:val="es-ES"/>
                          </w:rPr>
                        </w:pPr>
                        <w:r w:rsidRPr="00C85EBD">
                          <w:rPr>
                            <w:rFonts w:ascii="Times New Roman" w:eastAsia="Times New Roman" w:hAnsi="Times New Roman" w:cs="Times New Roman"/>
                            <w:color w:val="000000"/>
                            <w:sz w:val="20"/>
                            <w:lang w:val="es-ES"/>
                          </w:rPr>
                          <w:t>Figura 1. Distribución por país de destino de las movilidades académicas realizadas entre 2022 y 2025.</w:t>
                        </w:r>
                      </w:p>
                    </w:txbxContent>
                  </v:textbox>
                </v:shape>
                <w10:wrap type="square"/>
              </v:group>
            </w:pict>
          </mc:Fallback>
        </mc:AlternateContent>
      </w:r>
    </w:p>
    <w:p w14:paraId="6422E14F" w14:textId="77777777" w:rsidR="006046AD" w:rsidRPr="00C85EBD" w:rsidRDefault="00000000">
      <w:pPr>
        <w:spacing w:line="240" w:lineRule="auto"/>
        <w:jc w:val="both"/>
        <w:rPr>
          <w:rFonts w:ascii="Times New Roman" w:eastAsia="Times New Roman" w:hAnsi="Times New Roman" w:cs="Times New Roman"/>
          <w:b/>
          <w:bCs/>
          <w:lang w:val="es-ES"/>
        </w:rPr>
      </w:pPr>
      <w:r w:rsidRPr="00C85EBD">
        <w:rPr>
          <w:rFonts w:ascii="Times New Roman" w:eastAsia="Times New Roman" w:hAnsi="Times New Roman" w:cs="Times New Roman"/>
          <w:b/>
          <w:bCs/>
          <w:lang w:val="es-ES"/>
        </w:rPr>
        <w:t>Caracterización de las movilidades</w:t>
      </w:r>
    </w:p>
    <w:p w14:paraId="292A8299"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Durante el período analizado, la FV registró un total de 120 movilidades académicas salientes, distribuidas en 10 países a lo largo de América y Europa. Los datos revelan patrones geográficos muy definidos, fuertemente marcados por la proximidad regional y los vínculos idiomáticos (ver Figura 1). Se observa una predominancia de Brasil, que es el destino principal con amplia diferencia al acumular 62 movilidades, lo que representa más del 50% del total histórico del período. Le siguen España con 23 movilidades (19%) y Argentina con 21 (18%). En conjunto, el bloque conformado por Brasil, España y Argentina absorbe aproximadamente el 88% del total de las movilidades de la Facultad. Por otro lado, como destinos regionales de flujo intermedio con un volumen mucho menor pero constante, se identifican intercambios hacia Colombia con 5 movilidades (4%) y Bolivia con 4 (3%). Dentro de los destinos minoritarios se registraron 5 países que recibieron únicamente 1 movilidad cada uno durante los tres años analizados. Estos incluyen destinos latinoamericanos, como Chile y México, y destinos europeos, como Alemania, Hungría y Portugal.</w:t>
      </w:r>
    </w:p>
    <w:p w14:paraId="5EE0DFED"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El análisis del perfil de movilidad permite extraer importantes conclusiones, destacándose en primer lugar un fuerte anclaje sudamericano que evidencia una tendencia estructural hacia la regionalización. La gran mayoría de los estudiantes eligen permanecer en América del Sur, priorizando especialmente a los países vecinos de Brasil y Argentina, lo que evidencia el resultado del trabajo realizado a través de redes académicas fronterizas.</w:t>
      </w:r>
    </w:p>
    <w:p w14:paraId="73FB77B6"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lang w:val="es-ES"/>
        </w:rPr>
        <w:t xml:space="preserve">En segundo </w:t>
      </w:r>
      <w:proofErr w:type="gramStart"/>
      <w:r w:rsidRPr="00C85EBD">
        <w:rPr>
          <w:rFonts w:ascii="Times New Roman" w:eastAsia="Times New Roman" w:hAnsi="Times New Roman" w:cs="Times New Roman"/>
          <w:lang w:val="es-ES"/>
        </w:rPr>
        <w:t>lugar</w:t>
      </w:r>
      <w:proofErr w:type="gramEnd"/>
      <w:r w:rsidRPr="00C85EBD">
        <w:rPr>
          <w:rFonts w:ascii="Times New Roman" w:eastAsia="Times New Roman" w:hAnsi="Times New Roman" w:cs="Times New Roman"/>
          <w:lang w:val="es-ES"/>
        </w:rPr>
        <w:t xml:space="preserve"> destaca el factor idiomático, ya que la barrera del idioma parece ser un determinante clave en la elección del destino. De las 120 movilidades, 118, equivalente al 98%, se dirigieron a países de habla portuguesa o hispana. Las únicas dos excepciones registradas en todo el período fueron hacia países con idiomas distintos, específicamente Alemania y Hungría. El flujo de movilidades a Europa está casi totalmente centralizado en España.</w:t>
      </w:r>
    </w:p>
    <w:p w14:paraId="112C818C"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El 51% de las movilidades corresponden a estancias cortas donde el estudiante realiza actividades prácticas vinculadas al ejercicio de la profesión veterinaria, que convalida a su retorno como parte de los 30 créditos que debe cumplir de forma obligatoria para egresar de la carrera en Udelar. Estas movilidades se desarrollan principalmente en la Universidad Estadual de San Pablo, representando el 59% de las movilidades de estancia corta y donde ha existido un importante flujo de estudiantes de movilidad, establecido y consolidado desde el año 2018. Otro destino a mencionar donde los estudiantes han </w:t>
      </w:r>
      <w:r w:rsidRPr="00C85EBD">
        <w:rPr>
          <w:rFonts w:ascii="Times New Roman" w:eastAsia="Times New Roman" w:hAnsi="Times New Roman" w:cs="Times New Roman"/>
          <w:lang w:val="es-ES"/>
        </w:rPr>
        <w:lastRenderedPageBreak/>
        <w:t xml:space="preserve">realizado movilidades de estancia corta es la Universidad de Zaragoza (10%), con quien la FV ha mantenido, en la última década, una constante colaboración relacionada a la movilidad académica para el desarrollo de estancias prácticas. El restante 30% de las movilidades de estancia corta se distribuyen en diferentes clínicas y centros especializados de países como México, España y Brasil. </w:t>
      </w:r>
    </w:p>
    <w:p w14:paraId="73729838" w14:textId="77777777" w:rsidR="006046AD" w:rsidRPr="00C85EBD" w:rsidRDefault="00000000">
      <w:pPr>
        <w:spacing w:line="240" w:lineRule="auto"/>
        <w:jc w:val="both"/>
        <w:rPr>
          <w:rFonts w:ascii="Times New Roman" w:eastAsia="Times New Roman" w:hAnsi="Times New Roman" w:cs="Times New Roman"/>
          <w:highlight w:val="yellow"/>
          <w:lang w:val="es-ES"/>
        </w:rPr>
      </w:pPr>
      <w:r w:rsidRPr="00C85EBD">
        <w:rPr>
          <w:rFonts w:ascii="Times New Roman" w:eastAsia="Times New Roman" w:hAnsi="Times New Roman" w:cs="Times New Roman"/>
          <w:lang w:val="es-ES"/>
        </w:rPr>
        <w:t xml:space="preserve">Al poner el foco en las movilidades semestrales podemos mencionar como principales destinos la Universidad Nacional del Litoral - Argentina (11%), Universidad Federal de Santa María - Brasil (8%), Universidad Federal de Goiás - Brasil (8%), seguidos por Universidad Federal de Río Grande del Sur - Brasil (6%) y Universidad de Córdoba - España (6%). El 61% de las movilidades semestrales restantes se distribuyen en otras 23 universidades, no concentrando ninguna más del 5% de las movilidades. </w:t>
      </w:r>
      <w:proofErr w:type="gramStart"/>
      <w:r w:rsidRPr="00C85EBD">
        <w:rPr>
          <w:rFonts w:ascii="Times New Roman" w:eastAsia="Times New Roman" w:hAnsi="Times New Roman" w:cs="Times New Roman"/>
          <w:lang w:val="es-ES"/>
        </w:rPr>
        <w:t>Éste</w:t>
      </w:r>
      <w:proofErr w:type="gramEnd"/>
      <w:r w:rsidRPr="00C85EBD">
        <w:rPr>
          <w:rFonts w:ascii="Times New Roman" w:eastAsia="Times New Roman" w:hAnsi="Times New Roman" w:cs="Times New Roman"/>
          <w:lang w:val="es-ES"/>
        </w:rPr>
        <w:t xml:space="preserve"> análisis nos permite visualizar mayor diversidad en relación al destino de la movilidad cuando se realiza con una duración semestral. Entendemos que esto puede deberse a 2 principales factores, siendo el primero que la Universidad Estatal Paulista (UNESP) pierde peso en su atractivo como destino cuando ya no se la considera para la realización de prácticas sino para el cursado de asignaturas durante un semestre. Por otro </w:t>
      </w:r>
      <w:proofErr w:type="gramStart"/>
      <w:r w:rsidRPr="00C85EBD">
        <w:rPr>
          <w:rFonts w:ascii="Times New Roman" w:eastAsia="Times New Roman" w:hAnsi="Times New Roman" w:cs="Times New Roman"/>
          <w:lang w:val="es-ES"/>
        </w:rPr>
        <w:t>lado</w:t>
      </w:r>
      <w:proofErr w:type="gramEnd"/>
      <w:r w:rsidRPr="00C85EBD">
        <w:rPr>
          <w:rFonts w:ascii="Times New Roman" w:eastAsia="Times New Roman" w:hAnsi="Times New Roman" w:cs="Times New Roman"/>
          <w:lang w:val="es-ES"/>
        </w:rPr>
        <w:t xml:space="preserve"> tenemos un factor asociado a los programas de apoyo donde el estudiante no elige la universidad de destino libremente, sino que debe limitarse a aceptar la plaza ofrecida dentro del programa al que ha postulado.</w:t>
      </w:r>
    </w:p>
    <w:p w14:paraId="0E469DAC"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Al analizar el marco en que se realiza la movilidad puede observarse que el 55% corresponden a movilidades por convenio, en tanto que el restante 45% fueron movilidades realizadas con programas de apoyo. Al desagregar el análisis por programa encontramos que el programa del Espacio Académico Común Ampliado Latinoamericano de la Asociación de Universidades Grupo Montevideo - ESCALA (AUGM) concentra un 59% de las movilidades semestrales. Pueden participar de este programa todos los estudiantes que pertenezcan a cualquier universidad miembro. Otro programa de relevancia es el Programa de Movilidad Académica Regional de Carreras Acreditadas, primer programa de movilidad promovido por los gobiernos desde el Sector Educativo del Mercosur y que concentra el 20% de las movilidades.</w:t>
      </w:r>
    </w:p>
    <w:p w14:paraId="461B96BE" w14:textId="04FDEFAC"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Ya con una menor proporción de las movilidades, un 3% corresponden al Programa de Intercambio Académico Latinoamericano (PILA) que funciona de manera similar al resto de los programas, con la particularidad de que a partir de agosto de 2020 abrió una nueva modalidad de participación, incorporando la movilidad académica virtual entre universidades participantes, debiéndose aclarar que las movilidades realizadas en esta modalidad no han sido contempladas en este trabajo. El 3% de las movilidades se realizan por Erasmus+, programa de la Unión Europea (UE) para apoyar la educación, la formación, la juventud y el deporte en Europa. Actualmente la Udelar participa en cuatro Proyectos con diferentes Universidades de la UE. Concentrado un 2% de las movilidades, podemos mencionar el Programa Académico de Movilidad Educativa (PAME) de la Unión de Universidades de América Latina y el Caribe que posibilita a instituciones de educación superior que lo integran, realizar la movilidad bajo el principio de reciprocidad. El Programa Piloto concentra otro 2% de las movilidades realizadas, siendo impulsado por el Servicio de Relaciones Internacionales de la Udelar y consistiendo en un apoyo </w:t>
      </w:r>
      <w:r w:rsidRPr="00C85EBD">
        <w:rPr>
          <w:rFonts w:ascii="Times New Roman" w:eastAsia="Times New Roman" w:hAnsi="Times New Roman" w:cs="Times New Roman"/>
          <w:lang w:val="es-ES"/>
        </w:rPr>
        <w:lastRenderedPageBreak/>
        <w:t>económico por única vez para realizar movilidad hacia universidades extranjeras con las que existan convenios de cooperación bilateral vigentes.</w:t>
      </w:r>
    </w:p>
    <w:p w14:paraId="2B72C6E6"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El restante 11% de las movilidades semestrales se enmarcan en convenios de cooperación bilateral cuyo destino principal son universidades de España (6%). Debemos destacar que las universidades españolas suelen ser solicitadas como destino de movilidad por un número considerable de estudiantes, sin </w:t>
      </w:r>
      <w:proofErr w:type="gramStart"/>
      <w:r w:rsidRPr="00C85EBD">
        <w:rPr>
          <w:rFonts w:ascii="Times New Roman" w:eastAsia="Times New Roman" w:hAnsi="Times New Roman" w:cs="Times New Roman"/>
          <w:highlight w:val="white"/>
          <w:lang w:val="es-ES"/>
        </w:rPr>
        <w:t>embargo</w:t>
      </w:r>
      <w:proofErr w:type="gramEnd"/>
      <w:r w:rsidRPr="00C85EBD">
        <w:rPr>
          <w:rFonts w:ascii="Times New Roman" w:eastAsia="Times New Roman" w:hAnsi="Times New Roman" w:cs="Times New Roman"/>
          <w:highlight w:val="white"/>
          <w:lang w:val="es-ES"/>
        </w:rPr>
        <w:t xml:space="preserve"> las mismas no ofertan un número considerable de plazas dentro de los programas de apoyo a la movilidad, predominando las plazas en </w:t>
      </w:r>
      <w:proofErr w:type="spellStart"/>
      <w:r w:rsidRPr="00C85EBD">
        <w:rPr>
          <w:rFonts w:ascii="Times New Roman" w:eastAsia="Times New Roman" w:hAnsi="Times New Roman" w:cs="Times New Roman"/>
          <w:highlight w:val="white"/>
          <w:lang w:val="es-ES"/>
        </w:rPr>
        <w:t>latinoamérica</w:t>
      </w:r>
      <w:proofErr w:type="spellEnd"/>
      <w:r w:rsidRPr="00C85EBD">
        <w:rPr>
          <w:rFonts w:ascii="Times New Roman" w:eastAsia="Times New Roman" w:hAnsi="Times New Roman" w:cs="Times New Roman"/>
          <w:highlight w:val="white"/>
          <w:lang w:val="es-ES"/>
        </w:rPr>
        <w:t>. Esto motiva que un importante número de estudiantes que define realizar una movilidad por convenio seleccione una universidad española, dada la mayor flexibilidad que ofrece esta modalidad en la selección de la universidad destino.</w:t>
      </w:r>
    </w:p>
    <w:p w14:paraId="6D453128"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El análisis de los registros de movilidad revela una tendencia clara donde se observa una concentración muy significativa de participantes en la franja que va desde los 23 hasta los 28 años. La edad media de los estudiantes en movilidad es de 26 años. Respecto a los rangos de edad, las edades de los participantes abarcan un amplio espectro que va desde un mínimo de 19 años hasta un máximo de 37 años (ver Figura 2). Esto constituye un indicador clave de que la gran mayoría decide realizar estas experiencias en etapas decisivas de su formación, hacia finales del grado. Este comportamiento etario sugiere que los estudiantes prefieren asegurar una base sólida y una formación avanzada en sus carreras de origen antes de optar por una experiencia de movilidad internacional, priorizando el aprovechamiento académico en etapas de mayor madurez universitaria. En términos generales el perfil del estudiante al momento de emprender la movilidad refleja un nivel de avance previo que oscila entre el 48% y el 70% de la carrera completada. Como particularidad dentro de este rango, la cohorte correspondiente al año 2023 registró el menor nivel de avance relativo al momento de viajar, iniciando su experiencia con un promedio del 48% de la malla curricular aprobada.</w:t>
      </w:r>
    </w:p>
    <w:p w14:paraId="127BAFF0" w14:textId="77777777" w:rsidR="006046AD" w:rsidRPr="00C85EBD" w:rsidRDefault="006046AD">
      <w:pPr>
        <w:spacing w:line="240" w:lineRule="auto"/>
        <w:jc w:val="both"/>
        <w:rPr>
          <w:rFonts w:ascii="Times New Roman" w:eastAsia="Times New Roman" w:hAnsi="Times New Roman" w:cs="Times New Roman"/>
          <w:highlight w:val="white"/>
          <w:lang w:val="es-ES"/>
        </w:rPr>
      </w:pPr>
    </w:p>
    <w:p w14:paraId="2E194CF3" w14:textId="77777777" w:rsidR="006046AD" w:rsidRDefault="00000000">
      <w:pPr>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noProof/>
          <w:highlight w:val="white"/>
        </w:rPr>
        <w:drawing>
          <wp:inline distT="114300" distB="114300" distL="114300" distR="114300" wp14:anchorId="4FD90363" wp14:editId="5363D9C3">
            <wp:extent cx="3575290" cy="225583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575290" cy="2255838"/>
                    </a:xfrm>
                    <a:prstGeom prst="rect">
                      <a:avLst/>
                    </a:prstGeom>
                    <a:ln/>
                  </pic:spPr>
                </pic:pic>
              </a:graphicData>
            </a:graphic>
          </wp:inline>
        </w:drawing>
      </w:r>
    </w:p>
    <w:p w14:paraId="1BA9DA0D" w14:textId="7D15ECAD" w:rsidR="006046AD" w:rsidRPr="00C85EBD" w:rsidRDefault="00000000">
      <w:pPr>
        <w:spacing w:line="240" w:lineRule="auto"/>
        <w:jc w:val="both"/>
        <w:rPr>
          <w:rFonts w:ascii="Times New Roman" w:eastAsia="Times New Roman" w:hAnsi="Times New Roman" w:cs="Times New Roman"/>
          <w:shd w:val="clear" w:color="auto" w:fill="F4CCCC"/>
          <w:lang w:val="es-ES"/>
        </w:rPr>
      </w:pPr>
      <w:r w:rsidRPr="00C85EBD">
        <w:rPr>
          <w:rFonts w:ascii="Times New Roman" w:eastAsia="Times New Roman" w:hAnsi="Times New Roman" w:cs="Times New Roman"/>
          <w:highlight w:val="white"/>
          <w:lang w:val="es-ES"/>
        </w:rPr>
        <w:t xml:space="preserve">Esto muestra que existe un volumen de movilidades muy reducido para estudiantes que se encuentran cursando las primeras etapas de la carrera. Podemos asociarlo con varios factores, siendo determinante los requisitos que tienen los programas de apoyo a la </w:t>
      </w:r>
      <w:r w:rsidRPr="00C85EBD">
        <w:rPr>
          <w:rFonts w:ascii="Times New Roman" w:eastAsia="Times New Roman" w:hAnsi="Times New Roman" w:cs="Times New Roman"/>
          <w:highlight w:val="white"/>
          <w:lang w:val="es-ES"/>
        </w:rPr>
        <w:lastRenderedPageBreak/>
        <w:t xml:space="preserve">movilidad, donde por lo general se solicita </w:t>
      </w:r>
      <w:r w:rsidRPr="00C85EBD">
        <w:rPr>
          <w:rFonts w:ascii="Times New Roman" w:eastAsia="Times New Roman" w:hAnsi="Times New Roman" w:cs="Times New Roman"/>
          <w:lang w:val="es-ES"/>
        </w:rPr>
        <w:t xml:space="preserve">tener entre el 40 y 50% </w:t>
      </w:r>
      <w:r w:rsidRPr="00C85EBD">
        <w:rPr>
          <w:rFonts w:ascii="Times New Roman" w:eastAsia="Times New Roman" w:hAnsi="Times New Roman" w:cs="Times New Roman"/>
          <w:highlight w:val="white"/>
          <w:lang w:val="es-ES"/>
        </w:rPr>
        <w:t>de la carrera aprobada. Pero estos niveles de avance no sólo se observan al analizar el subgrupo de estudiantes que realiza la movilidad con programas de apoyo, sino que quienes realizan movilidad por convenio también tienen por lo general un importante avance en la carrera, lo cual se interpreta como un</w:t>
      </w:r>
      <w:r w:rsidR="00C85EBD">
        <w:rPr>
          <w:rFonts w:ascii="Times New Roman" w:eastAsia="Times New Roman" w:hAnsi="Times New Roman" w:cs="Times New Roman"/>
          <w:highlight w:val="white"/>
          <w:lang w:val="es-ES"/>
        </w:rPr>
        <w:t xml:space="preserve"> </w:t>
      </w:r>
      <w:r w:rsidRPr="00C85EBD">
        <w:rPr>
          <w:rFonts w:ascii="Times New Roman" w:eastAsia="Times New Roman" w:hAnsi="Times New Roman" w:cs="Times New Roman"/>
          <w:highlight w:val="white"/>
          <w:lang w:val="es-ES"/>
        </w:rPr>
        <w:t xml:space="preserve">requisito general por parte de los estudiantes para el mejor aprovechamiento de la experiencia. No podemos dejar por fuera de </w:t>
      </w:r>
      <w:r w:rsidR="00C85EBD" w:rsidRPr="00C85EBD">
        <w:rPr>
          <w:rFonts w:ascii="Times New Roman" w:eastAsia="Times New Roman" w:hAnsi="Times New Roman" w:cs="Times New Roman"/>
          <w:highlight w:val="white"/>
          <w:lang w:val="es-ES"/>
        </w:rPr>
        <w:t>este</w:t>
      </w:r>
      <w:r w:rsidRPr="00C85EBD">
        <w:rPr>
          <w:rFonts w:ascii="Times New Roman" w:eastAsia="Times New Roman" w:hAnsi="Times New Roman" w:cs="Times New Roman"/>
          <w:highlight w:val="white"/>
          <w:lang w:val="es-ES"/>
        </w:rPr>
        <w:t xml:space="preserve"> análisis la importancia de tener determinado avance en la carrera para poder efectivizar la convalidación de las prácticas realizadas en universidades extranjeras.</w:t>
      </w:r>
    </w:p>
    <w:p w14:paraId="5E1EDB0B"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b/>
          <w:bCs/>
          <w:lang w:val="es-ES"/>
        </w:rPr>
        <w:t>Trayectorias académicas: elección de asignaturas y procesos de convalidación</w:t>
      </w:r>
    </w:p>
    <w:p w14:paraId="60C62948"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Se identifican tres grandes observaciones sobre cómo capitalizan y orientan sus experiencias de intercambio académico en el extranjero. En primer </w:t>
      </w:r>
      <w:proofErr w:type="gramStart"/>
      <w:r w:rsidRPr="00C85EBD">
        <w:rPr>
          <w:rFonts w:ascii="Times New Roman" w:eastAsia="Times New Roman" w:hAnsi="Times New Roman" w:cs="Times New Roman"/>
          <w:highlight w:val="white"/>
          <w:lang w:val="es-ES"/>
        </w:rPr>
        <w:t>lugar</w:t>
      </w:r>
      <w:proofErr w:type="gramEnd"/>
      <w:r w:rsidRPr="00C85EBD">
        <w:rPr>
          <w:rFonts w:ascii="Times New Roman" w:eastAsia="Times New Roman" w:hAnsi="Times New Roman" w:cs="Times New Roman"/>
          <w:highlight w:val="white"/>
          <w:lang w:val="es-ES"/>
        </w:rPr>
        <w:t xml:space="preserve"> se destaca la predominancia de la formación práctica y clínica, ya que la gran mayoría de los estudiantes prioriza la adquisición de experiencia práctica directa durante su estancia internacional como mecanismo principal para consolidar sus habilidades profesionales. El 73% de los estudiantes encuestados optaron por realizar algún tipo de práctica académica pre profesionalizante, y dentro de este grupo, 40% de los estudiantes se dedicaron de manera exclusiva a actividades de esta índole. Se destacan por frecuencia las prácticas en el área de cirugía y anestesiología de grandes animales en la UNESP de Brasil (33%).</w:t>
      </w:r>
    </w:p>
    <w:p w14:paraId="2D2AABC3"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En segundo </w:t>
      </w:r>
      <w:proofErr w:type="gramStart"/>
      <w:r w:rsidRPr="00C85EBD">
        <w:rPr>
          <w:rFonts w:ascii="Times New Roman" w:eastAsia="Times New Roman" w:hAnsi="Times New Roman" w:cs="Times New Roman"/>
          <w:highlight w:val="white"/>
          <w:lang w:val="es-ES"/>
        </w:rPr>
        <w:t>lugar</w:t>
      </w:r>
      <w:proofErr w:type="gramEnd"/>
      <w:r w:rsidRPr="00C85EBD">
        <w:rPr>
          <w:rFonts w:ascii="Times New Roman" w:eastAsia="Times New Roman" w:hAnsi="Times New Roman" w:cs="Times New Roman"/>
          <w:highlight w:val="white"/>
          <w:lang w:val="es-ES"/>
        </w:rPr>
        <w:t xml:space="preserve"> se observa una fuerte tendencia hacia la combinación de modalidades e integración académica. La movilidad académica rara vez se limita a un único enfoque, dado que un número significativo de estudiantes diseña una experiencia integral que combina el cursado formal de unidades curriculares con el desarrollo de prácticas y, puntualmente, la investigación. En relación a esto un 35% de los estudiantes encuestados articularon el cursado de materias teóricas con la realización paralela de prácticas. El 8% de los encuestados mencionaron la participación activa en grupos o núcleos de investigación científica en las universidades de destino.</w:t>
      </w:r>
    </w:p>
    <w:p w14:paraId="590C344D"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Respecto a las áreas de especialización más demandadas, las respuestas revelan que los destinos se eligen estratégicamente para fortalecer áreas críticas de la disciplina, observándose el, ya mencionado, fuerte sesgo hacia la intervención quirúrgica y el manejo de grandes animales. Según la frecuencia de mención, cirugía y anestesiología lidera con 38% de preferencia, enfocándose en la asistencia en quirófano, realización de cirugías y cursos de técnicas de sutura. Le siguen las áreas de clínicas de pequeños animales y de rumiantes, ambas con 27%. Quienes optaron por la clínica de pequeños animales se orientaron a la atención de clínica hospitalaria y consultas de especialidades. Quienes trabajaron en clínica de rumiantes mencionan principalmente el trabajo en tambos y la formulación de raciones. La clínica y producción de equinos acumuló un 24%, aludiendo a prácticas en hospitales y actividades de medicina deportiva. El área de fauna silvestre y exóticos fue mencionada por el 19% de los encuestados que refieren a actividades de atención clínica en centros especializados. El área de diagnóstico acumuló 16% de las menciones para prácticas de imagenología y patología.</w:t>
      </w:r>
    </w:p>
    <w:p w14:paraId="443F4D5B"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lastRenderedPageBreak/>
        <w:t>Para comprender integralmente el perfil de estas movilidades, resulta fundamental analizar las razones que impulsan a los estudiantes a emprender esta experiencia. A partir del análisis cualitativo de las respuestas sobre qué los motivó a realizar dichas actividades, se han identificado cuatro grandes categorías que explican el motor motivacional de la movilidad.</w:t>
      </w:r>
    </w:p>
    <w:p w14:paraId="4B877EAA"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En primer </w:t>
      </w:r>
      <w:proofErr w:type="gramStart"/>
      <w:r w:rsidRPr="00C85EBD">
        <w:rPr>
          <w:rFonts w:ascii="Times New Roman" w:eastAsia="Times New Roman" w:hAnsi="Times New Roman" w:cs="Times New Roman"/>
          <w:highlight w:val="white"/>
          <w:lang w:val="es-ES"/>
        </w:rPr>
        <w:t>lugar</w:t>
      </w:r>
      <w:proofErr w:type="gramEnd"/>
      <w:r w:rsidRPr="00C85EBD">
        <w:rPr>
          <w:rFonts w:ascii="Times New Roman" w:eastAsia="Times New Roman" w:hAnsi="Times New Roman" w:cs="Times New Roman"/>
          <w:highlight w:val="white"/>
          <w:lang w:val="es-ES"/>
        </w:rPr>
        <w:t xml:space="preserve"> el desarrollo académico y la profundización de conocimientos se posiciona como la motivación más recurrente. Un 65% de los estudiantes mencionaron explícitamente el deseo de expandir su formación teórica y profundizar en áreas específicas de la veterinaria que consideran clave para su futuro profesional. Esta búsqueda de excelencia académica está fuertemente ligada a la oportunidad de cursar asignaturas de interés particular, aprender de nuevos docentes bajo metodologías de enseñanza distintas y vivenciar la dinámica de la carrera en una universidad extranjera. </w:t>
      </w:r>
      <w:r w:rsidRPr="00C85EBD">
        <w:rPr>
          <w:rFonts w:ascii="Times New Roman" w:eastAsia="Times New Roman" w:hAnsi="Times New Roman" w:cs="Times New Roman"/>
          <w:lang w:val="es-ES"/>
        </w:rPr>
        <w:t>Se hace alusión a una ampliación de la mirada profesional; el contacto con otras realidades sociodemográficas y sanitarias que permite a los estudiantes comprender que la medicina veterinaria puede ejercerse desde enfoques muy diversos, incluyendo perspectivas empresariales o de salud pública distintas al contexto uruguayo.</w:t>
      </w:r>
    </w:p>
    <w:p w14:paraId="28131B19"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En segundo </w:t>
      </w:r>
      <w:proofErr w:type="gramStart"/>
      <w:r w:rsidRPr="00C85EBD">
        <w:rPr>
          <w:rFonts w:ascii="Times New Roman" w:eastAsia="Times New Roman" w:hAnsi="Times New Roman" w:cs="Times New Roman"/>
          <w:highlight w:val="white"/>
          <w:lang w:val="es-ES"/>
        </w:rPr>
        <w:t>lugar</w:t>
      </w:r>
      <w:proofErr w:type="gramEnd"/>
      <w:r w:rsidRPr="00C85EBD">
        <w:rPr>
          <w:rFonts w:ascii="Times New Roman" w:eastAsia="Times New Roman" w:hAnsi="Times New Roman" w:cs="Times New Roman"/>
          <w:highlight w:val="white"/>
          <w:lang w:val="es-ES"/>
        </w:rPr>
        <w:t xml:space="preserve"> se destaca el peso de la experiencia personal, el intercambio cultural y de vida. Para 46% de los estudiantes encuestados la movilidad académica trasciende lo netamente curricular y se percibe como una experiencia vital transformadora que fomenta el crecimiento personal y la independencia. Estos estudiantes valoran enormemente la oportunidad de viajar, salir de su zona de confort y adaptarse a un nuevo país, al mismo tiempo que subrayan la importancia de generar redes de contactos internacionales y de conocer de primera mano cómo se ejerce la profesión en otras partes del mundo.</w:t>
      </w:r>
    </w:p>
    <w:p w14:paraId="000351AC"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En tercer </w:t>
      </w:r>
      <w:proofErr w:type="gramStart"/>
      <w:r w:rsidRPr="00C85EBD">
        <w:rPr>
          <w:rFonts w:ascii="Times New Roman" w:eastAsia="Times New Roman" w:hAnsi="Times New Roman" w:cs="Times New Roman"/>
          <w:highlight w:val="white"/>
          <w:lang w:val="es-ES"/>
        </w:rPr>
        <w:t>lugar</w:t>
      </w:r>
      <w:proofErr w:type="gramEnd"/>
      <w:r w:rsidRPr="00C85EBD">
        <w:rPr>
          <w:rFonts w:ascii="Times New Roman" w:eastAsia="Times New Roman" w:hAnsi="Times New Roman" w:cs="Times New Roman"/>
          <w:highlight w:val="white"/>
          <w:lang w:val="es-ES"/>
        </w:rPr>
        <w:t xml:space="preserve"> surge una fuerte necesidad orientada a la búsqueda de práctica clínica. El 27% de los estudiantes señaló que su principal motor fue el acceso a la práctica con animales. Esta motivación se traduce en el deseo de insertarse en hospitales veterinarios de alta complejidad, realizar estancias en tambos o adquirir experiencia directa y tangible en intervenciones, consolidando así las habilidades procedimentales que demanda la profesión.</w:t>
      </w:r>
    </w:p>
    <w:p w14:paraId="1A60E0D2"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En estrecha relación con la búsqueda de experiencia práctica, la cuarta categoría revela que la movilidad funciona para algunos como un mecanismo para la compensación de carencias locales. Un 19% de los estudiantes mencionaron de forma explícita que su decisión estuvo motivada por la percepción de limitaciones en la oferta académica o en la infraestructura de su facultad de origen. Estos testimonios apuntan a la necesidad de cursar materias o temáticas que no se dictan en Uruguay, conocer nuevas realidades hospitalarias, o buscar prácticas intensivas específicas que consideran de difícil acceso a nivel local.</w:t>
      </w:r>
    </w:p>
    <w:p w14:paraId="119D87A6"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En relación a la convalidación académica de sus actividades de movilidad, la investigación reveló que el 60% de los encuestados inició el proceso de reválida y el 40% complementario no ha iniciado dicho trámite. Esta distribución refleja que una mayoría de los encuestados tiene la intención clara de buscar integrar académicamente la experiencia y traducirla en avances concretos dentro de su malla curricular local. El hecho </w:t>
      </w:r>
      <w:r w:rsidRPr="00C85EBD">
        <w:rPr>
          <w:rFonts w:ascii="Times New Roman" w:eastAsia="Times New Roman" w:hAnsi="Times New Roman" w:cs="Times New Roman"/>
          <w:highlight w:val="white"/>
          <w:lang w:val="es-ES"/>
        </w:rPr>
        <w:lastRenderedPageBreak/>
        <w:t xml:space="preserve">de que un significativo 40% decida no iniciar este proceso sugiere que un grupo muy importante percibe la movilidad internacional netamente como una experiencia de enriquecimiento formativo y profesional extracurricular. Esta alta tasa de estudiantes que no inician trámites administrativos se alinea con las conclusiones de nuestro análisis anterior, donde se evidenció que la gran mayoría de los estudiantes prioriza la adquisición de experiencia práctica directa durante su estancia internacional. Al dedicarse intensivamente a pasantías, guardias o </w:t>
      </w:r>
      <w:proofErr w:type="spellStart"/>
      <w:r w:rsidRPr="00C85EBD">
        <w:rPr>
          <w:rFonts w:ascii="Times New Roman" w:eastAsia="Times New Roman" w:hAnsi="Times New Roman" w:cs="Times New Roman"/>
          <w:highlight w:val="white"/>
          <w:lang w:val="es-ES"/>
        </w:rPr>
        <w:t>estágios</w:t>
      </w:r>
      <w:proofErr w:type="spellEnd"/>
      <w:r w:rsidRPr="00C85EBD">
        <w:rPr>
          <w:rFonts w:ascii="Times New Roman" w:eastAsia="Times New Roman" w:hAnsi="Times New Roman" w:cs="Times New Roman"/>
          <w:highlight w:val="white"/>
          <w:lang w:val="es-ES"/>
        </w:rPr>
        <w:t xml:space="preserve"> voluntarios, resulta altamente probable que realicen estas </w:t>
      </w:r>
      <w:proofErr w:type="gramStart"/>
      <w:r w:rsidRPr="00C85EBD">
        <w:rPr>
          <w:rFonts w:ascii="Times New Roman" w:eastAsia="Times New Roman" w:hAnsi="Times New Roman" w:cs="Times New Roman"/>
          <w:highlight w:val="white"/>
          <w:lang w:val="es-ES"/>
        </w:rPr>
        <w:t>labores impulsados</w:t>
      </w:r>
      <w:proofErr w:type="gramEnd"/>
      <w:r w:rsidRPr="00C85EBD">
        <w:rPr>
          <w:rFonts w:ascii="Times New Roman" w:eastAsia="Times New Roman" w:hAnsi="Times New Roman" w:cs="Times New Roman"/>
          <w:highlight w:val="white"/>
          <w:lang w:val="es-ES"/>
        </w:rPr>
        <w:t xml:space="preserve"> por un interés profesional genuino y por el desarrollo de habilidades, sin la necesidad o la posibilidad de que estas prácticas se traduzcan en créditos obligatorios para su carrera de origen.</w:t>
      </w:r>
    </w:p>
    <w:p w14:paraId="6369A4CF"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Al profundizar en las respuestas referidas a qué tipo de actividades logran convalidar los estudiantes tras su regreso se observa una alta preferencia por la convalidación de materias electivas. De acuerdo a los registros, un 48% de los estudiantes lograron convalidar o se encuentran en proceso de convalidar sus actividades bajo esta modalidad. Este camino resulta ser el más común y exitoso entre los participantes, lo que se logra gracias a que la FV de la Udelar ofrece un margen de flexibilidad considerable para incorporar estas asignaturas en la escolaridad, sorteando la estricta necesidad de buscar una equivalencia exacta con el plan de estudios obligatorio local.</w:t>
      </w:r>
    </w:p>
    <w:p w14:paraId="66E495EA"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En contraposición a esta flexibilidad se evidencia una convalidación notablemente menor en el caso de las materias obligatorias correspondientes a la malla curricular troncal y a las prácticas profesionales. Los datos indican que únicamente 14% de los estudiantes encuestados lograron convalidar asignaturas de la malla curricular, mientras que sólo 16% pudieron hacer lo propio con sus horas de práctica. Estos bajos índices ponen de manifiesto la dificultad real que enfrentan los estudiantes para encontrar programas u ofertas académicas en el exterior que coincidan de manera exacta con lo correspondiente a la malla curricular de su universidad de origen.</w:t>
      </w:r>
    </w:p>
    <w:p w14:paraId="6A582C23"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El análisis también expone la existencia de retrasos significativos y procesos administrativos pendientes que obstaculizan el proceso de convalidación de asignaturas para varios estudiantes. Un porcentaje considerable de los participantes, representado por 43%, reporta tener sus trámites en espera. Las principales barreras identificadas para esta dilatación radican en las demoras para la recepción de la documentación oficial debidamente firmada y sellada por las universidades de destino, así como en los tiempos de espera a nivel local durante la gestión del trámite.</w:t>
      </w:r>
    </w:p>
    <w:p w14:paraId="53A23DC3"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Al analizar la evolución académica de los estudiantes, se observa una relación clara entre el año en que realizaron su experiencia internacional y el avance curricular logrado hasta la fecha. El seguimiento del estado académico revela que el período inmediatamente posterior a la movilidad resulta ser una etapa altamente productiva para la finalización de los estudios de grado. Este impacto </w:t>
      </w:r>
      <w:proofErr w:type="spellStart"/>
      <w:r w:rsidRPr="00C85EBD">
        <w:rPr>
          <w:rFonts w:ascii="Times New Roman" w:eastAsia="Times New Roman" w:hAnsi="Times New Roman" w:cs="Times New Roman"/>
          <w:highlight w:val="white"/>
          <w:lang w:val="es-ES"/>
        </w:rPr>
        <w:t>post-movilidad</w:t>
      </w:r>
      <w:proofErr w:type="spellEnd"/>
      <w:r w:rsidRPr="00C85EBD">
        <w:rPr>
          <w:rFonts w:ascii="Times New Roman" w:eastAsia="Times New Roman" w:hAnsi="Times New Roman" w:cs="Times New Roman"/>
          <w:highlight w:val="white"/>
          <w:lang w:val="es-ES"/>
        </w:rPr>
        <w:t xml:space="preserve"> se evidencia de manera notable en la propia cohorte de 2023, la cual experimentó el mayor incremento promedio en su trayectoria tras el retorno, logrando un progreso neto del 40%, lo cuál puede ser explicado parcialmente por ser la cohorte que poseía un promedio de avance relativo inferior (48%) en relación a las otras cohortes. Lógicamente, al evaluar el progreso acumulado, los grupos que realizaron su intercambio en los primeros años del período estudiado exhiben </w:t>
      </w:r>
      <w:r w:rsidRPr="00C85EBD">
        <w:rPr>
          <w:rFonts w:ascii="Times New Roman" w:eastAsia="Times New Roman" w:hAnsi="Times New Roman" w:cs="Times New Roman"/>
          <w:highlight w:val="white"/>
          <w:lang w:val="es-ES"/>
        </w:rPr>
        <w:lastRenderedPageBreak/>
        <w:t>actualmente los niveles más altos de avance: los estudiantes de 2022 y 2023 alcanzan en la actualidad promedios de avance del 96% y 77% respectivamente. Una gran parte de los participantes de estas primeras cohortes ya ha egresado de la carrera.</w:t>
      </w:r>
    </w:p>
    <w:p w14:paraId="12285622"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 xml:space="preserve">En contraste con los grupos anteriores, la cohorte más reciente (2025) refleja una situación distinta derivada de su contexto temporal. Estos estudiantes presentan un avance actual promedio del 63% y un progreso neto </w:t>
      </w:r>
      <w:proofErr w:type="spellStart"/>
      <w:r w:rsidRPr="00C85EBD">
        <w:rPr>
          <w:rFonts w:ascii="Times New Roman" w:eastAsia="Times New Roman" w:hAnsi="Times New Roman" w:cs="Times New Roman"/>
          <w:highlight w:val="white"/>
          <w:lang w:val="es-ES"/>
        </w:rPr>
        <w:t>post-movilidad</w:t>
      </w:r>
      <w:proofErr w:type="spellEnd"/>
      <w:r w:rsidRPr="00C85EBD">
        <w:rPr>
          <w:rFonts w:ascii="Times New Roman" w:eastAsia="Times New Roman" w:hAnsi="Times New Roman" w:cs="Times New Roman"/>
          <w:highlight w:val="white"/>
          <w:lang w:val="es-ES"/>
        </w:rPr>
        <w:t xml:space="preserve"> del 11%, siendo este último el indicador más bajo de la muestra. Este comportamiento es el esperado debido a la proximidad temporal de su experiencia de intercambio, lo que indica que estos estudiantes se encuentran aún en etapas activas de cursado y aún resta la resolución formal en lo que refiere a la acreditación de sus actividades de movilidad por medio de la convalidación.</w:t>
      </w:r>
    </w:p>
    <w:p w14:paraId="307D063B" w14:textId="77777777" w:rsidR="006046AD" w:rsidRPr="00C85EBD" w:rsidRDefault="00000000">
      <w:pPr>
        <w:spacing w:line="240" w:lineRule="auto"/>
        <w:jc w:val="both"/>
        <w:rPr>
          <w:rFonts w:ascii="Times New Roman" w:eastAsia="Times New Roman" w:hAnsi="Times New Roman" w:cs="Times New Roman"/>
          <w:b/>
          <w:bCs/>
          <w:lang w:val="es-ES"/>
        </w:rPr>
      </w:pPr>
      <w:r w:rsidRPr="00C85EBD">
        <w:rPr>
          <w:rFonts w:ascii="Times New Roman" w:eastAsia="Times New Roman" w:hAnsi="Times New Roman" w:cs="Times New Roman"/>
          <w:b/>
          <w:bCs/>
          <w:lang w:val="es-ES"/>
        </w:rPr>
        <w:t>Percepción estudiantil</w:t>
      </w:r>
    </w:p>
    <w:p w14:paraId="4764E1E5"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En la evaluación final de la experiencia, al indagar si los estudiantes recomendarían la movilidad académica a sus pares, no se registró ninguna postura puramente negativa. Un 86% de los estudiantes respaldó la experiencia de forma absoluta y sin reservas, describiéndola como una oportunidad profundamente enriquecedora. Este grupo de estudiantes percibe la movilidad como uno de los hitos más valiosos de su trayectoria universitaria, al punto de catalogarla como una vivencia esencial que todos los alumnos deberían experimentar antes de graduarse. </w:t>
      </w:r>
    </w:p>
    <w:p w14:paraId="043AED94"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Al analizar las justificaciones detrás de esta alta tasa de recomendación, resulta evidente que el valor del intercambio abarca múltiples dimensiones formativas. La motivación principal recae en el enriquecimiento académico y profesional. La adquisición de nuevos conocimientos y el acceso a prácticas avanzadas se posicionan como los beneficios más tangibles. Un 68% de los encuestados valora la oportunidad de haber incorporado nuevas tecnologías y metodologías diagnósticas, terapéuticas y de laboratorio. Los alumnos destacan el valor de aprender bajo la tutela de nuevos profesores y con dinámicas distintas, accediendo a técnicas que muchas veces difieren de las formas tradicionales empleadas a nivel local. Esto se complementa con un 35% de menciones enfocadas en la realización de práctica clínica intensiva. Para este grupo la movilidad facilitó el acceso directo a procedimientos prácticos, intervenciones y rotaciones hospitalarias integrales que fortalecieron su aprendizaje de manera decisiva. Resulta particularmente interesante observar que salir al exterior también funcionó como un espejo para revalorizar el nivel local: varios estudiantes señalaron que la experiencia les permitió apreciar la excelente base formativa de su universidad de origen, reafirmando la validez y competitividad de sus conocimientos previos.</w:t>
      </w:r>
    </w:p>
    <w:p w14:paraId="63B90302"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Más allá del conocimiento técnico y procedimental, la inmersión internacional generó una profunda apertura mental y dotó a los participantes de una perspectiva global. El 49% destaca el crecimiento personal y de vida. Varios estudiantes coinciden en que la experiencia "</w:t>
      </w:r>
      <w:r w:rsidRPr="00C85EBD">
        <w:rPr>
          <w:rFonts w:ascii="Times New Roman" w:eastAsia="Times New Roman" w:hAnsi="Times New Roman" w:cs="Times New Roman"/>
          <w:i/>
          <w:iCs/>
          <w:lang w:val="es-ES"/>
        </w:rPr>
        <w:t>abre la cabeza</w:t>
      </w:r>
      <w:r w:rsidRPr="00C85EBD">
        <w:rPr>
          <w:rFonts w:ascii="Times New Roman" w:eastAsia="Times New Roman" w:hAnsi="Times New Roman" w:cs="Times New Roman"/>
          <w:lang w:val="es-ES"/>
        </w:rPr>
        <w:t xml:space="preserve">", fomenta una madurez acelerada, obliga a salir de la zona de confort y consolida la independencia. A esto se suma el intercambio cultural y social, donde un 32% subraya la relevancia de convivir con otras costumbres y profesionales de diversas partes del mundo. Los encuestados destacan el desarrollo de habilidades blandas, valorando el aprendizaje socioemocional que conlleva la independencia personal, la </w:t>
      </w:r>
      <w:r w:rsidRPr="00C85EBD">
        <w:rPr>
          <w:rFonts w:ascii="Times New Roman" w:eastAsia="Times New Roman" w:hAnsi="Times New Roman" w:cs="Times New Roman"/>
          <w:lang w:val="es-ES"/>
        </w:rPr>
        <w:lastRenderedPageBreak/>
        <w:t>convivencia multicultural y la necesaria adaptación al cambio. Reportaron beneficios directos e inmediatos sobre su proyección profesional, indicando que el intercambio no solo les permitió tejer redes de contacto internacionales clave, sino que, en varios casos, la experiencia culminó con ofertas laborales concretas en los países de destino.</w:t>
      </w:r>
    </w:p>
    <w:p w14:paraId="4BB53F10"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En su amplia mayoría (97%) los encuestados consideran que la movilidad enriqueció profundamente su formación académica, profesional y personal. Se destacan beneficios multifacéticos, señalando incluso que esta vivencia internacional constituye un factor de diferenciación clave y competitivo para su currículum y perfil profesional. </w:t>
      </w:r>
    </w:p>
    <w:p w14:paraId="034132C4"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El análisis también rescata la perspectiva de algunos estudiantes que introdujeron matices sumamente valiosos, los cuales funcionan como advertencias o consejos prácticos para futuros postulantes. Estas observaciones señalan desafíos tangibles que deben ser considerados. La importancia de estar preparado para cuidar la salud mental ante circunstancias de soledad y la distancia con sus afectos; la frustración ligada a la lentitud e incertidumbre de los trámites de reválida, lo cual puede retrasar el avance regular de la carrera; la necesidad de dominar el idioma local; y la importancia de planificar estratégicamente las fechas del viaje para evitar la estacionalidad académica donde, debido a periodos de receso, puede ocurrir una drástica baja en la casuística de los hospitales. En conjunto estas reflexiones sugieren que para maximizar el éxito de futuras cohortes sería de gran utilidad institucional brindar un mayor acompañamiento en la preparación emocional, aportar mayor certidumbre y agilidad a los procesos de convalidación, y ofrecer un asesoramiento más agudo sobre los calendarios y contextos específicos de cada destino.</w:t>
      </w:r>
    </w:p>
    <w:p w14:paraId="77453688" w14:textId="77777777" w:rsidR="006046AD" w:rsidRPr="00C85EBD" w:rsidRDefault="00000000">
      <w:pPr>
        <w:spacing w:line="240" w:lineRule="auto"/>
        <w:jc w:val="both"/>
        <w:rPr>
          <w:rFonts w:ascii="Times New Roman" w:eastAsia="Times New Roman" w:hAnsi="Times New Roman" w:cs="Times New Roman"/>
          <w:highlight w:val="white"/>
          <w:lang w:val="es-ES"/>
        </w:rPr>
      </w:pPr>
      <w:r w:rsidRPr="00C85EBD">
        <w:rPr>
          <w:rFonts w:ascii="Times New Roman" w:eastAsia="Times New Roman" w:hAnsi="Times New Roman" w:cs="Times New Roman"/>
          <w:highlight w:val="white"/>
          <w:lang w:val="es-ES"/>
        </w:rPr>
        <w:t>Surge como punto crítico un conjunto de inquietudes y manifestaciones en relación a la demora en el proceso de reválidas. La gestión de los trámites académicos posteriores al retorno es un área que genera fricción e incertidumbre. Los estudiantes reportan la falta de actualización en sus escolaridades, señalando casos concretos donde materias ya aprobadas aún no figuran en sus registros oficiales. Mencionan una notable lentitud en las convalidaciones, indicando que, a pesar de haber iniciado los trámites correspondientes, las asignaturas siguen sin ser reconocidas formalmente. Esta situación se ve agravada por un evidente desconocimiento o falta de claridad institucional sobre los plazos, los tiempos de espera y los procedimientos correctos para efectuar dichas gestiones.</w:t>
      </w:r>
    </w:p>
    <w:p w14:paraId="3549FB7E" w14:textId="77777777" w:rsidR="006046AD" w:rsidRPr="00C85EBD" w:rsidRDefault="00000000">
      <w:pPr>
        <w:spacing w:line="240" w:lineRule="auto"/>
        <w:jc w:val="both"/>
        <w:rPr>
          <w:rFonts w:ascii="Times New Roman" w:eastAsia="Times New Roman" w:hAnsi="Times New Roman" w:cs="Times New Roman"/>
          <w:highlight w:val="yellow"/>
          <w:lang w:val="es-ES"/>
        </w:rPr>
      </w:pPr>
      <w:r w:rsidRPr="00C85EBD">
        <w:rPr>
          <w:rFonts w:ascii="Times New Roman" w:eastAsia="Times New Roman" w:hAnsi="Times New Roman" w:cs="Times New Roman"/>
          <w:lang w:val="es-ES"/>
        </w:rPr>
        <w:t>Del análisis de las encuestas se destaca una alta valoración del apoyo institucional. Los estudiantes expresan una profunda gratitud por la oportunidad brindada, subrayando que el respaldo económico resulta un pilar fundamental para la viabilidad de las movilidades realizadas. Los estudiantes becados señalan explícitamente que sin la ayuda financiera no podrían haber accedido a esta experiencia. A esto se suma el reconocimiento al acompañamiento humano, valorando de forma muy positiva la contención y la disposición, tanto de la Secretaría Estudiantil como del Servicio de Relaciones Internacionales de la Udelar, para la resolución de problemas vinculados al papeleo y la gestión durante el intercambio.</w:t>
      </w:r>
    </w:p>
    <w:p w14:paraId="7241D388"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lastRenderedPageBreak/>
        <w:t xml:space="preserve">Los aportes que realizan los estudiantes en las encuestas reflejan el profundo impacto de la movilidad académica en el desarrollo personal y profesional, acompañado de propuestas de innovación. La movilidad es percibida como un enorme desafío personal que implica salir de la zona de confort, enfrentarse a nuevas barreras idiomáticas y vivir de forma independiente en el extranjero, retos que logran superarse exitosamente gracias al apoyo de las instituciones receptoras. Esta apertura mental lleva a los estudiantes a proponer mejoras directas para la facultad de origen. Por </w:t>
      </w:r>
      <w:proofErr w:type="gramStart"/>
      <w:r w:rsidRPr="00C85EBD">
        <w:rPr>
          <w:rFonts w:ascii="Times New Roman" w:eastAsia="Times New Roman" w:hAnsi="Times New Roman" w:cs="Times New Roman"/>
          <w:lang w:val="es-ES"/>
        </w:rPr>
        <w:t>ejemplo</w:t>
      </w:r>
      <w:proofErr w:type="gramEnd"/>
      <w:r w:rsidRPr="00C85EBD">
        <w:rPr>
          <w:rFonts w:ascii="Times New Roman" w:eastAsia="Times New Roman" w:hAnsi="Times New Roman" w:cs="Times New Roman"/>
          <w:lang w:val="es-ES"/>
        </w:rPr>
        <w:t xml:space="preserve"> sugieren evaluar e incorporar modalidades observadas en el exterior, como el sistema de residencias estudiantiles implementado en Brasil, como una alternativa estratégica para mitigar la falta de práctica clínica a nivel local. El impacto general es tan positivo que varios de ellos manifiestan su clara intención de postularse a futuras movilidades.</w:t>
      </w:r>
    </w:p>
    <w:p w14:paraId="625D028A" w14:textId="77777777" w:rsidR="006046AD" w:rsidRPr="00C85EBD" w:rsidRDefault="00000000">
      <w:pPr>
        <w:spacing w:line="240" w:lineRule="auto"/>
        <w:jc w:val="both"/>
        <w:rPr>
          <w:rFonts w:ascii="Times New Roman" w:eastAsia="Times New Roman" w:hAnsi="Times New Roman" w:cs="Times New Roman"/>
          <w:b/>
          <w:bCs/>
          <w:lang w:val="es-ES"/>
        </w:rPr>
      </w:pPr>
      <w:r w:rsidRPr="00C85EBD">
        <w:rPr>
          <w:rFonts w:ascii="Times New Roman" w:eastAsia="Times New Roman" w:hAnsi="Times New Roman" w:cs="Times New Roman"/>
          <w:b/>
          <w:bCs/>
          <w:lang w:val="es-ES"/>
        </w:rPr>
        <w:t>Conclusiones</w:t>
      </w:r>
    </w:p>
    <w:p w14:paraId="253744F9"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El análisis de las movilidades académicas salientes de la Facultad de Veterinaria de la Udelar durante el período 2022-2025 evidencia que la internacionalización estudiantil no es un fenómeno aleatorio, sino un proceso atravesado por marcadas tendencias geográficas, académicas y burocráticas. En primer </w:t>
      </w:r>
      <w:proofErr w:type="gramStart"/>
      <w:r w:rsidRPr="00C85EBD">
        <w:rPr>
          <w:rFonts w:ascii="Times New Roman" w:eastAsia="Times New Roman" w:hAnsi="Times New Roman" w:cs="Times New Roman"/>
          <w:lang w:val="es-ES"/>
        </w:rPr>
        <w:t>lugar</w:t>
      </w:r>
      <w:proofErr w:type="gramEnd"/>
      <w:r w:rsidRPr="00C85EBD">
        <w:rPr>
          <w:rFonts w:ascii="Times New Roman" w:eastAsia="Times New Roman" w:hAnsi="Times New Roman" w:cs="Times New Roman"/>
          <w:lang w:val="es-ES"/>
        </w:rPr>
        <w:t xml:space="preserve"> se constata una consolidación de la cooperación Sur-Sur y la regionalización de los intercambios, con un liderazgo absoluto de Brasil y Argentina, sumado a España como principal puerta a Europa. Este patrón, fuertemente determinado por los vínculos idiomáticos y las redes fronterizas, demuestra que la movilidad de la Facultad se alinea con una perspectiva situada e integradora, alejándose de los flujos asimétricos tradicionales orientados exclusivamente hacia el norte global.</w:t>
      </w:r>
    </w:p>
    <w:p w14:paraId="545DB9F4"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En cuanto al perfil de los participantes la movilidad se configura como una experiencia capitalizada en etapas de madurez universitaria. Los estudiantes emprenden este desafío hacia el final de su grado, buscando predominantemente consolidar sus competencias a través de la formación práctica y clínica. Resulta revelador que la principal motivación sea el acceso a prácticas en hospitales o espacios productivos, evidenciando que el intercambio internacional funciona, en gran medida, como un mecanismo estratégico para complementar la formación local y acceder a tecnologías, casuísticas y enfoques clínicos diferentes a los ofertados en la institución de origen.</w:t>
      </w:r>
    </w:p>
    <w:p w14:paraId="2AB3BA02"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Respecto a la articulación curricular, el estudio arroja conclusiones contrastantes. Si bien el período </w:t>
      </w:r>
      <w:proofErr w:type="spellStart"/>
      <w:r w:rsidRPr="00C85EBD">
        <w:rPr>
          <w:rFonts w:ascii="Times New Roman" w:eastAsia="Times New Roman" w:hAnsi="Times New Roman" w:cs="Times New Roman"/>
          <w:lang w:val="es-ES"/>
        </w:rPr>
        <w:t>post-movilidad</w:t>
      </w:r>
      <w:proofErr w:type="spellEnd"/>
      <w:r w:rsidRPr="00C85EBD">
        <w:rPr>
          <w:rFonts w:ascii="Times New Roman" w:eastAsia="Times New Roman" w:hAnsi="Times New Roman" w:cs="Times New Roman"/>
          <w:lang w:val="es-ES"/>
        </w:rPr>
        <w:t xml:space="preserve"> ha demostrado ser altamente productivo para la finalización de los estudios, el proceso formal de reconocimiento de saberes presenta importantes fricciones. Mientras que el sistema muestra una valiosa flexibilidad para la convalidación de materias electivas, existe una rigidez estructural para homologar asignaturas de la malla troncal y prácticas profesionales obligatorias. Un 40% de los estudiantes decide no iniciar los trámites de reválida, lo que revela que para este grupo la movilidad adquiere un carácter estrictamente extracurricular, priorizando el desarrollo de habilidades por encima de la obtención de créditos.</w:t>
      </w:r>
    </w:p>
    <w:p w14:paraId="4BF39593"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Desde la percepción estudiantil, el balance de la experiencia es contundentemente positivo y transformador. La inmersión internacional no solo fomenta el perfeccionamiento técnico, sino que cataliza el crecimiento personal, la independencia, </w:t>
      </w:r>
      <w:r w:rsidRPr="00C85EBD">
        <w:rPr>
          <w:rFonts w:ascii="Times New Roman" w:eastAsia="Times New Roman" w:hAnsi="Times New Roman" w:cs="Times New Roman"/>
          <w:lang w:val="es-ES"/>
        </w:rPr>
        <w:lastRenderedPageBreak/>
        <w:t xml:space="preserve">el desarrollo de habilidades blandas y la creación de redes profesionales. No obstante, las propias advertencias de los estudiantes señalan áreas críticas para la mejora del acompañamiento y orientación que hace la institución. Surgen recomendaciones directas para optimizar la experiencia de futuras cohortes como la necesidad de agilizar y transparentar el proceso de reválidas. Por otro </w:t>
      </w:r>
      <w:proofErr w:type="gramStart"/>
      <w:r w:rsidRPr="00C85EBD">
        <w:rPr>
          <w:rFonts w:ascii="Times New Roman" w:eastAsia="Times New Roman" w:hAnsi="Times New Roman" w:cs="Times New Roman"/>
          <w:lang w:val="es-ES"/>
        </w:rPr>
        <w:t>lado</w:t>
      </w:r>
      <w:proofErr w:type="gramEnd"/>
      <w:r w:rsidRPr="00C85EBD">
        <w:rPr>
          <w:rFonts w:ascii="Times New Roman" w:eastAsia="Times New Roman" w:hAnsi="Times New Roman" w:cs="Times New Roman"/>
          <w:lang w:val="es-ES"/>
        </w:rPr>
        <w:t xml:space="preserve"> resulta vital proteger y fortalecer los recursos actuales: el acompañamiento humano brindado y los fondos destinados a ayudas económicas han demostrado ser indispensables para hacer posible y exitosa la internacionalización de nuestros estudiantes.</w:t>
      </w:r>
    </w:p>
    <w:p w14:paraId="5ABE00BE" w14:textId="77777777" w:rsidR="006046AD" w:rsidRPr="00C85EBD" w:rsidRDefault="00000000">
      <w:pPr>
        <w:spacing w:line="240" w:lineRule="auto"/>
        <w:rPr>
          <w:rFonts w:ascii="Times New Roman" w:eastAsia="Times New Roman" w:hAnsi="Times New Roman" w:cs="Times New Roman"/>
          <w:b/>
          <w:bCs/>
          <w:lang w:val="es-ES"/>
        </w:rPr>
      </w:pPr>
      <w:r w:rsidRPr="00C85EBD">
        <w:rPr>
          <w:rFonts w:ascii="Times New Roman" w:eastAsia="Times New Roman" w:hAnsi="Times New Roman" w:cs="Times New Roman"/>
          <w:b/>
          <w:bCs/>
          <w:lang w:val="es-ES"/>
        </w:rPr>
        <w:t>Referencias Bibliográficas (APA 7)</w:t>
      </w:r>
    </w:p>
    <w:p w14:paraId="462F58C8" w14:textId="77777777" w:rsidR="006046AD" w:rsidRPr="00C85EBD" w:rsidRDefault="00000000">
      <w:pPr>
        <w:spacing w:line="240" w:lineRule="auto"/>
        <w:jc w:val="both"/>
        <w:rPr>
          <w:rFonts w:ascii="Times New Roman" w:eastAsia="Times New Roman" w:hAnsi="Times New Roman" w:cs="Times New Roman"/>
          <w:lang w:val="es-ES"/>
        </w:rPr>
      </w:pPr>
      <w:proofErr w:type="spellStart"/>
      <w:r w:rsidRPr="00C85EBD">
        <w:rPr>
          <w:rFonts w:ascii="Times New Roman" w:eastAsia="Times New Roman" w:hAnsi="Times New Roman" w:cs="Times New Roman"/>
          <w:lang w:val="es-ES"/>
        </w:rPr>
        <w:t>Beneitone</w:t>
      </w:r>
      <w:proofErr w:type="spellEnd"/>
      <w:r w:rsidRPr="00C85EBD">
        <w:rPr>
          <w:rFonts w:ascii="Times New Roman" w:eastAsia="Times New Roman" w:hAnsi="Times New Roman" w:cs="Times New Roman"/>
          <w:lang w:val="es-ES"/>
        </w:rPr>
        <w:t xml:space="preserve">, P. (2022). Internacionalización del currículo: una respuesta democratizadora a las desigualdades resultantes de la movilidad académica elitista. </w:t>
      </w:r>
      <w:r w:rsidRPr="00C85EBD">
        <w:rPr>
          <w:rFonts w:ascii="Times New Roman" w:eastAsia="Times New Roman" w:hAnsi="Times New Roman" w:cs="Times New Roman"/>
          <w:i/>
          <w:iCs/>
          <w:lang w:val="es-ES"/>
        </w:rPr>
        <w:t>Revista Educación Superior y Sociedad (ESS), 34</w:t>
      </w:r>
      <w:r w:rsidRPr="00C85EBD">
        <w:rPr>
          <w:rFonts w:ascii="Times New Roman" w:eastAsia="Times New Roman" w:hAnsi="Times New Roman" w:cs="Times New Roman"/>
          <w:lang w:val="es-ES"/>
        </w:rPr>
        <w:t>(1), 422-444. https://doi.org/10.54674/ess.v34i1.526</w:t>
      </w:r>
    </w:p>
    <w:p w14:paraId="216DCFBE" w14:textId="77777777" w:rsidR="006046AD" w:rsidRDefault="00000000">
      <w:pPr>
        <w:spacing w:line="240" w:lineRule="auto"/>
        <w:jc w:val="both"/>
        <w:rPr>
          <w:rFonts w:ascii="Times New Roman" w:eastAsia="Times New Roman" w:hAnsi="Times New Roman" w:cs="Times New Roman"/>
        </w:rPr>
      </w:pPr>
      <w:r w:rsidRPr="00C85EBD">
        <w:rPr>
          <w:rFonts w:ascii="Times New Roman" w:eastAsia="Times New Roman" w:hAnsi="Times New Roman" w:cs="Times New Roman"/>
          <w:lang w:val="es-ES"/>
        </w:rPr>
        <w:t xml:space="preserve">de Wit, H., y </w:t>
      </w:r>
      <w:proofErr w:type="spellStart"/>
      <w:r w:rsidRPr="00C85EBD">
        <w:rPr>
          <w:rFonts w:ascii="Times New Roman" w:eastAsia="Times New Roman" w:hAnsi="Times New Roman" w:cs="Times New Roman"/>
          <w:lang w:val="es-ES"/>
        </w:rPr>
        <w:t>Deca</w:t>
      </w:r>
      <w:proofErr w:type="spellEnd"/>
      <w:r w:rsidRPr="00C85EBD">
        <w:rPr>
          <w:rFonts w:ascii="Times New Roman" w:eastAsia="Times New Roman" w:hAnsi="Times New Roman" w:cs="Times New Roman"/>
          <w:lang w:val="es-ES"/>
        </w:rPr>
        <w:t xml:space="preserve">, L. (2020). </w:t>
      </w:r>
      <w:r>
        <w:rPr>
          <w:rFonts w:ascii="Times New Roman" w:eastAsia="Times New Roman" w:hAnsi="Times New Roman" w:cs="Times New Roman"/>
        </w:rPr>
        <w:t xml:space="preserve">Internationalization of Higher Education, Challenges and Opportunities for the Next Decade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Curaj, A., Deca, L., y </w:t>
      </w:r>
      <w:proofErr w:type="spellStart"/>
      <w:r>
        <w:rPr>
          <w:rFonts w:ascii="Times New Roman" w:eastAsia="Times New Roman" w:hAnsi="Times New Roman" w:cs="Times New Roman"/>
        </w:rPr>
        <w:t>Pricopie</w:t>
      </w:r>
      <w:proofErr w:type="spellEnd"/>
      <w:r>
        <w:rPr>
          <w:rFonts w:ascii="Times New Roman" w:eastAsia="Times New Roman" w:hAnsi="Times New Roman" w:cs="Times New Roman"/>
        </w:rPr>
        <w:t xml:space="preserve"> R. (Eds.), European Higher Education Area: Challenges for a New Decade (pp. 3-11). https://doi.org/10.1007/978-3-030-56316-5_1</w:t>
      </w:r>
    </w:p>
    <w:p w14:paraId="0CC772C2"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 xml:space="preserve">Fernández Lamarra, N., y García, P. (2016). Desafíos para la internacionalización de la educación superior desde una perspectiva regional. </w:t>
      </w:r>
      <w:r w:rsidRPr="00C85EBD">
        <w:rPr>
          <w:rFonts w:ascii="Times New Roman" w:eastAsia="Times New Roman" w:hAnsi="Times New Roman" w:cs="Times New Roman"/>
          <w:i/>
          <w:iCs/>
          <w:lang w:val="es-ES"/>
        </w:rPr>
        <w:t>Integración y conocimiento: revista del núcleo de estudios e investigaciones en educación superior de Mercosur, 5</w:t>
      </w:r>
      <w:r w:rsidRPr="00C85EBD">
        <w:rPr>
          <w:rFonts w:ascii="Times New Roman" w:eastAsia="Times New Roman" w:hAnsi="Times New Roman" w:cs="Times New Roman"/>
          <w:lang w:val="es-ES"/>
        </w:rPr>
        <w:t>(1), 13-25.</w:t>
      </w:r>
    </w:p>
    <w:p w14:paraId="5A8A41EF"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Gacel-Ávila, J. (2022). Internacionalización inclusiva en América Latina y el Caribe Desafíos y factibilidad.</w:t>
      </w:r>
      <w:r w:rsidRPr="00C85EBD">
        <w:rPr>
          <w:rFonts w:ascii="Times New Roman" w:eastAsia="Times New Roman" w:hAnsi="Times New Roman" w:cs="Times New Roman"/>
          <w:i/>
          <w:iCs/>
          <w:lang w:val="es-ES"/>
        </w:rPr>
        <w:t xml:space="preserve"> Revista Educación Superior y Sociedad (ESS), 34</w:t>
      </w:r>
      <w:r w:rsidRPr="00C85EBD">
        <w:rPr>
          <w:rFonts w:ascii="Times New Roman" w:eastAsia="Times New Roman" w:hAnsi="Times New Roman" w:cs="Times New Roman"/>
          <w:lang w:val="es-ES"/>
        </w:rPr>
        <w:t xml:space="preserve">(1), 401-421. </w:t>
      </w:r>
      <w:hyperlink r:id="rId11">
        <w:r w:rsidR="006046AD" w:rsidRPr="00C85EBD">
          <w:rPr>
            <w:rFonts w:ascii="Times New Roman" w:eastAsia="Times New Roman" w:hAnsi="Times New Roman" w:cs="Times New Roman"/>
            <w:lang w:val="es-ES"/>
          </w:rPr>
          <w:t>https://doi.org/10.54674/ess.v34i1.570</w:t>
        </w:r>
      </w:hyperlink>
    </w:p>
    <w:p w14:paraId="05105647" w14:textId="77777777" w:rsidR="006046AD" w:rsidRDefault="00000000">
      <w:pPr>
        <w:spacing w:line="240" w:lineRule="auto"/>
        <w:jc w:val="both"/>
        <w:rPr>
          <w:rFonts w:ascii="Times New Roman" w:eastAsia="Times New Roman" w:hAnsi="Times New Roman" w:cs="Times New Roman"/>
        </w:rPr>
      </w:pPr>
      <w:r w:rsidRPr="00C85EBD">
        <w:rPr>
          <w:rFonts w:ascii="Times New Roman" w:eastAsia="Times New Roman" w:hAnsi="Times New Roman" w:cs="Times New Roman"/>
          <w:lang w:val="es-ES"/>
        </w:rPr>
        <w:t xml:space="preserve">Ortiz, R. A. G., López, M. A., y Gordillo, R. C. (2008). Aspectos geográficos y económicos que intervienen en la movilidad académica entre Argentina, Brasil, Chile, Colombia, México y Perú. </w:t>
      </w:r>
      <w:r>
        <w:rPr>
          <w:rFonts w:ascii="Times New Roman" w:eastAsia="Times New Roman" w:hAnsi="Times New Roman" w:cs="Times New Roman"/>
          <w:i/>
          <w:iCs/>
        </w:rPr>
        <w:t>Universidad &amp; Empresa, 7</w:t>
      </w:r>
      <w:r>
        <w:rPr>
          <w:rFonts w:ascii="Times New Roman" w:eastAsia="Times New Roman" w:hAnsi="Times New Roman" w:cs="Times New Roman"/>
        </w:rPr>
        <w:t>(14), 89-110.</w:t>
      </w:r>
    </w:p>
    <w:p w14:paraId="5ECA9D36" w14:textId="77777777" w:rsidR="006046AD" w:rsidRPr="00C85EBD" w:rsidRDefault="00000000">
      <w:pPr>
        <w:spacing w:line="240" w:lineRule="auto"/>
        <w:jc w:val="both"/>
        <w:rPr>
          <w:rFonts w:ascii="Times New Roman" w:eastAsia="Times New Roman" w:hAnsi="Times New Roman" w:cs="Times New Roman"/>
          <w:lang w:val="es-ES"/>
        </w:rPr>
      </w:pPr>
      <w:r>
        <w:rPr>
          <w:rFonts w:ascii="Times New Roman" w:eastAsia="Times New Roman" w:hAnsi="Times New Roman" w:cs="Times New Roman"/>
        </w:rPr>
        <w:t xml:space="preserve">Hudzik, J. K., y McCarthy, J. S. (2012). </w:t>
      </w:r>
      <w:r>
        <w:rPr>
          <w:rFonts w:ascii="Times New Roman" w:eastAsia="Times New Roman" w:hAnsi="Times New Roman" w:cs="Times New Roman"/>
          <w:i/>
          <w:iCs/>
        </w:rPr>
        <w:t>Leading comprehensive internationalization: Strategy and tactics for action</w:t>
      </w:r>
      <w:r>
        <w:rPr>
          <w:rFonts w:ascii="Times New Roman" w:eastAsia="Times New Roman" w:hAnsi="Times New Roman" w:cs="Times New Roman"/>
        </w:rPr>
        <w:t xml:space="preserve">. </w:t>
      </w:r>
      <w:r w:rsidRPr="00C85EBD">
        <w:rPr>
          <w:rFonts w:ascii="Times New Roman" w:eastAsia="Times New Roman" w:hAnsi="Times New Roman" w:cs="Times New Roman"/>
          <w:lang w:val="es-ES"/>
        </w:rPr>
        <w:t xml:space="preserve">NAFSA: </w:t>
      </w:r>
      <w:proofErr w:type="spellStart"/>
      <w:r w:rsidRPr="00C85EBD">
        <w:rPr>
          <w:rFonts w:ascii="Times New Roman" w:eastAsia="Times New Roman" w:hAnsi="Times New Roman" w:cs="Times New Roman"/>
          <w:lang w:val="es-ES"/>
        </w:rPr>
        <w:t>Association</w:t>
      </w:r>
      <w:proofErr w:type="spellEnd"/>
      <w:r w:rsidRPr="00C85EBD">
        <w:rPr>
          <w:rFonts w:ascii="Times New Roman" w:eastAsia="Times New Roman" w:hAnsi="Times New Roman" w:cs="Times New Roman"/>
          <w:lang w:val="es-ES"/>
        </w:rPr>
        <w:t xml:space="preserve"> </w:t>
      </w:r>
      <w:proofErr w:type="spellStart"/>
      <w:r w:rsidRPr="00C85EBD">
        <w:rPr>
          <w:rFonts w:ascii="Times New Roman" w:eastAsia="Times New Roman" w:hAnsi="Times New Roman" w:cs="Times New Roman"/>
          <w:lang w:val="es-ES"/>
        </w:rPr>
        <w:t>of</w:t>
      </w:r>
      <w:proofErr w:type="spellEnd"/>
      <w:r w:rsidRPr="00C85EBD">
        <w:rPr>
          <w:rFonts w:ascii="Times New Roman" w:eastAsia="Times New Roman" w:hAnsi="Times New Roman" w:cs="Times New Roman"/>
          <w:lang w:val="es-ES"/>
        </w:rPr>
        <w:t xml:space="preserve"> International </w:t>
      </w:r>
      <w:proofErr w:type="spellStart"/>
      <w:r w:rsidRPr="00C85EBD">
        <w:rPr>
          <w:rFonts w:ascii="Times New Roman" w:eastAsia="Times New Roman" w:hAnsi="Times New Roman" w:cs="Times New Roman"/>
          <w:lang w:val="es-ES"/>
        </w:rPr>
        <w:t>Educators</w:t>
      </w:r>
      <w:proofErr w:type="spellEnd"/>
      <w:r w:rsidRPr="00C85EBD">
        <w:rPr>
          <w:rFonts w:ascii="Times New Roman" w:eastAsia="Times New Roman" w:hAnsi="Times New Roman" w:cs="Times New Roman"/>
          <w:lang w:val="es-ES"/>
        </w:rPr>
        <w:t>.</w:t>
      </w:r>
    </w:p>
    <w:p w14:paraId="1DFDFC08" w14:textId="77777777" w:rsidR="006046AD" w:rsidRPr="00C85EBD" w:rsidRDefault="00000000">
      <w:pPr>
        <w:spacing w:line="240" w:lineRule="auto"/>
        <w:jc w:val="both"/>
        <w:rPr>
          <w:rFonts w:ascii="Times New Roman" w:eastAsia="Times New Roman" w:hAnsi="Times New Roman" w:cs="Times New Roman"/>
          <w:highlight w:val="yellow"/>
          <w:lang w:val="es-ES"/>
        </w:rPr>
      </w:pPr>
      <w:r w:rsidRPr="00C85EBD">
        <w:rPr>
          <w:rFonts w:ascii="Times New Roman" w:eastAsia="Times New Roman" w:hAnsi="Times New Roman" w:cs="Times New Roman"/>
          <w:lang w:val="es-ES"/>
        </w:rPr>
        <w:t xml:space="preserve">Leask, B. (2021). </w:t>
      </w:r>
      <w:proofErr w:type="spellStart"/>
      <w:r w:rsidRPr="00C85EBD">
        <w:rPr>
          <w:rFonts w:ascii="Times New Roman" w:eastAsia="Times New Roman" w:hAnsi="Times New Roman" w:cs="Times New Roman"/>
          <w:lang w:val="es-ES"/>
        </w:rPr>
        <w:t>Reimaginar</w:t>
      </w:r>
      <w:proofErr w:type="spellEnd"/>
      <w:r w:rsidRPr="00C85EBD">
        <w:rPr>
          <w:rFonts w:ascii="Times New Roman" w:eastAsia="Times New Roman" w:hAnsi="Times New Roman" w:cs="Times New Roman"/>
          <w:lang w:val="es-ES"/>
        </w:rPr>
        <w:t xml:space="preserve"> las mejores prácticas en la internacionalización del currículo. En Leask, B., Torres-Hernandez, A.M., Bustos Aguirre, M. L. y de Wit, H. (coord.). </w:t>
      </w:r>
      <w:proofErr w:type="spellStart"/>
      <w:r w:rsidRPr="00C85EBD">
        <w:rPr>
          <w:rFonts w:ascii="Times New Roman" w:eastAsia="Times New Roman" w:hAnsi="Times New Roman" w:cs="Times New Roman"/>
          <w:i/>
          <w:iCs/>
          <w:lang w:val="es-ES"/>
        </w:rPr>
        <w:t>Reimaginar</w:t>
      </w:r>
      <w:proofErr w:type="spellEnd"/>
      <w:r w:rsidRPr="00C85EBD">
        <w:rPr>
          <w:rFonts w:ascii="Times New Roman" w:eastAsia="Times New Roman" w:hAnsi="Times New Roman" w:cs="Times New Roman"/>
          <w:i/>
          <w:iCs/>
          <w:lang w:val="es-ES"/>
        </w:rPr>
        <w:t xml:space="preserve"> la Internacionalización del Currículo. Mejores prácticas y posibilidades prometedoras</w:t>
      </w:r>
      <w:r w:rsidRPr="00C85EBD">
        <w:rPr>
          <w:rFonts w:ascii="Times New Roman" w:eastAsia="Times New Roman" w:hAnsi="Times New Roman" w:cs="Times New Roman"/>
          <w:lang w:val="es-ES"/>
        </w:rPr>
        <w:t xml:space="preserve">. (pp.21-57) Universidad de Guadalajara. </w:t>
      </w:r>
    </w:p>
    <w:p w14:paraId="33BA8976" w14:textId="77777777" w:rsidR="006046AD" w:rsidRPr="00C85EBD" w:rsidRDefault="00000000">
      <w:pPr>
        <w:spacing w:line="240" w:lineRule="auto"/>
        <w:jc w:val="both"/>
        <w:rPr>
          <w:rFonts w:ascii="Times New Roman" w:eastAsia="Times New Roman" w:hAnsi="Times New Roman" w:cs="Times New Roman"/>
          <w:lang w:val="es-ES"/>
        </w:rPr>
      </w:pPr>
      <w:proofErr w:type="spellStart"/>
      <w:r w:rsidRPr="00C85EBD">
        <w:rPr>
          <w:rFonts w:ascii="Times New Roman" w:eastAsia="Times New Roman" w:hAnsi="Times New Roman" w:cs="Times New Roman"/>
          <w:lang w:val="es-ES"/>
        </w:rPr>
        <w:t>Oregioni</w:t>
      </w:r>
      <w:proofErr w:type="spellEnd"/>
      <w:r w:rsidRPr="00C85EBD">
        <w:rPr>
          <w:rFonts w:ascii="Times New Roman" w:eastAsia="Times New Roman" w:hAnsi="Times New Roman" w:cs="Times New Roman"/>
          <w:lang w:val="es-ES"/>
        </w:rPr>
        <w:t xml:space="preserve">, M. S. (2023). Reflexiones sobre internacionalización curricular en un mundo en transformación: Una mirada situada, relacional y política, orientada a la integración regional. En </w:t>
      </w:r>
      <w:proofErr w:type="spellStart"/>
      <w:r w:rsidRPr="00C85EBD">
        <w:rPr>
          <w:rFonts w:ascii="Times New Roman" w:eastAsia="Times New Roman" w:hAnsi="Times New Roman" w:cs="Times New Roman"/>
          <w:lang w:val="es-ES"/>
        </w:rPr>
        <w:t>Vogliotti</w:t>
      </w:r>
      <w:proofErr w:type="spellEnd"/>
      <w:r w:rsidRPr="00C85EBD">
        <w:rPr>
          <w:rFonts w:ascii="Times New Roman" w:eastAsia="Times New Roman" w:hAnsi="Times New Roman" w:cs="Times New Roman"/>
          <w:lang w:val="es-ES"/>
        </w:rPr>
        <w:t xml:space="preserve"> A. (Coord.), </w:t>
      </w:r>
      <w:r w:rsidRPr="00C85EBD">
        <w:rPr>
          <w:rFonts w:ascii="Times New Roman" w:eastAsia="Times New Roman" w:hAnsi="Times New Roman" w:cs="Times New Roman"/>
          <w:i/>
          <w:iCs/>
          <w:lang w:val="es-ES"/>
        </w:rPr>
        <w:t>Innovación curricular en Educación Superior</w:t>
      </w:r>
      <w:r w:rsidRPr="00C85EBD">
        <w:rPr>
          <w:rFonts w:ascii="Times New Roman" w:eastAsia="Times New Roman" w:hAnsi="Times New Roman" w:cs="Times New Roman"/>
          <w:lang w:val="es-ES"/>
        </w:rPr>
        <w:t xml:space="preserve"> (pp. 110–121). </w:t>
      </w:r>
      <w:proofErr w:type="spellStart"/>
      <w:r w:rsidRPr="00C85EBD">
        <w:rPr>
          <w:rFonts w:ascii="Times New Roman" w:eastAsia="Times New Roman" w:hAnsi="Times New Roman" w:cs="Times New Roman"/>
          <w:lang w:val="es-ES"/>
        </w:rPr>
        <w:t>UniRío</w:t>
      </w:r>
      <w:proofErr w:type="spellEnd"/>
      <w:r w:rsidRPr="00C85EBD">
        <w:rPr>
          <w:rFonts w:ascii="Times New Roman" w:eastAsia="Times New Roman" w:hAnsi="Times New Roman" w:cs="Times New Roman"/>
          <w:lang w:val="es-ES"/>
        </w:rPr>
        <w:t xml:space="preserve"> editora.</w:t>
      </w:r>
    </w:p>
    <w:p w14:paraId="16384372" w14:textId="77777777" w:rsidR="006046AD" w:rsidRPr="00C85EBD" w:rsidRDefault="00000000">
      <w:pPr>
        <w:spacing w:line="240" w:lineRule="auto"/>
        <w:jc w:val="both"/>
        <w:rPr>
          <w:rFonts w:ascii="Times New Roman" w:eastAsia="Times New Roman" w:hAnsi="Times New Roman" w:cs="Times New Roman"/>
          <w:lang w:val="es-ES"/>
        </w:rPr>
      </w:pPr>
      <w:r w:rsidRPr="00C85EBD">
        <w:rPr>
          <w:rFonts w:ascii="Times New Roman" w:eastAsia="Times New Roman" w:hAnsi="Times New Roman" w:cs="Times New Roman"/>
          <w:lang w:val="es-ES"/>
        </w:rPr>
        <w:t>Rabossi, M., Guaglianone A. (2020).</w:t>
      </w:r>
      <w:r w:rsidRPr="00C85EBD">
        <w:rPr>
          <w:rFonts w:ascii="Times New Roman" w:eastAsia="Times New Roman" w:hAnsi="Times New Roman" w:cs="Times New Roman"/>
          <w:i/>
          <w:iCs/>
          <w:lang w:val="es-ES"/>
        </w:rPr>
        <w:t xml:space="preserve"> </w:t>
      </w:r>
      <w:r w:rsidRPr="00C85EBD">
        <w:rPr>
          <w:rFonts w:ascii="Times New Roman" w:eastAsia="Times New Roman" w:hAnsi="Times New Roman" w:cs="Times New Roman"/>
          <w:lang w:val="es-ES"/>
        </w:rPr>
        <w:t xml:space="preserve">Las políticas de internacionalización universitaria en la Argentina: movilidad estudiantil y producción científica. </w:t>
      </w:r>
      <w:r w:rsidRPr="00C85EBD">
        <w:rPr>
          <w:rFonts w:ascii="Times New Roman" w:eastAsia="Times New Roman" w:hAnsi="Times New Roman" w:cs="Times New Roman"/>
          <w:i/>
          <w:iCs/>
          <w:lang w:val="es-ES"/>
        </w:rPr>
        <w:t xml:space="preserve">Revista Ibero-Americana de </w:t>
      </w:r>
      <w:proofErr w:type="spellStart"/>
      <w:r w:rsidRPr="00C85EBD">
        <w:rPr>
          <w:rFonts w:ascii="Times New Roman" w:eastAsia="Times New Roman" w:hAnsi="Times New Roman" w:cs="Times New Roman"/>
          <w:i/>
          <w:iCs/>
          <w:lang w:val="es-ES"/>
        </w:rPr>
        <w:t>Estudos</w:t>
      </w:r>
      <w:proofErr w:type="spellEnd"/>
      <w:r w:rsidRPr="00C85EBD">
        <w:rPr>
          <w:rFonts w:ascii="Times New Roman" w:eastAsia="Times New Roman" w:hAnsi="Times New Roman" w:cs="Times New Roman"/>
          <w:i/>
          <w:iCs/>
          <w:lang w:val="es-ES"/>
        </w:rPr>
        <w:t xml:space="preserve"> em </w:t>
      </w:r>
      <w:proofErr w:type="spellStart"/>
      <w:r w:rsidRPr="00C85EBD">
        <w:rPr>
          <w:rFonts w:ascii="Times New Roman" w:eastAsia="Times New Roman" w:hAnsi="Times New Roman" w:cs="Times New Roman"/>
          <w:i/>
          <w:iCs/>
          <w:lang w:val="es-ES"/>
        </w:rPr>
        <w:t>Educação</w:t>
      </w:r>
      <w:proofErr w:type="spellEnd"/>
      <w:r w:rsidRPr="00C85EBD">
        <w:rPr>
          <w:rFonts w:ascii="Times New Roman" w:eastAsia="Times New Roman" w:hAnsi="Times New Roman" w:cs="Times New Roman"/>
          <w:i/>
          <w:iCs/>
          <w:lang w:val="es-ES"/>
        </w:rPr>
        <w:t>. 15</w:t>
      </w:r>
      <w:r w:rsidRPr="00C85EBD">
        <w:rPr>
          <w:rFonts w:ascii="Times New Roman" w:eastAsia="Times New Roman" w:hAnsi="Times New Roman" w:cs="Times New Roman"/>
          <w:lang w:val="es-ES"/>
        </w:rPr>
        <w:t>(4), 2556-2576. https://doi.org/10.21723/riaee.v15iesp4.14504</w:t>
      </w:r>
    </w:p>
    <w:p w14:paraId="07801C26" w14:textId="77777777" w:rsidR="006046AD" w:rsidRPr="00C85EBD" w:rsidRDefault="00000000">
      <w:pPr>
        <w:spacing w:line="240" w:lineRule="auto"/>
        <w:jc w:val="both"/>
        <w:rPr>
          <w:rFonts w:ascii="Times New Roman" w:eastAsia="Times New Roman" w:hAnsi="Times New Roman" w:cs="Times New Roman"/>
          <w:i/>
          <w:iCs/>
          <w:lang w:val="es-ES"/>
        </w:rPr>
      </w:pPr>
      <w:r w:rsidRPr="00C85EBD">
        <w:rPr>
          <w:rFonts w:ascii="Times New Roman" w:eastAsia="Times New Roman" w:hAnsi="Times New Roman" w:cs="Times New Roman"/>
          <w:lang w:val="es-ES"/>
        </w:rPr>
        <w:lastRenderedPageBreak/>
        <w:t xml:space="preserve">Sanabia, E. R., Ojeda, N., Fonseca, A. P. A., y </w:t>
      </w:r>
      <w:proofErr w:type="spellStart"/>
      <w:r w:rsidRPr="00C85EBD">
        <w:rPr>
          <w:rFonts w:ascii="Times New Roman" w:eastAsia="Times New Roman" w:hAnsi="Times New Roman" w:cs="Times New Roman"/>
          <w:lang w:val="es-ES"/>
        </w:rPr>
        <w:t>Passarini</w:t>
      </w:r>
      <w:proofErr w:type="spellEnd"/>
      <w:r w:rsidRPr="00C85EBD">
        <w:rPr>
          <w:rFonts w:ascii="Times New Roman" w:eastAsia="Times New Roman" w:hAnsi="Times New Roman" w:cs="Times New Roman"/>
          <w:lang w:val="es-ES"/>
        </w:rPr>
        <w:t xml:space="preserve">, J (2025). Las políticas de internacionalización en cuatro universidades públicas latinoamericanas: un estudio comparado en Argentina, Brasil, Paraguay y Uruguay. </w:t>
      </w:r>
      <w:proofErr w:type="spellStart"/>
      <w:r w:rsidRPr="00C85EBD">
        <w:rPr>
          <w:rFonts w:ascii="Times New Roman" w:eastAsia="Times New Roman" w:hAnsi="Times New Roman" w:cs="Times New Roman"/>
          <w:i/>
          <w:iCs/>
          <w:lang w:val="es-ES"/>
        </w:rPr>
        <w:t>Cadernos</w:t>
      </w:r>
      <w:proofErr w:type="spellEnd"/>
      <w:r w:rsidRPr="00C85EBD">
        <w:rPr>
          <w:rFonts w:ascii="Times New Roman" w:eastAsia="Times New Roman" w:hAnsi="Times New Roman" w:cs="Times New Roman"/>
          <w:i/>
          <w:iCs/>
          <w:lang w:val="es-ES"/>
        </w:rPr>
        <w:t xml:space="preserve"> de Pesquisa. 32</w:t>
      </w:r>
      <w:r w:rsidRPr="00C85EBD">
        <w:rPr>
          <w:rFonts w:ascii="Times New Roman" w:eastAsia="Times New Roman" w:hAnsi="Times New Roman" w:cs="Times New Roman"/>
          <w:lang w:val="es-ES"/>
        </w:rPr>
        <w:t>(4), 1-25. https://doi.org/10.18764/2178-2229v32n4e26168</w:t>
      </w:r>
    </w:p>
    <w:p w14:paraId="58C485F7" w14:textId="77777777" w:rsidR="006046AD" w:rsidRDefault="00000000">
      <w:pPr>
        <w:spacing w:line="240" w:lineRule="auto"/>
        <w:jc w:val="both"/>
        <w:rPr>
          <w:rFonts w:ascii="Times New Roman" w:eastAsia="Times New Roman" w:hAnsi="Times New Roman" w:cs="Times New Roman"/>
        </w:rPr>
      </w:pPr>
      <w:r w:rsidRPr="00C85EBD">
        <w:rPr>
          <w:rFonts w:ascii="Times New Roman" w:eastAsia="Times New Roman" w:hAnsi="Times New Roman" w:cs="Times New Roman"/>
          <w:lang w:val="es-ES"/>
        </w:rPr>
        <w:t xml:space="preserve">Viera-Duarte, P., </w:t>
      </w:r>
      <w:proofErr w:type="spellStart"/>
      <w:r w:rsidRPr="00C85EBD">
        <w:rPr>
          <w:rFonts w:ascii="Times New Roman" w:eastAsia="Times New Roman" w:hAnsi="Times New Roman" w:cs="Times New Roman"/>
          <w:lang w:val="es-ES"/>
        </w:rPr>
        <w:t>Chiancone</w:t>
      </w:r>
      <w:proofErr w:type="spellEnd"/>
      <w:r w:rsidRPr="00C85EBD">
        <w:rPr>
          <w:rFonts w:ascii="Times New Roman" w:eastAsia="Times New Roman" w:hAnsi="Times New Roman" w:cs="Times New Roman"/>
          <w:lang w:val="es-ES"/>
        </w:rPr>
        <w:t xml:space="preserve">, A., y Larrechea, E. M. (2020). Internacionalización de la Educación Superior y movilidad académica en la universidad pública uruguaya. </w:t>
      </w:r>
      <w:r>
        <w:rPr>
          <w:rFonts w:ascii="Times New Roman" w:eastAsia="Times New Roman" w:hAnsi="Times New Roman" w:cs="Times New Roman"/>
          <w:i/>
          <w:iCs/>
        </w:rPr>
        <w:t>Série-</w:t>
      </w:r>
      <w:proofErr w:type="spellStart"/>
      <w:r>
        <w:rPr>
          <w:rFonts w:ascii="Times New Roman" w:eastAsia="Times New Roman" w:hAnsi="Times New Roman" w:cs="Times New Roman"/>
          <w:i/>
          <w:iCs/>
        </w:rPr>
        <w:t>Estudos</w:t>
      </w:r>
      <w:proofErr w:type="spellEnd"/>
      <w:r>
        <w:rPr>
          <w:rFonts w:ascii="Times New Roman" w:eastAsia="Times New Roman" w:hAnsi="Times New Roman" w:cs="Times New Roman"/>
          <w:i/>
          <w:iCs/>
        </w:rPr>
        <w:t>, 25</w:t>
      </w:r>
      <w:r>
        <w:rPr>
          <w:rFonts w:ascii="Times New Roman" w:eastAsia="Times New Roman" w:hAnsi="Times New Roman" w:cs="Times New Roman"/>
        </w:rPr>
        <w:t>(53), 159-183.  http://dx.doi.org/10.20435/serie-estudos.v0i0.1397</w:t>
      </w:r>
    </w:p>
    <w:sectPr w:rsidR="006046AD">
      <w:headerReference w:type="default" r:id="rId12"/>
      <w:footerReference w:type="default" r:id="rId13"/>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1500" w14:textId="77777777" w:rsidR="006232AE" w:rsidRDefault="006232AE">
      <w:pPr>
        <w:spacing w:after="0" w:line="240" w:lineRule="auto"/>
      </w:pPr>
      <w:r>
        <w:separator/>
      </w:r>
    </w:p>
  </w:endnote>
  <w:endnote w:type="continuationSeparator" w:id="0">
    <w:p w14:paraId="0D2A7394" w14:textId="77777777" w:rsidR="006232AE" w:rsidRDefault="0062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86A756F-DF41-4C10-AA9E-06BE8C690731}"/>
    <w:embedItalic r:id="rId2" w:fontKey="{00A4C555-B81B-4758-894B-67C71AB7CF1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6804DCFA-EE12-446E-89EF-1E653AC254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DA83" w14:textId="77777777" w:rsidR="006046AD"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412BABB2" wp14:editId="4366A07C">
          <wp:extent cx="5400040" cy="4286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56AEB18D" w14:textId="77777777" w:rsidR="006046AD" w:rsidRDefault="006046A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45F0" w14:textId="77777777" w:rsidR="006232AE" w:rsidRDefault="006232AE">
      <w:pPr>
        <w:spacing w:after="0" w:line="240" w:lineRule="auto"/>
      </w:pPr>
      <w:r>
        <w:separator/>
      </w:r>
    </w:p>
  </w:footnote>
  <w:footnote w:type="continuationSeparator" w:id="0">
    <w:p w14:paraId="66E5D0BA" w14:textId="77777777" w:rsidR="006232AE" w:rsidRDefault="0062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0109" w14:textId="77777777" w:rsidR="006046AD"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E23C9E6" wp14:editId="4E056CCC">
          <wp:extent cx="2617939" cy="10913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E0B89"/>
    <w:multiLevelType w:val="multilevel"/>
    <w:tmpl w:val="727EC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06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6AD"/>
    <w:rsid w:val="000172AE"/>
    <w:rsid w:val="000C3A5D"/>
    <w:rsid w:val="003667A6"/>
    <w:rsid w:val="00457A27"/>
    <w:rsid w:val="006046AD"/>
    <w:rsid w:val="006232AE"/>
    <w:rsid w:val="00C85E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66B2"/>
  <w15:docId w15:val="{6C6C9D3B-A948-427C-B2B7-A614FC8F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s-E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4674/ess.v34i1.57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4gvh6Dm1hYQZ/trPO2jUaadC0Q==">CgMxLjA4AHIhMUxpTWZwVENZS1AzYXAtcjQ1UmRGTUVIWWhBYTZMalpE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7948</Words>
  <Characters>43716</Characters>
  <Application>Microsoft Office Word</Application>
  <DocSecurity>0</DocSecurity>
  <Lines>364</Lines>
  <Paragraphs>103</Paragraphs>
  <ScaleCrop>false</ScaleCrop>
  <Company/>
  <LinksUpToDate>false</LinksUpToDate>
  <CharactersWithSpaces>51561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Hernandez De Benedetto</dc:creator>
  <cp:lastModifiedBy>Camila Hernandez De Benedetto</cp:lastModifiedBy>
  <cp:revision>2</cp:revision>
  <dcterms:created xsi:type="dcterms:W3CDTF">2026-06-25T16:04:00Z</dcterms:created>
  <dcterms:modified xsi:type="dcterms:W3CDTF">2026-06-25T16:04:00Z</dcterms:modified>
</cp:coreProperties>
</file>