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B3483" w14:textId="77777777" w:rsidR="00C802F5" w:rsidRPr="00AB0EF9" w:rsidRDefault="00C802F5" w:rsidP="001923DC">
      <w:pPr>
        <w:jc w:val="center"/>
        <w:rPr>
          <w:rFonts w:ascii="Times New Roman" w:hAnsi="Times New Roman" w:cs="Times New Roman"/>
        </w:rPr>
      </w:pPr>
    </w:p>
    <w:p w14:paraId="43C49479" w14:textId="2AF37E1E" w:rsidR="005F3B2E" w:rsidRPr="00AB0EF9" w:rsidRDefault="00AB0EF9" w:rsidP="001923DC">
      <w:pPr>
        <w:jc w:val="center"/>
        <w:rPr>
          <w:rFonts w:ascii="Times New Roman" w:hAnsi="Times New Roman" w:cs="Times New Roman"/>
        </w:rPr>
      </w:pPr>
      <w:r w:rsidRPr="00AB0EF9">
        <w:rPr>
          <w:rFonts w:ascii="Times New Roman" w:hAnsi="Times New Roman" w:cs="Times New Roman"/>
          <w:b/>
          <w:bCs/>
          <w:color w:val="000000"/>
        </w:rPr>
        <w:t>"Fronteras simbólicas y pertenencia territorial: Trayectorias de estudiantes del Profesorado Universitario de Inglés (PUI) de la Universidad Nacional de José C. Paz (UNPAZ)</w:t>
      </w:r>
    </w:p>
    <w:p w14:paraId="4F4A3146" w14:textId="77777777" w:rsidR="00AB0EF9" w:rsidRDefault="00AB0EF9" w:rsidP="00AB0EF9">
      <w:pPr>
        <w:pStyle w:val="NormalWeb"/>
        <w:spacing w:before="0" w:beforeAutospacing="0" w:after="0" w:afterAutospacing="0"/>
        <w:ind w:left="2880"/>
        <w:jc w:val="right"/>
        <w:rPr>
          <w:color w:val="1F1F1F"/>
          <w:shd w:val="clear" w:color="auto" w:fill="FFFFFF"/>
        </w:rPr>
      </w:pPr>
      <w:r>
        <w:rPr>
          <w:color w:val="1F1F1F"/>
          <w:shd w:val="clear" w:color="auto" w:fill="FFFFFF"/>
        </w:rPr>
        <w:t xml:space="preserve">Salti, Patricia, </w:t>
      </w:r>
    </w:p>
    <w:p w14:paraId="74BC2FBF" w14:textId="7280B91B" w:rsidR="00AB0EF9" w:rsidRDefault="00AB0EF9" w:rsidP="00AB0EF9">
      <w:pPr>
        <w:pStyle w:val="NormalWeb"/>
        <w:spacing w:before="0" w:beforeAutospacing="0" w:after="0" w:afterAutospacing="0"/>
        <w:ind w:left="2880"/>
        <w:jc w:val="right"/>
      </w:pPr>
      <w:r>
        <w:rPr>
          <w:color w:val="1F1F1F"/>
          <w:shd w:val="clear" w:color="auto" w:fill="FFFFFF"/>
        </w:rPr>
        <w:t xml:space="preserve">PUI -IESCODE-UNPAZ </w:t>
      </w:r>
      <w:hyperlink r:id="rId7" w:history="1">
        <w:r>
          <w:rPr>
            <w:rStyle w:val="Hipervnculo"/>
            <w:color w:val="1155CC"/>
            <w:shd w:val="clear" w:color="auto" w:fill="FFFFFF"/>
          </w:rPr>
          <w:t>patricia.salti@docentes.unpaz.edu.ar</w:t>
        </w:r>
      </w:hyperlink>
    </w:p>
    <w:p w14:paraId="64DE07C0" w14:textId="77777777" w:rsidR="00AB0EF9" w:rsidRDefault="00AB0EF9" w:rsidP="00AB0EF9">
      <w:pPr>
        <w:pStyle w:val="NormalWeb"/>
        <w:spacing w:before="0" w:beforeAutospacing="0" w:after="0" w:afterAutospacing="0"/>
        <w:ind w:left="2880"/>
        <w:jc w:val="right"/>
        <w:rPr>
          <w:color w:val="1F1F1F"/>
          <w:shd w:val="clear" w:color="auto" w:fill="FFFFFF"/>
        </w:rPr>
      </w:pPr>
      <w:r>
        <w:rPr>
          <w:color w:val="1F1F1F"/>
          <w:shd w:val="clear" w:color="auto" w:fill="FFFFFF"/>
        </w:rPr>
        <w:t xml:space="preserve">Montaña, Sebastián </w:t>
      </w:r>
    </w:p>
    <w:p w14:paraId="00E409ED" w14:textId="09002026" w:rsidR="00AB0EF9" w:rsidRDefault="00AB0EF9" w:rsidP="00AB0EF9">
      <w:pPr>
        <w:pStyle w:val="NormalWeb"/>
        <w:spacing w:before="0" w:beforeAutospacing="0" w:after="0" w:afterAutospacing="0"/>
        <w:ind w:left="2880"/>
        <w:jc w:val="right"/>
        <w:rPr>
          <w:color w:val="1F1F1F"/>
          <w:shd w:val="clear" w:color="auto" w:fill="FFFFFF"/>
        </w:rPr>
      </w:pPr>
      <w:r>
        <w:rPr>
          <w:color w:val="1F1F1F"/>
          <w:shd w:val="clear" w:color="auto" w:fill="FFFFFF"/>
        </w:rPr>
        <w:t xml:space="preserve">PUI </w:t>
      </w:r>
      <w:r>
        <w:rPr>
          <w:color w:val="1F1F1F"/>
          <w:shd w:val="clear" w:color="auto" w:fill="FFFFFF"/>
        </w:rPr>
        <w:t>–</w:t>
      </w:r>
      <w:r w:rsidRPr="00AB0EF9">
        <w:rPr>
          <w:color w:val="1F1F1F"/>
          <w:shd w:val="clear" w:color="auto" w:fill="FFFFFF"/>
        </w:rPr>
        <w:t xml:space="preserve"> </w:t>
      </w:r>
      <w:r>
        <w:rPr>
          <w:color w:val="1F1F1F"/>
          <w:shd w:val="clear" w:color="auto" w:fill="FFFFFF"/>
        </w:rPr>
        <w:t>IESCODEUNPAZ</w:t>
      </w:r>
    </w:p>
    <w:p w14:paraId="2120B692" w14:textId="2068081E" w:rsidR="00AB0EF9" w:rsidRDefault="00AB0EF9" w:rsidP="00AB0EF9">
      <w:pPr>
        <w:pStyle w:val="NormalWeb"/>
        <w:spacing w:before="0" w:beforeAutospacing="0" w:after="0" w:afterAutospacing="0"/>
        <w:ind w:left="2880"/>
        <w:jc w:val="right"/>
      </w:pPr>
      <w:r>
        <w:fldChar w:fldCharType="begin"/>
      </w:r>
      <w:r>
        <w:instrText>HYPERLINK "mailto:jorge.montana@docentes.unpaz.edu.ar"</w:instrText>
      </w:r>
      <w:r>
        <w:fldChar w:fldCharType="separate"/>
      </w:r>
      <w:r>
        <w:rPr>
          <w:rStyle w:val="Hipervnculo"/>
          <w:color w:val="1155CC"/>
          <w:shd w:val="clear" w:color="auto" w:fill="FFFFFF"/>
        </w:rPr>
        <w:t>jorge.montan</w:t>
      </w:r>
      <w:r>
        <w:rPr>
          <w:rStyle w:val="Hipervnculo"/>
          <w:color w:val="1155CC"/>
          <w:shd w:val="clear" w:color="auto" w:fill="FFFFFF"/>
        </w:rPr>
        <w:t>a</w:t>
      </w:r>
      <w:r>
        <w:rPr>
          <w:rStyle w:val="Hipervnculo"/>
          <w:color w:val="1155CC"/>
          <w:shd w:val="clear" w:color="auto" w:fill="FFFFFF"/>
        </w:rPr>
        <w:t>@docentes.unpaz.edu.ar</w:t>
      </w:r>
      <w:r>
        <w:fldChar w:fldCharType="end"/>
      </w:r>
      <w:r>
        <w:rPr>
          <w:color w:val="1F1F1F"/>
          <w:shd w:val="clear" w:color="auto" w:fill="FFFFFF"/>
        </w:rPr>
        <w:t xml:space="preserve"> </w:t>
      </w:r>
    </w:p>
    <w:p w14:paraId="7903D30C" w14:textId="77777777" w:rsidR="00AB0EF9" w:rsidRDefault="00AB0EF9" w:rsidP="00AB0EF9">
      <w:pPr>
        <w:pStyle w:val="NormalWeb"/>
        <w:spacing w:before="0" w:beforeAutospacing="0" w:after="0" w:afterAutospacing="0"/>
        <w:jc w:val="right"/>
        <w:rPr>
          <w:color w:val="000000"/>
        </w:rPr>
      </w:pPr>
      <w:r>
        <w:rPr>
          <w:color w:val="000000"/>
        </w:rPr>
        <w:t xml:space="preserve">Mansour, Verónica </w:t>
      </w:r>
    </w:p>
    <w:p w14:paraId="7F08CA43" w14:textId="7A3FB4B1" w:rsidR="00AB0EF9" w:rsidRDefault="00AB0EF9" w:rsidP="00AB0EF9">
      <w:pPr>
        <w:pStyle w:val="NormalWeb"/>
        <w:spacing w:before="0" w:beforeAutospacing="0" w:after="0" w:afterAutospacing="0"/>
        <w:jc w:val="right"/>
      </w:pPr>
      <w:r>
        <w:rPr>
          <w:color w:val="000000"/>
          <w:shd w:val="clear" w:color="auto" w:fill="FFFFFF"/>
        </w:rPr>
        <w:t>PUI -IESCODE-UNPAZ </w:t>
      </w:r>
    </w:p>
    <w:p w14:paraId="0F447AA2" w14:textId="77777777" w:rsidR="00AB0EF9" w:rsidRDefault="00AB0EF9" w:rsidP="00AB0EF9">
      <w:pPr>
        <w:pStyle w:val="NormalWeb"/>
        <w:spacing w:before="0" w:beforeAutospacing="0" w:after="0" w:afterAutospacing="0"/>
        <w:jc w:val="right"/>
      </w:pPr>
      <w:hyperlink r:id="rId8" w:history="1">
        <w:r>
          <w:rPr>
            <w:rStyle w:val="Hipervnculo"/>
            <w:color w:val="1155CC"/>
            <w:shd w:val="clear" w:color="auto" w:fill="FFFFFF"/>
          </w:rPr>
          <w:t>veronica.mansour@docentes.unpaz.edu.ar</w:t>
        </w:r>
      </w:hyperlink>
    </w:p>
    <w:p w14:paraId="051E0854" w14:textId="77777777" w:rsidR="00AB0EF9" w:rsidRDefault="00AB0EF9" w:rsidP="00AB0EF9"/>
    <w:p w14:paraId="66404D62" w14:textId="77777777" w:rsidR="00AB0EF9" w:rsidRPr="00AB0EF9" w:rsidRDefault="00AB0EF9" w:rsidP="00AB0EF9">
      <w:pPr>
        <w:spacing w:after="0" w:line="240" w:lineRule="auto"/>
        <w:rPr>
          <w:rFonts w:ascii="Times New Roman" w:eastAsia="Times New Roman" w:hAnsi="Times New Roman" w:cs="Times New Roman"/>
          <w:kern w:val="0"/>
          <w:lang w:val="es-AR" w:eastAsia="es-ES_tradnl"/>
          <w14:ligatures w14:val="none"/>
        </w:rPr>
      </w:pPr>
    </w:p>
    <w:p w14:paraId="4BE5916D"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b/>
          <w:bCs/>
          <w:color w:val="000000"/>
          <w:kern w:val="0"/>
          <w:lang w:val="es-AR" w:eastAsia="es-ES_tradnl"/>
          <w14:ligatures w14:val="none"/>
        </w:rPr>
        <w:t>Resumen</w:t>
      </w:r>
    </w:p>
    <w:p w14:paraId="4108E0DC"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Esta ponencia se enmarca en el Proyecto de Investigación “Perfiles de estudiantes y representaciones sociales docentes en el PUI de la UNPAZ: articulaciones en clave territorial, 2024-2025”. El proyecto tiene como objetivo general conocer la relación entre los perfiles de los/as estudiantes del primer año del PUI y las representaciones sociales de sus docentes en el marco de la inscripción territorial de la universidad.</w:t>
      </w:r>
    </w:p>
    <w:p w14:paraId="0CA71EBC"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Los resultados preliminares de la etapa cuantitativa evidencian el papel central de la UNPAZ en la democratización del acceso a la educación superior en territorios históricamente excluidos. La cercanía institucional favorece la continuidad académica, especialmente en estudiantes que son primera generación universitaria y compatibilizan estudio y trabajo. Asimismo, se observa un predominio femenino en la matrícula y el uso intensivo del teléfono móvil para actividades académicas, lo que refleja condiciones materiales desafiantes. Por su parte, las trayectorias previas al ingreso muestran una asistencia equilibrada a instituciones públicas y privadas, así como una formación complementaria en inglés durante la educación obligatoria.</w:t>
      </w:r>
    </w:p>
    <w:p w14:paraId="0252B85D"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 xml:space="preserve">A partir de esta caracterización, el presente trabajo se propone profundizar en los avances de la etapa cualitativa, focalizando en las fronteras simbólicas y sociales y su </w:t>
      </w:r>
      <w:proofErr w:type="spellStart"/>
      <w:r w:rsidRPr="00AB0EF9">
        <w:rPr>
          <w:rFonts w:ascii="Times New Roman" w:eastAsia="Times New Roman" w:hAnsi="Times New Roman" w:cs="Times New Roman"/>
          <w:color w:val="000000"/>
          <w:kern w:val="0"/>
          <w:lang w:val="es-AR" w:eastAsia="es-ES_tradnl"/>
          <w14:ligatures w14:val="none"/>
        </w:rPr>
        <w:t>interjuego</w:t>
      </w:r>
      <w:proofErr w:type="spellEnd"/>
      <w:r w:rsidRPr="00AB0EF9">
        <w:rPr>
          <w:rFonts w:ascii="Times New Roman" w:eastAsia="Times New Roman" w:hAnsi="Times New Roman" w:cs="Times New Roman"/>
          <w:color w:val="000000"/>
          <w:kern w:val="0"/>
          <w:lang w:val="es-AR" w:eastAsia="es-ES_tradnl"/>
          <w14:ligatures w14:val="none"/>
        </w:rPr>
        <w:t xml:space="preserve"> con el territorio. Entendemos a las primeras como esquemas de clasificación que interpretan la realidad y configuran diferencias de clase, género y raza, mientras que las fronteras sociales representan la objetivación de dichos límites en la práctica cotidiana. El estudio de estas dimensiones resulta fundamental para comprender que las trayectorias estudiantiles no se agotan en el acceso institucional, sino que se configuran en una tensión permanente entre las condiciones materiales, el capital cultural de origen y las exigencias propias del campo universitario.</w:t>
      </w:r>
    </w:p>
    <w:p w14:paraId="3A7785C0"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 xml:space="preserve">Finalmente, se proyecta que los hallazgos de esta investigación constituyan un insumo valioso para el diseño de políticas institucionales orientadas al proceso de mejora </w:t>
      </w:r>
      <w:proofErr w:type="spellStart"/>
      <w:r w:rsidRPr="00AB0EF9">
        <w:rPr>
          <w:rFonts w:ascii="Times New Roman" w:eastAsia="Times New Roman" w:hAnsi="Times New Roman" w:cs="Times New Roman"/>
          <w:color w:val="000000"/>
          <w:kern w:val="0"/>
          <w:lang w:val="es-AR" w:eastAsia="es-ES_tradnl"/>
          <w14:ligatures w14:val="none"/>
        </w:rPr>
        <w:t>contínua</w:t>
      </w:r>
      <w:proofErr w:type="spellEnd"/>
      <w:r w:rsidRPr="00AB0EF9">
        <w:rPr>
          <w:rFonts w:ascii="Times New Roman" w:eastAsia="Times New Roman" w:hAnsi="Times New Roman" w:cs="Times New Roman"/>
          <w:color w:val="000000"/>
          <w:kern w:val="0"/>
          <w:lang w:val="es-AR" w:eastAsia="es-ES_tradnl"/>
          <w14:ligatures w14:val="none"/>
        </w:rPr>
        <w:t xml:space="preserve"> de la carrera. Asimismo, este trabajo se alinea con el compromiso de la UNPAZ de </w:t>
      </w:r>
      <w:r w:rsidRPr="00AB0EF9">
        <w:rPr>
          <w:rFonts w:ascii="Times New Roman" w:eastAsia="Times New Roman" w:hAnsi="Times New Roman" w:cs="Times New Roman"/>
          <w:color w:val="000000"/>
          <w:kern w:val="0"/>
          <w:lang w:val="es-AR" w:eastAsia="es-ES_tradnl"/>
          <w14:ligatures w14:val="none"/>
        </w:rPr>
        <w:lastRenderedPageBreak/>
        <w:t>garantizar una inclusión efectiva y democratizadora de la población local en la educación superior.</w:t>
      </w:r>
    </w:p>
    <w:p w14:paraId="1652F8E9" w14:textId="77777777" w:rsidR="00AB0EF9" w:rsidRPr="00AB0EF9" w:rsidRDefault="00AB0EF9" w:rsidP="00AB0EF9">
      <w:pPr>
        <w:spacing w:after="0" w:line="240" w:lineRule="auto"/>
        <w:rPr>
          <w:rFonts w:ascii="Times New Roman" w:eastAsia="Times New Roman" w:hAnsi="Times New Roman" w:cs="Times New Roman"/>
          <w:kern w:val="0"/>
          <w:lang w:val="es-AR" w:eastAsia="es-ES_tradnl"/>
          <w14:ligatures w14:val="none"/>
        </w:rPr>
      </w:pPr>
    </w:p>
    <w:p w14:paraId="0823CB2E" w14:textId="77777777" w:rsidR="00AB0EF9" w:rsidRPr="00AB0EF9" w:rsidRDefault="00AB0EF9" w:rsidP="00AB0EF9">
      <w:pPr>
        <w:spacing w:after="0" w:line="240" w:lineRule="auto"/>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b/>
          <w:bCs/>
          <w:color w:val="000000"/>
          <w:kern w:val="0"/>
          <w:lang w:val="es-AR" w:eastAsia="es-ES_tradnl"/>
          <w14:ligatures w14:val="none"/>
        </w:rPr>
        <w:t>Palabras clave:</w:t>
      </w:r>
      <w:r w:rsidRPr="00AB0EF9">
        <w:rPr>
          <w:rFonts w:ascii="Times New Roman" w:eastAsia="Times New Roman" w:hAnsi="Times New Roman" w:cs="Times New Roman"/>
          <w:color w:val="000000"/>
          <w:kern w:val="0"/>
          <w:lang w:val="es-AR" w:eastAsia="es-ES_tradnl"/>
          <w14:ligatures w14:val="none"/>
        </w:rPr>
        <w:t>  Trayectorias Estudiantes Universitarios, Fronteras Sociales y Simbólicas, Territorio</w:t>
      </w:r>
    </w:p>
    <w:p w14:paraId="60365097" w14:textId="77777777" w:rsidR="00AB0EF9" w:rsidRPr="00AB0EF9" w:rsidRDefault="00AB0EF9" w:rsidP="00AB0EF9">
      <w:pPr>
        <w:spacing w:after="0" w:line="240" w:lineRule="auto"/>
        <w:ind w:right="-6"/>
        <w:jc w:val="both"/>
        <w:rPr>
          <w:rFonts w:ascii="Times New Roman" w:eastAsia="Aptos" w:hAnsi="Times New Roman" w:cs="Times New Roman"/>
          <w:lang w:val="es-ES"/>
        </w:rPr>
      </w:pPr>
    </w:p>
    <w:p w14:paraId="1EBEA97E" w14:textId="77777777" w:rsidR="00AB0EF9" w:rsidRPr="00AB0EF9" w:rsidRDefault="00AB0EF9" w:rsidP="00AB0EF9">
      <w:pPr>
        <w:keepNext/>
        <w:keepLines/>
        <w:numPr>
          <w:ilvl w:val="0"/>
          <w:numId w:val="1"/>
        </w:numPr>
        <w:tabs>
          <w:tab w:val="left" w:pos="567"/>
        </w:tabs>
        <w:spacing w:after="0" w:line="240" w:lineRule="auto"/>
        <w:ind w:right="-6"/>
        <w:jc w:val="both"/>
        <w:outlineLvl w:val="1"/>
        <w:rPr>
          <w:rFonts w:ascii="Times New Roman" w:eastAsia="Times New Roman" w:hAnsi="Times New Roman" w:cs="Times New Roman"/>
          <w:b/>
          <w:bCs/>
          <w:iCs/>
          <w:lang w:val="es-ES"/>
        </w:rPr>
      </w:pPr>
      <w:r w:rsidRPr="00AB0EF9">
        <w:rPr>
          <w:rFonts w:ascii="Times New Roman" w:eastAsia="Times New Roman" w:hAnsi="Times New Roman" w:cs="Times New Roman"/>
          <w:b/>
          <w:bCs/>
          <w:iCs/>
          <w:lang w:val="es-ES"/>
        </w:rPr>
        <w:t>Introducción</w:t>
      </w:r>
      <w:r w:rsidRPr="00AB0EF9">
        <w:rPr>
          <w:rFonts w:ascii="Times New Roman" w:eastAsia="Times New Roman" w:hAnsi="Times New Roman" w:cs="Times New Roman"/>
          <w:iCs/>
          <w:vertAlign w:val="superscript"/>
          <w:lang w:val="es-ES"/>
        </w:rPr>
        <w:endnoteReference w:id="1"/>
      </w:r>
    </w:p>
    <w:p w14:paraId="13790B30" w14:textId="77777777" w:rsidR="00AB0EF9" w:rsidRPr="00AB0EF9" w:rsidRDefault="00AB0EF9" w:rsidP="00AB0EF9">
      <w:pPr>
        <w:spacing w:after="0" w:line="240" w:lineRule="auto"/>
        <w:ind w:right="-6" w:firstLine="284"/>
        <w:jc w:val="both"/>
        <w:rPr>
          <w:rFonts w:ascii="Times New Roman" w:eastAsia="Aptos" w:hAnsi="Times New Roman" w:cs="Times New Roman"/>
          <w:lang w:val="es-ES"/>
        </w:rPr>
      </w:pPr>
      <w:r w:rsidRPr="00AB0EF9">
        <w:rPr>
          <w:rFonts w:ascii="Times New Roman" w:eastAsia="Aptos" w:hAnsi="Times New Roman" w:cs="Times New Roman"/>
          <w:lang w:val="es-ES"/>
        </w:rPr>
        <w:t xml:space="preserve">Esta ponencia presenta los hallazgos de un primer análisis de la etapa cualitativa del proyecto </w:t>
      </w:r>
      <w:r w:rsidRPr="00AB0EF9">
        <w:rPr>
          <w:rFonts w:ascii="Times New Roman" w:eastAsia="Aptos" w:hAnsi="Times New Roman" w:cs="Times New Roman"/>
          <w:i/>
          <w:iCs/>
          <w:lang w:val="es-ES"/>
        </w:rPr>
        <w:t xml:space="preserve">"Perfiles de estudiantes y representaciones sociales docentes en el Profesorado Universitario de </w:t>
      </w:r>
      <w:proofErr w:type="gramStart"/>
      <w:r w:rsidRPr="00AB0EF9">
        <w:rPr>
          <w:rFonts w:ascii="Times New Roman" w:eastAsia="Aptos" w:hAnsi="Times New Roman" w:cs="Times New Roman"/>
          <w:i/>
          <w:iCs/>
          <w:lang w:val="es-ES"/>
        </w:rPr>
        <w:t>Inglés</w:t>
      </w:r>
      <w:proofErr w:type="gramEnd"/>
      <w:r w:rsidRPr="00AB0EF9">
        <w:rPr>
          <w:rFonts w:ascii="Times New Roman" w:eastAsia="Aptos" w:hAnsi="Times New Roman" w:cs="Times New Roman"/>
          <w:i/>
          <w:iCs/>
          <w:lang w:val="es-ES"/>
        </w:rPr>
        <w:t xml:space="preserve"> (PUI) de la UNPAZ: articulaciones en clave territorial, 2024-2025"</w:t>
      </w:r>
      <w:r w:rsidRPr="00AB0EF9">
        <w:rPr>
          <w:rFonts w:ascii="Times New Roman" w:eastAsia="Aptos" w:hAnsi="Times New Roman" w:cs="Times New Roman"/>
          <w:lang w:val="es-ES"/>
        </w:rPr>
        <w:t xml:space="preserve">. En una primera etapa de corte cuantitativo, se mapearon las fronteras sociales que estructuran la comunidad del profesorado específicamente docentes y estudiantes </w:t>
      </w:r>
      <w:r w:rsidRPr="00AB0EF9">
        <w:rPr>
          <w:rFonts w:ascii="Times New Roman" w:eastAsia="Aptos" w:hAnsi="Times New Roman" w:cs="Times New Roman"/>
          <w:lang w:val="es-ES"/>
        </w:rPr>
        <w:fldChar w:fldCharType="begin"/>
      </w:r>
      <w:r w:rsidRPr="00AB0EF9">
        <w:rPr>
          <w:rFonts w:ascii="Times New Roman" w:eastAsia="Aptos" w:hAnsi="Times New Roman" w:cs="Times New Roman"/>
          <w:lang w:val="es-ES"/>
        </w:rPr>
        <w:instrText xml:space="preserve"> ADDIN ZOTERO_ITEM CSL_CITATION {"citationID":"SMdY0lzD","properties":{"unsorted":false,"formattedCitation":"(Salti et\\uc0\\u160{}al., 2025)","plainCitation":"(Salti et al., 2025)","noteIndex":0},"citationItems":[{"id":2278,"uris":["http://zotero.org/users/4661028/items/BC5DNDRC"],"itemData":{"id":2278,"type":"article-journal","container-title":"Revista Sociedad y Desigualdades","issue":"3","page":"221-240","publisher":"UNPAZ","publisher-place":"Buenos Aires","title":"Las/os estudiantes y docentes del 1º año del Profesorado Universitario de Inglés de la Universidad Nacional de José C. Paz. Avances en la caracterización de sus trayectorias sociales y académicas. 2(3), 221-240.","volume":"2","author":[{"family":"Salti","given":"Patricia"},{"family":"Montaña","given":"Sebastiána"},{"family":"Mansour","given":"Verónica"}],"issued":{"date-parts":[["2025"]]}}}],"schema":"https://github.com/citation-style-language/schema/raw/master/csl-citation.json"} </w:instrText>
      </w:r>
      <w:r w:rsidRPr="00AB0EF9">
        <w:rPr>
          <w:rFonts w:ascii="Times New Roman" w:eastAsia="Aptos" w:hAnsi="Times New Roman" w:cs="Times New Roman"/>
          <w:lang w:val="es-ES"/>
        </w:rPr>
        <w:fldChar w:fldCharType="separate"/>
      </w:r>
      <w:r w:rsidRPr="00AB0EF9">
        <w:rPr>
          <w:rFonts w:ascii="Times New Roman" w:eastAsia="Aptos" w:hAnsi="Times New Roman" w:cs="Times New Roman"/>
          <w:kern w:val="0"/>
          <w:lang w:val="es-ES_tradnl"/>
        </w:rPr>
        <w:t>(Salti et al., 2025)</w:t>
      </w:r>
      <w:r w:rsidRPr="00AB0EF9">
        <w:rPr>
          <w:rFonts w:ascii="Times New Roman" w:eastAsia="Aptos" w:hAnsi="Times New Roman" w:cs="Times New Roman"/>
          <w:lang w:val="es-ES"/>
        </w:rPr>
        <w:fldChar w:fldCharType="end"/>
      </w:r>
      <w:r w:rsidRPr="00AB0EF9">
        <w:rPr>
          <w:rFonts w:ascii="Times New Roman" w:eastAsia="Aptos" w:hAnsi="Times New Roman" w:cs="Times New Roman"/>
          <w:vertAlign w:val="superscript"/>
          <w:lang w:val="es-ES"/>
        </w:rPr>
        <w:endnoteReference w:id="2"/>
      </w:r>
      <w:r w:rsidRPr="00AB0EF9">
        <w:rPr>
          <w:rFonts w:ascii="Times New Roman" w:eastAsia="Aptos" w:hAnsi="Times New Roman" w:cs="Times New Roman"/>
          <w:lang w:val="es-ES"/>
        </w:rPr>
        <w:t>. Los datos cuantitativos obtenidos mostraron un perfil estudiantil de "primera generación universitaria"; es decir, con una predominancia de estudiantes provenientes de familias cuyo techo educativo es el nivel secundario. Asimismo, se evidenció una mayoría de mujeres, con una procedencia anclada en el espacio social lindante con la universidad y trayectorias atravesadas por la precariedad material y laboral. A estas condiciones de origen se les suma una frontera lingüística y de clase: casi la mitad de los estudiantes poseía dominio del inglés al inicio de sus carreras tras haber cursado dichos estudios mayoritariamente en institutos privados</w:t>
      </w:r>
      <w:r w:rsidRPr="00AB0EF9">
        <w:rPr>
          <w:rFonts w:ascii="Times New Roman" w:eastAsia="Aptos" w:hAnsi="Times New Roman" w:cs="Times New Roman"/>
          <w:vertAlign w:val="superscript"/>
          <w:lang w:val="es-ES"/>
        </w:rPr>
        <w:endnoteReference w:id="3"/>
      </w:r>
      <w:r w:rsidRPr="00AB0EF9">
        <w:rPr>
          <w:rFonts w:ascii="Times New Roman" w:eastAsia="Aptos" w:hAnsi="Times New Roman" w:cs="Times New Roman"/>
          <w:lang w:val="es-ES"/>
        </w:rPr>
        <w:t>, lo que marca, desde el ingreso, una desigualdad de partida.</w:t>
      </w:r>
    </w:p>
    <w:p w14:paraId="25AEDDB2" w14:textId="77777777" w:rsidR="00AB0EF9" w:rsidRPr="00AB0EF9" w:rsidRDefault="00AB0EF9" w:rsidP="00AB0EF9">
      <w:pPr>
        <w:spacing w:after="0" w:line="240" w:lineRule="auto"/>
        <w:jc w:val="both"/>
        <w:rPr>
          <w:rFonts w:ascii="Times New Roman" w:eastAsia="Times New Roman" w:hAnsi="Times New Roman" w:cs="Times New Roman"/>
          <w:color w:val="000000"/>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 xml:space="preserve">Si la etapa cuantitativa permitió mapear las características de las fronteras sociales y materiales de estudiantes y docentes, los hallazgos de la etapa cualitativa —foco de esta ponencia— busca explorar cómo los primeros experimentan, significan y atraviesan dichas fronteras, tanto en términos sociales como simbólicos, al interior del propio estudiantado y en su relación con el cuerpo docente. </w:t>
      </w:r>
    </w:p>
    <w:p w14:paraId="407BC46A"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 xml:space="preserve">¿Cuál es el impacto en la subjetividad del estudiante que viaja en colectivo y estudia desde el celular se sienta junto a compañeros que traen consigo lógicas de </w:t>
      </w:r>
      <w:proofErr w:type="spellStart"/>
      <w:r w:rsidRPr="00AB0EF9">
        <w:rPr>
          <w:rFonts w:ascii="Times New Roman" w:eastAsia="Times New Roman" w:hAnsi="Times New Roman" w:cs="Times New Roman"/>
          <w:color w:val="000000"/>
          <w:kern w:val="0"/>
          <w:lang w:val="es-AR" w:eastAsia="es-ES_tradnl"/>
          <w14:ligatures w14:val="none"/>
        </w:rPr>
        <w:t>networking</w:t>
      </w:r>
      <w:proofErr w:type="spellEnd"/>
      <w:r w:rsidRPr="00AB0EF9">
        <w:rPr>
          <w:rFonts w:ascii="Times New Roman" w:eastAsia="Times New Roman" w:hAnsi="Times New Roman" w:cs="Times New Roman"/>
          <w:color w:val="000000"/>
          <w:kern w:val="0"/>
          <w:lang w:val="es-AR" w:eastAsia="es-ES_tradnl"/>
          <w14:ligatures w14:val="none"/>
        </w:rPr>
        <w:t xml:space="preserve"> propias de sectores medios? ¿Cómo se gestiona la frontera simbólica del capital cultural cuando los estudiantes ven en sus docentes a "intelectuales" con un volumen de lectura que los abruma frente a lo que conocieron en sus propias familias? ¿De qué manera operan la inhibición lingüística en la materias de inglés frente al dominio del idioma de compañeros que lo estudiaron con antelación al ingreso a la universidad? ¿ Cuáles son los nuevos aspectos sociales y fundamentalmente culturales que  los estudiantes cambiaron en su estilo de vida  a partir del ingreso a la universidad? Estos son solo algunos de los interrogantes que guiaron el trabajo de campo. </w:t>
      </w:r>
    </w:p>
    <w:p w14:paraId="672AECAC" w14:textId="77777777" w:rsidR="00AB0EF9" w:rsidRPr="00AB0EF9" w:rsidRDefault="00AB0EF9" w:rsidP="00AB0EF9">
      <w:pPr>
        <w:spacing w:after="0" w:line="240" w:lineRule="auto"/>
        <w:jc w:val="both"/>
        <w:rPr>
          <w:rFonts w:ascii="Times New Roman" w:eastAsia="Times New Roman" w:hAnsi="Times New Roman" w:cs="Times New Roman"/>
          <w:color w:val="000000"/>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En esta ponencia nos proponemos analizar el inter juego de las dimensiones sociales y simbólicas en las interacciones de los estudiantes entre sí. Este enfoque resulta fundamental para comprender que las trayectorias estudiantiles no se agotan en el mero acceso institucional a la universidad, sino que se configuran en una tensión permanente entre las condiciones materiales, el capital cultural de origen y las exigencias propias del campo universitario.</w:t>
      </w:r>
    </w:p>
    <w:p w14:paraId="74C67E57"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 xml:space="preserve">Con este propósito, el trabajo se estructura en dos secciones subsiguientes. En la primera de ellas, dedicada al desarrollo, se exponen los puntos de partida teóricos de la investigación y las dimensiones conceptuales emergentes. Asimismo, se detallan los </w:t>
      </w:r>
      <w:r w:rsidRPr="00AB0EF9">
        <w:rPr>
          <w:rFonts w:ascii="Times New Roman" w:eastAsia="Times New Roman" w:hAnsi="Times New Roman" w:cs="Times New Roman"/>
          <w:color w:val="000000"/>
          <w:kern w:val="0"/>
          <w:lang w:val="es-AR" w:eastAsia="es-ES_tradnl"/>
          <w14:ligatures w14:val="none"/>
        </w:rPr>
        <w:lastRenderedPageBreak/>
        <w:t>aspectos metodológicos que guiaron la etapa cualitativa y se examinan los principales hallazgos derivados del trabajo de campo. Finalmente, en el apartado de conclusiones, se ofrece una reflexión de cierre orientada a plantear nuevos interrogantes que dejen abiertos futuros horizontes de análisis.</w:t>
      </w:r>
    </w:p>
    <w:p w14:paraId="7DE9B31B" w14:textId="77777777" w:rsidR="00AB0EF9" w:rsidRPr="00AB0EF9" w:rsidRDefault="00AB0EF9" w:rsidP="00AB0EF9">
      <w:pPr>
        <w:spacing w:after="0" w:line="240" w:lineRule="auto"/>
        <w:rPr>
          <w:rFonts w:ascii="Times New Roman" w:eastAsia="Times New Roman" w:hAnsi="Times New Roman" w:cs="Times New Roman"/>
          <w:kern w:val="0"/>
          <w:lang w:val="es-AR" w:eastAsia="es-ES_tradnl"/>
          <w14:ligatures w14:val="none"/>
        </w:rPr>
      </w:pPr>
    </w:p>
    <w:p w14:paraId="09891B68" w14:textId="77777777" w:rsidR="00AB0EF9" w:rsidRPr="00AB0EF9" w:rsidRDefault="00AB0EF9" w:rsidP="00AB0EF9">
      <w:pPr>
        <w:keepNext/>
        <w:keepLines/>
        <w:tabs>
          <w:tab w:val="left" w:pos="567"/>
        </w:tabs>
        <w:spacing w:after="0" w:line="240" w:lineRule="auto"/>
        <w:ind w:left="567" w:right="-6" w:firstLine="284"/>
        <w:jc w:val="both"/>
        <w:outlineLvl w:val="1"/>
        <w:rPr>
          <w:rFonts w:ascii="Times New Roman" w:eastAsia="Times New Roman" w:hAnsi="Times New Roman" w:cs="Times New Roman"/>
          <w:b/>
          <w:bCs/>
          <w:iCs/>
          <w:lang w:val="es-AR" w:eastAsia="es-ES_tradnl"/>
        </w:rPr>
      </w:pPr>
      <w:r w:rsidRPr="00AB0EF9">
        <w:rPr>
          <w:rFonts w:ascii="Times New Roman" w:eastAsia="Times New Roman" w:hAnsi="Times New Roman" w:cs="Times New Roman"/>
          <w:b/>
          <w:bCs/>
          <w:iCs/>
          <w:lang w:val="es-AR" w:eastAsia="es-ES_tradnl"/>
        </w:rPr>
        <w:t>2.</w:t>
      </w:r>
      <w:r w:rsidRPr="00AB0EF9">
        <w:rPr>
          <w:rFonts w:ascii="Times New Roman" w:eastAsia="Times New Roman" w:hAnsi="Times New Roman" w:cs="Times New Roman"/>
          <w:b/>
          <w:bCs/>
          <w:iCs/>
          <w:lang w:val="es-AR" w:eastAsia="es-ES_tradnl"/>
        </w:rPr>
        <w:tab/>
        <w:t>Desarrollo</w:t>
      </w:r>
    </w:p>
    <w:p w14:paraId="6BED1D5A" w14:textId="77777777" w:rsidR="00AB0EF9" w:rsidRPr="00AB0EF9" w:rsidRDefault="00AB0EF9" w:rsidP="00AB0EF9">
      <w:pPr>
        <w:keepNext/>
        <w:keepLines/>
        <w:tabs>
          <w:tab w:val="left" w:pos="567"/>
        </w:tabs>
        <w:spacing w:after="0" w:line="240" w:lineRule="auto"/>
        <w:ind w:left="567" w:right="-6" w:firstLine="284"/>
        <w:jc w:val="both"/>
        <w:outlineLvl w:val="1"/>
        <w:rPr>
          <w:rFonts w:ascii="Times New Roman" w:eastAsia="Times New Roman" w:hAnsi="Times New Roman" w:cs="Times New Roman"/>
          <w:b/>
          <w:bCs/>
          <w:iCs/>
          <w:lang w:val="es-AR" w:eastAsia="es-ES_tradnl"/>
        </w:rPr>
      </w:pPr>
      <w:r w:rsidRPr="00AB0EF9">
        <w:rPr>
          <w:rFonts w:ascii="Times New Roman" w:eastAsia="Times New Roman" w:hAnsi="Times New Roman" w:cs="Times New Roman"/>
          <w:b/>
          <w:bCs/>
          <w:iCs/>
          <w:lang w:val="es-AR" w:eastAsia="es-ES_tradnl"/>
        </w:rPr>
        <w:tab/>
        <w:t xml:space="preserve">2. 1 Los puntos de partida. </w:t>
      </w:r>
    </w:p>
    <w:p w14:paraId="028BE4DC"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Una de las dimensiones teóricas centrales que guio la estructuración de esta investigación refiere a las fronteras simbólicas y sociales y su Inter juego en el espacio social, corporizado, en nuestro caso, en la UNPAZ. Para ello, recuperamos la perspectiva de </w:t>
      </w:r>
      <w:bookmarkStart w:id="0" w:name="_Hlk234787991"/>
      <w:r w:rsidRPr="00AB0EF9">
        <w:rPr>
          <w:rFonts w:ascii="Times New Roman" w:eastAsia="Times New Roman" w:hAnsi="Times New Roman" w:cs="Times New Roman"/>
          <w:kern w:val="0"/>
          <w:lang w:val="es-AR" w:eastAsia="es-ES_tradnl"/>
          <w14:ligatures w14:val="none"/>
        </w:rPr>
        <w:t xml:space="preserve">Lamont y Molnár </w:t>
      </w:r>
      <w:bookmarkEnd w:id="0"/>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cfcoflxp","properties":{"unsorted":false,"formattedCitation":"(2002)","plainCitation":"(2002)","noteIndex":0},"citationItems":[{"id":1017,"uris":["http://zotero.org/users/4661028/items/28N78T96"],"itemData":{"id":1017,"type":"article-journal","container-title":"Annual Review of Sociology","page":"167-195","title":"The Study of Boundaries in the social Sciences","volume":"28","author":[{"family":"Lamont","given":"Michèl"},{"family":"Molnár","given":"Virag"}],"issued":{"date-parts":[["2002",8]]}},"suppress-author":true}],"schema":"https://github.com/citation-style-language/schema/raw/master/csl-citation.json"}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noProof/>
          <w:kern w:val="0"/>
          <w:lang w:val="es-AR" w:eastAsia="es-ES_tradnl"/>
          <w14:ligatures w14:val="none"/>
        </w:rPr>
        <w:t>(2002)</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quienes definen las fronteras simbólicas como distinciones conceptuales empleadas por los actores para caracterizar objetos, personas y prácticas; estas definen jerarquías, similitudes y diferencias entre grupos al trazar límites entre "ellos" y "nosotros". Más que simples categorías, estas fronteras revelan cómo los sujetos caracterizan —explícita e implícitamente— a los miembros de diversas clases sociales, señalando lo que visualizan como sus defectos o limitaciones, constituyéndose así tanto en un producto como en una fuente de desigualdad social.</w:t>
      </w:r>
    </w:p>
    <w:p w14:paraId="4BD77342"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Por su parte, las fronteras sociales son las formas objetivadas de esas diferencias, las cuales se manifiestan en el desigual acceso y distribución de recursos —materiales o simbólicos— y en los patrones de asociación. Según los autores, estos límites son modelados por el contexto, particularmente por los repertorios culturales, tradiciones y narrativas a los cuales los individuos tienen acceso. Cuando las fronteras simbólicas son ampliamente aceptadas por una comunidad, asumen un carácter constrictivo que pauta la interacción social de manera determinante.</w:t>
      </w:r>
    </w:p>
    <w:p w14:paraId="236D92AF"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En estrecha continuidad con lo anterior, estas dinámicas de diferenciación cobran un sentido analítico más profundo al vincularse con la dimensión del capital cultural, recuperada especialmente a partir de los planteos de Bourdieu </w:t>
      </w:r>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{"citationID":"B4UCIMwe","properties":{"unsorted":false,"formattedCitation":"(1997)","plainCitation":"(1997)","noteIndex":0},"citationItems":[{"id":365,"uris":["http://zotero.org/users/4661028/items/JMWDH4Y3"],"itemData":{"id":365,"type":"book","language":"es","publisher":"Siglo XXI Editores","publisher-place":"México","title":"Capital cultural, escuela y espacio social","URL":"https://www.jstor.org/stable/3541220?origin=crossref","author":[{"family":"Bourdieu","given":"Pierre"}],"accessed":{"date-parts":[["2018",9,2]]},"issued":{"date-parts":[["1997"]]}},"suppress-author":true}],"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noProof/>
          <w:kern w:val="0"/>
          <w:lang w:val="es-AR" w:eastAsia="es-ES_tradnl"/>
          <w14:ligatures w14:val="none"/>
        </w:rPr>
        <w:t>(1997)</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En esta línea, los diferentes volúmenes y tipos de capital poseídos por los sujetos no solo determinan su posición en la estructura social, sino que gobiernan la lógica de sus encuentros cara a cara dentro de las instituciones.</w:t>
      </w:r>
    </w:p>
    <w:p w14:paraId="3DA0F6AD"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Cuando sujetos con dotaciones de capital cultural asimétricas interactúan en un mismo espacio educativo, la distancia social suele traducirse en sutiles efectos de dominación o violencia simbólica. El capital cultural incorporado (los modos de hablar, leer, expresarse o manejarse dentro del código académico) funciona aquí como una frontera invisible pero fuertemente coercitivas. De este modo, las disparidades en el capital de origen pueden generar dinámicas de inhibición, autor restricción o asombro en los estudiantes de sectores populares al enfrentarse a las lógicas universitarias o al interactuar con pares y docentes que portan otros códigos socioculturales.</w:t>
      </w:r>
    </w:p>
    <w:p w14:paraId="6324200A"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Puestas en diálogo, ambas dimensiones permiten que la incorporación de los factores culturales en el análisis de la desigualdad estructural nos ayude a comprender cómo los sujetos interpretan y responden a sus circunstancias institucionales. Siguiendo a Bayón </w:t>
      </w:r>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{"citationID":"4jLqWlFB","properties":{"unsorted":false,"formattedCitation":"(2013)","plainCitation":"(2013)","noteIndex":0},"citationItems":[{"id":449,"uris":["http://zotero.org/users/4661028/items/6T8YPZ7W"],"itemData":{"id":449,"type":"article-journal","abstract":"Desde una perspectiva sociológica, la pobreza no sólo es relativa, sino que está construida socialmente, lo que nos conduce a interrogarnos por aspectos tanto materiales como simbólicos. Las dimensiones culturales afectan tanto las relaciones entre las clases sociales, el discurso público sobre la pobreza, las representaciones y experiencias, como las políticas e instituciones que emergen con relación a la misma. En el debate contemporáneo sobre la pobreza, si bien se reconoce su importancia, estas dimensiones no han sido sufi cientemente exploradas en los estudios sobre el tema. A fi n de indagar sobre las posibles rutas teóricas e implicaciones empíricas para su abordaje, se analizan los conceptos de marcos y repertorios culturales, límites simbólicos, narrativas y capital cultural, destacando su utilización en diversas investigaciones sobre la pobreza. La potencialidad de estos conceptos radica en su apertura para dar cuenta de la heterogeneidad de experiencias, signifi cados y respuestas posibles frente a constreñimientos estructurales semejantes, permitiendo desmontar los estigmas y estereotipos sobre “los pobres” y “su cultura” emergentes de las tesis de la “cultura de la pobreza”. Finalmente, se enfatiza la necesidad de indagar acerca de los mecanismos mediante los cuales las dimensiones culturales contribuyen a generar y reproducir la desigualdad en una sociedad particular.","container-title":"Estudios Sociológicos de El Colegio de México","ISSN":"0185-4186","issue":"91","language":"es","license":"Copyright (c) 2018 Estudios Sociológicos de El Colegio de México","page":"87-112","source":"estudiossociologicos.colmex.mx","title":"Hacia una sociología de la pobreza : la relevancia de las dimensiones culturales","title-short":"Hacia una sociología de la pobreza","URL":"https://estudiossociologicos.colmex.mx/index.php/es/article/view/119","volume":"31","author":[{"family":"Bayón","given":"María Cristina"}],"accessed":{"date-parts":[["2018",11,23]]},"issued":{"date-parts":[["2013"]]}},"suppress-author":true}],"schema":"https://github.com/citation-style-language/schema/raw/master/csl-citation.json"}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noProof/>
          <w:kern w:val="0"/>
          <w:lang w:val="es-AR" w:eastAsia="es-ES_tradnl"/>
          <w14:ligatures w14:val="none"/>
        </w:rPr>
        <w:t>(2013)</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xml:space="preserve">, este enfoque integrado es esencial para desmontar y hacer evidentes los estereotipos que frecuentemente inspiran ciertas políticas sociales o que, en el escenario específico de la UNPAZ, suelen construirse sobre los estudiantes tanto desde el marco normativo-institucional como desde las propias representaciones docentes. Analizar el </w:t>
      </w:r>
      <w:r w:rsidRPr="00AB0EF9">
        <w:rPr>
          <w:rFonts w:ascii="Times New Roman" w:eastAsia="Times New Roman" w:hAnsi="Times New Roman" w:cs="Times New Roman"/>
          <w:kern w:val="0"/>
          <w:lang w:val="es-AR" w:eastAsia="es-ES_tradnl"/>
          <w14:ligatures w14:val="none"/>
        </w:rPr>
        <w:lastRenderedPageBreak/>
        <w:t>inter juego de estas fronteras y asimetrías de capital permite, en definitiva, visibilizar el modo en que las distinciones subjetivas se transforman en barreras sociales concretas o, por el contrario, en espacios de resistencia y filiación universitaria.</w:t>
      </w:r>
    </w:p>
    <w:p w14:paraId="7BEE0DA0"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Por último, y en función de la premisa de que marco teórico, metodología y objetivos de investigación en la metodología cuantitativa guardan una estrecha relación </w:t>
      </w:r>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{"citationID":"ngRhhe00","properties":{"unsorted":false,"formattedCitation":"(Saut\\uc0\\u250{}, 2003)","plainCitation":"(Sautú, 2003)","noteIndex":0},"citationItems":[{"id":101,"uris":["http://zotero.org/users/4661028/items/4GYK548U"],"itemData":{"id":101,"type":"book","publisher":"Lumiere","publisher-place":"Argentina","title":"Todo es teoría. Objetivos y métodos de investigación.","author":[{"family":"Sautú","given":"Ruth"}],"issued":{"date-parts":[["2003"]]}}}],"schema":"https://github.com/citation-style-language/schema/raw/master/csl-citation.json"}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kern w:val="0"/>
          <w:lang w:val="es-ES_tradnl" w:eastAsia="es-ES_tradnl"/>
          <w14:ligatures w14:val="none"/>
        </w:rPr>
        <w:t>(</w:t>
      </w:r>
      <w:proofErr w:type="spellStart"/>
      <w:r w:rsidRPr="00AB0EF9">
        <w:rPr>
          <w:rFonts w:ascii="Times New Roman" w:eastAsia="Times New Roman" w:hAnsi="Times New Roman" w:cs="Times New Roman"/>
          <w:kern w:val="0"/>
          <w:lang w:val="es-ES_tradnl" w:eastAsia="es-ES_tradnl"/>
          <w14:ligatures w14:val="none"/>
        </w:rPr>
        <w:t>Sautú</w:t>
      </w:r>
      <w:proofErr w:type="spellEnd"/>
      <w:r w:rsidRPr="00AB0EF9">
        <w:rPr>
          <w:rFonts w:ascii="Times New Roman" w:eastAsia="Times New Roman" w:hAnsi="Times New Roman" w:cs="Times New Roman"/>
          <w:kern w:val="0"/>
          <w:lang w:val="es-ES_tradnl" w:eastAsia="es-ES_tradnl"/>
          <w14:ligatures w14:val="none"/>
        </w:rPr>
        <w:t>, 2003)</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xml:space="preserve">, surge una dimensión teórica emergente en el análisis de las entrevistas ligada a lo que </w:t>
      </w:r>
      <w:proofErr w:type="spellStart"/>
      <w:r w:rsidRPr="00AB0EF9">
        <w:rPr>
          <w:rFonts w:ascii="Times New Roman" w:eastAsia="Times New Roman" w:hAnsi="Times New Roman" w:cs="Times New Roman"/>
          <w:kern w:val="0"/>
          <w:lang w:val="es-AR" w:eastAsia="es-ES_tradnl"/>
          <w14:ligatures w14:val="none"/>
        </w:rPr>
        <w:t>Lahire</w:t>
      </w:r>
      <w:proofErr w:type="spellEnd"/>
      <w:r w:rsidRPr="00AB0EF9">
        <w:rPr>
          <w:rFonts w:ascii="Times New Roman" w:eastAsia="Times New Roman" w:hAnsi="Times New Roman" w:cs="Times New Roman"/>
          <w:kern w:val="0"/>
          <w:lang w:val="es-AR" w:eastAsia="es-ES_tradnl"/>
          <w14:ligatures w14:val="none"/>
        </w:rPr>
        <w:t xml:space="preserve"> </w:t>
      </w:r>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Oy3ivX4t","properties":{"unsorted":false,"formattedCitation":"(2017)","plainCitation":"(2017)","noteIndex":0},"citationItems":[{"id":2280,"uris":["http://zotero.org/users/4661028/items/ILIC635W"],"itemData":{"id":2280,"type":"article-journal","archive":"http://www.memoria.fahce.unlp.edu.ar/art_revistas/pr.8173/pr.8173.pdf","container-title":"Revista Latinoamericana de Metodología de las Ciencias Sociales,","DOI":"https://doi.org/10.24215/18537863e030","issue":"2","publisher":"Universidad Nacional de La Plata.  Facultad de Humanidades y Ciencias de la Educación","title":"Mundo plural: ¿por qué los individuos hacen lo que hacen?.  7 (2), e030. En Memoria Académica. Disponible en:","volume":"7","author":[{"family":"Lahire","given":"Bernard"}],"issued":{"date-parts":[["2017"]]}},"suppress-author":true}],"schema":"https://github.com/citation-style-language/schema/raw/master/csl-citation.json"}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noProof/>
          <w:kern w:val="0"/>
          <w:lang w:val="es-AR" w:eastAsia="es-ES_tradnl"/>
          <w14:ligatures w14:val="none"/>
        </w:rPr>
        <w:t>(2017)</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xml:space="preserve"> denomina </w:t>
      </w:r>
      <w:r w:rsidRPr="00AB0EF9">
        <w:rPr>
          <w:rFonts w:ascii="Times New Roman" w:eastAsia="Times New Roman" w:hAnsi="Times New Roman" w:cs="Times New Roman"/>
          <w:i/>
          <w:iCs/>
          <w:kern w:val="0"/>
          <w:lang w:val="es-AR" w:eastAsia="es-ES_tradnl"/>
          <w14:ligatures w14:val="none"/>
        </w:rPr>
        <w:t>repertorio plural de disposiciones</w:t>
      </w:r>
      <w:r w:rsidRPr="00AB0EF9">
        <w:rPr>
          <w:rFonts w:ascii="Times New Roman" w:eastAsia="Times New Roman" w:hAnsi="Times New Roman" w:cs="Times New Roman"/>
          <w:kern w:val="0"/>
          <w:lang w:val="es-AR" w:eastAsia="es-ES_tradnl"/>
          <w14:ligatures w14:val="none"/>
        </w:rPr>
        <w:t xml:space="preserve">. El autor complejiza la mirada </w:t>
      </w:r>
      <w:proofErr w:type="spellStart"/>
      <w:r w:rsidRPr="00AB0EF9">
        <w:rPr>
          <w:rFonts w:ascii="Times New Roman" w:eastAsia="Times New Roman" w:hAnsi="Times New Roman" w:cs="Times New Roman"/>
          <w:kern w:val="0"/>
          <w:lang w:val="es-AR" w:eastAsia="es-ES_tradnl"/>
          <w14:ligatures w14:val="none"/>
        </w:rPr>
        <w:t>bourdieuana</w:t>
      </w:r>
      <w:proofErr w:type="spellEnd"/>
      <w:r w:rsidRPr="00AB0EF9">
        <w:rPr>
          <w:rFonts w:ascii="Times New Roman" w:eastAsia="Times New Roman" w:hAnsi="Times New Roman" w:cs="Times New Roman"/>
          <w:kern w:val="0"/>
          <w:lang w:val="es-AR" w:eastAsia="es-ES_tradnl"/>
          <w14:ligatures w14:val="none"/>
        </w:rPr>
        <w:t xml:space="preserve"> al sostener que las sociedades contemporáneas están fuertemente fragmentadas y que los individuos transitan de manera simultánea por múltiples y heterogéneos contextos de socialización (la familia, el barrio, el grupo de pares, el mercado laboral y en nuestro caso, la universidad).</w:t>
      </w:r>
    </w:p>
    <w:p w14:paraId="768DA5D6"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Como producto de esta participación en mundos sociales diversos, los sujetos no incorporan un </w:t>
      </w:r>
      <w:r w:rsidRPr="00AB0EF9">
        <w:rPr>
          <w:rFonts w:ascii="Times New Roman" w:eastAsia="Times New Roman" w:hAnsi="Times New Roman" w:cs="Times New Roman"/>
          <w:i/>
          <w:iCs/>
          <w:kern w:val="0"/>
          <w:lang w:val="es-AR" w:eastAsia="es-ES_tradnl"/>
          <w14:ligatures w14:val="none"/>
        </w:rPr>
        <w:t>habitus</w:t>
      </w:r>
      <w:r w:rsidRPr="00AB0EF9">
        <w:rPr>
          <w:rFonts w:ascii="Times New Roman" w:eastAsia="Times New Roman" w:hAnsi="Times New Roman" w:cs="Times New Roman"/>
          <w:kern w:val="0"/>
          <w:lang w:val="es-AR" w:eastAsia="es-ES_tradnl"/>
          <w14:ligatures w14:val="none"/>
        </w:rPr>
        <w:t xml:space="preserve"> único y transferible, sino el mencionado repertorio (esquemas de acción, pensamiento y sentir) cuyos elementos no siempre resultan coherentes entre sí. Estas disposiciones entran en latencia o se activan según las exigencias y el contexto específico en el que el sujeto se encuentre interactuando. Desde este enfoque, el estudiante de la UNPAZ es concebido como un sujeto plural: aquel que viaja en colectivo o trabaja activa disposiciones ligadas a la supervivencia material o a lógicas de sectores populares, pero que, al ingresar al aula universitaria, se ve tensionado a activar o desarrollar disposiciones académicas que entran en diálogo —y muchas veces en conflicto— con su matriz de origen.</w:t>
      </w:r>
    </w:p>
    <w:p w14:paraId="3320068B"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p>
    <w:p w14:paraId="6EA7C973" w14:textId="77777777" w:rsidR="00AB0EF9" w:rsidRPr="00AB0EF9" w:rsidRDefault="00AB0EF9" w:rsidP="00AB0EF9">
      <w:pPr>
        <w:keepNext/>
        <w:keepLines/>
        <w:tabs>
          <w:tab w:val="left" w:pos="567"/>
        </w:tabs>
        <w:spacing w:after="0" w:line="240" w:lineRule="auto"/>
        <w:ind w:left="567" w:right="-6" w:firstLine="284"/>
        <w:jc w:val="both"/>
        <w:outlineLvl w:val="1"/>
        <w:rPr>
          <w:rFonts w:ascii="Times New Roman" w:eastAsia="Times New Roman" w:hAnsi="Times New Roman" w:cs="Times New Roman"/>
          <w:b/>
          <w:bCs/>
          <w:iCs/>
          <w:lang w:val="es-AR" w:eastAsia="es-ES_tradnl"/>
        </w:rPr>
      </w:pPr>
      <w:r w:rsidRPr="00AB0EF9">
        <w:rPr>
          <w:rFonts w:ascii="Times New Roman" w:eastAsia="Times New Roman" w:hAnsi="Times New Roman" w:cs="Times New Roman"/>
          <w:b/>
          <w:bCs/>
          <w:iCs/>
          <w:lang w:val="es-AR" w:eastAsia="es-ES_tradnl"/>
        </w:rPr>
        <w:tab/>
        <w:t>2.2 Los aspectos metodológicos</w:t>
      </w:r>
    </w:p>
    <w:p w14:paraId="35E84181"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Los datos estadísticos obtenidos en la fase cuantitativa permitieron cartografiar los perfiles socioeducativos de los estudiantes de primer año del PUI, proporcionando la base para seleccionar la muestra de jóvenes a entrevistar en la etapa cualitativa. Esta selección se sustentó en variables sociodemográficas —como género, edad y lugar de residencia—, indicadores de trayectoria académica y condición laboral, así como factores ligados al origen social y al nivel educativo de los padres. Asimismo, se integró el nivel de conocimiento de inglés previo al ingreso —determinado por la exención o realización del Ciclo de Preparación de Inglés (en adelante CPI)— como una variable analítica central y eje de una de las hipótesis de trabajo. Al respecto, se asume que el dominio lingüístico previo opera como un factor de diferenciación institucional que facilita la filiación universitaria y un rendimiento académico más favorable en todas las materias, más allá de las de inglés. Finalmente, estos resultados cuantitativos, puestos en diálogo con el marco teórico de la investigación, sirvieron de insumo fundamental para confeccionar el guion de la entrevista semiestructurada.</w:t>
      </w:r>
    </w:p>
    <w:p w14:paraId="2A25CDF4"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 xml:space="preserve">En definitiva, la selección de los estudiantes respondió a un muestreo intencional por máxima variabilidad </w:t>
      </w:r>
      <w:r w:rsidRPr="00AB0EF9">
        <w:rPr>
          <w:rFonts w:ascii="Times New Roman" w:eastAsia="Times New Roman" w:hAnsi="Times New Roman" w:cs="Times New Roman"/>
          <w:color w:val="000000"/>
          <w:kern w:val="0"/>
          <w:lang w:val="es-AR" w:eastAsia="es-ES_tradnl"/>
          <w14:ligatures w14:val="none"/>
        </w:rPr>
        <w:fldChar w:fldCharType="begin"/>
      </w:r>
      <w:r w:rsidRPr="00AB0EF9">
        <w:rPr>
          <w:rFonts w:ascii="Times New Roman" w:eastAsia="Times New Roman" w:hAnsi="Times New Roman" w:cs="Times New Roman"/>
          <w:color w:val="000000"/>
          <w:kern w:val="0"/>
          <w:lang w:val="es-AR" w:eastAsia="es-ES_tradnl"/>
          <w14:ligatures w14:val="none"/>
        </w:rPr>
        <w:instrText xml:space="preserve"> ADDIN ZOTERO_ITEM CSL_CITATION {"citationID":"mivcpLYU","properties":{"unsorted":false,"formattedCitation":"(Patton, 2015)","plainCitation":"(Patton, 2015)","noteIndex":0},"citationItems":[{"id":2279,"uris":["http://zotero.org/users/4661028/items/FWJNPFW9"],"itemData":{"id":2279,"type":"book","edition":"4º","publisher":"SAGE Publications.","publisher-place":"Thousand Oaks, CA","title":"Qualitative research &amp; evaluation methods: Integrating theory and practice (4th ed.). .","author":[{"family":"Patton","given":"M. Q."}],"issued":{"date-parts":[["2015"]]}}}],"schema":"https://github.com/citation-style-language/schema/raw/master/csl-citation.json"} </w:instrText>
      </w:r>
      <w:r w:rsidRPr="00AB0EF9">
        <w:rPr>
          <w:rFonts w:ascii="Times New Roman" w:eastAsia="Times New Roman" w:hAnsi="Times New Roman" w:cs="Times New Roman"/>
          <w:color w:val="000000"/>
          <w:kern w:val="0"/>
          <w:lang w:val="es-AR" w:eastAsia="es-ES_tradnl"/>
          <w14:ligatures w14:val="none"/>
        </w:rPr>
        <w:fldChar w:fldCharType="separate"/>
      </w:r>
      <w:r w:rsidRPr="00AB0EF9">
        <w:rPr>
          <w:rFonts w:ascii="Times New Roman" w:eastAsia="Times New Roman" w:hAnsi="Times New Roman" w:cs="Times New Roman"/>
          <w:noProof/>
          <w:color w:val="000000"/>
          <w:kern w:val="0"/>
          <w:lang w:val="es-AR" w:eastAsia="es-ES_tradnl"/>
          <w14:ligatures w14:val="none"/>
        </w:rPr>
        <w:t>(Patton, 2015)</w:t>
      </w:r>
      <w:r w:rsidRPr="00AB0EF9">
        <w:rPr>
          <w:rFonts w:ascii="Times New Roman" w:eastAsia="Times New Roman" w:hAnsi="Times New Roman" w:cs="Times New Roman"/>
          <w:color w:val="000000"/>
          <w:kern w:val="0"/>
          <w:lang w:val="es-AR" w:eastAsia="es-ES_tradnl"/>
          <w14:ligatures w14:val="none"/>
        </w:rPr>
        <w:fldChar w:fldCharType="end"/>
      </w:r>
      <w:r w:rsidRPr="00AB0EF9">
        <w:rPr>
          <w:rFonts w:ascii="Times New Roman" w:eastAsia="Times New Roman" w:hAnsi="Times New Roman" w:cs="Times New Roman"/>
          <w:color w:val="000000"/>
          <w:kern w:val="0"/>
          <w:lang w:val="es-AR" w:eastAsia="es-ES_tradnl"/>
          <w14:ligatures w14:val="none"/>
        </w:rPr>
        <w:t xml:space="preserve">. De este modo, la muestra quedó constituida por estudiantes que ingresaron a la carrera en el año 2022 y se estructuró bajo cuatro criterios primordiales. En primer lugar, se incluyó a estudiantes de ambos géneros; dado que la matrícula de la carrera es mayoritariamente femenina, se seleccionó una mayor proporción de mujeres para reflejar fielmente dicha composición. En segundo lugar, se optó por abarcar un rango amplio de edades que diera cuenta de trayectorias sociales y escolares diversas. Esta apertura permitió incorporar tanto a jóvenes que comenzaron la </w:t>
      </w:r>
      <w:r w:rsidRPr="00AB0EF9">
        <w:rPr>
          <w:rFonts w:ascii="Times New Roman" w:eastAsia="Times New Roman" w:hAnsi="Times New Roman" w:cs="Times New Roman"/>
          <w:color w:val="000000"/>
          <w:kern w:val="0"/>
          <w:lang w:val="es-AR" w:eastAsia="es-ES_tradnl"/>
          <w14:ligatures w14:val="none"/>
        </w:rPr>
        <w:lastRenderedPageBreak/>
        <w:t>universidad inmediatamente después de finalizar el nivel secundario como a estudiantes con recorridos previos, ya sea porque habían intentado ingresar a otras carreras o porque no se habían planteado estudiar hasta ese momento. En tercer lugar, se consideró la modalidad de ingreso, contemplando tanto a quienes contaban con formación previa en inglés (y por ende fueron eximidos) como a aquellos que debieron cursar el CPI. En cuarto y último lugar, se constató que la totalidad de la muestra reside en municipios lindantes a la institución —como José C. Paz, Malvinas Argentinas y Moreno— y reporta tiempos de traslado de entre 10 y 40 minutos, lo que consolida y evidencia la profunda inscripción territorial de esta casa de estudios.</w:t>
      </w:r>
    </w:p>
    <w:p w14:paraId="075AC630" w14:textId="77777777" w:rsidR="00AB0EF9" w:rsidRPr="00AB0EF9" w:rsidRDefault="00AB0EF9" w:rsidP="00AB0EF9">
      <w:pPr>
        <w:spacing w:after="0" w:line="240" w:lineRule="auto"/>
        <w:jc w:val="both"/>
        <w:rPr>
          <w:rFonts w:ascii="Times New Roman" w:eastAsia="Times New Roman" w:hAnsi="Times New Roman" w:cs="Times New Roman"/>
          <w:color w:val="000000"/>
          <w:kern w:val="0"/>
          <w:lang w:val="es-AR" w:eastAsia="es-ES_tradnl"/>
          <w14:ligatures w14:val="none"/>
        </w:rPr>
      </w:pPr>
      <w:r w:rsidRPr="00AB0EF9">
        <w:rPr>
          <w:rFonts w:ascii="Times New Roman" w:eastAsia="Times New Roman" w:hAnsi="Times New Roman" w:cs="Times New Roman"/>
          <w:color w:val="000000"/>
          <w:kern w:val="0"/>
          <w:lang w:val="es-AR" w:eastAsia="es-ES_tradnl"/>
          <w14:ligatures w14:val="none"/>
        </w:rPr>
        <w:t xml:space="preserve">El análisis de las transcripciones se llevó a cabo mediante codificación temática y axial con el software </w:t>
      </w:r>
      <w:proofErr w:type="spellStart"/>
      <w:r w:rsidRPr="00AB0EF9">
        <w:rPr>
          <w:rFonts w:ascii="Times New Roman" w:eastAsia="Times New Roman" w:hAnsi="Times New Roman" w:cs="Times New Roman"/>
          <w:color w:val="000000"/>
          <w:kern w:val="0"/>
          <w:lang w:val="es-AR" w:eastAsia="es-ES_tradnl"/>
          <w14:ligatures w14:val="none"/>
        </w:rPr>
        <w:t>ATLAS.ti</w:t>
      </w:r>
      <w:proofErr w:type="spellEnd"/>
      <w:r w:rsidRPr="00AB0EF9">
        <w:rPr>
          <w:rFonts w:ascii="Times New Roman" w:eastAsia="Times New Roman" w:hAnsi="Times New Roman" w:cs="Times New Roman"/>
          <w:color w:val="000000"/>
          <w:kern w:val="0"/>
          <w:lang w:val="es-AR" w:eastAsia="es-ES_tradnl"/>
          <w14:ligatures w14:val="none"/>
        </w:rPr>
        <w:t xml:space="preserve">. Su uso permitió agilizar el tratamiento de los testimonios ya que, al integrar todo el material en un mismo soporte y vincular los datos, facilitó su organización, clasificación, búsqueda y recuperación. Vale aclarar que el software funcionó como un complemento técnico y no como un sustituto de las decisiones analíticas adoptadas durante la codificación </w:t>
      </w:r>
      <w:r w:rsidRPr="00AB0EF9">
        <w:rPr>
          <w:rFonts w:ascii="Times New Roman" w:eastAsia="Times New Roman" w:hAnsi="Times New Roman" w:cs="Times New Roman"/>
          <w:color w:val="000000"/>
          <w:kern w:val="0"/>
          <w:lang w:val="es-AR" w:eastAsia="es-ES_tradnl"/>
          <w14:ligatures w14:val="none"/>
        </w:rPr>
        <w:fldChar w:fldCharType="begin"/>
      </w:r>
      <w:r w:rsidRPr="00AB0EF9">
        <w:rPr>
          <w:rFonts w:ascii="Times New Roman" w:eastAsia="Times New Roman" w:hAnsi="Times New Roman" w:cs="Times New Roman"/>
          <w:color w:val="000000"/>
          <w:kern w:val="0"/>
          <w:lang w:val="es-AR" w:eastAsia="es-ES_tradnl"/>
          <w14:ligatures w14:val="none"/>
        </w:rPr>
        <w:instrText xml:space="preserve"> ADDIN ZOTERO_ITEM CSL_CITATION {"citationID":"Uj3tjDkY","properties":{"unsorted":false,"formattedCitation":"(Chernobilsky, L., 2006; P\\uc0\\u233{}rez Ripossio, 2023)","plainCitation":"(Chernobilsky, L., 2006; Pérez Ripossio, 2023)","noteIndex":0},"citationItems":[{"id":1895,"uris":["http://zotero.org/users/4661028/items/KC5UKNY3"],"itemData":{"id":1895,"type":"chapter","container-title":"Estrategias de investigación cualitativa","publisher":"Gedisa Editorial","publisher-place":"Barcelona","title":"El uso de la computadora como auxiliar en el análisis de datos cualitativos","author":[{"literal":"Chernobilsky, L."}],"issued":{"date-parts":[["2006"]]}}},{"id":1922,"uris":["http://zotero.org/users/4661028/items/KLJI7D2X"],"itemData":{"id":1922,"type":"article-journal","abstract":"Resumen\n\t\t\t\t\tEste artículo analiza las principales funciones del software ATLAS.ti 22 en referencia a una investigación doctoral ya concluida. Esta investigación abordó de manera cualitativa los proyectos migratorios de las travestis/trans sudamericanas que residen en el AMBA. Se realizaron 44 entrevistas individuales a las migrantes empleando la Teoría Fundamentada como principal método. El artículo aporta el uso de las principales funciones de esta versión del software con el fin de que otros investigadores estén al tanto de sus novedades. Así, se desarrollan los siguientes recursos: nubes de conceptos, análisis de sentimientos, carpetas, extracción de opiniones y tablas de co-ocurrencias.","container-title":"Perspectivas Metodológicas","DOI":"10.18294/pm.2023.4324","ISSN":"2618-4125","issue":"27","language":"en","license":"Derechos de autor 2023 Perspectivas Metodológicas","source":"revistas.unla.edu.ar","title":"Qualitative analysis with ATLAS.ti 22 in Social Sciences: New tools and concrete applications","title-short":"Qualitative analysis with ATLAS.ti 22 in Social Sciences","URL":"https://revistas.unla.edu.ar/epistemologia/article/view/4324","volume":"23","author":[{"family":"Pérez Ripossio","given":"Ramiro Pérez"}],"accessed":{"date-parts":[["2025",8,25]]},"issued":{"date-parts":[["2023",8,31]]}}}],"schema":"https://github.com/citation-style-language/schema/raw/master/csl-citation.json"} </w:instrText>
      </w:r>
      <w:r w:rsidRPr="00AB0EF9">
        <w:rPr>
          <w:rFonts w:ascii="Times New Roman" w:eastAsia="Times New Roman" w:hAnsi="Times New Roman" w:cs="Times New Roman"/>
          <w:color w:val="000000"/>
          <w:kern w:val="0"/>
          <w:lang w:val="es-AR" w:eastAsia="es-ES_tradnl"/>
          <w14:ligatures w14:val="none"/>
        </w:rPr>
        <w:fldChar w:fldCharType="separate"/>
      </w:r>
      <w:r w:rsidRPr="00AB0EF9">
        <w:rPr>
          <w:rFonts w:ascii="Times New Roman" w:eastAsia="Aptos" w:hAnsi="Times New Roman" w:cs="Times New Roman"/>
          <w:color w:val="000000"/>
          <w:kern w:val="0"/>
          <w:lang w:val="es-ES_tradnl"/>
        </w:rPr>
        <w:t>(</w:t>
      </w:r>
      <w:proofErr w:type="spellStart"/>
      <w:r w:rsidRPr="00AB0EF9">
        <w:rPr>
          <w:rFonts w:ascii="Times New Roman" w:eastAsia="Aptos" w:hAnsi="Times New Roman" w:cs="Times New Roman"/>
          <w:color w:val="000000"/>
          <w:kern w:val="0"/>
          <w:lang w:val="es-ES_tradnl"/>
        </w:rPr>
        <w:t>Chernobilsky</w:t>
      </w:r>
      <w:proofErr w:type="spellEnd"/>
      <w:r w:rsidRPr="00AB0EF9">
        <w:rPr>
          <w:rFonts w:ascii="Times New Roman" w:eastAsia="Aptos" w:hAnsi="Times New Roman" w:cs="Times New Roman"/>
          <w:color w:val="000000"/>
          <w:kern w:val="0"/>
          <w:lang w:val="es-ES_tradnl"/>
        </w:rPr>
        <w:t>, L., 2006; Pérez Ripossio, 2023)</w:t>
      </w:r>
      <w:r w:rsidRPr="00AB0EF9">
        <w:rPr>
          <w:rFonts w:ascii="Times New Roman" w:eastAsia="Times New Roman" w:hAnsi="Times New Roman" w:cs="Times New Roman"/>
          <w:color w:val="000000"/>
          <w:kern w:val="0"/>
          <w:lang w:val="es-AR" w:eastAsia="es-ES_tradnl"/>
          <w14:ligatures w14:val="none"/>
        </w:rPr>
        <w:fldChar w:fldCharType="end"/>
      </w:r>
      <w:r w:rsidRPr="00AB0EF9">
        <w:rPr>
          <w:rFonts w:ascii="Times New Roman" w:eastAsia="Times New Roman" w:hAnsi="Times New Roman" w:cs="Times New Roman"/>
          <w:color w:val="000000"/>
          <w:kern w:val="0"/>
          <w:lang w:val="es-AR" w:eastAsia="es-ES_tradnl"/>
          <w14:ligatures w14:val="none"/>
        </w:rPr>
        <w:t>.</w:t>
      </w:r>
    </w:p>
    <w:p w14:paraId="4071C9EC" w14:textId="77777777" w:rsidR="00AB0EF9" w:rsidRPr="00AB0EF9" w:rsidRDefault="00AB0EF9" w:rsidP="00AB0EF9">
      <w:pPr>
        <w:keepNext/>
        <w:keepLines/>
        <w:tabs>
          <w:tab w:val="left" w:pos="567"/>
        </w:tabs>
        <w:spacing w:after="0" w:line="240" w:lineRule="auto"/>
        <w:ind w:left="567" w:right="-6" w:firstLine="284"/>
        <w:jc w:val="both"/>
        <w:outlineLvl w:val="1"/>
        <w:rPr>
          <w:rFonts w:ascii="Times New Roman" w:eastAsia="Times New Roman" w:hAnsi="Times New Roman" w:cs="Times New Roman"/>
          <w:b/>
          <w:bCs/>
          <w:iCs/>
          <w:kern w:val="0"/>
          <w:lang w:val="es-AR" w:eastAsia="es-ES_tradnl"/>
          <w14:ligatures w14:val="none"/>
        </w:rPr>
      </w:pPr>
      <w:r w:rsidRPr="00AB0EF9">
        <w:rPr>
          <w:rFonts w:ascii="Times New Roman" w:eastAsia="Times New Roman" w:hAnsi="Times New Roman" w:cs="Times New Roman"/>
          <w:b/>
          <w:bCs/>
          <w:iCs/>
          <w:lang w:val="es-AR" w:eastAsia="es-ES_tradnl"/>
        </w:rPr>
        <w:tab/>
        <w:t xml:space="preserve">2.3 </w:t>
      </w:r>
      <w:r w:rsidRPr="00AB0EF9">
        <w:rPr>
          <w:rFonts w:ascii="Times New Roman" w:eastAsia="Times New Roman" w:hAnsi="Times New Roman" w:cs="Times New Roman"/>
          <w:b/>
          <w:bCs/>
          <w:iCs/>
          <w:lang w:val="es-ES"/>
        </w:rPr>
        <w:t>Habitar la universidad: la emergencia de 'lo nuevo' y la reconfiguración de las fronteras simbólicas</w:t>
      </w:r>
    </w:p>
    <w:p w14:paraId="685C3C32"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Tal como se definió en el apartado metodológico, las entrevistas de corte semiestructurado contaron con un guion elaborado sobre la base de las grandes dimensiones del marco teórico. Estas variables fueron operacionalizadas a través de preguntas diseñadas para aproximarse al plano empírico. Una de ellas, orientada específicamente a abordar las fronteras sociales y simbólicas, indagó acerca de qué aspectos de la vida universitaria les habían resultado novedosos en relación con sus trayectorias escolares y sociales previas al ingreso institucional. </w:t>
      </w:r>
    </w:p>
    <w:p w14:paraId="357E45B9"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Los testimonios de los estudiantes frente a lo inédito permiten dar cuenta de cómo el acceso institucional a la UNPAZ opera como un dinamizador de trayectorias, transformando tanto las fronteras simbólicas (esquemas de percepción y clasificación) como las fronteras sociales (la objetivación de dichos límites en las prácticas cotidianas en el territorio). A continuación, se analiza de forma singular el modo en que cada estudiante habita esta transición, para luego recuperar analíticamente las recurrencias teóricas que atraviesan sus vivencias.</w:t>
      </w:r>
    </w:p>
    <w:p w14:paraId="484591D7" w14:textId="77777777" w:rsidR="00AB0EF9" w:rsidRPr="00AB0EF9" w:rsidRDefault="00AB0EF9" w:rsidP="00AB0EF9">
      <w:pPr>
        <w:spacing w:after="0" w:line="240" w:lineRule="auto"/>
        <w:ind w:firstLine="284"/>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La estudiante A</w:t>
      </w:r>
      <w:r w:rsidRPr="00AB0EF9">
        <w:rPr>
          <w:rFonts w:ascii="Times New Roman" w:eastAsia="Times New Roman" w:hAnsi="Times New Roman" w:cs="Times New Roman"/>
          <w:kern w:val="0"/>
          <w:vertAlign w:val="superscript"/>
          <w:lang w:val="es-AR" w:eastAsia="es-ES_tradnl"/>
          <w14:ligatures w14:val="none"/>
        </w:rPr>
        <w:endnoteReference w:id="4"/>
      </w:r>
      <w:r w:rsidRPr="00AB0EF9">
        <w:rPr>
          <w:rFonts w:ascii="Times New Roman" w:eastAsia="Times New Roman" w:hAnsi="Times New Roman" w:cs="Times New Roman"/>
          <w:kern w:val="0"/>
          <w:lang w:val="es-AR" w:eastAsia="es-ES_tradnl"/>
          <w14:ligatures w14:val="none"/>
        </w:rPr>
        <w:t xml:space="preserve">, luego de haber terminado el secundario ingresó directamente a la universidad. A su vez, ingresó a la carrera sin pasar por el CPI. </w:t>
      </w:r>
    </w:p>
    <w:p w14:paraId="2FF8B175" w14:textId="77777777" w:rsidR="00AB0EF9" w:rsidRPr="00AB0EF9" w:rsidRDefault="00AB0EF9" w:rsidP="00AB0EF9">
      <w:pPr>
        <w:spacing w:after="0" w:line="240" w:lineRule="auto"/>
        <w:ind w:firstLine="284"/>
        <w:jc w:val="both"/>
        <w:rPr>
          <w:rFonts w:ascii="Times New Roman" w:eastAsia="Times New Roman" w:hAnsi="Times New Roman" w:cs="Times New Roman"/>
          <w:kern w:val="0"/>
          <w:lang w:val="es-AR" w:eastAsia="es-ES_tradnl"/>
          <w14:ligatures w14:val="none"/>
        </w:rPr>
      </w:pPr>
      <w:r w:rsidRPr="00AB0EF9">
        <w:rPr>
          <w:rFonts w:ascii="Times New Roman" w:eastAsia="Aptos" w:hAnsi="Times New Roman" w:cs="Times New Roman"/>
          <w:lang w:val="es-ES"/>
        </w:rPr>
        <w:t xml:space="preserve">Su trayectoria escolar previa está ligada a la educación del sector privado y, desde muy pequeña, asistió a instituciones particulares para estudiar inglés, lo que da cuenta de la portación de un determinado capital cultural -incorporado e institucionalizado- previo al ingreso al nivel superior. </w:t>
      </w:r>
    </w:p>
    <w:p w14:paraId="72BCB2DD" w14:textId="77777777" w:rsidR="00AB0EF9" w:rsidRPr="00AB0EF9" w:rsidRDefault="00AB0EF9" w:rsidP="00AB0EF9">
      <w:pPr>
        <w:spacing w:after="0" w:line="240" w:lineRule="auto"/>
        <w:ind w:firstLine="284"/>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Para ella "lo nuevo" se asocia fuertemente con el descubrimiento de un andamiaje institucional que estimula la permanencia a la universidad. Específicamente hace referencia a la oferta que hace la carrera de una lengua adicional, las propuestas de trayectorias de intensificación para alumnos que lo necesiten, becas, jornadas y convocatorias a eventos culturales. Por otro lado, destaca el valor de jornadas y actividades académicas que organiza la carrera con el formato de espacio extracurriculares. </w:t>
      </w:r>
      <w:r w:rsidRPr="00AB0EF9">
        <w:rPr>
          <w:rFonts w:ascii="Times New Roman" w:eastAsia="Times New Roman" w:hAnsi="Times New Roman" w:cs="Times New Roman"/>
          <w:i/>
          <w:iCs/>
          <w:kern w:val="0"/>
          <w:lang w:val="es-AR" w:eastAsia="es-ES_tradnl"/>
          <w14:ligatures w14:val="none"/>
        </w:rPr>
        <w:t>"me parece que está buenísimo, porque es algo que queda cercano”.</w:t>
      </w:r>
      <w:r w:rsidRPr="00AB0EF9">
        <w:rPr>
          <w:rFonts w:ascii="Times New Roman" w:eastAsia="Times New Roman" w:hAnsi="Times New Roman" w:cs="Times New Roman"/>
          <w:kern w:val="0"/>
          <w:lang w:val="es-AR" w:eastAsia="es-ES_tradnl"/>
          <w14:ligatures w14:val="none"/>
        </w:rPr>
        <w:t xml:space="preserve"> </w:t>
      </w:r>
      <w:r w:rsidRPr="00AB0EF9">
        <w:rPr>
          <w:rFonts w:ascii="Times New Roman" w:eastAsia="Times New Roman" w:hAnsi="Times New Roman" w:cs="Times New Roman"/>
          <w:kern w:val="0"/>
          <w:lang w:val="es-AR" w:eastAsia="es-ES_tradnl"/>
          <w14:ligatures w14:val="none"/>
        </w:rPr>
        <w:lastRenderedPageBreak/>
        <w:t xml:space="preserve">La proximidad física le permite la posibilidad de "aprovechar la información obtenida en esos espacios para su propio trabajo (en el momento de la entrevista ya estaba trabajando de docente de inglés) y el intercambio horizontal con los docentes para </w:t>
      </w:r>
      <w:r w:rsidRPr="00AB0EF9">
        <w:rPr>
          <w:rFonts w:ascii="Times New Roman" w:eastAsia="Times New Roman" w:hAnsi="Times New Roman" w:cs="Times New Roman"/>
          <w:i/>
          <w:iCs/>
          <w:kern w:val="0"/>
          <w:lang w:val="es-AR" w:eastAsia="es-ES_tradnl"/>
          <w14:ligatures w14:val="none"/>
        </w:rPr>
        <w:t>"charlar en el momento"</w:t>
      </w:r>
      <w:r w:rsidRPr="00AB0EF9">
        <w:rPr>
          <w:rFonts w:ascii="Times New Roman" w:eastAsia="Times New Roman" w:hAnsi="Times New Roman" w:cs="Times New Roman"/>
          <w:kern w:val="0"/>
          <w:lang w:val="es-AR" w:eastAsia="es-ES_tradnl"/>
          <w14:ligatures w14:val="none"/>
        </w:rPr>
        <w:t xml:space="preserve"> sobre dudas o inquietudes. </w:t>
      </w:r>
    </w:p>
    <w:p w14:paraId="4C26AE90" w14:textId="77777777" w:rsidR="00AB0EF9" w:rsidRPr="00AB0EF9" w:rsidRDefault="00AB0EF9" w:rsidP="00AB0EF9">
      <w:pPr>
        <w:spacing w:after="0" w:line="240" w:lineRule="auto"/>
        <w:ind w:firstLine="284"/>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Esta cercanía no solo disminuye barreras materiales sino que derriba fronteras simbólicas: la universidad deja de ser un espacio lejano e inalcanzable para transformarse en un territorio propio, habitado activamente a través de la participación en charlas y eventos. Aquí se observa el </w:t>
      </w:r>
      <w:r w:rsidRPr="00AB0EF9">
        <w:rPr>
          <w:rFonts w:ascii="Times New Roman" w:eastAsia="Times New Roman" w:hAnsi="Times New Roman" w:cs="Times New Roman"/>
          <w:i/>
          <w:iCs/>
          <w:kern w:val="0"/>
          <w:lang w:val="es-AR" w:eastAsia="es-ES_tradnl"/>
          <w14:ligatures w14:val="none"/>
        </w:rPr>
        <w:t>"inter juego con el territorio"</w:t>
      </w:r>
      <w:r w:rsidRPr="00AB0EF9">
        <w:rPr>
          <w:rFonts w:ascii="Times New Roman" w:eastAsia="Times New Roman" w:hAnsi="Times New Roman" w:cs="Times New Roman"/>
          <w:kern w:val="0"/>
          <w:lang w:val="es-AR" w:eastAsia="es-ES_tradnl"/>
          <w14:ligatures w14:val="none"/>
        </w:rPr>
        <w:t xml:space="preserve">. La estudiante, que compatibiliza estudio y el trabajo como docente, resignifica lo teórico-académico a partir de su práctica laboral </w:t>
      </w:r>
      <w:r w:rsidRPr="00AB0EF9">
        <w:rPr>
          <w:rFonts w:ascii="Times New Roman" w:eastAsia="Times New Roman" w:hAnsi="Times New Roman" w:cs="Times New Roman"/>
          <w:i/>
          <w:iCs/>
          <w:kern w:val="0"/>
          <w:lang w:val="es-AR" w:eastAsia="es-ES_tradnl"/>
          <w14:ligatures w14:val="none"/>
        </w:rPr>
        <w:t>"ya al estar trabajando hay cosas que capaz las puedo aprovechar un poco más"</w:t>
      </w:r>
      <w:r w:rsidRPr="00AB0EF9">
        <w:rPr>
          <w:rFonts w:ascii="Times New Roman" w:eastAsia="Times New Roman" w:hAnsi="Times New Roman" w:cs="Times New Roman"/>
          <w:kern w:val="0"/>
          <w:lang w:val="es-AR" w:eastAsia="es-ES_tradnl"/>
          <w14:ligatures w14:val="none"/>
        </w:rPr>
        <w:t>). Asimismo, la posibilidad de interactuar directamente con los profesores erosiona la frontera simbólica de la jerarquía universitaria tradicional, democratizando el acceso al capital cultural y fortaleciendo la relación entre estudiante y profesores.</w:t>
      </w:r>
    </w:p>
    <w:p w14:paraId="0303A1E8"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Por su parte, la estudiante B cursó sus estudios obligatorios en escuelas del sector estatal. Inmediatamente después de finalizar la escuela secundaria, ingresó a la universidad transitando por el tramo inicial del CPI, dado que no poseía conocimientos previos del idioma. Su testimonio revela un proceso de maduración ligado al cambio de nivel educativo: </w:t>
      </w:r>
      <w:r w:rsidRPr="00AB0EF9">
        <w:rPr>
          <w:rFonts w:ascii="Times New Roman" w:eastAsia="Times New Roman" w:hAnsi="Times New Roman" w:cs="Times New Roman"/>
          <w:i/>
          <w:iCs/>
          <w:kern w:val="0"/>
          <w:lang w:val="es-AR" w:eastAsia="es-ES_tradnl"/>
          <w14:ligatures w14:val="none"/>
        </w:rPr>
        <w:t>“Después de terminar la secundaria empieza una etapa más madura”</w:t>
      </w:r>
      <w:r w:rsidRPr="00AB0EF9">
        <w:rPr>
          <w:rFonts w:ascii="Times New Roman" w:eastAsia="Times New Roman" w:hAnsi="Times New Roman" w:cs="Times New Roman"/>
          <w:kern w:val="0"/>
          <w:lang w:val="es-AR" w:eastAsia="es-ES_tradnl"/>
          <w14:ligatures w14:val="none"/>
        </w:rPr>
        <w:t xml:space="preserve">. Para ella, "lo nuevo" se configura a partir de la comprensión del reverso del oficio docente: </w:t>
      </w:r>
      <w:r w:rsidRPr="00AB0EF9">
        <w:rPr>
          <w:rFonts w:ascii="Times New Roman" w:eastAsia="Times New Roman" w:hAnsi="Times New Roman" w:cs="Times New Roman"/>
          <w:i/>
          <w:iCs/>
          <w:kern w:val="0"/>
          <w:lang w:val="es-AR" w:eastAsia="es-ES_tradnl"/>
          <w14:ligatures w14:val="none"/>
        </w:rPr>
        <w:t>“Como estudiante no ves ciertas cosas, y ahora desde esta posición veo todo lo que conlleva... se prepara fuera del horario, corrige tareas...”</w:t>
      </w:r>
      <w:r w:rsidRPr="00AB0EF9">
        <w:rPr>
          <w:rFonts w:ascii="Times New Roman" w:eastAsia="Times New Roman" w:hAnsi="Times New Roman" w:cs="Times New Roman"/>
          <w:kern w:val="0"/>
          <w:lang w:val="es-AR" w:eastAsia="es-ES_tradnl"/>
          <w14:ligatures w14:val="none"/>
        </w:rPr>
        <w:t xml:space="preserve">. </w:t>
      </w:r>
    </w:p>
    <w:p w14:paraId="3D6701B8"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De este modo, el ingreso al nivel superior quiebra la lógica de la escolaridad del nivel secundario y propicia una empatía reflexiva hacia los docentes </w:t>
      </w:r>
      <w:r w:rsidRPr="00AB0EF9">
        <w:rPr>
          <w:rFonts w:ascii="Times New Roman" w:eastAsia="Times New Roman" w:hAnsi="Times New Roman" w:cs="Times New Roman"/>
          <w:i/>
          <w:iCs/>
          <w:kern w:val="0"/>
          <w:lang w:val="es-AR" w:eastAsia="es-ES_tradnl"/>
          <w14:ligatures w14:val="none"/>
        </w:rPr>
        <w:t xml:space="preserve">"Como estudiante no ves ciertas cosas, y ahora desde esta posición veo todo lo que conlleva... se prepara fuera del horario, corrige tareas...". </w:t>
      </w:r>
      <w:r w:rsidRPr="00AB0EF9">
        <w:rPr>
          <w:rFonts w:ascii="Times New Roman" w:eastAsia="Times New Roman" w:hAnsi="Times New Roman" w:cs="Times New Roman"/>
          <w:kern w:val="0"/>
          <w:lang w:val="es-AR" w:eastAsia="es-ES_tradnl"/>
          <w14:ligatures w14:val="none"/>
        </w:rPr>
        <w:t xml:space="preserve">En definitiva, la experiencia universitaria reconfigura los esquemas de clasificación con los que los estudiantes interpretan la realidad educativa y los roles institucionales, permitiendo un descentramiento de sus propia experiencia educativa para su propia formación profesional. </w:t>
      </w:r>
    </w:p>
    <w:p w14:paraId="33B9D1C7"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Pero a su vez, conocer profesores y participar de las actividades académicas que le proponen le permite ampliar sus conocimientos y su vocabulario “</w:t>
      </w:r>
      <w:r w:rsidRPr="00AB0EF9">
        <w:rPr>
          <w:rFonts w:ascii="Times New Roman" w:eastAsia="Times New Roman" w:hAnsi="Times New Roman" w:cs="Times New Roman"/>
          <w:i/>
          <w:iCs/>
          <w:kern w:val="0"/>
          <w:lang w:val="es-AR" w:eastAsia="es-ES_tradnl"/>
          <w14:ligatures w14:val="none"/>
        </w:rPr>
        <w:t xml:space="preserve">Tanto en parciales en español o en inglés te piden expresarte de determinada manera, y de tanto hacerlo te va quedando el molde. El vocabulario también me queda más. Creo que mejoré bastante al escribir”. </w:t>
      </w:r>
      <w:r w:rsidRPr="00AB0EF9">
        <w:rPr>
          <w:rFonts w:ascii="Times New Roman" w:eastAsia="Times New Roman" w:hAnsi="Times New Roman" w:cs="Times New Roman"/>
          <w:kern w:val="0"/>
          <w:lang w:val="es-AR" w:eastAsia="es-ES_tradnl"/>
          <w14:ligatures w14:val="none"/>
        </w:rPr>
        <w:t>A su vez, la relación que establece con los profesores le permite ampliar su acervo cultura</w:t>
      </w:r>
      <w:r w:rsidRPr="00AB0EF9">
        <w:rPr>
          <w:rFonts w:ascii="Times New Roman" w:eastAsia="Times New Roman" w:hAnsi="Times New Roman" w:cs="Times New Roman"/>
          <w:i/>
          <w:iCs/>
          <w:kern w:val="0"/>
          <w:lang w:val="es-AR" w:eastAsia="es-ES_tradnl"/>
          <w14:ligatures w14:val="none"/>
        </w:rPr>
        <w:t xml:space="preserve">:  “A veces un profesor menciona algo y yo quiero saber más; entonces me recomienda un libro y voy leyendo”. </w:t>
      </w:r>
      <w:r w:rsidRPr="00AB0EF9">
        <w:rPr>
          <w:rFonts w:ascii="Times New Roman" w:eastAsia="Times New Roman" w:hAnsi="Times New Roman" w:cs="Times New Roman"/>
          <w:kern w:val="0"/>
          <w:lang w:val="es-AR" w:eastAsia="es-ES_tradnl"/>
          <w14:ligatures w14:val="none"/>
        </w:rPr>
        <w:t xml:space="preserve">Esta estudiante se apropia de los espacios institucionales y las </w:t>
      </w:r>
      <w:proofErr w:type="spellStart"/>
      <w:r w:rsidRPr="00AB0EF9">
        <w:rPr>
          <w:rFonts w:ascii="Times New Roman" w:eastAsia="Times New Roman" w:hAnsi="Times New Roman" w:cs="Times New Roman"/>
          <w:kern w:val="0"/>
          <w:lang w:val="es-AR" w:eastAsia="es-ES_tradnl"/>
          <w14:ligatures w14:val="none"/>
        </w:rPr>
        <w:t>posisbilidades</w:t>
      </w:r>
      <w:proofErr w:type="spellEnd"/>
      <w:r w:rsidRPr="00AB0EF9">
        <w:rPr>
          <w:rFonts w:ascii="Times New Roman" w:eastAsia="Times New Roman" w:hAnsi="Times New Roman" w:cs="Times New Roman"/>
          <w:kern w:val="0"/>
          <w:lang w:val="es-AR" w:eastAsia="es-ES_tradnl"/>
          <w14:ligatures w14:val="none"/>
        </w:rPr>
        <w:t xml:space="preserve"> que ofrecen para su formación. Si bien, nunca tuvo </w:t>
      </w:r>
      <w:proofErr w:type="spellStart"/>
      <w:r w:rsidRPr="00AB0EF9">
        <w:rPr>
          <w:rFonts w:ascii="Times New Roman" w:eastAsia="Times New Roman" w:hAnsi="Times New Roman" w:cs="Times New Roman"/>
          <w:kern w:val="0"/>
          <w:lang w:val="es-AR" w:eastAsia="es-ES_tradnl"/>
          <w14:ligatures w14:val="none"/>
        </w:rPr>
        <w:t>inconveniestes</w:t>
      </w:r>
      <w:proofErr w:type="spellEnd"/>
      <w:r w:rsidRPr="00AB0EF9">
        <w:rPr>
          <w:rFonts w:ascii="Times New Roman" w:eastAsia="Times New Roman" w:hAnsi="Times New Roman" w:cs="Times New Roman"/>
          <w:kern w:val="0"/>
          <w:lang w:val="es-AR" w:eastAsia="es-ES_tradnl"/>
          <w14:ligatures w14:val="none"/>
        </w:rPr>
        <w:t xml:space="preserve"> materiales y culturales para </w:t>
      </w:r>
      <w:proofErr w:type="spellStart"/>
      <w:r w:rsidRPr="00AB0EF9">
        <w:rPr>
          <w:rFonts w:ascii="Times New Roman" w:eastAsia="Times New Roman" w:hAnsi="Times New Roman" w:cs="Times New Roman"/>
          <w:kern w:val="0"/>
          <w:lang w:val="es-AR" w:eastAsia="es-ES_tradnl"/>
          <w14:ligatures w14:val="none"/>
        </w:rPr>
        <w:t>terminsr</w:t>
      </w:r>
      <w:proofErr w:type="spellEnd"/>
      <w:r w:rsidRPr="00AB0EF9">
        <w:rPr>
          <w:rFonts w:ascii="Times New Roman" w:eastAsia="Times New Roman" w:hAnsi="Times New Roman" w:cs="Times New Roman"/>
          <w:kern w:val="0"/>
          <w:lang w:val="es-AR" w:eastAsia="es-ES_tradnl"/>
          <w14:ligatures w14:val="none"/>
        </w:rPr>
        <w:t xml:space="preserve"> su escolarización formal, el ingreso a la universidad es vivido por ella como un espacio de central la incorporación de mayor acervo académico. </w:t>
      </w:r>
    </w:p>
    <w:p w14:paraId="7AB19947"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La trayectoria escolar del estudiante C puede ser considerada, en los términos de Flavia Terigi </w:t>
      </w:r>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{"citationID":"JFx7gkNG","properties":{"unsorted":false,"formattedCitation":"(2019)","plainCitation":"(2019)","noteIndex":0},"citationItems":[{"id":1735,"uris":["http://zotero.org/users/4661028/items/4Z7NLUXV"],"itemData":{"id":1735,"type":"chapter","container-title":"La inclusión socioeducativa como responsabilidad institucional","edition":"1º","publisher":"INVELEC (INSTITUTO DE INVESTIGACIONES SOBRE EL LENGUAJE Y LA CULTURA)","publisher-place":"Ciudad Autónoma de Buenos Aires","title":"Aportes de la perspectiva de trayectorias escolares al análisis de los problemas de la inclusión escolar.","author":[{"family":"Terigi","given":"Flavia"}],"container-author":[{"family":"Terigi","given":"Flavia"},{"family":"Feldman","given":"Daniel"}],"issued":{"date-parts":[["2019"]]}},"suppress-author":true}],"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noProof/>
          <w:kern w:val="0"/>
          <w:lang w:val="es-AR" w:eastAsia="es-ES_tradnl"/>
          <w14:ligatures w14:val="none"/>
        </w:rPr>
        <w:t>(2019)</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como una trayectoria lineal. Realizó la totalidad de su escolarización formal en una escuela parroquial de la localidad de Moreno y, en paralelo —sosteniendo la misma cantidad de años—, concurrió a un instituto privado de inglés. Esta acumulación previa de capital lingüístico le permitió ingresar de manera directa a la carrera sin transitar por el CPI.</w:t>
      </w:r>
    </w:p>
    <w:p w14:paraId="0A523EC5"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lastRenderedPageBreak/>
        <w:t xml:space="preserve">Para él, la emergencia de "lo nuevo" se vincula estrechamente con el descubrimiento de matrices de pensamiento alternativas a las de su formación de origen: </w:t>
      </w:r>
      <w:r w:rsidRPr="00AB0EF9">
        <w:rPr>
          <w:rFonts w:ascii="Times New Roman" w:eastAsia="Times New Roman" w:hAnsi="Times New Roman" w:cs="Times New Roman"/>
          <w:i/>
          <w:iCs/>
          <w:kern w:val="0"/>
          <w:lang w:val="es-AR" w:eastAsia="es-ES_tradnl"/>
          <w14:ligatures w14:val="none"/>
        </w:rPr>
        <w:t>“no sé, es como... lo nuevo. Lo veo más por el tema de que... Por ejemplo, el secundario de la universidad es otra mentalidad. Principalmente por eso la veo. Es como distinto, ¿no?”</w:t>
      </w:r>
      <w:r w:rsidRPr="00AB0EF9">
        <w:rPr>
          <w:rFonts w:ascii="Times New Roman" w:eastAsia="Times New Roman" w:hAnsi="Times New Roman" w:cs="Times New Roman"/>
          <w:kern w:val="0"/>
          <w:lang w:val="es-AR" w:eastAsia="es-ES_tradnl"/>
          <w14:ligatures w14:val="none"/>
        </w:rPr>
        <w:t xml:space="preserve">. Asimismo, el estudiante C reconoce como novedosos los espacios de socialización y entretenimiento que posee la institución, resignificando la dimensión comunitaria de la UNPAZ: </w:t>
      </w:r>
      <w:r w:rsidRPr="00AB0EF9">
        <w:rPr>
          <w:rFonts w:ascii="Times New Roman" w:eastAsia="Times New Roman" w:hAnsi="Times New Roman" w:cs="Times New Roman"/>
          <w:i/>
          <w:iCs/>
          <w:kern w:val="0"/>
          <w:lang w:val="es-AR" w:eastAsia="es-ES_tradnl"/>
          <w14:ligatures w14:val="none"/>
        </w:rPr>
        <w:t>“Igual también... Bueno, compartir espacios como el comedor, está bueno, no imaginé algo así en la universidad”</w:t>
      </w:r>
      <w:r w:rsidRPr="00AB0EF9">
        <w:rPr>
          <w:rFonts w:ascii="Times New Roman" w:eastAsia="Times New Roman" w:hAnsi="Times New Roman" w:cs="Times New Roman"/>
          <w:kern w:val="0"/>
          <w:lang w:val="es-AR" w:eastAsia="es-ES_tradnl"/>
          <w14:ligatures w14:val="none"/>
        </w:rPr>
        <w:t>. De este modo, "lo nuevo resquebraja sus esquemas previos de percepción no solo en el plano epistémico (el descubrimiento de "otra mentalidad"), sino también a través de las prácticas de socialización en los espacios compartidos que configuran el cotidiano universitario</w:t>
      </w:r>
    </w:p>
    <w:p w14:paraId="103EB65B"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La estudiante D presenta diferencias sustanciales en sus trayectorias escolares y sociales respecto al resto de los estudiantes citados. Su biografía escolar estuvo signada por la discontinuidad y las reorganizaciones familiares debido a los múltiples traslados de provincia motivados por la profesión militar de su padre. Su llegada a la carrera se produce tras haber cursado experiencias previas en otras universidades y luego de haber permanecido muchos años fuera del sistema educativo formal. Su aprendizaje del idioma fue a partir de lo que la escolarización formal le brindó. </w:t>
      </w:r>
    </w:p>
    <w:p w14:paraId="50E669AB"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Para ella, el impacto de "lo nuevo" no se dirime en la infraestructura o en la ruptura cognitiva, sino en la cualidad vincular que dinamiza el lazo pedagógico e intracomunitario. Destaca un clima de alteridad y compañerismo que, sin necesidad de mediar una amistad profunda, sostiene un lazo que propicia el avance en la carrera: </w:t>
      </w:r>
      <w:r w:rsidRPr="00AB0EF9">
        <w:rPr>
          <w:rFonts w:ascii="Times New Roman" w:eastAsia="Times New Roman" w:hAnsi="Times New Roman" w:cs="Times New Roman"/>
          <w:i/>
          <w:iCs/>
          <w:kern w:val="0"/>
          <w:lang w:val="es-AR" w:eastAsia="es-ES_tradnl"/>
          <w14:ligatures w14:val="none"/>
        </w:rPr>
        <w:t>“, en el profesorado más que nada, mucho compañerismo. Es como que noto que los compañeros... O sea, hay como un compañerismo, no son individuales ni nada. Es nuevo, como que hay una cosa de arengarse”</w:t>
      </w:r>
      <w:r w:rsidRPr="00AB0EF9">
        <w:rPr>
          <w:rFonts w:ascii="Times New Roman" w:eastAsia="Times New Roman" w:hAnsi="Times New Roman" w:cs="Times New Roman"/>
          <w:kern w:val="0"/>
          <w:lang w:val="es-AR" w:eastAsia="es-ES_tradnl"/>
          <w14:ligatures w14:val="none"/>
        </w:rPr>
        <w:t>. En su relato, se resalta el valor del sostén mutuo entre pares, la cooperación colectiva frente a las instancias de examen y la preocupación solidaria por aquel compañero que presenta dificultades para aprobar o que corre el riesgo de discontinuar sus estudios</w:t>
      </w:r>
    </w:p>
    <w:p w14:paraId="3270B032"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Al recuperar de forma integral los relatos de las y los estudiantes, es posible construir un cierre teórico que trascienda la particularidad de cada biografía. La relación  de los sujetos con el campo universitario pone en evidencia lo que </w:t>
      </w:r>
      <w:proofErr w:type="spellStart"/>
      <w:r w:rsidRPr="00AB0EF9">
        <w:rPr>
          <w:rFonts w:ascii="Times New Roman" w:eastAsia="Times New Roman" w:hAnsi="Times New Roman" w:cs="Times New Roman"/>
          <w:kern w:val="0"/>
          <w:lang w:val="es-AR" w:eastAsia="es-ES_tradnl"/>
          <w14:ligatures w14:val="none"/>
        </w:rPr>
        <w:t>Lahire</w:t>
      </w:r>
      <w:proofErr w:type="spellEnd"/>
      <w:r w:rsidRPr="00AB0EF9">
        <w:rPr>
          <w:rFonts w:ascii="Times New Roman" w:eastAsia="Times New Roman" w:hAnsi="Times New Roman" w:cs="Times New Roman"/>
          <w:kern w:val="0"/>
          <w:lang w:val="es-AR" w:eastAsia="es-ES_tradnl"/>
          <w14:ligatures w14:val="none"/>
        </w:rPr>
        <w:t xml:space="preserve"> </w:t>
      </w:r>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Hl7DtUTj","properties":{"unsorted":false,"formattedCitation":"(2017)","plainCitation":"(2017)","noteIndex":0},"citationItems":[{"id":2280,"uris":["http://zotero.org/users/4661028/items/ILIC635W"],"itemData":{"id":2280,"type":"article-journal","archive":"http://www.memoria.fahce.unlp.edu.ar/art_revistas/pr.8173/pr.8173.pdf","container-title":"Revista Latinoamericana de Metodología de las Ciencias Sociales,","DOI":"https://doi.org/10.24215/18537863e030","issue":"2","publisher":"Universidad Nacional de La Plata.  Facultad de Humanidades y Ciencias de la Educación","title":"Mundo plural: ¿por qué los individuos hacen lo que hacen?.  7 (2), e030. En Memoria Académica. Disponible en:","volume":"7","author":[{"family":"Lahire","given":"Bernard"}],"issued":{"date-parts":[["2017"]]}},"suppress-author":true}],"schema":"https://github.com/citation-style-language/schema/raw/master/csl-citation.json"}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noProof/>
          <w:kern w:val="0"/>
          <w:lang w:val="es-AR" w:eastAsia="es-ES_tradnl"/>
          <w14:ligatures w14:val="none"/>
        </w:rPr>
        <w:t>(2017)</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xml:space="preserve"> denomina la activación de un </w:t>
      </w:r>
      <w:r w:rsidRPr="00AB0EF9">
        <w:rPr>
          <w:rFonts w:ascii="Times New Roman" w:eastAsia="Times New Roman" w:hAnsi="Times New Roman" w:cs="Times New Roman"/>
          <w:i/>
          <w:iCs/>
          <w:kern w:val="0"/>
          <w:lang w:val="es-AR" w:eastAsia="es-ES_tradnl"/>
          <w14:ligatures w14:val="none"/>
        </w:rPr>
        <w:t>repertorio plural de disposiciones</w:t>
      </w:r>
      <w:r w:rsidRPr="00AB0EF9">
        <w:rPr>
          <w:rFonts w:ascii="Times New Roman" w:eastAsia="Times New Roman" w:hAnsi="Times New Roman" w:cs="Times New Roman"/>
          <w:kern w:val="0"/>
          <w:lang w:val="es-AR" w:eastAsia="es-ES_tradnl"/>
          <w14:ligatures w14:val="none"/>
        </w:rPr>
        <w:t>. Los estudiantes no responden a un habitus unificado, monolítico o rígido; por el contrario, portan experiencias biográficas profundamente heterogéneas —desde las continuidades de trayectorias lineales hasta las interrupciones y mutaciones geográficas— que la universidad, al operar como un "contexto activador", dinamiza y reorganiza de maneras diversas.</w:t>
      </w:r>
    </w:p>
    <w:p w14:paraId="2824374C"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En algunas trayectorias, como las de los estudiantes de A y C, la institución actúa permitiendo la coexistencia sinérgica de disposiciones escolares y capitales lingüísticos previos con las demandas del nuevo campo, ya sea vehiculizando la inserción laboral o propiciando la ruptura con matrices de pensamiento precedentes en </w:t>
      </w:r>
      <w:proofErr w:type="spellStart"/>
      <w:r w:rsidRPr="00AB0EF9">
        <w:rPr>
          <w:rFonts w:ascii="Times New Roman" w:eastAsia="Times New Roman" w:hAnsi="Times New Roman" w:cs="Times New Roman"/>
          <w:kern w:val="0"/>
          <w:lang w:val="es-AR" w:eastAsia="es-ES_tradnl"/>
          <w14:ligatures w14:val="none"/>
        </w:rPr>
        <w:t>pos</w:t>
      </w:r>
      <w:proofErr w:type="spellEnd"/>
      <w:r w:rsidRPr="00AB0EF9">
        <w:rPr>
          <w:rFonts w:ascii="Times New Roman" w:eastAsia="Times New Roman" w:hAnsi="Times New Roman" w:cs="Times New Roman"/>
          <w:kern w:val="0"/>
          <w:lang w:val="es-AR" w:eastAsia="es-ES_tradnl"/>
          <w14:ligatures w14:val="none"/>
        </w:rPr>
        <w:t xml:space="preserve"> de "otra mentalidad". En otras biografías, como las de B y D, marcadas por la escolaridad pública o por la interrupción temporal del estudio, "lo nuevo" se presenta como un territorio de filiación subjetiva. Aquí se produce un descentramiento cognitivo que permite desarmar la lógica de la escolaridad media para comprender el reverso del trabajo docente, o bien se consolida un espacio de resguardo frente a la alienación social, instituyendo redes de </w:t>
      </w:r>
      <w:r w:rsidRPr="00AB0EF9">
        <w:rPr>
          <w:rFonts w:ascii="Times New Roman" w:eastAsia="Times New Roman" w:hAnsi="Times New Roman" w:cs="Times New Roman"/>
          <w:kern w:val="0"/>
          <w:lang w:val="es-AR" w:eastAsia="es-ES_tradnl"/>
          <w14:ligatures w14:val="none"/>
        </w:rPr>
        <w:lastRenderedPageBreak/>
        <w:t>sostén afectivo y "arenga" colectiva que neutralizan el individualismo meritocrático tradicional de la educación superior.</w:t>
      </w:r>
    </w:p>
    <w:p w14:paraId="106A1CE1"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En este sentido, las fronteras simbólicas y las fronteras sociales no funcionan como límites estáticos o infranqueables. La propuesta político-pedagógica de la UNPAZ —caracterizada por el andamiaje de acompañamiento, el valor de la cercanía territorial y la democratización de sus espacios comunes (como el comedor)— opera debilitando la frontera social de la exclusión y el aislamiento material. Al desarmar la distancia jerárquica con el cuerpo docente para </w:t>
      </w:r>
      <w:r w:rsidRPr="00AB0EF9">
        <w:rPr>
          <w:rFonts w:ascii="Times New Roman" w:eastAsia="Times New Roman" w:hAnsi="Times New Roman" w:cs="Times New Roman"/>
          <w:i/>
          <w:iCs/>
          <w:kern w:val="0"/>
          <w:lang w:val="es-AR" w:eastAsia="es-ES_tradnl"/>
          <w14:ligatures w14:val="none"/>
        </w:rPr>
        <w:t>“charlar en el momento”</w:t>
      </w:r>
      <w:r w:rsidRPr="00AB0EF9">
        <w:rPr>
          <w:rFonts w:ascii="Times New Roman" w:eastAsia="Times New Roman" w:hAnsi="Times New Roman" w:cs="Times New Roman"/>
          <w:kern w:val="0"/>
          <w:lang w:val="es-AR" w:eastAsia="es-ES_tradnl"/>
          <w14:ligatures w14:val="none"/>
        </w:rPr>
        <w:t xml:space="preserve"> y reconfigurar los esquemas de clasificación con los que los sujetos significan los lazos estudiantiles, la alteridad universitaria deja de vivenciarse como una amenaza. El habitar la universidad se convierte, en definitiva, en un proceso de apropiación colectiva donde las disposiciones plurales encuentran un canal de inclusión efectiva, transformando el derecho a la educación superior en una experiencia comunitaria de redistribución del capital cultural</w:t>
      </w:r>
    </w:p>
    <w:p w14:paraId="51E2950A"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p>
    <w:p w14:paraId="7C7C8E66" w14:textId="77777777" w:rsidR="00AB0EF9" w:rsidRPr="00AB0EF9" w:rsidRDefault="00AB0EF9" w:rsidP="00AB0EF9">
      <w:pPr>
        <w:spacing w:after="0" w:line="240" w:lineRule="auto"/>
        <w:ind w:left="284" w:right="-6" w:firstLine="284"/>
        <w:jc w:val="both"/>
        <w:rPr>
          <w:rFonts w:ascii="Times New Roman" w:eastAsia="Aptos" w:hAnsi="Times New Roman" w:cs="Times New Roman"/>
          <w:b/>
          <w:bCs/>
          <w:lang w:val="es-ES"/>
        </w:rPr>
      </w:pPr>
      <w:r w:rsidRPr="00AB0EF9">
        <w:rPr>
          <w:rFonts w:ascii="Times New Roman" w:eastAsia="Aptos" w:hAnsi="Times New Roman" w:cs="Times New Roman"/>
          <w:b/>
          <w:bCs/>
          <w:lang w:val="es-ES"/>
        </w:rPr>
        <w:t>2. 4</w:t>
      </w:r>
      <w:r w:rsidRPr="00AB0EF9">
        <w:rPr>
          <w:rFonts w:ascii="Times New Roman" w:eastAsia="Aptos" w:hAnsi="Times New Roman" w:cs="Times New Roman"/>
          <w:b/>
          <w:bCs/>
          <w:lang w:val="es-ES"/>
        </w:rPr>
        <w:tab/>
        <w:t xml:space="preserve">Entre el </w:t>
      </w:r>
      <w:r w:rsidRPr="00AB0EF9">
        <w:rPr>
          <w:rFonts w:ascii="Times New Roman" w:eastAsia="Aptos" w:hAnsi="Times New Roman" w:cs="Times New Roman"/>
          <w:b/>
          <w:bCs/>
          <w:i/>
          <w:iCs/>
          <w:lang w:val="es-ES"/>
        </w:rPr>
        <w:t>habitus</w:t>
      </w:r>
      <w:r w:rsidRPr="00AB0EF9">
        <w:rPr>
          <w:rFonts w:ascii="Times New Roman" w:eastAsia="Aptos" w:hAnsi="Times New Roman" w:cs="Times New Roman"/>
          <w:b/>
          <w:bCs/>
          <w:lang w:val="es-ES"/>
        </w:rPr>
        <w:t xml:space="preserve"> y la frontera: los sentidos del cambio a partir del ingreso universitario.</w:t>
      </w:r>
    </w:p>
    <w:p w14:paraId="516FE33A"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Otra de las preguntas utilizadas para indagar acerca de las fronteras sociales y simbólicas giró en torno a la percepción de los cambios en la vida cotidiana a partir del ingreso a la universidad. En este sentido, partimos del supuesto de que el acceso a la educación superior opera aquí como un espacio de reconfiguración identitaria donde los sujetos tensionan sus esquemas internalizados de percepción y acción.</w:t>
      </w:r>
    </w:p>
    <w:p w14:paraId="4C6D11CB"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En el caso de la estudiante A, el ingreso universitario se traduce en una transformación de su habitus </w:t>
      </w:r>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{"citationID":"hFb6o5tj","properties":{"unsorted":false,"formattedCitation":"(Bourdieu, 2000)","plainCitation":"(Bourdieu, 2000)","noteIndex":0},"citationItems":[{"id":752,"uris":["http://zotero.org/users/4661028/items/GMEDE3I8"],"itemData":{"id":752,"type":"chapter","container-title":"Poder, Derecho y Clases Sociales","publisher":"Desclee de Brouwer","publisher-place":"Bilbao","title":"¿Cómo se hace una clase social?","author":[{"family":"Bourdieu","given":"Pierre."}],"issued":{"date-parts":[["2000"]]}}}],"schema":"https://github.com/citation-style-language/schema/raw/master/csl-citation.json"}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noProof/>
          <w:kern w:val="0"/>
          <w:lang w:val="es-AR" w:eastAsia="es-ES_tradnl"/>
          <w14:ligatures w14:val="none"/>
        </w:rPr>
        <w:t>(Bourdieu, 2000)</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xml:space="preserve">; es decir, y en términos del autor, de aquellas estructuras estructuradas dispuestas a funcionar como estructuras estructurantes. La estudiante da cuenta de una reestructuración de sus matrices de pensamiento y criterios de decisión: </w:t>
      </w:r>
      <w:r w:rsidRPr="00AB0EF9">
        <w:rPr>
          <w:rFonts w:ascii="Times New Roman" w:eastAsia="Times New Roman" w:hAnsi="Times New Roman" w:cs="Times New Roman"/>
          <w:i/>
          <w:iCs/>
          <w:kern w:val="0"/>
          <w:lang w:val="es-AR" w:eastAsia="es-ES_tradnl"/>
          <w14:ligatures w14:val="none"/>
        </w:rPr>
        <w:t>“Mi manera de pensar, mi manera de ver las cosas, de actuar ante ciertas situaciones, cambió sustancialmente”</w:t>
      </w:r>
      <w:r w:rsidRPr="00AB0EF9">
        <w:rPr>
          <w:rFonts w:ascii="Times New Roman" w:eastAsia="Times New Roman" w:hAnsi="Times New Roman" w:cs="Times New Roman"/>
          <w:kern w:val="0"/>
          <w:lang w:val="es-AR" w:eastAsia="es-ES_tradnl"/>
          <w14:ligatures w14:val="none"/>
        </w:rPr>
        <w:t xml:space="preserve">. Esta transformación, lejos de ser un proceso exento de tensiones, devela cómo la institución académica ejerce una fuerza transformadora sobre las disposiciones previas: </w:t>
      </w:r>
      <w:r w:rsidRPr="00AB0EF9">
        <w:rPr>
          <w:rFonts w:ascii="Times New Roman" w:eastAsia="Times New Roman" w:hAnsi="Times New Roman" w:cs="Times New Roman"/>
          <w:i/>
          <w:iCs/>
          <w:kern w:val="0"/>
          <w:lang w:val="es-AR" w:eastAsia="es-ES_tradnl"/>
          <w14:ligatures w14:val="none"/>
        </w:rPr>
        <w:t>“siento que de alguna manera, no sé si es que me obliga pero me termina enriqueciendo”</w:t>
      </w:r>
      <w:r w:rsidRPr="00AB0EF9">
        <w:rPr>
          <w:rFonts w:ascii="Times New Roman" w:eastAsia="Times New Roman" w:hAnsi="Times New Roman" w:cs="Times New Roman"/>
          <w:kern w:val="0"/>
          <w:lang w:val="es-AR" w:eastAsia="es-ES_tradnl"/>
          <w14:ligatures w14:val="none"/>
        </w:rPr>
        <w:t>. El tránsito por el espacio universitario promueve la adquisición de capital cultural institucionalizado e incorporado, lo que debilita las fronteras simbólicas asociadas a la subestimación de las propias capacidades individuales. Al proveerle los distintos espacios académicos herramientas críticas de pensamiento, le permitieron proyectar un análisis reflexivo sobre la realidad política y económica de nuestro país; por ejemplo, para realizar un análisis de la situación educativa en la actualidad de la provincia de Buenos Aires.</w:t>
      </w:r>
    </w:p>
    <w:p w14:paraId="0F507DE7"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Para la estudiante B, los cambios se inscriben en las condiciones materiales de su trayectoria previa hasta llegar a la universidad. Al enfrentarse a la carencia de capital cultural y económico específico —expresado en el desconocimiento del idioma inglés y la imposibilidad material de costear apoyo particular—, el ingreso universitario supuso el quiebre de una experiencia limitante. Lo sugerente de este caso es cómo la superación de dicha frontera material no deviene en una estrategia de distinción o clausura social individualista, sino en una apuesta por “el otro”. Su </w:t>
      </w:r>
      <w:r w:rsidRPr="00AB0EF9">
        <w:rPr>
          <w:rFonts w:ascii="Times New Roman" w:eastAsia="Times New Roman" w:hAnsi="Times New Roman" w:cs="Times New Roman"/>
          <w:i/>
          <w:iCs/>
          <w:kern w:val="0"/>
          <w:lang w:val="es-AR" w:eastAsia="es-ES_tradnl"/>
          <w14:ligatures w14:val="none"/>
        </w:rPr>
        <w:t>habitus</w:t>
      </w:r>
      <w:r w:rsidRPr="00AB0EF9">
        <w:rPr>
          <w:rFonts w:ascii="Times New Roman" w:eastAsia="Times New Roman" w:hAnsi="Times New Roman" w:cs="Times New Roman"/>
          <w:kern w:val="0"/>
          <w:lang w:val="es-AR" w:eastAsia="es-ES_tradnl"/>
          <w14:ligatures w14:val="none"/>
        </w:rPr>
        <w:t xml:space="preserve"> se reorganiza a partir de una ética de la solidaridad colectiva, orientada a socavar las fronteras de exclusión que afectan a otros estudiantes en situaciones análogas: </w:t>
      </w:r>
      <w:r w:rsidRPr="00AB0EF9">
        <w:rPr>
          <w:rFonts w:ascii="Times New Roman" w:eastAsia="Times New Roman" w:hAnsi="Times New Roman" w:cs="Times New Roman"/>
          <w:i/>
          <w:iCs/>
          <w:kern w:val="0"/>
          <w:lang w:val="es-AR" w:eastAsia="es-ES_tradnl"/>
          <w14:ligatures w14:val="none"/>
        </w:rPr>
        <w:t xml:space="preserve">“Pero sí siento que cambió mucho. Cambié </w:t>
      </w:r>
      <w:r w:rsidRPr="00AB0EF9">
        <w:rPr>
          <w:rFonts w:ascii="Times New Roman" w:eastAsia="Times New Roman" w:hAnsi="Times New Roman" w:cs="Times New Roman"/>
          <w:i/>
          <w:iCs/>
          <w:kern w:val="0"/>
          <w:lang w:val="es-AR" w:eastAsia="es-ES_tradnl"/>
          <w14:ligatures w14:val="none"/>
        </w:rPr>
        <w:lastRenderedPageBreak/>
        <w:t>bastante en el tema de entender a los otros. Ahora siento que mejoré mi nivel, y si veo a alguien a quien le cuesta o necesita ayuda con algo de la escritura o del habla, yo lo ayudo”</w:t>
      </w:r>
      <w:r w:rsidRPr="00AB0EF9">
        <w:rPr>
          <w:rFonts w:ascii="Times New Roman" w:eastAsia="Times New Roman" w:hAnsi="Times New Roman" w:cs="Times New Roman"/>
          <w:kern w:val="0"/>
          <w:lang w:val="es-AR" w:eastAsia="es-ES_tradnl"/>
          <w14:ligatures w14:val="none"/>
        </w:rPr>
        <w:t>.</w:t>
      </w:r>
    </w:p>
    <w:p w14:paraId="1DFAC2A3"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Por su parte, el relato del estudiante C permite visibilizar el modo en que el espacio universitario propicia la reconversión de capitales. El cambio central aquí no se agota en términos de sociabilidad o esparcimiento, sino en la constitución de un capital social denso y operativo. A través de la red de relaciones estables construida con sus pares, el estudiante logra insertarse en el mercado de trabajo de la enseñanza estatal. La postulación en este circuito exige sortear fronteras burocráticas y dominar plataformas digitales complejas; un saber técnico cuyo aprendizaje hubiese estado vedado para C de no haber mediado el soporte y acompañamiento de sus compañeros: </w:t>
      </w:r>
      <w:r w:rsidRPr="00AB0EF9">
        <w:rPr>
          <w:rFonts w:ascii="Times New Roman" w:eastAsia="Times New Roman" w:hAnsi="Times New Roman" w:cs="Times New Roman"/>
          <w:i/>
          <w:iCs/>
          <w:kern w:val="0"/>
          <w:lang w:val="es-AR" w:eastAsia="es-ES_tradnl"/>
          <w14:ligatures w14:val="none"/>
        </w:rPr>
        <w:t>“sin las personas con las que me relacionaba capaz no lo hubiera sabido ahora, por ejemplo. No sé en qué momento lo hubiera aprendido”</w:t>
      </w:r>
      <w:r w:rsidRPr="00AB0EF9">
        <w:rPr>
          <w:rFonts w:ascii="Times New Roman" w:eastAsia="Times New Roman" w:hAnsi="Times New Roman" w:cs="Times New Roman"/>
          <w:kern w:val="0"/>
          <w:lang w:val="es-AR" w:eastAsia="es-ES_tradnl"/>
          <w14:ligatures w14:val="none"/>
        </w:rPr>
        <w:t>. El capital social funciona en este trayecto como el puente indispensable para derribar fronteras de acceso socio-laboral.</w:t>
      </w:r>
    </w:p>
    <w:p w14:paraId="3809B823"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Finalmente, la trayectoria de E ilustra con claridad un </w:t>
      </w:r>
      <w:r w:rsidRPr="00AB0EF9">
        <w:rPr>
          <w:rFonts w:ascii="Times New Roman" w:eastAsia="Times New Roman" w:hAnsi="Times New Roman" w:cs="Times New Roman"/>
          <w:i/>
          <w:iCs/>
          <w:kern w:val="0"/>
          <w:lang w:val="es-AR" w:eastAsia="es-ES_tradnl"/>
          <w14:ligatures w14:val="none"/>
        </w:rPr>
        <w:t>habitus</w:t>
      </w:r>
      <w:r w:rsidRPr="00AB0EF9">
        <w:rPr>
          <w:rFonts w:ascii="Times New Roman" w:eastAsia="Times New Roman" w:hAnsi="Times New Roman" w:cs="Times New Roman"/>
          <w:kern w:val="0"/>
          <w:lang w:val="es-AR" w:eastAsia="es-ES_tradnl"/>
          <w14:ligatures w14:val="none"/>
        </w:rPr>
        <w:t xml:space="preserve"> fuertemente condicionado por la urgencia de las necesidades económicas inmediatas y marcado por una inserción laboral temprana. Para este sujeto, la universidad no aparecía inicialmente como un destino posible o naturalizado; la frontera simbólica que separaba el mundo del trabajo del mundo académico se presentaba como infranqueable. Sin embargo, el desgaste derivado de la cotidianidad laboral y el contacto con otras experiencias funcionaron como un catalizador reflexivo que resquebrajó el sentido de los límites asignados: </w:t>
      </w:r>
      <w:r w:rsidRPr="00AB0EF9">
        <w:rPr>
          <w:rFonts w:ascii="Times New Roman" w:eastAsia="Times New Roman" w:hAnsi="Times New Roman" w:cs="Times New Roman"/>
          <w:i/>
          <w:iCs/>
          <w:kern w:val="0"/>
          <w:lang w:val="es-AR" w:eastAsia="es-ES_tradnl"/>
          <w14:ligatures w14:val="none"/>
        </w:rPr>
        <w:t>“creo que salí de la secundaria con una mentalidad… Pensaba que trabajar era lo importante, quería tener mi plata, quería ser independiente. Y me enfoqué en eso. Y después, cuando caí en cuenta de que quería hacer algo más que hacer siempre lo mismo, estar en lo mismo, y también conocí gente que estudiaba… Y ahí me animé”</w:t>
      </w:r>
      <w:r w:rsidRPr="00AB0EF9">
        <w:rPr>
          <w:rFonts w:ascii="Times New Roman" w:eastAsia="Times New Roman" w:hAnsi="Times New Roman" w:cs="Times New Roman"/>
          <w:kern w:val="0"/>
          <w:lang w:val="es-AR" w:eastAsia="es-ES_tradnl"/>
          <w14:ligatures w14:val="none"/>
        </w:rPr>
        <w:t xml:space="preserve">. El encuentro con otros agentes universitarios desestabilizó las certezas de su </w:t>
      </w:r>
      <w:r w:rsidRPr="00AB0EF9">
        <w:rPr>
          <w:rFonts w:ascii="Times New Roman" w:eastAsia="Times New Roman" w:hAnsi="Times New Roman" w:cs="Times New Roman"/>
          <w:i/>
          <w:iCs/>
          <w:kern w:val="0"/>
          <w:lang w:val="es-AR" w:eastAsia="es-ES_tradnl"/>
          <w14:ligatures w14:val="none"/>
        </w:rPr>
        <w:t>habitus</w:t>
      </w:r>
      <w:r w:rsidRPr="00AB0EF9">
        <w:rPr>
          <w:rFonts w:ascii="Times New Roman" w:eastAsia="Times New Roman" w:hAnsi="Times New Roman" w:cs="Times New Roman"/>
          <w:kern w:val="0"/>
          <w:lang w:val="es-AR" w:eastAsia="es-ES_tradnl"/>
          <w14:ligatures w14:val="none"/>
        </w:rPr>
        <w:t xml:space="preserve"> de clase laboral, debilitando la frontera de la autoexclusión y habilitando el cruce hacia el nivel superior.</w:t>
      </w:r>
    </w:p>
    <w:p w14:paraId="67E9F725"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Aptos" w:hAnsi="Times New Roman" w:cs="Times New Roman"/>
          <w:lang w:val="es-ES"/>
        </w:rPr>
        <w:t xml:space="preserve">En suma, las experiencias de los estudiantes dan cuenta de que el acceso a la educación superior va mucho más allá de la mera adquisición de conocimientos disciplinares o de la acreditación de un título. Funciona, fundamentalmente, como un umbral de reconfiguración de las subjetividades. A través de las transformaciones del </w:t>
      </w:r>
      <w:r w:rsidRPr="00AB0EF9">
        <w:rPr>
          <w:rFonts w:ascii="Times New Roman" w:eastAsia="Aptos" w:hAnsi="Times New Roman" w:cs="Times New Roman"/>
          <w:i/>
          <w:iCs/>
          <w:lang w:val="es-ES"/>
        </w:rPr>
        <w:t>habitus</w:t>
      </w:r>
      <w:r w:rsidRPr="00AB0EF9">
        <w:rPr>
          <w:rFonts w:ascii="Times New Roman" w:eastAsia="Aptos" w:hAnsi="Times New Roman" w:cs="Times New Roman"/>
          <w:lang w:val="es-ES"/>
        </w:rPr>
        <w:t xml:space="preserve"> individual —ya sea mediante la adopción de nuevas herramientas críticas de pensamiento, la emergencia de una ética solidaria frente a la desigualdad, la activación instrumental del capital social o el cuestionamiento de los destinos laborales preasignados—, los sujetos logran tensionar, flexibilizar y, en última instancia, desplazar las fronteras sociales y simbólicas que ordenaban sus mundos biográficos previos. Así, la universidad pública se constituye no solo como un espacio de movilidad social, sino como un territorio reflexivo donde los límites de lo posible se vuelven a trazar.</w:t>
      </w:r>
    </w:p>
    <w:p w14:paraId="15BB3DE1" w14:textId="77777777" w:rsidR="00AB0EF9" w:rsidRPr="00AB0EF9" w:rsidRDefault="00AB0EF9" w:rsidP="00AB0EF9">
      <w:pPr>
        <w:spacing w:after="0" w:line="240" w:lineRule="auto"/>
        <w:rPr>
          <w:rFonts w:ascii="Times New Roman" w:eastAsia="Times New Roman" w:hAnsi="Times New Roman" w:cs="Times New Roman"/>
          <w:kern w:val="0"/>
          <w:lang w:val="es-AR" w:eastAsia="es-ES_tradnl"/>
          <w14:ligatures w14:val="none"/>
        </w:rPr>
      </w:pPr>
    </w:p>
    <w:p w14:paraId="4B41A8BE" w14:textId="77777777" w:rsidR="00AB0EF9" w:rsidRPr="00AB0EF9" w:rsidRDefault="00AB0EF9" w:rsidP="00AB0EF9">
      <w:pPr>
        <w:spacing w:after="0" w:line="240" w:lineRule="auto"/>
        <w:ind w:left="567" w:right="-6" w:firstLine="284"/>
        <w:jc w:val="both"/>
        <w:rPr>
          <w:rFonts w:ascii="Aptos" w:eastAsia="Aptos" w:hAnsi="Aptos" w:cs="Times New Roman"/>
          <w:lang w:val="es-AR" w:eastAsia="es-ES_tradnl" w:bidi="ar-SA"/>
        </w:rPr>
      </w:pPr>
      <w:r w:rsidRPr="00AB0EF9">
        <w:rPr>
          <w:rFonts w:ascii="Times New Roman" w:eastAsia="Aptos" w:hAnsi="Times New Roman" w:cs="Times New Roman"/>
          <w:b/>
          <w:bCs/>
          <w:lang w:val="es-ES"/>
        </w:rPr>
        <w:t>2. 5</w:t>
      </w:r>
      <w:r w:rsidRPr="00AB0EF9">
        <w:rPr>
          <w:rFonts w:ascii="Times New Roman" w:eastAsia="Aptos" w:hAnsi="Times New Roman" w:cs="Times New Roman"/>
          <w:b/>
          <w:bCs/>
          <w:lang w:val="es-ES"/>
        </w:rPr>
        <w:tab/>
        <w:t>“Yo no encontré a alguien igual a mí”: heterogeneidad, barreras lingüísticas y estilos de vida en la universidad</w:t>
      </w:r>
    </w:p>
    <w:p w14:paraId="30F37038"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Frente a las percepciones institucionales que tienden a visibilizar una matrícula socialmente homogénea en la carrera del PUI, nos propusimos indagar en los estilos de vida y las distintas maneras de construir la condición estudiantil. El propósito es </w:t>
      </w:r>
      <w:r w:rsidRPr="00AB0EF9">
        <w:rPr>
          <w:rFonts w:ascii="Times New Roman" w:eastAsia="Times New Roman" w:hAnsi="Times New Roman" w:cs="Times New Roman"/>
          <w:kern w:val="0"/>
          <w:lang w:val="es-AR" w:eastAsia="es-ES_tradnl"/>
          <w14:ligatures w14:val="none"/>
        </w:rPr>
        <w:lastRenderedPageBreak/>
        <w:t xml:space="preserve">reflexionar sobre cómo se configuran las fronteras materiales y simbólicas al interior del propio colectivo de estudiantes. </w:t>
      </w:r>
    </w:p>
    <w:p w14:paraId="0624DD1A"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La estudiante A considera que existen elecciones estratégicas a la hora de seleccionar con quién estudiar. Ella advierte que muchos alumnos eligen a sus pares por su condición social: </w:t>
      </w:r>
      <w:r w:rsidRPr="00AB0EF9">
        <w:rPr>
          <w:rFonts w:ascii="Times New Roman" w:eastAsia="Times New Roman" w:hAnsi="Times New Roman" w:cs="Times New Roman"/>
          <w:i/>
          <w:iCs/>
          <w:kern w:val="0"/>
          <w:lang w:val="es-AR" w:eastAsia="es-ES_tradnl"/>
          <w14:ligatures w14:val="none"/>
        </w:rPr>
        <w:t>“capaz tiene papás que tienen un buen trabajo, una buena posición socioeconómica”</w:t>
      </w:r>
      <w:r w:rsidRPr="00AB0EF9">
        <w:rPr>
          <w:rFonts w:ascii="Times New Roman" w:eastAsia="Times New Roman" w:hAnsi="Times New Roman" w:cs="Times New Roman"/>
          <w:kern w:val="0"/>
          <w:lang w:val="es-AR" w:eastAsia="es-ES_tradnl"/>
          <w14:ligatures w14:val="none"/>
        </w:rPr>
        <w:t>, mientras que otros lo hacen simplemente por afinidad vincular. Este testimonio evidencia cómo los agentes trazan fronteras socioeconómicas y morales para delimitar la alteridad y los marcos de confianza. Dentro del estudiantado, además de las afinidades afectivas, operan criterios latentes de distinción —en términos de Bourdieu— donde las diferencias en el volumen de capital económico y simbólico de las familias de origen condicionan las prácticas de asociación y fragmentan el espacio social en la carrera.</w:t>
      </w:r>
    </w:p>
    <w:p w14:paraId="4F42F03B"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Para la estudiante B, a medida que fue avanzando en la carrera, optó por relacionarse para estudiar con </w:t>
      </w:r>
      <w:r w:rsidRPr="00AB0EF9">
        <w:rPr>
          <w:rFonts w:ascii="Times New Roman" w:eastAsia="Times New Roman" w:hAnsi="Times New Roman" w:cs="Times New Roman"/>
          <w:i/>
          <w:iCs/>
          <w:kern w:val="0"/>
          <w:lang w:val="es-AR" w:eastAsia="es-ES_tradnl"/>
          <w14:ligatures w14:val="none"/>
        </w:rPr>
        <w:t>“chicas que son madre, que trabajan y tienen otros tiempos. Otras trabajan mucho. Yo no encontré a alguien igual a mí”</w:t>
      </w:r>
      <w:r w:rsidRPr="00AB0EF9">
        <w:rPr>
          <w:rFonts w:ascii="Times New Roman" w:eastAsia="Times New Roman" w:hAnsi="Times New Roman" w:cs="Times New Roman"/>
          <w:kern w:val="0"/>
          <w:lang w:val="es-AR" w:eastAsia="es-ES_tradnl"/>
          <w14:ligatures w14:val="none"/>
        </w:rPr>
        <w:t>. Este relato permite visualizar que la pretendida homogeneidad se fragmenta por la distancia entre las diferentes condiciones materiales de existencia. Coexisten estudiantes con un margen de tiempo libre dedicado exclusivamente a la formación, junto a otras cuyas trayectorias están condicionadas por la doble o triple jornada (estudio, maternidad y empleo).</w:t>
      </w:r>
    </w:p>
    <w:p w14:paraId="5606F3B4"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A su vez, B marca una divisoria fundamental a partir del capital lingüístico: la brecha en el dominio del idioma inglés, que se retrotrae a las asimetrías de origen institucionalizadas en el tipo de ingreso realizado (con CPI o Sin CPI). Esta desigualdad en la posesión de un capital cultural incorporado específico genera dinámicas de segregación e incomodidad simbólica: </w:t>
      </w:r>
      <w:r w:rsidRPr="00AB0EF9">
        <w:rPr>
          <w:rFonts w:ascii="Times New Roman" w:eastAsia="Times New Roman" w:hAnsi="Times New Roman" w:cs="Times New Roman"/>
          <w:i/>
          <w:iCs/>
          <w:kern w:val="0"/>
          <w:lang w:val="es-AR" w:eastAsia="es-ES_tradnl"/>
          <w14:ligatures w14:val="none"/>
        </w:rPr>
        <w:t>“Hay chicos que saben muchísimo inglés, te hablan del cero al cien, y yo a veces siento que no entiendo nada. Entonces prefiero callarme para no equivocarme. Me ha pasado cuando no leí un texto o no quiero “meter la pata”. Tiene que ver con el conocimiento del idioma”</w:t>
      </w:r>
      <w:r w:rsidRPr="00AB0EF9">
        <w:rPr>
          <w:rFonts w:ascii="Times New Roman" w:eastAsia="Times New Roman" w:hAnsi="Times New Roman" w:cs="Times New Roman"/>
          <w:kern w:val="0"/>
          <w:lang w:val="es-AR" w:eastAsia="es-ES_tradnl"/>
          <w14:ligatures w14:val="none"/>
        </w:rPr>
        <w:t>. El silencio aparece aquí como una respuesta defensiva ante la violencia simbólica del espacio, donde la asimetría de competencias lingüísticas consolida una frontera interna que inhibe la participación de los sectores menos favorecidos.</w:t>
      </w:r>
    </w:p>
    <w:p w14:paraId="63C02C49"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Por su parte, el testimonio de la estudiante D refuerza el análisis de B al demostrar cómo opera el principio de homología estructural. Al ser mayor que quienes ingresaron inmediatamente después de terminar el nivel secundario, tiende a relacionarse con estudiantes cercanas a su edad y estilo de vida, que también trabajan o tienen hijos. Su relato da cuenta de que las relaciones interpersonales están signadas por el estilo de vida y las urgencias vitales compartidas. De acuerdo con Lamont y Molnár </w:t>
      </w:r>
      <w:r w:rsidRPr="00AB0EF9">
        <w:rPr>
          <w:rFonts w:ascii="Times New Roman" w:eastAsia="Times New Roman" w:hAnsi="Times New Roman" w:cs="Times New Roman"/>
          <w:kern w:val="0"/>
          <w:lang w:val="es-AR" w:eastAsia="es-ES_tradnl"/>
          <w14:ligatures w14:val="none"/>
        </w:rPr>
        <w:fldChar w:fldCharType="begin"/>
      </w:r>
      <w:r w:rsidRPr="00AB0EF9">
        <w:rPr>
          <w:rFonts w:ascii="Times New Roman" w:eastAsia="Times New Roman" w:hAnsi="Times New Roman" w:cs="Times New Roman"/>
          <w:kern w:val="0"/>
          <w:lang w:val="es-AR" w:eastAsia="es-ES_tradnl"/>
          <w14:ligatures w14:val="none"/>
        </w:rPr>
        <w:instrText xml:space="preserve"> ADDIN ZOTERO_ITEM CSL_CITATION {"citationID":"Qlkrfy1a","properties":{"unsorted":false,"formattedCitation":"(2002)","plainCitation":"(2002)","noteIndex":0},"citationItems":[{"id":1017,"uris":["http://zotero.org/users/4661028/items/28N78T96"],"itemData":{"id":1017,"type":"article-journal","container-title":"Annual Review of Sociology","page":"167-195","title":"The Study of Boundaries in the social Sciences","volume":"28","author":[{"family":"Lamont","given":"Michèl"},{"family":"Molnár","given":"Virag"}],"issued":{"date-parts":[["2002",8]]}},"suppress-author":true}],"schema":"https://github.com/citation-style-language/schema/raw/master/csl-citation.json"} </w:instrText>
      </w:r>
      <w:r w:rsidRPr="00AB0EF9">
        <w:rPr>
          <w:rFonts w:ascii="Times New Roman" w:eastAsia="Times New Roman" w:hAnsi="Times New Roman" w:cs="Times New Roman"/>
          <w:kern w:val="0"/>
          <w:lang w:val="es-AR" w:eastAsia="es-ES_tradnl"/>
          <w14:ligatures w14:val="none"/>
        </w:rPr>
        <w:fldChar w:fldCharType="separate"/>
      </w:r>
      <w:r w:rsidRPr="00AB0EF9">
        <w:rPr>
          <w:rFonts w:ascii="Times New Roman" w:eastAsia="Times New Roman" w:hAnsi="Times New Roman" w:cs="Times New Roman"/>
          <w:noProof/>
          <w:kern w:val="0"/>
          <w:lang w:val="es-AR" w:eastAsia="es-ES_tradnl"/>
          <w14:ligatures w14:val="none"/>
        </w:rPr>
        <w:t>(2002)</w:t>
      </w:r>
      <w:r w:rsidRPr="00AB0EF9">
        <w:rPr>
          <w:rFonts w:ascii="Times New Roman" w:eastAsia="Times New Roman" w:hAnsi="Times New Roman" w:cs="Times New Roman"/>
          <w:kern w:val="0"/>
          <w:lang w:val="es-AR" w:eastAsia="es-ES_tradnl"/>
          <w14:ligatures w14:val="none"/>
        </w:rPr>
        <w:fldChar w:fldCharType="end"/>
      </w:r>
      <w:r w:rsidRPr="00AB0EF9">
        <w:rPr>
          <w:rFonts w:ascii="Times New Roman" w:eastAsia="Times New Roman" w:hAnsi="Times New Roman" w:cs="Times New Roman"/>
          <w:kern w:val="0"/>
          <w:lang w:val="es-AR" w:eastAsia="es-ES_tradnl"/>
          <w14:ligatures w14:val="none"/>
        </w:rPr>
        <w:t>, los estilos de vida compartidos configuran fronteras simbólicas internas que agrupan a los pares por "clanes de afinidad empírica", diluyendo la ilusión de una comunidad estudiantil uniforme ante una marcada heterogeneidad de realidades cotidianas y temporales.</w:t>
      </w:r>
    </w:p>
    <w:p w14:paraId="5E6FDBF0"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En cambio, para E, frente a la pregunta de con quién se relaciona dentro de la carrera, establece una clara distinción: los amigos pertenecen a la infancia. En el ámbito universitario, él solo cuenta con un grupo con el que viene cursando desde primer año, el cual se fue disgregando paulatinamente en función del avance de la carrera. Este caso resulta sugerente para analizar cómo el tránsito universitario no siempre implica la ampliación del capital social asociativo; por el contrario, ante la rigurosidad y el </w:t>
      </w:r>
      <w:r w:rsidRPr="00AB0EF9">
        <w:rPr>
          <w:rFonts w:ascii="Times New Roman" w:eastAsia="Times New Roman" w:hAnsi="Times New Roman" w:cs="Times New Roman"/>
          <w:kern w:val="0"/>
          <w:lang w:val="es-AR" w:eastAsia="es-ES_tradnl"/>
          <w14:ligatures w14:val="none"/>
        </w:rPr>
        <w:lastRenderedPageBreak/>
        <w:t>desgranamiento de las trayectorias académicas, las redes de soporte tienden a la atomización o a la conservación de los lazos iniciales, volviendo las fronteras internas aún más rígidas para quienes avanzan de forma fragmentada.</w:t>
      </w:r>
    </w:p>
    <w:p w14:paraId="045563DA" w14:textId="77777777" w:rsidR="00AB0EF9" w:rsidRPr="00AB0EF9" w:rsidRDefault="00AB0EF9" w:rsidP="00AB0EF9">
      <w:pPr>
        <w:spacing w:after="0" w:line="240" w:lineRule="auto"/>
        <w:ind w:right="-6"/>
        <w:jc w:val="both"/>
        <w:rPr>
          <w:rFonts w:ascii="Times New Roman" w:eastAsia="Aptos" w:hAnsi="Times New Roman" w:cs="Times New Roman"/>
          <w:lang w:val="es-AR" w:eastAsia="es-ES_tradnl" w:bidi="ar-SA"/>
        </w:rPr>
      </w:pPr>
      <w:r w:rsidRPr="00AB0EF9">
        <w:rPr>
          <w:rFonts w:ascii="Times New Roman" w:eastAsia="Aptos" w:hAnsi="Times New Roman" w:cs="Times New Roman"/>
          <w:lang w:val="es-ES"/>
        </w:rPr>
        <w:t>En síntesis, los testimonios analizados ponen de manifiesto que la aparente homogeneidad social que las instituciones suelen proyectar sobre su matrícula se fragmenta al descender a las dinámicas cotidianas del aula. Las interacciones entre los estudiantes no se producen en un vacío social; por el contrario, están fuertemente mediadas por la desigual distribución de capitales y por las fronteras simbólicas que los propios actores trazan y experimentan. La brecha en el capital lingüístico —que silencia y excluye—, las distinciones basadas en el origen socioeconómico y las afinidades estructuradas por los estilos de vida (como las demandas de la maternidad y el trabajo) operan como vectores de diferenciación interna. De este modo, el colectivo estudiantil se revela no como un cuerpo uniforme, sino como un territorio atravesado por sutiles pero firmes líneas de demarcación, donde las distinciones previas al ingreso se reactualizan y configuran diversas —y asimétricas— maneras de habitar la experiencia universitaria.</w:t>
      </w:r>
    </w:p>
    <w:p w14:paraId="5AE4579E" w14:textId="77777777" w:rsidR="00AB0EF9" w:rsidRPr="00AB0EF9" w:rsidRDefault="00AB0EF9" w:rsidP="00AB0EF9">
      <w:pPr>
        <w:spacing w:after="0" w:line="240" w:lineRule="auto"/>
        <w:rPr>
          <w:rFonts w:ascii="Times New Roman" w:eastAsia="Times New Roman" w:hAnsi="Times New Roman" w:cs="Times New Roman"/>
          <w:kern w:val="0"/>
          <w:lang w:val="es-AR" w:eastAsia="es-ES_tradnl"/>
          <w14:ligatures w14:val="none"/>
        </w:rPr>
      </w:pPr>
    </w:p>
    <w:p w14:paraId="050235CC" w14:textId="77777777" w:rsidR="00AB0EF9" w:rsidRPr="00AB0EF9" w:rsidRDefault="00AB0EF9" w:rsidP="00AB0EF9">
      <w:pPr>
        <w:numPr>
          <w:ilvl w:val="0"/>
          <w:numId w:val="2"/>
        </w:numPr>
        <w:spacing w:after="0" w:line="240" w:lineRule="auto"/>
        <w:ind w:right="-6"/>
        <w:contextualSpacing/>
        <w:jc w:val="both"/>
        <w:rPr>
          <w:rFonts w:ascii="Times New Roman" w:eastAsia="Times New Roman" w:hAnsi="Times New Roman" w:cs="Times New Roman"/>
          <w:b/>
          <w:bCs/>
          <w:kern w:val="0"/>
          <w:lang w:val="es-AR" w:eastAsia="es-ES_tradnl"/>
          <w14:ligatures w14:val="none"/>
        </w:rPr>
      </w:pPr>
      <w:r w:rsidRPr="00AB0EF9">
        <w:rPr>
          <w:rFonts w:ascii="Times New Roman" w:eastAsia="Times New Roman" w:hAnsi="Times New Roman" w:cs="Times New Roman"/>
          <w:b/>
          <w:bCs/>
          <w:kern w:val="0"/>
          <w:lang w:val="es-AR" w:eastAsia="es-ES_tradnl"/>
          <w14:ligatures w14:val="none"/>
        </w:rPr>
        <w:t xml:space="preserve">Conclusión </w:t>
      </w:r>
    </w:p>
    <w:p w14:paraId="40D68E14"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A lo largo de este trabajo nos propusimos indagar de qué manera el acceso y la permanencia en la educación superior tensionan, reconfiguran o desplazan las fronteras sociales y simbólicas que ordenan las trayectorias de los estudiantes. Los hallazgos aquí presentados nos permiten afirmar que la universidad pública —lejos de operar como una estructura neutra— se constituye como un dinámico "contexto activador". Al recuperar los relatos biográficos de los estudiantes, se vuelve evidente que los sujetos no responden a un habitus unificado; por el contrario, portan un repertorio plural de disposiciones que la experiencia universitaria moviliza y reorganiza de maneras diversas, habilitando fracturas analíticas sobre sus propios puntos de partida.</w:t>
      </w:r>
    </w:p>
    <w:p w14:paraId="02156D3C"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En primer lugar, la investigación devela que las fronteras simbólicas y materiales no funcionan como límites estáticos o infranqueables, sino como umbrales en constante disputa. Por un lado, asistimos a procesos de profunda reconfiguración identitaria donde la adquisición de herramientas críticas de pensamiento permite a los estudiantes subvertir matrices de origen fuertemente signadas por la urgencia económica, la inserción laboral temprana o la autoexclusión. Por otro lado, la aparente homogeneidad social que las miradas institucionales suelen proyectar sobre su matrícula se agrieta al descender a las interacciones cotidianas del aula. Allí, las asimetrías en la posesión de capital cultural y lingüístico específico —como el dominio del idioma inglés—, junto a las marcas asociadas a la edad, el empleo o la maternidad, instituyen micro-distinciones y sutiles líneas de demarcación que segmentan la condición estudiantil. Sin embargo, el valor del hallazgo cualitativo radica en observar cómo estas distinciones no derivan necesariamente en estrategias de clausura social individualista; por el contrario, en muchos casos se resignifican a partir de una ética de la solidaridad y el lazo comunitario que busca socavar el aislamiento y el mérito individualista tradicional.</w:t>
      </w:r>
    </w:p>
    <w:p w14:paraId="0B0C53B8"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 xml:space="preserve">En segundo lugar, este escenario de disputas subjetivas cobra pleno sentido al situarse en las coordenadas político-pedagógicas específicas de la UNPAZ. El andamiaje de acompañamiento institucional, el valor estratégico de la cercanía territorial y la democratización de sus espacios comunes operan debilitando activamente las fronteras </w:t>
      </w:r>
      <w:r w:rsidRPr="00AB0EF9">
        <w:rPr>
          <w:rFonts w:ascii="Times New Roman" w:eastAsia="Times New Roman" w:hAnsi="Times New Roman" w:cs="Times New Roman"/>
          <w:kern w:val="0"/>
          <w:lang w:val="es-AR" w:eastAsia="es-ES_tradnl"/>
          <w14:ligatures w14:val="none"/>
        </w:rPr>
        <w:lastRenderedPageBreak/>
        <w:t>de exclusión y el aislamiento material. Al desarmar las distancias jerárquicas e instituir dinámicas de proximidad afectiva y "arenga" colectiva, la universidad descentra las lógicas de la escolaridad media tradicional y ofrece un territorio de filiación subjetiva y resguardo frente a la alienación social.</w:t>
      </w:r>
    </w:p>
    <w:p w14:paraId="72F460CE" w14:textId="77777777" w:rsidR="00AB0EF9" w:rsidRPr="00AB0EF9" w:rsidRDefault="00AB0EF9" w:rsidP="00AB0EF9">
      <w:pPr>
        <w:spacing w:after="0" w:line="240" w:lineRule="auto"/>
        <w:jc w:val="both"/>
        <w:rPr>
          <w:rFonts w:ascii="Times New Roman" w:eastAsia="Times New Roman" w:hAnsi="Times New Roman" w:cs="Times New Roman"/>
          <w:kern w:val="0"/>
          <w:lang w:val="es-AR" w:eastAsia="es-ES_tradnl"/>
          <w14:ligatures w14:val="none"/>
        </w:rPr>
      </w:pPr>
      <w:r w:rsidRPr="00AB0EF9">
        <w:rPr>
          <w:rFonts w:ascii="Times New Roman" w:eastAsia="Times New Roman" w:hAnsi="Times New Roman" w:cs="Times New Roman"/>
          <w:kern w:val="0"/>
          <w:lang w:val="es-AR" w:eastAsia="es-ES_tradnl"/>
          <w14:ligatures w14:val="none"/>
        </w:rPr>
        <w:t>En suma, habitar la universidad se convierte en un proceso de apropiación colectiva donde las disposiciones plurales encuentran un canal de inclusión efectiva. Las fronteras sociales y simbólicas se tornan porosas no por un simple tránsito individual, sino porque la propuesta institucional logra transformar el derecho abstracto a la educación superior en una experiencia comunitaria de redistribución del capital cultural. Es en esa sutil torsión cotidiana donde los límites de lo posible se vuelven a trazar, y donde los estudiantes no solo ingresan a la universidad, sino que la universidad ingresa definitivamente en la historia de sus biografías.</w:t>
      </w:r>
    </w:p>
    <w:p w14:paraId="7B9027E2" w14:textId="77777777" w:rsidR="00BA642E" w:rsidRPr="00BA642E" w:rsidRDefault="00BA642E" w:rsidP="00AB0EF9">
      <w:pPr>
        <w:spacing w:after="0" w:line="240" w:lineRule="auto"/>
        <w:jc w:val="right"/>
        <w:rPr>
          <w:rFonts w:ascii="Times New Roman" w:hAnsi="Times New Roman" w:cs="Times New Roman"/>
          <w:b/>
          <w:bCs/>
        </w:rPr>
      </w:pPr>
    </w:p>
    <w:sectPr w:rsidR="00BA642E"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CD02A5" w14:textId="77777777" w:rsidR="0061456B" w:rsidRPr="00BA642E" w:rsidRDefault="0061456B" w:rsidP="00C802F5">
      <w:pPr>
        <w:spacing w:after="0" w:line="240" w:lineRule="auto"/>
      </w:pPr>
      <w:r w:rsidRPr="00BA642E">
        <w:separator/>
      </w:r>
    </w:p>
  </w:endnote>
  <w:endnote w:type="continuationSeparator" w:id="0">
    <w:p w14:paraId="2032B3DE" w14:textId="77777777" w:rsidR="0061456B" w:rsidRPr="00BA642E" w:rsidRDefault="0061456B" w:rsidP="00C802F5">
      <w:pPr>
        <w:spacing w:after="0" w:line="240" w:lineRule="auto"/>
      </w:pPr>
      <w:r w:rsidRPr="00BA642E">
        <w:continuationSeparator/>
      </w:r>
    </w:p>
  </w:endnote>
  <w:endnote w:id="1">
    <w:p w14:paraId="2432C10E" w14:textId="77777777" w:rsidR="00AB0EF9" w:rsidRDefault="00AB0EF9" w:rsidP="00AB0EF9">
      <w:pPr>
        <w:pStyle w:val="Textonotaalfinal"/>
        <w:ind w:left="284" w:firstLine="0"/>
        <w:rPr>
          <w:rFonts w:ascii="Times New Roman" w:hAnsi="Times New Roman" w:cs="Times New Roman"/>
        </w:rPr>
      </w:pPr>
      <w:r>
        <w:rPr>
          <w:rFonts w:ascii="Times New Roman" w:hAnsi="Times New Roman" w:cs="Times New Roman"/>
        </w:rPr>
        <w:t xml:space="preserve">Notas: </w:t>
      </w:r>
    </w:p>
    <w:p w14:paraId="4A24F4CD" w14:textId="77777777" w:rsidR="00AB0EF9" w:rsidRDefault="00AB0EF9" w:rsidP="00AB0EF9">
      <w:pPr>
        <w:pStyle w:val="Textonotaalfinal"/>
        <w:ind w:left="284" w:firstLine="0"/>
        <w:rPr>
          <w:rFonts w:ascii="Times New Roman" w:hAnsi="Times New Roman" w:cs="Times New Roman"/>
        </w:rPr>
      </w:pPr>
    </w:p>
    <w:p w14:paraId="06D03797" w14:textId="77777777" w:rsidR="00AB0EF9" w:rsidRPr="009F4C88" w:rsidRDefault="00AB0EF9" w:rsidP="00AB0EF9">
      <w:pPr>
        <w:pStyle w:val="Textonotaalfinal"/>
        <w:ind w:left="284" w:firstLine="0"/>
        <w:rPr>
          <w:lang w:val="es-ES_tradnl"/>
        </w:rPr>
      </w:pPr>
      <w:r w:rsidRPr="00182B75">
        <w:rPr>
          <w:rStyle w:val="Refdenotaalpie"/>
          <w:rFonts w:ascii="Times New Roman" w:hAnsi="Times New Roman" w:cs="Times New Roman"/>
        </w:rPr>
        <w:endnoteRef/>
      </w:r>
      <w:r w:rsidRPr="00182B75">
        <w:rPr>
          <w:rFonts w:ascii="Times New Roman" w:hAnsi="Times New Roman" w:cs="Times New Roman"/>
        </w:rPr>
        <w:t xml:space="preserve"> </w:t>
      </w:r>
      <w:r w:rsidRPr="00182B75">
        <w:rPr>
          <w:rFonts w:ascii="Times New Roman" w:hAnsi="Times New Roman" w:cs="Times New Roman"/>
          <w:color w:val="000000"/>
        </w:rPr>
        <w:t> En el desarrollo de esta ponencia optamos por el uso del género masculino como forma genérica, exclusivamente con fines de facilitar la lectura. Esta decisión no debe interpretarse como una omisión de otras identidades de género. Por el contrario, el trabajo incorpora una perspectiva de género que reconoce la pluralidad de sujetos involucrados en los procesos analizados, así como también la importancia de visibilizar las desigualdades sociales que afectan diferencialmente a mujeres, diversidades y disidencias.</w:t>
      </w:r>
    </w:p>
  </w:endnote>
  <w:endnote w:id="2">
    <w:p w14:paraId="7CF14A88" w14:textId="77777777" w:rsidR="00AB0EF9" w:rsidRPr="00003A6D" w:rsidRDefault="00AB0EF9" w:rsidP="00AB0EF9">
      <w:pPr>
        <w:pStyle w:val="Textonotaalfinal"/>
        <w:ind w:left="284" w:firstLine="0"/>
        <w:rPr>
          <w:lang w:val="es-ES_tradnl"/>
        </w:rPr>
      </w:pPr>
      <w:r>
        <w:rPr>
          <w:rStyle w:val="Refdenotaalfinal"/>
        </w:rPr>
        <w:endnoteRef/>
      </w:r>
      <w:r>
        <w:t xml:space="preserve"> </w:t>
      </w:r>
      <w:r w:rsidRPr="009F4C88">
        <w:rPr>
          <w:rFonts w:ascii="Times New Roman" w:hAnsi="Times New Roman" w:cs="Times New Roman"/>
          <w:color w:val="000000"/>
        </w:rPr>
        <w:t>Los datos cuantitativos evidencian esta asimetría estructural: el techo educativo de las familias de los estudiantes es el nivel secundario, mientras que entre los docentes el 25% de las madres y el 22% de los padres transitaron por la universidad. Territorialmente, el 46,3% de los estudiantes encuestados reside en José C. Paz (llegando en menos de una hora), frente a un 40% de docentes que reside en CABA (tardando entre 1 y 2 horas). Asimismo, el 63% de los estudiantes trabaja (mayormente en informalidad) y el 28% egresó del secundario en 2009 o antes</w:t>
      </w:r>
      <w:r>
        <w:rPr>
          <w:rFonts w:ascii="Times New Roman" w:hAnsi="Times New Roman" w:cs="Times New Roman"/>
          <w:color w:val="000000"/>
        </w:rPr>
        <w:t xml:space="preserve"> </w:t>
      </w:r>
      <w:r>
        <w:rPr>
          <w:rFonts w:ascii="Times New Roman" w:hAnsi="Times New Roman" w:cs="Times New Roman"/>
          <w:color w:val="000000"/>
        </w:rPr>
        <w:fldChar w:fldCharType="begin"/>
      </w:r>
      <w:r>
        <w:rPr>
          <w:rFonts w:ascii="Times New Roman" w:hAnsi="Times New Roman" w:cs="Times New Roman"/>
          <w:color w:val="000000"/>
        </w:rPr>
        <w:instrText xml:space="preserve"> ADDIN ZOTERO_ITEM CSL_CITATION {"citationID":"tqxwlPa7","properties":{"unsorted":false,"formattedCitation":"(Salti et\\uc0\\u160{}al., 2025)","plainCitation":"(Salti et al., 2025)","noteIndex":2},"citationItems":[{"id":2278,"uris":["http://zotero.org/users/4661028/items/BC5DNDRC"],"itemData":{"id":2278,"type":"article-journal","container-title":"Revista Sociedad y Desigualdades","issue":"3","page":"221-240","publisher":"UNPAZ","publisher-place":"Buenos Aires","title":"Las/os estudiantes y docentes del 1º año del Profesorado Universitario de Inglés de la Universidad Nacional de José C. Paz. Avances en la caracterización de sus trayectorias sociales y académicas. 2(3), 221-240.","volume":"2","author":[{"family":"Salti","given":"Patricia"},{"family":"Montaña","given":"Sebastiána"},{"family":"Mansour","given":"Verónica"}],"issued":{"date-parts":[["2025"]]}}}],"schema":"https://github.com/citation-style-language/schema/raw/master/csl-citation.json"} </w:instrText>
      </w:r>
      <w:r>
        <w:rPr>
          <w:rFonts w:ascii="Times New Roman" w:hAnsi="Times New Roman" w:cs="Times New Roman"/>
          <w:color w:val="000000"/>
        </w:rPr>
        <w:fldChar w:fldCharType="separate"/>
      </w:r>
      <w:r w:rsidRPr="009F4C88">
        <w:rPr>
          <w:rFonts w:ascii="Times New Roman" w:hAnsi="Times New Roman" w:cs="Times New Roman"/>
          <w:color w:val="000000"/>
          <w:kern w:val="0"/>
          <w:lang w:val="es-ES_tradnl"/>
        </w:rPr>
        <w:t>(Salti et al., 2025)</w:t>
      </w:r>
      <w:r>
        <w:rPr>
          <w:rFonts w:ascii="Times New Roman" w:hAnsi="Times New Roman" w:cs="Times New Roman"/>
          <w:color w:val="000000"/>
        </w:rPr>
        <w:fldChar w:fldCharType="end"/>
      </w:r>
      <w:r w:rsidRPr="009F4C88">
        <w:rPr>
          <w:rFonts w:ascii="Times New Roman" w:hAnsi="Times New Roman" w:cs="Times New Roman"/>
          <w:color w:val="000000"/>
        </w:rPr>
        <w:t>.</w:t>
      </w:r>
    </w:p>
  </w:endnote>
  <w:endnote w:id="3">
    <w:p w14:paraId="4FC549D4" w14:textId="77777777" w:rsidR="00AB0EF9" w:rsidRPr="009659BF" w:rsidRDefault="00AB0EF9" w:rsidP="00AB0EF9">
      <w:pPr>
        <w:pStyle w:val="NormalWeb"/>
        <w:spacing w:before="0" w:beforeAutospacing="0" w:after="0" w:afterAutospacing="0"/>
        <w:ind w:left="284"/>
        <w:jc w:val="both"/>
        <w:rPr>
          <w:lang w:val="es-ES_tradnl"/>
        </w:rPr>
      </w:pPr>
      <w:r>
        <w:rPr>
          <w:rStyle w:val="Refdenotaalfinal"/>
        </w:rPr>
        <w:endnoteRef/>
      </w:r>
      <w:r>
        <w:t xml:space="preserve"> </w:t>
      </w:r>
      <w:r w:rsidRPr="009659BF">
        <w:rPr>
          <w:color w:val="000000"/>
          <w:sz w:val="20"/>
          <w:szCs w:val="20"/>
        </w:rPr>
        <w:t>Esta precariedad material se extiende a las condiciones de estudio: el 54,9% de los estudiantes cursa utilizando exclusivamente el celular. En cuanto a la frontera lingüística, el 51,2% no poseía conocimientos previos de inglés; del 48,8% restante que sí los tenía, el 79,1% los adquirió en instituciones privadas, consolidando el idioma como un marcador de capital económico y cultural previo.</w:t>
      </w:r>
    </w:p>
  </w:endnote>
  <w:endnote w:id="4">
    <w:p w14:paraId="5EAE1E9C" w14:textId="77777777" w:rsidR="00AB0EF9" w:rsidRDefault="00AB0EF9" w:rsidP="00AB0EF9">
      <w:pPr>
        <w:pStyle w:val="Textonotaalfinal"/>
        <w:ind w:left="284" w:firstLine="0"/>
        <w:rPr>
          <w:rFonts w:ascii="Times New Roman" w:hAnsi="Times New Roman" w:cs="Times New Roman"/>
        </w:rPr>
      </w:pPr>
      <w:r w:rsidRPr="00ED6DFA">
        <w:rPr>
          <w:rStyle w:val="Refdenotaalfinal"/>
          <w:rFonts w:ascii="Times New Roman" w:hAnsi="Times New Roman" w:cs="Times New Roman"/>
        </w:rPr>
        <w:endnoteRef/>
      </w:r>
      <w:r w:rsidRPr="00ED6DFA">
        <w:rPr>
          <w:rFonts w:ascii="Times New Roman" w:hAnsi="Times New Roman" w:cs="Times New Roman"/>
        </w:rPr>
        <w:t xml:space="preserve"> Los nombres de los estudiantes fueron reemplazados por letras con el fin de preservar las identidades.</w:t>
      </w:r>
    </w:p>
    <w:p w14:paraId="58D92348" w14:textId="77777777" w:rsidR="00AB0EF9" w:rsidRDefault="00AB0EF9" w:rsidP="00AB0EF9">
      <w:pPr>
        <w:pStyle w:val="Textonotaalfinal"/>
        <w:ind w:left="284" w:firstLine="0"/>
        <w:rPr>
          <w:rFonts w:ascii="Times New Roman" w:hAnsi="Times New Roman" w:cs="Times New Roman"/>
        </w:rPr>
      </w:pPr>
    </w:p>
    <w:p w14:paraId="1D2B6E7B" w14:textId="77777777" w:rsidR="00AB0EF9" w:rsidRPr="00B72511" w:rsidRDefault="00AB0EF9" w:rsidP="00AB0EF9">
      <w:pPr>
        <w:pStyle w:val="Textonotaalfinal"/>
        <w:ind w:left="284" w:firstLine="0"/>
        <w:rPr>
          <w:rFonts w:ascii="Times New Roman" w:hAnsi="Times New Roman" w:cs="Times New Roman"/>
          <w:b/>
          <w:bCs/>
          <w:sz w:val="24"/>
          <w:szCs w:val="24"/>
        </w:rPr>
      </w:pPr>
      <w:r w:rsidRPr="00B72511">
        <w:rPr>
          <w:rFonts w:ascii="Times New Roman" w:hAnsi="Times New Roman" w:cs="Times New Roman"/>
          <w:b/>
          <w:bCs/>
          <w:sz w:val="24"/>
          <w:szCs w:val="24"/>
        </w:rPr>
        <w:t>Referencias Bibliográficas</w:t>
      </w:r>
    </w:p>
    <w:p w14:paraId="263A18B0" w14:textId="77777777" w:rsidR="00AB0EF9" w:rsidRDefault="00AB0EF9" w:rsidP="00AB0EF9">
      <w:pPr>
        <w:pStyle w:val="Textonotaalfinal"/>
        <w:ind w:left="284" w:firstLine="0"/>
        <w:rPr>
          <w:rFonts w:ascii="Times New Roman" w:hAnsi="Times New Roman" w:cs="Times New Roman"/>
        </w:rPr>
      </w:pPr>
    </w:p>
    <w:p w14:paraId="1DD1CDAA" w14:textId="77777777" w:rsidR="00AB0EF9" w:rsidRPr="0085455C" w:rsidRDefault="00AB0EF9" w:rsidP="00AB0EF9">
      <w:pPr>
        <w:pStyle w:val="Bibliografa"/>
        <w:spacing w:line="240" w:lineRule="auto"/>
        <w:jc w:val="both"/>
        <w:rPr>
          <w:rFonts w:ascii="Times New Roman" w:hAnsi="Times New Roman" w:cs="Times New Roman"/>
          <w:lang w:val="es-ES_tradnl"/>
        </w:rPr>
      </w:pPr>
      <w:r w:rsidRPr="0085455C">
        <w:rPr>
          <w:rFonts w:ascii="Times New Roman" w:hAnsi="Times New Roman" w:cs="Times New Roman"/>
          <w:lang w:val="es-ES_tradnl"/>
        </w:rPr>
        <w:fldChar w:fldCharType="begin"/>
      </w:r>
      <w:r w:rsidRPr="0085455C">
        <w:rPr>
          <w:rFonts w:ascii="Times New Roman" w:hAnsi="Times New Roman" w:cs="Times New Roman"/>
          <w:lang w:val="es-ES_tradnl"/>
        </w:rPr>
        <w:instrText xml:space="preserve"> ADDIN ZOTERO_BIBL {"uncited":[],"omitted":[],"custom":[]} CSL_BIBLIOGRAPHY </w:instrText>
      </w:r>
      <w:r w:rsidRPr="0085455C">
        <w:rPr>
          <w:rFonts w:ascii="Times New Roman" w:hAnsi="Times New Roman" w:cs="Times New Roman"/>
          <w:lang w:val="es-ES_tradnl"/>
        </w:rPr>
        <w:fldChar w:fldCharType="separate"/>
      </w:r>
      <w:r w:rsidRPr="0085455C">
        <w:rPr>
          <w:rFonts w:ascii="Times New Roman" w:hAnsi="Times New Roman" w:cs="Times New Roman"/>
          <w:lang w:val="es-ES_tradnl"/>
        </w:rPr>
        <w:t xml:space="preserve">Bayón, M. C. (2013). Hacia una sociología de la pobreza: La relevancia de las dimensiones culturales. </w:t>
      </w:r>
      <w:r w:rsidRPr="0085455C">
        <w:rPr>
          <w:rFonts w:ascii="Times New Roman" w:hAnsi="Times New Roman" w:cs="Times New Roman"/>
          <w:i/>
          <w:iCs/>
          <w:lang w:val="es-ES_tradnl"/>
        </w:rPr>
        <w:t>Estudios Sociológicos de El Colegio de México</w:t>
      </w:r>
      <w:r w:rsidRPr="0085455C">
        <w:rPr>
          <w:rFonts w:ascii="Times New Roman" w:hAnsi="Times New Roman" w:cs="Times New Roman"/>
          <w:lang w:val="es-ES_tradnl"/>
        </w:rPr>
        <w:t xml:space="preserve">, </w:t>
      </w:r>
      <w:r w:rsidRPr="0085455C">
        <w:rPr>
          <w:rFonts w:ascii="Times New Roman" w:hAnsi="Times New Roman" w:cs="Times New Roman"/>
          <w:i/>
          <w:iCs/>
          <w:lang w:val="es-ES_tradnl"/>
        </w:rPr>
        <w:t>31</w:t>
      </w:r>
      <w:r w:rsidRPr="0085455C">
        <w:rPr>
          <w:rFonts w:ascii="Times New Roman" w:hAnsi="Times New Roman" w:cs="Times New Roman"/>
          <w:lang w:val="es-ES_tradnl"/>
        </w:rPr>
        <w:t>(91), 87-112. https://estudiossociologicos.colmex.mx/index.php/es/article/view/119</w:t>
      </w:r>
    </w:p>
    <w:p w14:paraId="14CBAF4E" w14:textId="77777777" w:rsidR="00AB0EF9" w:rsidRPr="0085455C" w:rsidRDefault="00AB0EF9" w:rsidP="00AB0EF9">
      <w:pPr>
        <w:pStyle w:val="Bibliografa"/>
        <w:spacing w:line="240" w:lineRule="auto"/>
        <w:jc w:val="both"/>
        <w:rPr>
          <w:rFonts w:ascii="Times New Roman" w:hAnsi="Times New Roman" w:cs="Times New Roman"/>
          <w:lang w:val="es-ES_tradnl"/>
        </w:rPr>
      </w:pPr>
      <w:r w:rsidRPr="0085455C">
        <w:rPr>
          <w:rFonts w:ascii="Times New Roman" w:hAnsi="Times New Roman" w:cs="Times New Roman"/>
          <w:lang w:val="es-ES_tradnl"/>
        </w:rPr>
        <w:t xml:space="preserve">Bourdieu, P. (1997). </w:t>
      </w:r>
      <w:r w:rsidRPr="0085455C">
        <w:rPr>
          <w:rFonts w:ascii="Times New Roman" w:hAnsi="Times New Roman" w:cs="Times New Roman"/>
          <w:i/>
          <w:iCs/>
          <w:lang w:val="es-ES_tradnl"/>
        </w:rPr>
        <w:t>Capital cultural, escuela y espacio social</w:t>
      </w:r>
      <w:r w:rsidRPr="0085455C">
        <w:rPr>
          <w:rFonts w:ascii="Times New Roman" w:hAnsi="Times New Roman" w:cs="Times New Roman"/>
          <w:lang w:val="es-ES_tradnl"/>
        </w:rPr>
        <w:t>. Siglo XXI Editores. https://www.jstor.org/stable/3541220?origin=crossref</w:t>
      </w:r>
    </w:p>
    <w:p w14:paraId="6510EDD1" w14:textId="77777777" w:rsidR="00AB0EF9" w:rsidRPr="0085455C" w:rsidRDefault="00AB0EF9" w:rsidP="00AB0EF9">
      <w:pPr>
        <w:pStyle w:val="Bibliografa"/>
        <w:spacing w:line="240" w:lineRule="auto"/>
        <w:jc w:val="both"/>
        <w:rPr>
          <w:rFonts w:ascii="Times New Roman" w:hAnsi="Times New Roman" w:cs="Times New Roman"/>
          <w:lang w:val="es-ES_tradnl"/>
        </w:rPr>
      </w:pPr>
      <w:r w:rsidRPr="0085455C">
        <w:rPr>
          <w:rFonts w:ascii="Times New Roman" w:hAnsi="Times New Roman" w:cs="Times New Roman"/>
          <w:lang w:val="es-ES_tradnl"/>
        </w:rPr>
        <w:t xml:space="preserve">Bourdieu, Pierre. (2000). ¿Cómo se hace una clase social? En </w:t>
      </w:r>
      <w:r w:rsidRPr="0085455C">
        <w:rPr>
          <w:rFonts w:ascii="Times New Roman" w:hAnsi="Times New Roman" w:cs="Times New Roman"/>
          <w:i/>
          <w:iCs/>
          <w:lang w:val="es-ES_tradnl"/>
        </w:rPr>
        <w:t>Poder, Derecho y Clases Sociales</w:t>
      </w:r>
      <w:r w:rsidRPr="0085455C">
        <w:rPr>
          <w:rFonts w:ascii="Times New Roman" w:hAnsi="Times New Roman" w:cs="Times New Roman"/>
          <w:lang w:val="es-ES_tradnl"/>
        </w:rPr>
        <w:t xml:space="preserve">. </w:t>
      </w:r>
      <w:proofErr w:type="spellStart"/>
      <w:r w:rsidRPr="0085455C">
        <w:rPr>
          <w:rFonts w:ascii="Times New Roman" w:hAnsi="Times New Roman" w:cs="Times New Roman"/>
          <w:lang w:val="es-ES_tradnl"/>
        </w:rPr>
        <w:t>Desclee</w:t>
      </w:r>
      <w:proofErr w:type="spellEnd"/>
      <w:r w:rsidRPr="0085455C">
        <w:rPr>
          <w:rFonts w:ascii="Times New Roman" w:hAnsi="Times New Roman" w:cs="Times New Roman"/>
          <w:lang w:val="es-ES_tradnl"/>
        </w:rPr>
        <w:t xml:space="preserve"> de Brouwer.</w:t>
      </w:r>
    </w:p>
    <w:p w14:paraId="55806AC1" w14:textId="77777777" w:rsidR="00AB0EF9" w:rsidRPr="0085455C" w:rsidRDefault="00AB0EF9" w:rsidP="00AB0EF9">
      <w:pPr>
        <w:pStyle w:val="Bibliografa"/>
        <w:spacing w:line="240" w:lineRule="auto"/>
        <w:jc w:val="both"/>
        <w:rPr>
          <w:rFonts w:ascii="Times New Roman" w:hAnsi="Times New Roman" w:cs="Times New Roman"/>
          <w:lang w:val="es-ES_tradnl"/>
        </w:rPr>
      </w:pPr>
      <w:proofErr w:type="spellStart"/>
      <w:r w:rsidRPr="0085455C">
        <w:rPr>
          <w:rFonts w:ascii="Times New Roman" w:hAnsi="Times New Roman" w:cs="Times New Roman"/>
          <w:lang w:val="es-ES_tradnl"/>
        </w:rPr>
        <w:t>Chernobilsky</w:t>
      </w:r>
      <w:proofErr w:type="spellEnd"/>
      <w:r w:rsidRPr="0085455C">
        <w:rPr>
          <w:rFonts w:ascii="Times New Roman" w:hAnsi="Times New Roman" w:cs="Times New Roman"/>
          <w:lang w:val="es-ES_tradnl"/>
        </w:rPr>
        <w:t xml:space="preserve">, L. (2006). El uso de la computadora como auxiliar en el análisis de datos cualitativos. En </w:t>
      </w:r>
      <w:r w:rsidRPr="0085455C">
        <w:rPr>
          <w:rFonts w:ascii="Times New Roman" w:hAnsi="Times New Roman" w:cs="Times New Roman"/>
          <w:i/>
          <w:iCs/>
          <w:lang w:val="es-ES_tradnl"/>
        </w:rPr>
        <w:t>Estrategias de investigación cualitativa</w:t>
      </w:r>
      <w:r w:rsidRPr="0085455C">
        <w:rPr>
          <w:rFonts w:ascii="Times New Roman" w:hAnsi="Times New Roman" w:cs="Times New Roman"/>
          <w:lang w:val="es-ES_tradnl"/>
        </w:rPr>
        <w:t>. Gedisa Editorial.</w:t>
      </w:r>
    </w:p>
    <w:p w14:paraId="3A8C434F" w14:textId="77777777" w:rsidR="00AB0EF9" w:rsidRPr="0085455C" w:rsidRDefault="00AB0EF9" w:rsidP="00AB0EF9">
      <w:pPr>
        <w:pStyle w:val="Bibliografa"/>
        <w:spacing w:line="240" w:lineRule="auto"/>
        <w:jc w:val="both"/>
        <w:rPr>
          <w:rFonts w:ascii="Times New Roman" w:hAnsi="Times New Roman" w:cs="Times New Roman"/>
          <w:lang w:val="es-ES_tradnl"/>
        </w:rPr>
      </w:pPr>
      <w:proofErr w:type="spellStart"/>
      <w:r w:rsidRPr="0085455C">
        <w:rPr>
          <w:rFonts w:ascii="Times New Roman" w:hAnsi="Times New Roman" w:cs="Times New Roman"/>
          <w:lang w:val="es-ES_tradnl"/>
        </w:rPr>
        <w:t>Lahire</w:t>
      </w:r>
      <w:proofErr w:type="spellEnd"/>
      <w:r w:rsidRPr="0085455C">
        <w:rPr>
          <w:rFonts w:ascii="Times New Roman" w:hAnsi="Times New Roman" w:cs="Times New Roman"/>
          <w:lang w:val="es-ES_tradnl"/>
        </w:rPr>
        <w:t xml:space="preserve">, B. (2017). Mundo plural: ¿por qué los individuos hacen lo que </w:t>
      </w:r>
      <w:proofErr w:type="gramStart"/>
      <w:r w:rsidRPr="0085455C">
        <w:rPr>
          <w:rFonts w:ascii="Times New Roman" w:hAnsi="Times New Roman" w:cs="Times New Roman"/>
          <w:lang w:val="es-ES_tradnl"/>
        </w:rPr>
        <w:t>hacen?.</w:t>
      </w:r>
      <w:proofErr w:type="gramEnd"/>
      <w:r w:rsidRPr="0085455C">
        <w:rPr>
          <w:rFonts w:ascii="Times New Roman" w:hAnsi="Times New Roman" w:cs="Times New Roman"/>
          <w:lang w:val="es-ES_tradnl"/>
        </w:rPr>
        <w:t xml:space="preserve">  7 (2), e030. En Memoria Académica. Disponible en: </w:t>
      </w:r>
      <w:r w:rsidRPr="0085455C">
        <w:rPr>
          <w:rFonts w:ascii="Times New Roman" w:hAnsi="Times New Roman" w:cs="Times New Roman"/>
          <w:i/>
          <w:iCs/>
          <w:lang w:val="es-ES_tradnl"/>
        </w:rPr>
        <w:t>Revista Latinoamericana de Metodología de las Ciencias Sociales,</w:t>
      </w:r>
      <w:r w:rsidRPr="0085455C">
        <w:rPr>
          <w:rFonts w:ascii="Times New Roman" w:hAnsi="Times New Roman" w:cs="Times New Roman"/>
          <w:lang w:val="es-ES_tradnl"/>
        </w:rPr>
        <w:t xml:space="preserve"> </w:t>
      </w:r>
      <w:r w:rsidRPr="0085455C">
        <w:rPr>
          <w:rFonts w:ascii="Times New Roman" w:hAnsi="Times New Roman" w:cs="Times New Roman"/>
          <w:i/>
          <w:iCs/>
          <w:lang w:val="es-ES_tradnl"/>
        </w:rPr>
        <w:t>7</w:t>
      </w:r>
      <w:r w:rsidRPr="0085455C">
        <w:rPr>
          <w:rFonts w:ascii="Times New Roman" w:hAnsi="Times New Roman" w:cs="Times New Roman"/>
          <w:lang w:val="es-ES_tradnl"/>
        </w:rPr>
        <w:t>(2). http://www.memoria.fahce.unlp.edu.ar/art_revistas/pr.8173/pr.8173.pdf. https://doi.org/https://doi.org/10.24215/18537863e030</w:t>
      </w:r>
    </w:p>
    <w:p w14:paraId="31FEF555" w14:textId="77777777" w:rsidR="00AB0EF9" w:rsidRPr="0085455C" w:rsidRDefault="00AB0EF9" w:rsidP="00AB0EF9">
      <w:pPr>
        <w:pStyle w:val="Bibliografa"/>
        <w:spacing w:line="240" w:lineRule="auto"/>
        <w:jc w:val="both"/>
        <w:rPr>
          <w:rFonts w:ascii="Times New Roman" w:hAnsi="Times New Roman" w:cs="Times New Roman"/>
          <w:lang w:val="es-ES_tradnl"/>
        </w:rPr>
      </w:pPr>
      <w:r w:rsidRPr="0085455C">
        <w:rPr>
          <w:rFonts w:ascii="Times New Roman" w:hAnsi="Times New Roman" w:cs="Times New Roman"/>
          <w:lang w:val="es-ES_tradnl"/>
        </w:rPr>
        <w:t xml:space="preserve">Lamont, M., &amp; Molnár, V. (2002). The Study </w:t>
      </w:r>
      <w:proofErr w:type="spellStart"/>
      <w:r w:rsidRPr="0085455C">
        <w:rPr>
          <w:rFonts w:ascii="Times New Roman" w:hAnsi="Times New Roman" w:cs="Times New Roman"/>
          <w:lang w:val="es-ES_tradnl"/>
        </w:rPr>
        <w:t>of</w:t>
      </w:r>
      <w:proofErr w:type="spellEnd"/>
      <w:r w:rsidRPr="0085455C">
        <w:rPr>
          <w:rFonts w:ascii="Times New Roman" w:hAnsi="Times New Roman" w:cs="Times New Roman"/>
          <w:lang w:val="es-ES_tradnl"/>
        </w:rPr>
        <w:t xml:space="preserve"> </w:t>
      </w:r>
      <w:proofErr w:type="spellStart"/>
      <w:r w:rsidRPr="0085455C">
        <w:rPr>
          <w:rFonts w:ascii="Times New Roman" w:hAnsi="Times New Roman" w:cs="Times New Roman"/>
          <w:lang w:val="es-ES_tradnl"/>
        </w:rPr>
        <w:t>Boundaries</w:t>
      </w:r>
      <w:proofErr w:type="spellEnd"/>
      <w:r w:rsidRPr="0085455C">
        <w:rPr>
          <w:rFonts w:ascii="Times New Roman" w:hAnsi="Times New Roman" w:cs="Times New Roman"/>
          <w:lang w:val="es-ES_tradnl"/>
        </w:rPr>
        <w:t xml:space="preserve"> in </w:t>
      </w:r>
      <w:proofErr w:type="spellStart"/>
      <w:r w:rsidRPr="0085455C">
        <w:rPr>
          <w:rFonts w:ascii="Times New Roman" w:hAnsi="Times New Roman" w:cs="Times New Roman"/>
          <w:lang w:val="es-ES_tradnl"/>
        </w:rPr>
        <w:t>the</w:t>
      </w:r>
      <w:proofErr w:type="spellEnd"/>
      <w:r w:rsidRPr="0085455C">
        <w:rPr>
          <w:rFonts w:ascii="Times New Roman" w:hAnsi="Times New Roman" w:cs="Times New Roman"/>
          <w:lang w:val="es-ES_tradnl"/>
        </w:rPr>
        <w:t xml:space="preserve"> social </w:t>
      </w:r>
      <w:proofErr w:type="spellStart"/>
      <w:r w:rsidRPr="0085455C">
        <w:rPr>
          <w:rFonts w:ascii="Times New Roman" w:hAnsi="Times New Roman" w:cs="Times New Roman"/>
          <w:lang w:val="es-ES_tradnl"/>
        </w:rPr>
        <w:t>Sciences</w:t>
      </w:r>
      <w:proofErr w:type="spellEnd"/>
      <w:r w:rsidRPr="0085455C">
        <w:rPr>
          <w:rFonts w:ascii="Times New Roman" w:hAnsi="Times New Roman" w:cs="Times New Roman"/>
          <w:lang w:val="es-ES_tradnl"/>
        </w:rPr>
        <w:t xml:space="preserve">. </w:t>
      </w:r>
      <w:proofErr w:type="spellStart"/>
      <w:r w:rsidRPr="0085455C">
        <w:rPr>
          <w:rFonts w:ascii="Times New Roman" w:hAnsi="Times New Roman" w:cs="Times New Roman"/>
          <w:i/>
          <w:iCs/>
          <w:lang w:val="es-ES_tradnl"/>
        </w:rPr>
        <w:t>Annual</w:t>
      </w:r>
      <w:proofErr w:type="spellEnd"/>
      <w:r w:rsidRPr="0085455C">
        <w:rPr>
          <w:rFonts w:ascii="Times New Roman" w:hAnsi="Times New Roman" w:cs="Times New Roman"/>
          <w:i/>
          <w:iCs/>
          <w:lang w:val="es-ES_tradnl"/>
        </w:rPr>
        <w:t xml:space="preserve"> </w:t>
      </w:r>
      <w:proofErr w:type="spellStart"/>
      <w:r w:rsidRPr="0085455C">
        <w:rPr>
          <w:rFonts w:ascii="Times New Roman" w:hAnsi="Times New Roman" w:cs="Times New Roman"/>
          <w:i/>
          <w:iCs/>
          <w:lang w:val="es-ES_tradnl"/>
        </w:rPr>
        <w:t>Review</w:t>
      </w:r>
      <w:proofErr w:type="spellEnd"/>
      <w:r w:rsidRPr="0085455C">
        <w:rPr>
          <w:rFonts w:ascii="Times New Roman" w:hAnsi="Times New Roman" w:cs="Times New Roman"/>
          <w:i/>
          <w:iCs/>
          <w:lang w:val="es-ES_tradnl"/>
        </w:rPr>
        <w:t xml:space="preserve"> </w:t>
      </w:r>
      <w:proofErr w:type="spellStart"/>
      <w:r w:rsidRPr="0085455C">
        <w:rPr>
          <w:rFonts w:ascii="Times New Roman" w:hAnsi="Times New Roman" w:cs="Times New Roman"/>
          <w:i/>
          <w:iCs/>
          <w:lang w:val="es-ES_tradnl"/>
        </w:rPr>
        <w:t>of</w:t>
      </w:r>
      <w:proofErr w:type="spellEnd"/>
      <w:r w:rsidRPr="0085455C">
        <w:rPr>
          <w:rFonts w:ascii="Times New Roman" w:hAnsi="Times New Roman" w:cs="Times New Roman"/>
          <w:i/>
          <w:iCs/>
          <w:lang w:val="es-ES_tradnl"/>
        </w:rPr>
        <w:t xml:space="preserve"> </w:t>
      </w:r>
      <w:proofErr w:type="spellStart"/>
      <w:r w:rsidRPr="0085455C">
        <w:rPr>
          <w:rFonts w:ascii="Times New Roman" w:hAnsi="Times New Roman" w:cs="Times New Roman"/>
          <w:i/>
          <w:iCs/>
          <w:lang w:val="es-ES_tradnl"/>
        </w:rPr>
        <w:t>Sociology</w:t>
      </w:r>
      <w:proofErr w:type="spellEnd"/>
      <w:r w:rsidRPr="0085455C">
        <w:rPr>
          <w:rFonts w:ascii="Times New Roman" w:hAnsi="Times New Roman" w:cs="Times New Roman"/>
          <w:lang w:val="es-ES_tradnl"/>
        </w:rPr>
        <w:t xml:space="preserve">, </w:t>
      </w:r>
      <w:r w:rsidRPr="0085455C">
        <w:rPr>
          <w:rFonts w:ascii="Times New Roman" w:hAnsi="Times New Roman" w:cs="Times New Roman"/>
          <w:i/>
          <w:iCs/>
          <w:lang w:val="es-ES_tradnl"/>
        </w:rPr>
        <w:t>28</w:t>
      </w:r>
      <w:r w:rsidRPr="0085455C">
        <w:rPr>
          <w:rFonts w:ascii="Times New Roman" w:hAnsi="Times New Roman" w:cs="Times New Roman"/>
          <w:lang w:val="es-ES_tradnl"/>
        </w:rPr>
        <w:t>, 167-195.</w:t>
      </w:r>
    </w:p>
    <w:p w14:paraId="1D168A3C" w14:textId="77777777" w:rsidR="00AB0EF9" w:rsidRPr="0085455C" w:rsidRDefault="00AB0EF9" w:rsidP="00AB0EF9">
      <w:pPr>
        <w:pStyle w:val="Bibliografa"/>
        <w:spacing w:line="240" w:lineRule="auto"/>
        <w:jc w:val="both"/>
        <w:rPr>
          <w:rFonts w:ascii="Times New Roman" w:hAnsi="Times New Roman" w:cs="Times New Roman"/>
          <w:lang w:val="es-ES_tradnl"/>
        </w:rPr>
      </w:pPr>
      <w:r w:rsidRPr="0085455C">
        <w:rPr>
          <w:rFonts w:ascii="Times New Roman" w:hAnsi="Times New Roman" w:cs="Times New Roman"/>
          <w:lang w:val="es-ES_tradnl"/>
        </w:rPr>
        <w:t xml:space="preserve">Patton, M. Q. (2015). </w:t>
      </w:r>
      <w:proofErr w:type="spellStart"/>
      <w:r w:rsidRPr="0085455C">
        <w:rPr>
          <w:rFonts w:ascii="Times New Roman" w:hAnsi="Times New Roman" w:cs="Times New Roman"/>
          <w:i/>
          <w:iCs/>
          <w:lang w:val="es-ES_tradnl"/>
        </w:rPr>
        <w:t>Qualitative</w:t>
      </w:r>
      <w:proofErr w:type="spellEnd"/>
      <w:r w:rsidRPr="0085455C">
        <w:rPr>
          <w:rFonts w:ascii="Times New Roman" w:hAnsi="Times New Roman" w:cs="Times New Roman"/>
          <w:i/>
          <w:iCs/>
          <w:lang w:val="es-ES_tradnl"/>
        </w:rPr>
        <w:t xml:space="preserve"> </w:t>
      </w:r>
      <w:proofErr w:type="spellStart"/>
      <w:r w:rsidRPr="0085455C">
        <w:rPr>
          <w:rFonts w:ascii="Times New Roman" w:hAnsi="Times New Roman" w:cs="Times New Roman"/>
          <w:i/>
          <w:iCs/>
          <w:lang w:val="es-ES_tradnl"/>
        </w:rPr>
        <w:t>research</w:t>
      </w:r>
      <w:proofErr w:type="spellEnd"/>
      <w:r w:rsidRPr="0085455C">
        <w:rPr>
          <w:rFonts w:ascii="Times New Roman" w:hAnsi="Times New Roman" w:cs="Times New Roman"/>
          <w:i/>
          <w:iCs/>
          <w:lang w:val="es-ES_tradnl"/>
        </w:rPr>
        <w:t xml:space="preserve"> &amp; </w:t>
      </w:r>
      <w:proofErr w:type="spellStart"/>
      <w:r w:rsidRPr="0085455C">
        <w:rPr>
          <w:rFonts w:ascii="Times New Roman" w:hAnsi="Times New Roman" w:cs="Times New Roman"/>
          <w:i/>
          <w:iCs/>
          <w:lang w:val="es-ES_tradnl"/>
        </w:rPr>
        <w:t>evaluation</w:t>
      </w:r>
      <w:proofErr w:type="spellEnd"/>
      <w:r w:rsidRPr="0085455C">
        <w:rPr>
          <w:rFonts w:ascii="Times New Roman" w:hAnsi="Times New Roman" w:cs="Times New Roman"/>
          <w:i/>
          <w:iCs/>
          <w:lang w:val="es-ES_tradnl"/>
        </w:rPr>
        <w:t xml:space="preserve"> </w:t>
      </w:r>
      <w:proofErr w:type="spellStart"/>
      <w:r w:rsidRPr="0085455C">
        <w:rPr>
          <w:rFonts w:ascii="Times New Roman" w:hAnsi="Times New Roman" w:cs="Times New Roman"/>
          <w:i/>
          <w:iCs/>
          <w:lang w:val="es-ES_tradnl"/>
        </w:rPr>
        <w:t>methods</w:t>
      </w:r>
      <w:proofErr w:type="spellEnd"/>
      <w:r w:rsidRPr="0085455C">
        <w:rPr>
          <w:rFonts w:ascii="Times New Roman" w:hAnsi="Times New Roman" w:cs="Times New Roman"/>
          <w:i/>
          <w:iCs/>
          <w:lang w:val="es-ES_tradnl"/>
        </w:rPr>
        <w:t xml:space="preserve">: </w:t>
      </w:r>
      <w:proofErr w:type="spellStart"/>
      <w:r w:rsidRPr="0085455C">
        <w:rPr>
          <w:rFonts w:ascii="Times New Roman" w:hAnsi="Times New Roman" w:cs="Times New Roman"/>
          <w:i/>
          <w:iCs/>
          <w:lang w:val="es-ES_tradnl"/>
        </w:rPr>
        <w:t>Integrating</w:t>
      </w:r>
      <w:proofErr w:type="spellEnd"/>
      <w:r w:rsidRPr="0085455C">
        <w:rPr>
          <w:rFonts w:ascii="Times New Roman" w:hAnsi="Times New Roman" w:cs="Times New Roman"/>
          <w:i/>
          <w:iCs/>
          <w:lang w:val="es-ES_tradnl"/>
        </w:rPr>
        <w:t xml:space="preserve"> </w:t>
      </w:r>
      <w:proofErr w:type="spellStart"/>
      <w:r w:rsidRPr="0085455C">
        <w:rPr>
          <w:rFonts w:ascii="Times New Roman" w:hAnsi="Times New Roman" w:cs="Times New Roman"/>
          <w:i/>
          <w:iCs/>
          <w:lang w:val="es-ES_tradnl"/>
        </w:rPr>
        <w:t>theory</w:t>
      </w:r>
      <w:proofErr w:type="spellEnd"/>
      <w:r w:rsidRPr="0085455C">
        <w:rPr>
          <w:rFonts w:ascii="Times New Roman" w:hAnsi="Times New Roman" w:cs="Times New Roman"/>
          <w:i/>
          <w:iCs/>
          <w:lang w:val="es-ES_tradnl"/>
        </w:rPr>
        <w:t xml:space="preserve"> and </w:t>
      </w:r>
      <w:proofErr w:type="spellStart"/>
      <w:r w:rsidRPr="0085455C">
        <w:rPr>
          <w:rFonts w:ascii="Times New Roman" w:hAnsi="Times New Roman" w:cs="Times New Roman"/>
          <w:i/>
          <w:iCs/>
          <w:lang w:val="es-ES_tradnl"/>
        </w:rPr>
        <w:t>practice</w:t>
      </w:r>
      <w:proofErr w:type="spellEnd"/>
      <w:r w:rsidRPr="0085455C">
        <w:rPr>
          <w:rFonts w:ascii="Times New Roman" w:hAnsi="Times New Roman" w:cs="Times New Roman"/>
          <w:i/>
          <w:iCs/>
          <w:lang w:val="es-ES_tradnl"/>
        </w:rPr>
        <w:t xml:space="preserve"> (4th ed.)</w:t>
      </w:r>
      <w:proofErr w:type="gramStart"/>
      <w:r w:rsidRPr="0085455C">
        <w:rPr>
          <w:rFonts w:ascii="Times New Roman" w:hAnsi="Times New Roman" w:cs="Times New Roman"/>
          <w:i/>
          <w:iCs/>
          <w:lang w:val="es-ES_tradnl"/>
        </w:rPr>
        <w:t>. .</w:t>
      </w:r>
      <w:proofErr w:type="gramEnd"/>
      <w:r w:rsidRPr="0085455C">
        <w:rPr>
          <w:rFonts w:ascii="Times New Roman" w:hAnsi="Times New Roman" w:cs="Times New Roman"/>
          <w:lang w:val="es-ES_tradnl"/>
        </w:rPr>
        <w:t xml:space="preserve"> (4</w:t>
      </w:r>
      <w:r w:rsidRPr="0085455C">
        <w:rPr>
          <w:rFonts w:ascii="Times New Roman" w:hAnsi="Times New Roman" w:cs="Times New Roman"/>
          <w:vertAlign w:val="superscript"/>
          <w:lang w:val="es-ES_tradnl"/>
        </w:rPr>
        <w:t>o</w:t>
      </w:r>
      <w:r w:rsidRPr="0085455C">
        <w:rPr>
          <w:rFonts w:ascii="Times New Roman" w:hAnsi="Times New Roman" w:cs="Times New Roman"/>
          <w:lang w:val="es-ES_tradnl"/>
        </w:rPr>
        <w:t xml:space="preserve">). SAGE </w:t>
      </w:r>
      <w:proofErr w:type="spellStart"/>
      <w:r w:rsidRPr="0085455C">
        <w:rPr>
          <w:rFonts w:ascii="Times New Roman" w:hAnsi="Times New Roman" w:cs="Times New Roman"/>
          <w:lang w:val="es-ES_tradnl"/>
        </w:rPr>
        <w:t>Publications</w:t>
      </w:r>
      <w:proofErr w:type="spellEnd"/>
      <w:r w:rsidRPr="0085455C">
        <w:rPr>
          <w:rFonts w:ascii="Times New Roman" w:hAnsi="Times New Roman" w:cs="Times New Roman"/>
          <w:lang w:val="es-ES_tradnl"/>
        </w:rPr>
        <w:t>.</w:t>
      </w:r>
    </w:p>
    <w:p w14:paraId="04C1D6CC" w14:textId="77777777" w:rsidR="00AB0EF9" w:rsidRPr="0085455C" w:rsidRDefault="00AB0EF9" w:rsidP="00AB0EF9">
      <w:pPr>
        <w:pStyle w:val="Bibliografa"/>
        <w:spacing w:line="240" w:lineRule="auto"/>
        <w:jc w:val="both"/>
        <w:rPr>
          <w:rFonts w:ascii="Times New Roman" w:hAnsi="Times New Roman" w:cs="Times New Roman"/>
          <w:lang w:val="es-ES_tradnl"/>
        </w:rPr>
      </w:pPr>
      <w:r w:rsidRPr="0085455C">
        <w:rPr>
          <w:rFonts w:ascii="Times New Roman" w:hAnsi="Times New Roman" w:cs="Times New Roman"/>
          <w:lang w:val="es-ES_tradnl"/>
        </w:rPr>
        <w:t xml:space="preserve">Pérez Ripossio, R. P. (2023). </w:t>
      </w:r>
      <w:proofErr w:type="spellStart"/>
      <w:r w:rsidRPr="0085455C">
        <w:rPr>
          <w:rFonts w:ascii="Times New Roman" w:hAnsi="Times New Roman" w:cs="Times New Roman"/>
          <w:lang w:val="es-ES_tradnl"/>
        </w:rPr>
        <w:t>Qualitative</w:t>
      </w:r>
      <w:proofErr w:type="spellEnd"/>
      <w:r w:rsidRPr="0085455C">
        <w:rPr>
          <w:rFonts w:ascii="Times New Roman" w:hAnsi="Times New Roman" w:cs="Times New Roman"/>
          <w:lang w:val="es-ES_tradnl"/>
        </w:rPr>
        <w:t xml:space="preserve"> </w:t>
      </w:r>
      <w:proofErr w:type="spellStart"/>
      <w:r w:rsidRPr="0085455C">
        <w:rPr>
          <w:rFonts w:ascii="Times New Roman" w:hAnsi="Times New Roman" w:cs="Times New Roman"/>
          <w:lang w:val="es-ES_tradnl"/>
        </w:rPr>
        <w:t>analysis</w:t>
      </w:r>
      <w:proofErr w:type="spellEnd"/>
      <w:r w:rsidRPr="0085455C">
        <w:rPr>
          <w:rFonts w:ascii="Times New Roman" w:hAnsi="Times New Roman" w:cs="Times New Roman"/>
          <w:lang w:val="es-ES_tradnl"/>
        </w:rPr>
        <w:t xml:space="preserve"> </w:t>
      </w:r>
      <w:proofErr w:type="spellStart"/>
      <w:r w:rsidRPr="0085455C">
        <w:rPr>
          <w:rFonts w:ascii="Times New Roman" w:hAnsi="Times New Roman" w:cs="Times New Roman"/>
          <w:lang w:val="es-ES_tradnl"/>
        </w:rPr>
        <w:t>with</w:t>
      </w:r>
      <w:proofErr w:type="spellEnd"/>
      <w:r w:rsidRPr="0085455C">
        <w:rPr>
          <w:rFonts w:ascii="Times New Roman" w:hAnsi="Times New Roman" w:cs="Times New Roman"/>
          <w:lang w:val="es-ES_tradnl"/>
        </w:rPr>
        <w:t xml:space="preserve"> </w:t>
      </w:r>
      <w:proofErr w:type="spellStart"/>
      <w:r w:rsidRPr="0085455C">
        <w:rPr>
          <w:rFonts w:ascii="Times New Roman" w:hAnsi="Times New Roman" w:cs="Times New Roman"/>
          <w:lang w:val="es-ES_tradnl"/>
        </w:rPr>
        <w:t>ATLAS.ti</w:t>
      </w:r>
      <w:proofErr w:type="spellEnd"/>
      <w:r w:rsidRPr="0085455C">
        <w:rPr>
          <w:rFonts w:ascii="Times New Roman" w:hAnsi="Times New Roman" w:cs="Times New Roman"/>
          <w:lang w:val="es-ES_tradnl"/>
        </w:rPr>
        <w:t xml:space="preserve"> 22 in Social </w:t>
      </w:r>
      <w:proofErr w:type="spellStart"/>
      <w:r w:rsidRPr="0085455C">
        <w:rPr>
          <w:rFonts w:ascii="Times New Roman" w:hAnsi="Times New Roman" w:cs="Times New Roman"/>
          <w:lang w:val="es-ES_tradnl"/>
        </w:rPr>
        <w:t>Sciences</w:t>
      </w:r>
      <w:proofErr w:type="spellEnd"/>
      <w:r w:rsidRPr="0085455C">
        <w:rPr>
          <w:rFonts w:ascii="Times New Roman" w:hAnsi="Times New Roman" w:cs="Times New Roman"/>
          <w:lang w:val="es-ES_tradnl"/>
        </w:rPr>
        <w:t xml:space="preserve">: New </w:t>
      </w:r>
      <w:proofErr w:type="spellStart"/>
      <w:r w:rsidRPr="0085455C">
        <w:rPr>
          <w:rFonts w:ascii="Times New Roman" w:hAnsi="Times New Roman" w:cs="Times New Roman"/>
          <w:lang w:val="es-ES_tradnl"/>
        </w:rPr>
        <w:t>tools</w:t>
      </w:r>
      <w:proofErr w:type="spellEnd"/>
      <w:r w:rsidRPr="0085455C">
        <w:rPr>
          <w:rFonts w:ascii="Times New Roman" w:hAnsi="Times New Roman" w:cs="Times New Roman"/>
          <w:lang w:val="es-ES_tradnl"/>
        </w:rPr>
        <w:t xml:space="preserve"> and concrete </w:t>
      </w:r>
      <w:proofErr w:type="spellStart"/>
      <w:r w:rsidRPr="0085455C">
        <w:rPr>
          <w:rFonts w:ascii="Times New Roman" w:hAnsi="Times New Roman" w:cs="Times New Roman"/>
          <w:lang w:val="es-ES_tradnl"/>
        </w:rPr>
        <w:t>applications</w:t>
      </w:r>
      <w:proofErr w:type="spellEnd"/>
      <w:r w:rsidRPr="0085455C">
        <w:rPr>
          <w:rFonts w:ascii="Times New Roman" w:hAnsi="Times New Roman" w:cs="Times New Roman"/>
          <w:lang w:val="es-ES_tradnl"/>
        </w:rPr>
        <w:t xml:space="preserve">. </w:t>
      </w:r>
      <w:r w:rsidRPr="0085455C">
        <w:rPr>
          <w:rFonts w:ascii="Times New Roman" w:hAnsi="Times New Roman" w:cs="Times New Roman"/>
          <w:i/>
          <w:iCs/>
          <w:lang w:val="es-ES_tradnl"/>
        </w:rPr>
        <w:t>Perspectivas Metodológicas</w:t>
      </w:r>
      <w:r w:rsidRPr="0085455C">
        <w:rPr>
          <w:rFonts w:ascii="Times New Roman" w:hAnsi="Times New Roman" w:cs="Times New Roman"/>
          <w:lang w:val="es-ES_tradnl"/>
        </w:rPr>
        <w:t xml:space="preserve">, </w:t>
      </w:r>
      <w:r w:rsidRPr="0085455C">
        <w:rPr>
          <w:rFonts w:ascii="Times New Roman" w:hAnsi="Times New Roman" w:cs="Times New Roman"/>
          <w:i/>
          <w:iCs/>
          <w:lang w:val="es-ES_tradnl"/>
        </w:rPr>
        <w:t>23</w:t>
      </w:r>
      <w:r w:rsidRPr="0085455C">
        <w:rPr>
          <w:rFonts w:ascii="Times New Roman" w:hAnsi="Times New Roman" w:cs="Times New Roman"/>
          <w:lang w:val="es-ES_tradnl"/>
        </w:rPr>
        <w:t>(27). https://doi.org/10.18294/pm.2023.4324</w:t>
      </w:r>
    </w:p>
    <w:p w14:paraId="1B5A1007" w14:textId="77777777" w:rsidR="00AB0EF9" w:rsidRPr="0085455C" w:rsidRDefault="00AB0EF9" w:rsidP="00AB0EF9">
      <w:pPr>
        <w:pStyle w:val="Bibliografa"/>
        <w:spacing w:line="240" w:lineRule="auto"/>
        <w:jc w:val="both"/>
        <w:rPr>
          <w:rFonts w:ascii="Times New Roman" w:hAnsi="Times New Roman" w:cs="Times New Roman"/>
          <w:lang w:val="es-ES_tradnl"/>
        </w:rPr>
      </w:pPr>
      <w:r w:rsidRPr="0085455C">
        <w:rPr>
          <w:rFonts w:ascii="Times New Roman" w:hAnsi="Times New Roman" w:cs="Times New Roman"/>
          <w:lang w:val="es-ES_tradnl"/>
        </w:rPr>
        <w:t>Salti, P., Montaña, S., &amp; Mansour, V. (2025). Las/os estudiantes y docentes del 1</w:t>
      </w:r>
      <w:r w:rsidRPr="0085455C">
        <w:rPr>
          <w:rFonts w:ascii="Times New Roman" w:hAnsi="Times New Roman" w:cs="Times New Roman"/>
          <w:vertAlign w:val="superscript"/>
          <w:lang w:val="es-ES_tradnl"/>
        </w:rPr>
        <w:t>o</w:t>
      </w:r>
      <w:r w:rsidRPr="0085455C">
        <w:rPr>
          <w:rFonts w:ascii="Times New Roman" w:hAnsi="Times New Roman" w:cs="Times New Roman"/>
          <w:lang w:val="es-ES_tradnl"/>
        </w:rPr>
        <w:t xml:space="preserve"> año del Profesorado Universitario de Inglés de la Universidad Nacional de José C. Paz. Avances en la caracterización de sus trayectorias sociales y académicas. 2(3), 221-240. </w:t>
      </w:r>
      <w:r w:rsidRPr="0085455C">
        <w:rPr>
          <w:rFonts w:ascii="Times New Roman" w:hAnsi="Times New Roman" w:cs="Times New Roman"/>
          <w:i/>
          <w:iCs/>
          <w:lang w:val="es-ES_tradnl"/>
        </w:rPr>
        <w:t>Revista Sociedad y Desigualdades</w:t>
      </w:r>
      <w:r w:rsidRPr="0085455C">
        <w:rPr>
          <w:rFonts w:ascii="Times New Roman" w:hAnsi="Times New Roman" w:cs="Times New Roman"/>
          <w:lang w:val="es-ES_tradnl"/>
        </w:rPr>
        <w:t xml:space="preserve">, </w:t>
      </w:r>
      <w:r w:rsidRPr="0085455C">
        <w:rPr>
          <w:rFonts w:ascii="Times New Roman" w:hAnsi="Times New Roman" w:cs="Times New Roman"/>
          <w:i/>
          <w:iCs/>
          <w:lang w:val="es-ES_tradnl"/>
        </w:rPr>
        <w:t>2</w:t>
      </w:r>
      <w:r w:rsidRPr="0085455C">
        <w:rPr>
          <w:rFonts w:ascii="Times New Roman" w:hAnsi="Times New Roman" w:cs="Times New Roman"/>
          <w:lang w:val="es-ES_tradnl"/>
        </w:rPr>
        <w:t>(3), 221-240.</w:t>
      </w:r>
    </w:p>
    <w:p w14:paraId="69258DB2" w14:textId="77777777" w:rsidR="00AB0EF9" w:rsidRPr="0085455C" w:rsidRDefault="00AB0EF9" w:rsidP="00AB0EF9">
      <w:pPr>
        <w:pStyle w:val="Bibliografa"/>
        <w:spacing w:line="240" w:lineRule="auto"/>
        <w:jc w:val="both"/>
        <w:rPr>
          <w:rFonts w:ascii="Times New Roman" w:hAnsi="Times New Roman" w:cs="Times New Roman"/>
          <w:lang w:val="es-ES_tradnl"/>
        </w:rPr>
      </w:pPr>
      <w:proofErr w:type="spellStart"/>
      <w:r w:rsidRPr="0085455C">
        <w:rPr>
          <w:rFonts w:ascii="Times New Roman" w:hAnsi="Times New Roman" w:cs="Times New Roman"/>
          <w:lang w:val="es-ES_tradnl"/>
        </w:rPr>
        <w:t>Sautú</w:t>
      </w:r>
      <w:proofErr w:type="spellEnd"/>
      <w:r w:rsidRPr="0085455C">
        <w:rPr>
          <w:rFonts w:ascii="Times New Roman" w:hAnsi="Times New Roman" w:cs="Times New Roman"/>
          <w:lang w:val="es-ES_tradnl"/>
        </w:rPr>
        <w:t xml:space="preserve">, R. (2003). </w:t>
      </w:r>
      <w:r w:rsidRPr="0085455C">
        <w:rPr>
          <w:rFonts w:ascii="Times New Roman" w:hAnsi="Times New Roman" w:cs="Times New Roman"/>
          <w:i/>
          <w:iCs/>
          <w:lang w:val="es-ES_tradnl"/>
        </w:rPr>
        <w:t>Todo es teoría. Objetivos y métodos de investigación.</w:t>
      </w:r>
      <w:r w:rsidRPr="0085455C">
        <w:rPr>
          <w:rFonts w:ascii="Times New Roman" w:hAnsi="Times New Roman" w:cs="Times New Roman"/>
          <w:lang w:val="es-ES_tradnl"/>
        </w:rPr>
        <w:t xml:space="preserve"> Lumiere.</w:t>
      </w:r>
    </w:p>
    <w:p w14:paraId="60B9C57F" w14:textId="77777777" w:rsidR="00AB0EF9" w:rsidRPr="0085455C" w:rsidRDefault="00AB0EF9" w:rsidP="00AB0EF9">
      <w:pPr>
        <w:pStyle w:val="Bibliografa"/>
        <w:spacing w:line="240" w:lineRule="auto"/>
        <w:jc w:val="both"/>
        <w:rPr>
          <w:rFonts w:ascii="Times New Roman" w:hAnsi="Times New Roman" w:cs="Times New Roman"/>
          <w:lang w:val="es-ES_tradnl"/>
        </w:rPr>
      </w:pPr>
      <w:r w:rsidRPr="0085455C">
        <w:rPr>
          <w:rFonts w:ascii="Times New Roman" w:hAnsi="Times New Roman" w:cs="Times New Roman"/>
          <w:lang w:val="es-ES_tradnl"/>
        </w:rPr>
        <w:t xml:space="preserve">Terigi, F. (2019). Aportes de la perspectiva de trayectorias escolares al análisis de los problemas de la inclusión escolar. En F. Terigi &amp; D. Feldman, </w:t>
      </w:r>
      <w:r w:rsidRPr="0085455C">
        <w:rPr>
          <w:rFonts w:ascii="Times New Roman" w:hAnsi="Times New Roman" w:cs="Times New Roman"/>
          <w:i/>
          <w:iCs/>
          <w:lang w:val="es-ES_tradnl"/>
        </w:rPr>
        <w:t>La inclusión socioeducativa como responsabilidad institucional</w:t>
      </w:r>
      <w:r w:rsidRPr="0085455C">
        <w:rPr>
          <w:rFonts w:ascii="Times New Roman" w:hAnsi="Times New Roman" w:cs="Times New Roman"/>
          <w:lang w:val="es-ES_tradnl"/>
        </w:rPr>
        <w:t xml:space="preserve"> (1</w:t>
      </w:r>
      <w:r w:rsidRPr="0085455C">
        <w:rPr>
          <w:rFonts w:ascii="Times New Roman" w:hAnsi="Times New Roman" w:cs="Times New Roman"/>
          <w:vertAlign w:val="superscript"/>
          <w:lang w:val="es-ES_tradnl"/>
        </w:rPr>
        <w:t>o</w:t>
      </w:r>
      <w:r w:rsidRPr="0085455C">
        <w:rPr>
          <w:rFonts w:ascii="Times New Roman" w:hAnsi="Times New Roman" w:cs="Times New Roman"/>
          <w:lang w:val="es-ES_tradnl"/>
        </w:rPr>
        <w:t>). INVELEC (INSTITUTO DE INVESTIGACIONES SOBRE EL LENGUAJE Y LA CULTURA).</w:t>
      </w:r>
    </w:p>
    <w:p w14:paraId="51DA7F30" w14:textId="77777777" w:rsidR="00AB0EF9" w:rsidRPr="00ED6DFA" w:rsidRDefault="00AB0EF9" w:rsidP="00AB0EF9">
      <w:pPr>
        <w:pStyle w:val="Textonotaalfinal"/>
        <w:ind w:left="284" w:firstLine="0"/>
        <w:rPr>
          <w:rFonts w:ascii="Times New Roman" w:hAnsi="Times New Roman" w:cs="Times New Roman"/>
          <w:lang w:val="es-ES_tradnl"/>
        </w:rPr>
      </w:pPr>
      <w:r w:rsidRPr="0085455C">
        <w:rPr>
          <w:rFonts w:ascii="Times New Roman" w:hAnsi="Times New Roman" w:cs="Times New Roman"/>
          <w:sz w:val="24"/>
          <w:szCs w:val="24"/>
          <w:lang w:val="es-ES_tradnl"/>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0975F8" w14:textId="77777777" w:rsidR="0061456B" w:rsidRPr="00BA642E" w:rsidRDefault="0061456B" w:rsidP="00C802F5">
      <w:pPr>
        <w:spacing w:after="0" w:line="240" w:lineRule="auto"/>
      </w:pPr>
      <w:r w:rsidRPr="00BA642E">
        <w:separator/>
      </w:r>
    </w:p>
  </w:footnote>
  <w:footnote w:type="continuationSeparator" w:id="0">
    <w:p w14:paraId="73D7C844" w14:textId="77777777" w:rsidR="0061456B" w:rsidRPr="00BA642E" w:rsidRDefault="0061456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2B60B7"/>
    <w:multiLevelType w:val="hybridMultilevel"/>
    <w:tmpl w:val="1A129E26"/>
    <w:lvl w:ilvl="0" w:tplc="F68605D4">
      <w:start w:val="1"/>
      <w:numFmt w:val="decimal"/>
      <w:lvlText w:val="%1."/>
      <w:lvlJc w:val="left"/>
      <w:pPr>
        <w:ind w:left="1211" w:hanging="360"/>
      </w:pPr>
      <w:rPr>
        <w:rFonts w:hint="default"/>
      </w:rPr>
    </w:lvl>
    <w:lvl w:ilvl="1" w:tplc="040A0019" w:tentative="1">
      <w:start w:val="1"/>
      <w:numFmt w:val="lowerLetter"/>
      <w:lvlText w:val="%2."/>
      <w:lvlJc w:val="left"/>
      <w:pPr>
        <w:ind w:left="1931" w:hanging="360"/>
      </w:pPr>
    </w:lvl>
    <w:lvl w:ilvl="2" w:tplc="040A001B" w:tentative="1">
      <w:start w:val="1"/>
      <w:numFmt w:val="lowerRoman"/>
      <w:lvlText w:val="%3."/>
      <w:lvlJc w:val="right"/>
      <w:pPr>
        <w:ind w:left="2651" w:hanging="180"/>
      </w:pPr>
    </w:lvl>
    <w:lvl w:ilvl="3" w:tplc="040A000F" w:tentative="1">
      <w:start w:val="1"/>
      <w:numFmt w:val="decimal"/>
      <w:lvlText w:val="%4."/>
      <w:lvlJc w:val="left"/>
      <w:pPr>
        <w:ind w:left="3371" w:hanging="360"/>
      </w:pPr>
    </w:lvl>
    <w:lvl w:ilvl="4" w:tplc="040A0019" w:tentative="1">
      <w:start w:val="1"/>
      <w:numFmt w:val="lowerLetter"/>
      <w:lvlText w:val="%5."/>
      <w:lvlJc w:val="left"/>
      <w:pPr>
        <w:ind w:left="4091" w:hanging="360"/>
      </w:pPr>
    </w:lvl>
    <w:lvl w:ilvl="5" w:tplc="040A001B" w:tentative="1">
      <w:start w:val="1"/>
      <w:numFmt w:val="lowerRoman"/>
      <w:lvlText w:val="%6."/>
      <w:lvlJc w:val="right"/>
      <w:pPr>
        <w:ind w:left="4811" w:hanging="180"/>
      </w:pPr>
    </w:lvl>
    <w:lvl w:ilvl="6" w:tplc="040A000F" w:tentative="1">
      <w:start w:val="1"/>
      <w:numFmt w:val="decimal"/>
      <w:lvlText w:val="%7."/>
      <w:lvlJc w:val="left"/>
      <w:pPr>
        <w:ind w:left="5531" w:hanging="360"/>
      </w:pPr>
    </w:lvl>
    <w:lvl w:ilvl="7" w:tplc="040A0019" w:tentative="1">
      <w:start w:val="1"/>
      <w:numFmt w:val="lowerLetter"/>
      <w:lvlText w:val="%8."/>
      <w:lvlJc w:val="left"/>
      <w:pPr>
        <w:ind w:left="6251" w:hanging="360"/>
      </w:pPr>
    </w:lvl>
    <w:lvl w:ilvl="8" w:tplc="040A001B" w:tentative="1">
      <w:start w:val="1"/>
      <w:numFmt w:val="lowerRoman"/>
      <w:lvlText w:val="%9."/>
      <w:lvlJc w:val="right"/>
      <w:pPr>
        <w:ind w:left="6971" w:hanging="180"/>
      </w:pPr>
    </w:lvl>
  </w:abstractNum>
  <w:abstractNum w:abstractNumId="1" w15:restartNumberingAfterBreak="0">
    <w:nsid w:val="22027117"/>
    <w:multiLevelType w:val="hybridMultilevel"/>
    <w:tmpl w:val="F49CC04C"/>
    <w:lvl w:ilvl="0" w:tplc="6CD0CE7C">
      <w:start w:val="3"/>
      <w:numFmt w:val="decimal"/>
      <w:lvlText w:val="%1."/>
      <w:lvlJc w:val="left"/>
      <w:pPr>
        <w:ind w:left="1211" w:hanging="360"/>
      </w:pPr>
      <w:rPr>
        <w:rFonts w:hint="default"/>
      </w:rPr>
    </w:lvl>
    <w:lvl w:ilvl="1" w:tplc="040A0019" w:tentative="1">
      <w:start w:val="1"/>
      <w:numFmt w:val="lowerLetter"/>
      <w:lvlText w:val="%2."/>
      <w:lvlJc w:val="left"/>
      <w:pPr>
        <w:ind w:left="1931" w:hanging="360"/>
      </w:pPr>
    </w:lvl>
    <w:lvl w:ilvl="2" w:tplc="040A001B" w:tentative="1">
      <w:start w:val="1"/>
      <w:numFmt w:val="lowerRoman"/>
      <w:lvlText w:val="%3."/>
      <w:lvlJc w:val="right"/>
      <w:pPr>
        <w:ind w:left="2651" w:hanging="180"/>
      </w:pPr>
    </w:lvl>
    <w:lvl w:ilvl="3" w:tplc="040A000F" w:tentative="1">
      <w:start w:val="1"/>
      <w:numFmt w:val="decimal"/>
      <w:lvlText w:val="%4."/>
      <w:lvlJc w:val="left"/>
      <w:pPr>
        <w:ind w:left="3371" w:hanging="360"/>
      </w:pPr>
    </w:lvl>
    <w:lvl w:ilvl="4" w:tplc="040A0019" w:tentative="1">
      <w:start w:val="1"/>
      <w:numFmt w:val="lowerLetter"/>
      <w:lvlText w:val="%5."/>
      <w:lvlJc w:val="left"/>
      <w:pPr>
        <w:ind w:left="4091" w:hanging="360"/>
      </w:pPr>
    </w:lvl>
    <w:lvl w:ilvl="5" w:tplc="040A001B" w:tentative="1">
      <w:start w:val="1"/>
      <w:numFmt w:val="lowerRoman"/>
      <w:lvlText w:val="%6."/>
      <w:lvlJc w:val="right"/>
      <w:pPr>
        <w:ind w:left="4811" w:hanging="180"/>
      </w:pPr>
    </w:lvl>
    <w:lvl w:ilvl="6" w:tplc="040A000F" w:tentative="1">
      <w:start w:val="1"/>
      <w:numFmt w:val="decimal"/>
      <w:lvlText w:val="%7."/>
      <w:lvlJc w:val="left"/>
      <w:pPr>
        <w:ind w:left="5531" w:hanging="360"/>
      </w:pPr>
    </w:lvl>
    <w:lvl w:ilvl="7" w:tplc="040A0019" w:tentative="1">
      <w:start w:val="1"/>
      <w:numFmt w:val="lowerLetter"/>
      <w:lvlText w:val="%8."/>
      <w:lvlJc w:val="left"/>
      <w:pPr>
        <w:ind w:left="6251" w:hanging="360"/>
      </w:pPr>
    </w:lvl>
    <w:lvl w:ilvl="8" w:tplc="040A001B" w:tentative="1">
      <w:start w:val="1"/>
      <w:numFmt w:val="lowerRoman"/>
      <w:lvlText w:val="%9."/>
      <w:lvlJc w:val="right"/>
      <w:pPr>
        <w:ind w:left="6971" w:hanging="180"/>
      </w:pPr>
    </w:lvl>
  </w:abstractNum>
  <w:num w:numId="1" w16cid:durableId="1052848811">
    <w:abstractNumId w:val="0"/>
  </w:num>
  <w:num w:numId="2" w16cid:durableId="123276481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3A1A"/>
    <w:rsid w:val="001816D6"/>
    <w:rsid w:val="00185F5E"/>
    <w:rsid w:val="001923DC"/>
    <w:rsid w:val="002327C3"/>
    <w:rsid w:val="00312392"/>
    <w:rsid w:val="004040C0"/>
    <w:rsid w:val="00437E9C"/>
    <w:rsid w:val="00550766"/>
    <w:rsid w:val="005F3B2E"/>
    <w:rsid w:val="0061456B"/>
    <w:rsid w:val="00701F64"/>
    <w:rsid w:val="007B5B5F"/>
    <w:rsid w:val="007D233B"/>
    <w:rsid w:val="0085070B"/>
    <w:rsid w:val="00A17247"/>
    <w:rsid w:val="00AB0EF9"/>
    <w:rsid w:val="00BA642E"/>
    <w:rsid w:val="00BC236F"/>
    <w:rsid w:val="00C802F5"/>
    <w:rsid w:val="00C96B2C"/>
    <w:rsid w:val="00CC04C1"/>
    <w:rsid w:val="00D843EC"/>
    <w:rsid w:val="00E65B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AB0EF9"/>
    <w:pPr>
      <w:spacing w:before="100" w:beforeAutospacing="1" w:after="100" w:afterAutospacing="1" w:line="240" w:lineRule="auto"/>
    </w:pPr>
    <w:rPr>
      <w:rFonts w:ascii="Times New Roman" w:eastAsia="Times New Roman" w:hAnsi="Times New Roman" w:cs="Times New Roman"/>
      <w:kern w:val="0"/>
      <w:lang w:val="es-AR" w:eastAsia="es-ES_tradnl"/>
      <w14:ligatures w14:val="none"/>
    </w:rPr>
  </w:style>
  <w:style w:type="character" w:styleId="Hipervnculovisitado">
    <w:name w:val="FollowedHyperlink"/>
    <w:basedOn w:val="Fuentedeprrafopredeter"/>
    <w:uiPriority w:val="99"/>
    <w:semiHidden/>
    <w:unhideWhenUsed/>
    <w:rsid w:val="00AB0EF9"/>
    <w:rPr>
      <w:color w:val="954F72" w:themeColor="followedHyperlink"/>
      <w:u w:val="single"/>
    </w:rPr>
  </w:style>
  <w:style w:type="paragraph" w:styleId="Bibliografa">
    <w:name w:val="Bibliography"/>
    <w:basedOn w:val="Normal"/>
    <w:next w:val="Normal"/>
    <w:uiPriority w:val="37"/>
    <w:semiHidden/>
    <w:unhideWhenUsed/>
    <w:rsid w:val="00AB0EF9"/>
  </w:style>
  <w:style w:type="character" w:styleId="Refdenotaalpie">
    <w:name w:val="footnote reference"/>
    <w:basedOn w:val="Fuentedeprrafopredeter"/>
    <w:uiPriority w:val="99"/>
    <w:semiHidden/>
    <w:unhideWhenUsed/>
    <w:rsid w:val="00AB0EF9"/>
    <w:rPr>
      <w:vertAlign w:val="superscript"/>
    </w:rPr>
  </w:style>
  <w:style w:type="paragraph" w:styleId="Textonotaalfinal">
    <w:name w:val="endnote text"/>
    <w:basedOn w:val="Normal"/>
    <w:link w:val="TextonotaalfinalCar"/>
    <w:uiPriority w:val="99"/>
    <w:semiHidden/>
    <w:unhideWhenUsed/>
    <w:rsid w:val="00AB0EF9"/>
    <w:pPr>
      <w:spacing w:after="0" w:line="240" w:lineRule="auto"/>
      <w:ind w:right="-6" w:firstLine="284"/>
      <w:jc w:val="both"/>
    </w:pPr>
    <w:rPr>
      <w:sz w:val="20"/>
      <w:szCs w:val="20"/>
      <w:lang w:val="es-ES"/>
    </w:rPr>
  </w:style>
  <w:style w:type="character" w:customStyle="1" w:styleId="TextonotaalfinalCar">
    <w:name w:val="Texto nota al final Car"/>
    <w:basedOn w:val="Fuentedeprrafopredeter"/>
    <w:link w:val="Textonotaalfinal"/>
    <w:uiPriority w:val="99"/>
    <w:semiHidden/>
    <w:rsid w:val="00AB0EF9"/>
    <w:rPr>
      <w:sz w:val="20"/>
      <w:szCs w:val="20"/>
      <w:lang w:val="es-ES"/>
    </w:rPr>
  </w:style>
  <w:style w:type="character" w:styleId="Refdenotaalfinal">
    <w:name w:val="endnote reference"/>
    <w:basedOn w:val="Fuentedeprrafopredeter"/>
    <w:uiPriority w:val="99"/>
    <w:semiHidden/>
    <w:unhideWhenUsed/>
    <w:rsid w:val="00AB0E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ca.mansour@docentes.unpaz.edu.ar" TargetMode="External"/><Relationship Id="rId3" Type="http://schemas.openxmlformats.org/officeDocument/2006/relationships/settings" Target="settings.xml"/><Relationship Id="rId7" Type="http://schemas.openxmlformats.org/officeDocument/2006/relationships/hyperlink" Target="mailto:patricia.salti@docentes.unpaz.edu.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7899</Words>
  <Characters>43998</Characters>
  <Application>Microsoft Office Word</Application>
  <DocSecurity>0</DocSecurity>
  <Lines>977</Lines>
  <Paragraphs>447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Patricia Salti</cp:lastModifiedBy>
  <cp:revision>2</cp:revision>
  <dcterms:created xsi:type="dcterms:W3CDTF">2026-07-13T01:47:00Z</dcterms:created>
  <dcterms:modified xsi:type="dcterms:W3CDTF">2026-07-13T01:47:00Z</dcterms:modified>
</cp:coreProperties>
</file>