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686564" w14:textId="77777777" w:rsidR="00736686" w:rsidRDefault="00736686" w:rsidP="00736686">
      <w:pPr>
        <w:jc w:val="center"/>
        <w:rPr>
          <w:rFonts w:ascii="Times New Roman" w:eastAsia="Times New Roman" w:hAnsi="Times New Roman" w:cs="Times New Roman"/>
          <w:b/>
          <w:bCs/>
        </w:rPr>
      </w:pPr>
      <w:r>
        <w:rPr>
          <w:rFonts w:ascii="Times New Roman" w:eastAsia="Times New Roman" w:hAnsi="Times New Roman" w:cs="Times New Roman"/>
          <w:b/>
          <w:bCs/>
        </w:rPr>
        <w:t>Habitar la FCF: Trayectorias, dispositivos de inclusión y estrategias de permanencia en Ingeniería Agronómica (2018-2023)</w:t>
      </w:r>
    </w:p>
    <w:p w14:paraId="320678C8" w14:textId="77777777" w:rsidR="00736686" w:rsidRDefault="00736686" w:rsidP="00736686">
      <w:pPr>
        <w:jc w:val="center"/>
        <w:rPr>
          <w:rFonts w:ascii="Times New Roman" w:eastAsia="Times New Roman" w:hAnsi="Times New Roman" w:cs="Times New Roman"/>
        </w:rPr>
      </w:pPr>
    </w:p>
    <w:p w14:paraId="3D546720" w14:textId="77777777" w:rsidR="00736686" w:rsidRDefault="00736686" w:rsidP="0073668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Bobadilla Mariela 1</w:t>
      </w:r>
    </w:p>
    <w:p w14:paraId="6A0501A0" w14:textId="77777777" w:rsidR="00736686" w:rsidRDefault="00736686" w:rsidP="00736686">
      <w:pPr>
        <w:spacing w:after="0" w:line="240" w:lineRule="auto"/>
        <w:jc w:val="center"/>
        <w:rPr>
          <w:rFonts w:ascii="Times New Roman" w:eastAsia="Times New Roman" w:hAnsi="Times New Roman" w:cs="Times New Roman"/>
        </w:rPr>
      </w:pPr>
      <w:bookmarkStart w:id="0" w:name="_heading=h.cp63jfvmyco5" w:colFirst="0" w:colLast="0"/>
      <w:bookmarkEnd w:id="0"/>
      <w:r>
        <w:rPr>
          <w:rFonts w:ascii="Times New Roman" w:eastAsia="Times New Roman" w:hAnsi="Times New Roman" w:cs="Times New Roman"/>
        </w:rPr>
        <w:t>Facultad de Ciencias Forestales, Universidad Nacional de Misiones 1</w:t>
      </w:r>
    </w:p>
    <w:p w14:paraId="5D1C5082" w14:textId="77777777" w:rsidR="00736686" w:rsidRDefault="00736686" w:rsidP="0073668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mariela.bobadilla@fcf.unam.edu.ar 1</w:t>
      </w:r>
    </w:p>
    <w:p w14:paraId="22496EF5" w14:textId="77777777" w:rsidR="00736686" w:rsidRDefault="00736686" w:rsidP="0073668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Bischoff María Cristina 2</w:t>
      </w:r>
    </w:p>
    <w:p w14:paraId="76327DC6" w14:textId="77777777" w:rsidR="00736686" w:rsidRDefault="00736686" w:rsidP="0073668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Facultad de Ciencias Forestales, Universidad Nacional de Misiones 2</w:t>
      </w:r>
    </w:p>
    <w:p w14:paraId="0A100DCB" w14:textId="77777777" w:rsidR="00736686" w:rsidRDefault="00736686" w:rsidP="0073668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cristina.bischoff@fcf.unam.edu.ar 2</w:t>
      </w:r>
    </w:p>
    <w:p w14:paraId="24EDD7C6" w14:textId="77777777" w:rsidR="00736686" w:rsidRDefault="00736686" w:rsidP="00736686">
      <w:pPr>
        <w:tabs>
          <w:tab w:val="center" w:pos="4252"/>
          <w:tab w:val="right" w:pos="8504"/>
        </w:tabs>
        <w:spacing w:after="0" w:line="240" w:lineRule="auto"/>
        <w:jc w:val="center"/>
        <w:rPr>
          <w:rFonts w:ascii="Times New Roman" w:eastAsia="Times New Roman" w:hAnsi="Times New Roman" w:cs="Times New Roman"/>
        </w:rPr>
      </w:pPr>
      <w:r>
        <w:rPr>
          <w:rFonts w:ascii="Times New Roman" w:eastAsia="Times New Roman" w:hAnsi="Times New Roman" w:cs="Times New Roman"/>
        </w:rPr>
        <w:t>Parra Marina 3</w:t>
      </w:r>
    </w:p>
    <w:p w14:paraId="537B9527" w14:textId="77777777" w:rsidR="00736686" w:rsidRDefault="00736686" w:rsidP="0073668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 xml:space="preserve"> Facultad de Ciencias Forestales, Universidad Nacional de Misiones 3</w:t>
      </w:r>
    </w:p>
    <w:p w14:paraId="4715EB49" w14:textId="77777777" w:rsidR="00736686" w:rsidRDefault="00736686" w:rsidP="0073668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marina.parra@fcf.unam.edu.ar 3</w:t>
      </w:r>
    </w:p>
    <w:p w14:paraId="2EF01B80" w14:textId="77777777" w:rsidR="00736686" w:rsidRDefault="00736686" w:rsidP="00736686">
      <w:pPr>
        <w:rPr>
          <w:rFonts w:ascii="Times New Roman" w:eastAsia="Times New Roman" w:hAnsi="Times New Roman" w:cs="Times New Roman"/>
          <w:b/>
          <w:bCs/>
        </w:rPr>
      </w:pPr>
    </w:p>
    <w:p w14:paraId="4C5BB805" w14:textId="77777777" w:rsidR="00736686" w:rsidRDefault="00736686" w:rsidP="00736686">
      <w:p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Resumen</w:t>
      </w:r>
    </w:p>
    <w:p w14:paraId="75AF6C55" w14:textId="77777777" w:rsidR="00736686" w:rsidRDefault="00736686" w:rsidP="00736686">
      <w:pPr>
        <w:spacing w:after="0" w:line="240" w:lineRule="auto"/>
        <w:jc w:val="both"/>
        <w:rPr>
          <w:rFonts w:ascii="Times New Roman" w:eastAsia="Times New Roman" w:hAnsi="Times New Roman" w:cs="Times New Roman"/>
          <w:b/>
          <w:bCs/>
        </w:rPr>
      </w:pPr>
    </w:p>
    <w:p w14:paraId="65DBF4E2" w14:textId="77777777" w:rsidR="00736686" w:rsidRDefault="00736686" w:rsidP="00736686">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Desde una perspectiva de derechos, este artículo se encuadra en el estudio de las trayectorias estudiantiles y la inclusión efectiva de los sujetos que ingresan y transitan la Universidad Nacional de Misiones, apoyándose en investigaciones de la educación superior y la sociología de la cultura. En este marco, la carrera de Ingeniería Agronómica de la Facultad de Ciencias Forestales, establecida de forma permanente en el año 2011, facilitó el acceso a un nuevo perfil de estudiantes y modificó la composición demográfica de la unidad académica. La presente investigación se propone profundizar en el conocimiento de estos itinerarios reales, entendidos como recorridos efectivos condicionados por factores socioeconómicos, institucionales y subjetivos que se alejan de los diseños teóricos previstos en los planes de estudio. El abordaje metodológico se inscribe en un diseño descriptivo-interpretativo que combina estrategias cualitativas mediante el método de estudio de casos. A partir del trabajo de campo, se visualiza que el tránsito por la facultad está mediado por una tensión entre la trayectoria teórica y la real. Mientras el currículum asume un sujeto dedicado exclusivamente al estudio, los estudiantes deben construir su "oficio" en un contexto de desigualdades múltiples. Ante esta tensión, los dispositivos de inclusión actúan como amortiguadores críticos del abandono o como soporte de una pedagogía de la afiliación que requiere ser profundizada. Es indispensable que la universidad reconozca la diversidad de itinerarios formativos y fortalezca su capacidad de respuesta a las nuevas demandas para que el derecho superior sea una realidad efectiva para los jóvenes misioneros.</w:t>
      </w:r>
    </w:p>
    <w:p w14:paraId="424E739E" w14:textId="77777777" w:rsidR="00736686" w:rsidRDefault="00736686" w:rsidP="00736686">
      <w:pPr>
        <w:spacing w:after="0" w:line="240" w:lineRule="auto"/>
        <w:ind w:firstLine="720"/>
        <w:jc w:val="both"/>
        <w:rPr>
          <w:rFonts w:ascii="Times New Roman" w:eastAsia="Times New Roman" w:hAnsi="Times New Roman" w:cs="Times New Roman"/>
          <w:i/>
          <w:iCs/>
        </w:rPr>
      </w:pPr>
    </w:p>
    <w:p w14:paraId="56B6555B" w14:textId="77777777" w:rsidR="00736686" w:rsidRDefault="00736686" w:rsidP="00736686">
      <w:pPr>
        <w:spacing w:after="0" w:line="240" w:lineRule="auto"/>
        <w:ind w:firstLine="720"/>
        <w:jc w:val="both"/>
        <w:rPr>
          <w:rFonts w:ascii="Times New Roman" w:eastAsia="Times New Roman" w:hAnsi="Times New Roman" w:cs="Times New Roman"/>
        </w:rPr>
      </w:pPr>
      <w:r>
        <w:rPr>
          <w:rFonts w:ascii="Times New Roman" w:eastAsia="Times New Roman" w:hAnsi="Times New Roman" w:cs="Times New Roman"/>
          <w:i/>
          <w:iCs/>
        </w:rPr>
        <w:t>Palabras clave:</w:t>
      </w:r>
      <w:r>
        <w:rPr>
          <w:rFonts w:ascii="Times New Roman" w:eastAsia="Times New Roman" w:hAnsi="Times New Roman" w:cs="Times New Roman"/>
          <w:b/>
          <w:bCs/>
        </w:rPr>
        <w:t xml:space="preserve"> </w:t>
      </w:r>
      <w:r>
        <w:rPr>
          <w:rFonts w:ascii="Times New Roman" w:eastAsia="Times New Roman" w:hAnsi="Times New Roman" w:cs="Times New Roman"/>
          <w:color w:val="1F1F1F"/>
        </w:rPr>
        <w:t>educación superior, dispositivos de inclusión, trayectorias académicas, ingeniería agronómica</w:t>
      </w:r>
    </w:p>
    <w:p w14:paraId="2BF55F8C" w14:textId="77777777" w:rsidR="00736686" w:rsidRDefault="00736686" w:rsidP="00736686">
      <w:pPr>
        <w:spacing w:after="0" w:line="240" w:lineRule="auto"/>
        <w:jc w:val="both"/>
        <w:rPr>
          <w:rFonts w:ascii="Times New Roman" w:eastAsia="Times New Roman" w:hAnsi="Times New Roman" w:cs="Times New Roman"/>
          <w:b/>
          <w:bCs/>
        </w:rPr>
      </w:pPr>
    </w:p>
    <w:p w14:paraId="7F5F4F61" w14:textId="77777777" w:rsidR="00736686" w:rsidRDefault="00736686" w:rsidP="00736686">
      <w:pPr>
        <w:spacing w:after="0" w:line="240" w:lineRule="auto"/>
        <w:jc w:val="both"/>
        <w:rPr>
          <w:rFonts w:ascii="Times New Roman" w:eastAsia="Times New Roman" w:hAnsi="Times New Roman" w:cs="Times New Roman"/>
          <w:b/>
          <w:bCs/>
        </w:rPr>
      </w:pPr>
    </w:p>
    <w:p w14:paraId="06752E0F" w14:textId="77777777" w:rsidR="00736686" w:rsidRDefault="00736686" w:rsidP="00736686">
      <w:pPr>
        <w:spacing w:after="0" w:line="240" w:lineRule="auto"/>
        <w:jc w:val="both"/>
        <w:rPr>
          <w:rFonts w:ascii="Times New Roman" w:eastAsia="Times New Roman" w:hAnsi="Times New Roman" w:cs="Times New Roman"/>
          <w:b/>
          <w:bCs/>
        </w:rPr>
      </w:pPr>
    </w:p>
    <w:p w14:paraId="14E1DC2D" w14:textId="77777777" w:rsidR="00736686" w:rsidRDefault="00736686" w:rsidP="00736686">
      <w:p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 xml:space="preserve"> </w:t>
      </w:r>
    </w:p>
    <w:p w14:paraId="1C45BF04" w14:textId="77777777" w:rsidR="00736686" w:rsidRDefault="00736686" w:rsidP="00736686">
      <w:pPr>
        <w:spacing w:after="0" w:line="240" w:lineRule="auto"/>
        <w:jc w:val="center"/>
        <w:rPr>
          <w:rFonts w:ascii="Times New Roman" w:eastAsia="Times New Roman" w:hAnsi="Times New Roman" w:cs="Times New Roman"/>
          <w:b/>
          <w:bCs/>
        </w:rPr>
      </w:pPr>
    </w:p>
    <w:p w14:paraId="5874A5A0" w14:textId="37C85A87" w:rsidR="00736686" w:rsidRDefault="00736686" w:rsidP="00736686">
      <w:p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lastRenderedPageBreak/>
        <w:t>Introducción</w:t>
      </w:r>
    </w:p>
    <w:p w14:paraId="0E02E377" w14:textId="77777777" w:rsidR="00736686" w:rsidRDefault="00736686" w:rsidP="00736686">
      <w:pPr>
        <w:pBdr>
          <w:top w:val="nil"/>
          <w:left w:val="nil"/>
          <w:bottom w:val="nil"/>
          <w:right w:val="nil"/>
          <w:between w:val="nil"/>
        </w:pBdr>
        <w:spacing w:after="0" w:line="240" w:lineRule="auto"/>
        <w:jc w:val="both"/>
        <w:rPr>
          <w:rFonts w:ascii="Times New Roman" w:eastAsia="Times New Roman" w:hAnsi="Times New Roman" w:cs="Times New Roman"/>
        </w:rPr>
      </w:pPr>
    </w:p>
    <w:p w14:paraId="1FDCF4C5" w14:textId="77777777" w:rsidR="00736686" w:rsidRDefault="00736686" w:rsidP="00736686">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b/>
        <w:t>Este artículo se enmarca en un proyecto de investigación acreditado por la Secretaría de Ciencia y Técnica de la Facultad de Ciencias Forestales de la Universidad Nacional de Misiones, mediante la Resolución C.D. N° 283/2024 (Código 16/F1710-TI). El estudio busca comprender las trayectorias académicas que construyen las y los estudiantes en el tramo inicial y medio de la carrera de Ingeniería Agronómica de la FCF-UNaM durante el período 2018–2023. Dicha propuesta académica, establecida de forma permanente en 2011, facilitó el acceso de nuevos sujetos al espacio universitario, cuyas características específicas son analizadas en este contexto particular. Aquí se entiende la trayectoria académica como el recorrido que realiza el alumno dentro del sistema; este puede seguir la progresión lineal prevista —lo teóricamente esperable— o, por el contrario, desencauzarse y ocasionar una lentificación de los estudios o el abandono (Terigi, 2009). La relevancia de indagar estos itinerarios reales radica en que permiten ampliar la información institucional para generar condiciones que posibiliten completar los recorridos curriculares. Asimismo, se advierte que estos análisis deben concebirse desde una visión sistémica que reconozca las experiencias vividas por las personas, sus historias sociales y biográficas, las particularidades de cada organización y el entramado vincular entre los sujetos y la institución (Nicastro y Greco, 2009).</w:t>
      </w:r>
    </w:p>
    <w:p w14:paraId="7AA6E74E" w14:textId="77777777" w:rsidR="00736686" w:rsidRDefault="00736686" w:rsidP="00736686">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b/>
        <w:t>De esta manera, desde este enfoque se asume que la democratización universitaria trasciende el acceso formal. El derecho a la educación superior (Rinesi, 2019) exige que la institución genere condiciones materiales y pedagógicas que aseguren no solo el ingreso, sino también la permanencia y el egreso efectivo (García, 2023b). En la FCF, esta mirada guía la comprensión de cómo los estudiantes habitan la facultad y cómo los dispositivos de inclusión funcionan como garantes de sus recorridos. En este sentido, habitar la institución no se reduce a la presencia física; implica una apropiación subjetiva y simbólica del espacio donde el ingresante deja de ser un extraño para convertirse en un miembro de la comunidad académica, dotando de sentido a las reglas y lazos institucionales (Sotelo, 2025a).</w:t>
      </w:r>
    </w:p>
    <w:p w14:paraId="70048EF3" w14:textId="77777777" w:rsidR="00736686" w:rsidRDefault="00736686" w:rsidP="00736686">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b/>
        <w:t>A partir de este marco, el presente trabajo se enfoca en un objetivo específico de la investigación: conocer las percepciones y valoraciones que los alumnos tienen de los dispositivos de inclusión en los tramos inicial y medio, así como las estrategias que despliegan para avanzar en sus estudios. Para ello, se explicitan las herramientas metodológicas y conceptualizaciones sobre dichos dispositivos. Estas nociones resultan particularmente valiosas para el análisis y las discusiones que devienen de los hallazgos iniciales, basados en testimonios estudiantiles que ejemplifican la diversidad de itinerarios universitarios y el impacto de las primeras etapas en la formación superior.</w:t>
      </w:r>
    </w:p>
    <w:p w14:paraId="79ECE49A" w14:textId="77777777" w:rsidR="00736686" w:rsidRDefault="00736686" w:rsidP="00736686">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100AF08B" w14:textId="77777777" w:rsidR="00736686" w:rsidRDefault="00736686" w:rsidP="00736686">
      <w:pPr>
        <w:spacing w:after="0" w:line="240" w:lineRule="auto"/>
        <w:jc w:val="both"/>
        <w:rPr>
          <w:rFonts w:ascii="Times New Roman" w:eastAsia="Times New Roman" w:hAnsi="Times New Roman" w:cs="Times New Roman"/>
        </w:rPr>
      </w:pPr>
    </w:p>
    <w:p w14:paraId="0EBABD12" w14:textId="77777777" w:rsidR="00736686" w:rsidRDefault="00736686" w:rsidP="00736686">
      <w:p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Consideraciones Metodológicas</w:t>
      </w:r>
    </w:p>
    <w:p w14:paraId="2CF41456" w14:textId="77777777" w:rsidR="00736686" w:rsidRDefault="00736686" w:rsidP="00736686">
      <w:pPr>
        <w:spacing w:after="0" w:line="240" w:lineRule="auto"/>
        <w:jc w:val="both"/>
        <w:rPr>
          <w:rFonts w:ascii="Times New Roman" w:eastAsia="Times New Roman" w:hAnsi="Times New Roman" w:cs="Times New Roman"/>
          <w:b/>
          <w:bCs/>
        </w:rPr>
      </w:pPr>
    </w:p>
    <w:p w14:paraId="2ABCF4F2" w14:textId="77777777" w:rsidR="00736686" w:rsidRDefault="00736686" w:rsidP="00736686">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ab/>
        <w:t xml:space="preserve">La investigación se basa en un proyecto acreditado en la Secretaría de Ciencia y Técnica de la Facultad de Ciencias Forestales (FCF) de la Universidad Nacional de Misiones. El mismo se fundamenta en un diseño metodológico de tipo descriptivo e interpretativo, combinando una variedad de estrategias con preeminencia de enfoques </w:t>
      </w:r>
      <w:r>
        <w:rPr>
          <w:rFonts w:ascii="Times New Roman" w:eastAsia="Times New Roman" w:hAnsi="Times New Roman" w:cs="Times New Roman"/>
        </w:rPr>
        <w:lastRenderedPageBreak/>
        <w:t xml:space="preserve">cualitativos. Se propone un estudio intrínseco de casos (Stake, 2007) ya que busca centrar la atención en la comprensión de las experiencias académicas de las/los estudiantes de la carrera de Ingeniería Agronómica de la mencionada institución. Este diseño permite abordar la complejidad de las particularidades y los determinantes de los contextos en los que los actores se vinculan y desarrollan. </w:t>
      </w:r>
    </w:p>
    <w:p w14:paraId="2E0DA941" w14:textId="77777777" w:rsidR="00736686" w:rsidRDefault="00736686" w:rsidP="00736686">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ab/>
        <w:t xml:space="preserve">En un primer momento, la investigación cuenta con un carácter descriptivo, desde donde se puso en juego una etapa de recolección de información sobre las situaciones, eventos y propiedades (Hernández Sampieri, 2014) que caracterizan a los estudiantes de la carrera de ingeniería agronómica. Esta primera etapa de descripción resultó necesaria para construir un marco de referencia institucional, socioeconómico y académico, desde el cual interpretar la reconstrucción de las trayectorias académicas de cada estudiante incluido en el estudio. La recolección de información fue realizada a partir de la administración de una encuesta exploratoria a estudiantes del tramo inicial y medio de la carrera seleccionada, que fue distribuida a través de diferentes medios digitales, tanto formales (redes institucionales) como informales (grupos de comunicación que sostienen estudiantes). En este acercamiento inicial se pudo relevar datos de un conjunto de 70 estudiantes, de las cuales 34 se corresponden a las cohortes 2018 a 2023 que son objeto de estudio. Esta base de información permitió contar con una exploración general sobre los sujetos participantes, su posición académica en relación con la trayectoria teórica de la carrera, algunos datos socioeconómicos, su participación en dispositivos institucionales y su disponibilidad para ser contactados para la realización de entrevistas en profundidad en una segunda etapa. Como parte de la descripción general del grupo en estudio, se reconocieron las principales características etarias, de género, presencia de discapacidades, además se registraron datos de preingreso, ingreso, becas, trayectorias académicas y comportamientos de cohortes estudiantiles, a partir de información disponible en el sistema de gestión académica de la Facultad de Ciencias Forestales. </w:t>
      </w:r>
    </w:p>
    <w:p w14:paraId="5D22E513" w14:textId="77777777" w:rsidR="00736686" w:rsidRDefault="00736686" w:rsidP="00736686">
      <w:pPr>
        <w:pBdr>
          <w:top w:val="nil"/>
          <w:left w:val="nil"/>
          <w:bottom w:val="nil"/>
          <w:right w:val="nil"/>
          <w:between w:val="nil"/>
        </w:pBdr>
        <w:spacing w:after="0" w:line="240" w:lineRule="auto"/>
        <w:jc w:val="both"/>
        <w:rPr>
          <w:rFonts w:ascii="Times New Roman" w:eastAsia="Times New Roman" w:hAnsi="Times New Roman" w:cs="Times New Roman"/>
        </w:rPr>
      </w:pPr>
      <w:r>
        <w:rPr>
          <w:rFonts w:ascii="Times New Roman" w:eastAsia="Times New Roman" w:hAnsi="Times New Roman" w:cs="Times New Roman"/>
        </w:rPr>
        <w:tab/>
        <w:t>Teniendo en cuenta que el mismo es un estudio cualitativo, no se busca una muestra representativa en términos estadísticos, sino en términos de riqueza de significados, por tanto, el relevamiento exploratorio permitió definir los criterios de selección (Piovani, 2018) para la muestra teórica. Los criterios definidos refieren a la: temporalidad y avance de la carrera, diversidad socio académica, relación con la institución para llevar adelante las entrevistas.</w:t>
      </w:r>
    </w:p>
    <w:p w14:paraId="1EBAE82A" w14:textId="77777777" w:rsidR="00736686" w:rsidRDefault="00736686" w:rsidP="00736686">
      <w:pPr>
        <w:pBdr>
          <w:top w:val="nil"/>
          <w:left w:val="nil"/>
          <w:bottom w:val="nil"/>
          <w:right w:val="nil"/>
          <w:between w:val="nil"/>
        </w:pBdr>
        <w:spacing w:after="0" w:line="240" w:lineRule="auto"/>
        <w:jc w:val="both"/>
        <w:rPr>
          <w:rFonts w:ascii="Times New Roman" w:eastAsia="Times New Roman" w:hAnsi="Times New Roman" w:cs="Times New Roman"/>
        </w:rPr>
      </w:pPr>
      <w:r>
        <w:rPr>
          <w:rFonts w:ascii="Times New Roman" w:eastAsia="Times New Roman" w:hAnsi="Times New Roman" w:cs="Times New Roman"/>
        </w:rPr>
        <w:tab/>
        <w:t>En un segundo momento, se llevaron adelante 6 entrevistas en profundidad a estudiantes que reunían el criterio de contar con una trayectoria académica ajustada a la trayectoria teórica, para entender qué estrategias de oficio funcionaron; estudiantes con trayectorias demoradas o hayan recursado, para identificar los cuellos de botella en el tramo medio; estudiantes graduados/as de escuelas agrotécnicas, para visualizar</w:t>
      </w:r>
      <w:r>
        <w:rPr>
          <w:rFonts w:ascii="Times New Roman" w:eastAsia="Times New Roman" w:hAnsi="Times New Roman" w:cs="Times New Roman"/>
          <w:highlight w:val="white"/>
        </w:rPr>
        <w:t xml:space="preserve"> si su vinculación con el saber es más sencilla;</w:t>
      </w:r>
      <w:r>
        <w:rPr>
          <w:rFonts w:ascii="Times New Roman" w:eastAsia="Times New Roman" w:hAnsi="Times New Roman" w:cs="Times New Roman"/>
        </w:rPr>
        <w:t xml:space="preserve"> estudiantes trabajadores/as, para analizar la vinculación entre la cultura institucional y vida cotidiana. </w:t>
      </w:r>
    </w:p>
    <w:p w14:paraId="03695A12" w14:textId="77777777" w:rsidR="00736686" w:rsidRDefault="00736686" w:rsidP="00736686">
      <w:pPr>
        <w:shd w:val="clear" w:color="auto" w:fill="FFFFFF"/>
        <w:spacing w:after="0" w:line="240" w:lineRule="auto"/>
        <w:jc w:val="both"/>
        <w:rPr>
          <w:rFonts w:ascii="Times New Roman" w:eastAsia="Times New Roman" w:hAnsi="Times New Roman" w:cs="Times New Roman"/>
        </w:rPr>
      </w:pPr>
      <w:r>
        <w:rPr>
          <w:rFonts w:ascii="Times New Roman" w:eastAsia="Times New Roman" w:hAnsi="Times New Roman" w:cs="Times New Roman"/>
        </w:rPr>
        <w:tab/>
        <w:t xml:space="preserve">Respecto a las decisiones de recolección de datos, se diseñó una guía de preguntas para la entrevista teniendo en cuenta las dimensiones de análisis que orientan la indagación. Las dimensiones y subdimensiones contempladas son las siguientes:  </w:t>
      </w:r>
    </w:p>
    <w:p w14:paraId="7BB10A99" w14:textId="77777777" w:rsidR="00736686" w:rsidRDefault="00736686" w:rsidP="00736686">
      <w:pPr>
        <w:shd w:val="clear" w:color="auto" w:fill="FFFFFF"/>
        <w:spacing w:after="0" w:line="240" w:lineRule="auto"/>
        <w:jc w:val="both"/>
        <w:rPr>
          <w:rFonts w:ascii="Times New Roman" w:eastAsia="Times New Roman" w:hAnsi="Times New Roman" w:cs="Times New Roman"/>
        </w:rPr>
      </w:pPr>
      <w:r>
        <w:rPr>
          <w:rFonts w:ascii="Times New Roman" w:eastAsia="Times New Roman" w:hAnsi="Times New Roman" w:cs="Times New Roman"/>
          <w:i/>
          <w:iCs/>
        </w:rPr>
        <w:t>a) Dimensión estructurante a nivel institucional y pedagógico</w:t>
      </w:r>
      <w:r>
        <w:rPr>
          <w:rFonts w:ascii="Times New Roman" w:eastAsia="Times New Roman" w:hAnsi="Times New Roman" w:cs="Times New Roman"/>
        </w:rPr>
        <w:t xml:space="preserve">. Contexto institucional y de creación de la carrera; reglamentos de enseñanza, promoción o régimen académico; plan de estudio ingeniería agronómica: asignaturas del tramo inicial, asignaturas del </w:t>
      </w:r>
      <w:r>
        <w:rPr>
          <w:rFonts w:ascii="Times New Roman" w:eastAsia="Times New Roman" w:hAnsi="Times New Roman" w:cs="Times New Roman"/>
        </w:rPr>
        <w:lastRenderedPageBreak/>
        <w:t>tramo medio, asignaturas de la formación profesional y complementarias; práctica de enseñanza y evaluación; políticas y acciones institucionales para la orientación, acompañamiento y continuidad de las trayectorias.</w:t>
      </w:r>
    </w:p>
    <w:p w14:paraId="51F09A46" w14:textId="77777777" w:rsidR="00736686" w:rsidRDefault="00736686" w:rsidP="00736686">
      <w:pPr>
        <w:shd w:val="clear" w:color="auto" w:fill="FFFFFF"/>
        <w:spacing w:after="0" w:line="240" w:lineRule="auto"/>
        <w:jc w:val="both"/>
        <w:rPr>
          <w:rFonts w:ascii="Times New Roman" w:eastAsia="Times New Roman" w:hAnsi="Times New Roman" w:cs="Times New Roman"/>
          <w:i/>
          <w:iCs/>
        </w:rPr>
      </w:pPr>
      <w:r>
        <w:rPr>
          <w:rFonts w:ascii="Times New Roman" w:eastAsia="Times New Roman" w:hAnsi="Times New Roman" w:cs="Times New Roman"/>
          <w:i/>
          <w:iCs/>
        </w:rPr>
        <w:t xml:space="preserve">b) Dimensión del sujeto. </w:t>
      </w:r>
      <w:r>
        <w:rPr>
          <w:rFonts w:ascii="Times New Roman" w:eastAsia="Times New Roman" w:hAnsi="Times New Roman" w:cs="Times New Roman"/>
        </w:rPr>
        <w:t>Perfil socioeconómico del estudiante universitario: referida a las características económicas y sociales, teniendo en cuenta su nivel de ingresos, nivel educativo de sus familias, acceso a servicios básicos, y otros factores que pueden influir en su trayectoria académica. Perfil académico del estudiante universitario: concerniente a las habilidades, conocimientos, actitudes y cualidades que caracterizan a un estudiante durante su formación universitaria. Percepciones/ valoraciones de las/los estudiantes con relación a: dispositivos institucionales de acompañamiento a estudiantes; prácticas académicas estudiantiles (acciones y decisiones tomadas que los llevaron a permanecer, avanzar o retomar los estudios), recorrido de sus trayectos en el tramo inicial y tramo medio (desempeño académico, tiempo de permanencia, vinculación con docentes, solicitudes de readmisión, lentificación, otros).</w:t>
      </w:r>
    </w:p>
    <w:p w14:paraId="165B51AA" w14:textId="77777777" w:rsidR="00736686" w:rsidRDefault="00736686" w:rsidP="00736686">
      <w:pPr>
        <w:shd w:val="clear" w:color="auto" w:fill="FFFFFF"/>
        <w:spacing w:after="0" w:line="240" w:lineRule="auto"/>
        <w:jc w:val="both"/>
        <w:rPr>
          <w:rFonts w:ascii="Times New Roman" w:eastAsia="Times New Roman" w:hAnsi="Times New Roman" w:cs="Times New Roman"/>
        </w:rPr>
      </w:pPr>
      <w:r>
        <w:rPr>
          <w:rFonts w:ascii="Times New Roman" w:eastAsia="Times New Roman" w:hAnsi="Times New Roman" w:cs="Times New Roman"/>
          <w:i/>
          <w:iCs/>
        </w:rPr>
        <w:t>c) Dimensiones de la afiliación a la vida universitaria</w:t>
      </w:r>
      <w:r>
        <w:rPr>
          <w:rFonts w:ascii="Times New Roman" w:eastAsia="Times New Roman" w:hAnsi="Times New Roman" w:cs="Times New Roman"/>
        </w:rPr>
        <w:t>. Experiencia estudiantil; participación en la comunidad universitaria; aprendizaje del código académico; integración social. La afiliación a la vida universitaria es un proceso continuo de aprendizaje, socialización y participación que fortalece la identidad y el sentido de pertenencia de los estudiantes a la institución.</w:t>
      </w:r>
    </w:p>
    <w:p w14:paraId="48589F41" w14:textId="77777777" w:rsidR="00736686" w:rsidRDefault="00736686" w:rsidP="00736686">
      <w:pPr>
        <w:shd w:val="clear" w:color="auto" w:fill="FFFFFF"/>
        <w:spacing w:after="0" w:line="240" w:lineRule="auto"/>
        <w:jc w:val="both"/>
        <w:rPr>
          <w:rFonts w:ascii="Times New Roman" w:eastAsia="Times New Roman" w:hAnsi="Times New Roman" w:cs="Times New Roman"/>
        </w:rPr>
      </w:pPr>
      <w:r>
        <w:rPr>
          <w:rFonts w:ascii="Times New Roman" w:eastAsia="Times New Roman" w:hAnsi="Times New Roman" w:cs="Times New Roman"/>
        </w:rPr>
        <w:tab/>
        <w:t>Estas dimensiones se manifiestan en la vida cotidiana de los estudiantes, tanto en el aula como fuera de ella, y contribuyen a la formación integral del estudiante universitario. Con los elementos descriptivos sistematizados, fue posible avanzar en la profundización del estudio, poniendo en juego el carácter interpretativo que forma parte de la metodología propuesta. Esto implica reconocer condiciones múltiples y subjetivas en relación con el objeto de la investigación. Por ello, se busca la construcción inductiva de conceptos y categorías a lo largo del proceso de investigación (Sautu et al., 2010), en diálogo estrecho con el material generado a partir de entrevistas en profundidad. Este artículo constituye una construcción del material que surge de estas entrevistas, integrando en el análisis los elementos descriptivos previamente relevados.</w:t>
      </w:r>
    </w:p>
    <w:p w14:paraId="0AE258CF" w14:textId="77777777" w:rsidR="00736686" w:rsidRDefault="00736686" w:rsidP="00736686">
      <w:pPr>
        <w:spacing w:after="0" w:line="240" w:lineRule="auto"/>
        <w:jc w:val="both"/>
        <w:rPr>
          <w:rFonts w:ascii="Times New Roman" w:eastAsia="Times New Roman" w:hAnsi="Times New Roman" w:cs="Times New Roman"/>
        </w:rPr>
      </w:pPr>
    </w:p>
    <w:p w14:paraId="2875A8A9" w14:textId="77777777" w:rsidR="00736686" w:rsidRDefault="00736686" w:rsidP="00736686">
      <w:p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 xml:space="preserve"> Consideraciones Teóricas</w:t>
      </w:r>
    </w:p>
    <w:p w14:paraId="44D41C5B" w14:textId="77777777" w:rsidR="00736686" w:rsidRDefault="00736686" w:rsidP="00736686">
      <w:pPr>
        <w:spacing w:after="0" w:line="240" w:lineRule="auto"/>
        <w:jc w:val="both"/>
        <w:rPr>
          <w:rFonts w:ascii="Times New Roman" w:eastAsia="Times New Roman" w:hAnsi="Times New Roman" w:cs="Times New Roman"/>
          <w:b/>
          <w:bCs/>
        </w:rPr>
      </w:pPr>
    </w:p>
    <w:p w14:paraId="1850BB68" w14:textId="77777777" w:rsidR="00736686" w:rsidRDefault="00736686" w:rsidP="00736686">
      <w:pPr>
        <w:spacing w:after="0" w:line="240" w:lineRule="auto"/>
        <w:jc w:val="both"/>
        <w:rPr>
          <w:rFonts w:ascii="Times New Roman" w:eastAsia="Times New Roman" w:hAnsi="Times New Roman" w:cs="Times New Roman"/>
          <w:b/>
          <w:bCs/>
        </w:rPr>
      </w:pPr>
      <w:r>
        <w:rPr>
          <w:rFonts w:ascii="Times New Roman" w:eastAsia="Times New Roman" w:hAnsi="Times New Roman" w:cs="Times New Roman"/>
          <w:b/>
          <w:bCs/>
        </w:rPr>
        <w:t xml:space="preserve"> Acerca de Habitar la FCF</w:t>
      </w:r>
    </w:p>
    <w:p w14:paraId="6C325148" w14:textId="77777777" w:rsidR="00736686" w:rsidRDefault="00736686" w:rsidP="00736686">
      <w:pPr>
        <w:spacing w:after="0" w:line="240" w:lineRule="auto"/>
        <w:jc w:val="both"/>
        <w:rPr>
          <w:rFonts w:ascii="Times New Roman" w:eastAsia="Times New Roman" w:hAnsi="Times New Roman" w:cs="Times New Roman"/>
          <w:b/>
          <w:bCs/>
        </w:rPr>
      </w:pPr>
    </w:p>
    <w:p w14:paraId="61652274" w14:textId="77777777" w:rsidR="00736686" w:rsidRDefault="00736686" w:rsidP="00736686">
      <w:pPr>
        <w:spacing w:after="0" w:line="240" w:lineRule="auto"/>
        <w:jc w:val="both"/>
      </w:pPr>
      <w:r>
        <w:rPr>
          <w:rFonts w:ascii="Times New Roman" w:eastAsia="Times New Roman" w:hAnsi="Times New Roman" w:cs="Times New Roman"/>
        </w:rPr>
        <w:tab/>
        <w:t>La noción de “habitar” la Facultad de Ciencias Forestales surge a partir de las preocupaciones y esfuerzos institucionales por abordar el acceso y la permanencia estudiantil. Asimismo, se nutre de las discusiones contemporáneas sobre la experiencia universitaria y los procesos de filiación en la educación superior (Bischoff et al., 2025).</w:t>
      </w:r>
      <w:r>
        <w:t xml:space="preserve"> </w:t>
      </w:r>
      <w:r>
        <w:rPr>
          <w:rFonts w:ascii="Times New Roman" w:eastAsia="Times New Roman" w:hAnsi="Times New Roman" w:cs="Times New Roman"/>
        </w:rPr>
        <w:t>Esta noción no se limita a la mera presencia física de los estudiantes en las aulas o instalaciones, sino que involucra una apropiación subjetiva y simbólica del espacio académico.</w:t>
      </w:r>
    </w:p>
    <w:p w14:paraId="7FE79A2C" w14:textId="77777777" w:rsidR="00736686" w:rsidRDefault="00736686" w:rsidP="00736686">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ab/>
        <w:t xml:space="preserve">En este trabajo se recuperan e integran aportes de diversos marcos teóricos de la sociología de la educación, que interesan para hacer referencia específicamente en el contexto de la carrera de Ingeniería Agronómica de la FCF. En este sentido, se acude a la noción de </w:t>
      </w:r>
      <w:r>
        <w:rPr>
          <w:rFonts w:ascii="Times New Roman" w:eastAsia="Times New Roman" w:hAnsi="Times New Roman" w:cs="Times New Roman"/>
          <w:i/>
          <w:iCs/>
        </w:rPr>
        <w:t>experiencia estudiantil</w:t>
      </w:r>
      <w:r>
        <w:rPr>
          <w:rFonts w:ascii="Times New Roman" w:eastAsia="Times New Roman" w:hAnsi="Times New Roman" w:cs="Times New Roman"/>
        </w:rPr>
        <w:t xml:space="preserve"> desde la perspectiva de François Dubet (2005), que la </w:t>
      </w:r>
      <w:r>
        <w:rPr>
          <w:rFonts w:ascii="Times New Roman" w:eastAsia="Times New Roman" w:hAnsi="Times New Roman" w:cs="Times New Roman"/>
        </w:rPr>
        <w:lastRenderedPageBreak/>
        <w:t>entiende como una articulación entre la forma de "ser joven" y la "relación con los estudios". Habitar implica navegar esta tensión en una universidad masificada donde el estudiante debe construir su propio sentido frente a un sistema diverso (Sotelo, 2025b). También se recurre a la idea de</w:t>
      </w:r>
      <w:r>
        <w:rPr>
          <w:rFonts w:ascii="Times New Roman" w:eastAsia="Times New Roman" w:hAnsi="Times New Roman" w:cs="Times New Roman"/>
          <w:i/>
          <w:iCs/>
        </w:rPr>
        <w:t xml:space="preserve"> afiliación y el oficio de estudiante</w:t>
      </w:r>
      <w:r>
        <w:rPr>
          <w:rFonts w:ascii="Times New Roman" w:eastAsia="Times New Roman" w:hAnsi="Times New Roman" w:cs="Times New Roman"/>
        </w:rPr>
        <w:t xml:space="preserve"> desde la mirada de Alain Coulon (1993, 1997, 2008), en tanto, deviene de la idea de pasar de ser un "extraño" a convertirse en un "miembro" pleno de la comunidad universitaria. Para lograrlo, el estudiante debe asimilar la información tácita y las rutinas ocultas de la enseñanza superior (Bischoff et al., 2025). Finalmente, se recupera la noción de</w:t>
      </w:r>
      <w:r>
        <w:rPr>
          <w:rFonts w:ascii="Times New Roman" w:eastAsia="Times New Roman" w:hAnsi="Times New Roman" w:cs="Times New Roman"/>
          <w:i/>
          <w:iCs/>
        </w:rPr>
        <w:t xml:space="preserve"> capital cultural y habitus</w:t>
      </w:r>
      <w:r>
        <w:rPr>
          <w:rFonts w:ascii="Times New Roman" w:eastAsia="Times New Roman" w:hAnsi="Times New Roman" w:cs="Times New Roman"/>
        </w:rPr>
        <w:t xml:space="preserve"> desde Pierre Bourdieu y Jean-Claude Passeron (2009), entendida como un sistema de disposiciones incorporadas que guía la percepción y la acción. Se vincula con el proceso por el cual el/la estudiante ajusta su habitus de origen (frecuentemente rural en el caso de la FCF) a las disposiciones valoradas por la institución (Sotelo, 2025b).</w:t>
      </w:r>
    </w:p>
    <w:p w14:paraId="7312889C" w14:textId="77777777" w:rsidR="00736686" w:rsidRDefault="00736686" w:rsidP="00736686">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ab/>
        <w:t>De tal forma, en este estudio la idea de habitar la FCF implica un proceso dinámico de subjetivación donde el estudiante deja de ser un actor externo para convertirse en un sujeto que participa activamente en la vida cotidiana universitaria y en la construcción de su futuro profesional.</w:t>
      </w:r>
    </w:p>
    <w:p w14:paraId="290FC7FA" w14:textId="77777777" w:rsidR="00736686" w:rsidRDefault="00736686" w:rsidP="00736686">
      <w:pPr>
        <w:spacing w:after="0" w:line="240" w:lineRule="auto"/>
        <w:jc w:val="both"/>
        <w:rPr>
          <w:rFonts w:ascii="Times New Roman" w:eastAsia="Times New Roman" w:hAnsi="Times New Roman" w:cs="Times New Roman"/>
        </w:rPr>
      </w:pPr>
    </w:p>
    <w:p w14:paraId="5D778CAC" w14:textId="77777777" w:rsidR="00736686" w:rsidRDefault="00736686" w:rsidP="00736686">
      <w:pPr>
        <w:spacing w:after="0" w:line="240" w:lineRule="auto"/>
        <w:jc w:val="both"/>
        <w:rPr>
          <w:rFonts w:ascii="Times New Roman" w:eastAsia="Times New Roman" w:hAnsi="Times New Roman" w:cs="Times New Roman"/>
          <w:b/>
          <w:bCs/>
        </w:rPr>
      </w:pPr>
      <w:r>
        <w:rPr>
          <w:rFonts w:ascii="Times New Roman" w:eastAsia="Times New Roman" w:hAnsi="Times New Roman" w:cs="Times New Roman"/>
          <w:b/>
          <w:bCs/>
        </w:rPr>
        <w:t>Sobre dispositivos en la FCF</w:t>
      </w:r>
    </w:p>
    <w:p w14:paraId="4E5C8DEE" w14:textId="77777777" w:rsidR="00736686" w:rsidRDefault="00736686" w:rsidP="00736686">
      <w:pPr>
        <w:spacing w:after="0" w:line="240" w:lineRule="auto"/>
        <w:jc w:val="both"/>
        <w:rPr>
          <w:rFonts w:ascii="Times New Roman" w:eastAsia="Times New Roman" w:hAnsi="Times New Roman" w:cs="Times New Roman"/>
          <w:b/>
          <w:bCs/>
        </w:rPr>
      </w:pPr>
    </w:p>
    <w:p w14:paraId="4FBDCF6F" w14:textId="77777777" w:rsidR="00736686" w:rsidRDefault="00736686" w:rsidP="00736686">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ab/>
        <w:t>Con relación a los dispositivos institucionales, se retoman aquí los aportes que realiza García (2023a; 2023b) a partir del estudio sobre las condiciones, estrategias y mecanismos que se establecen de manera institucional para apoyar el progreso de los estudiantes que ingresan a la educación superior. El autor plantea que la institución educativa, sus prácticas, sus disposiciones y las decisiones de gestión resultan determinantes para el cuidado de las trayectorias de los estudiantes. En este sentido menciona que “en la medida que los decisores institucionales reconocen quiénes son sus estudiantes, sus condiciones objetivas de vida, sus historias y sus trayectorias por el sistema educativo, la capacidad de hospedar de las instituciones educativas mejora” (García, 2023b, p.15). Posteriormente, explica que, en el contexto universitario, “los dispositivos pueden entenderse como conjuntos de relaciones que se establecen entre diferentes componentes de las instituciones y que involucran una variedad de recursos, tanto burocráticos como humanos y económicos, así como estrategias de enseñanza y apoyo administrativo, entre otros” (García, 2025b, p.15).</w:t>
      </w:r>
      <w:r>
        <w:t xml:space="preserve"> </w:t>
      </w:r>
      <w:r>
        <w:rPr>
          <w:rFonts w:ascii="Times New Roman" w:eastAsia="Times New Roman" w:hAnsi="Times New Roman" w:cs="Times New Roman"/>
        </w:rPr>
        <w:t>De tal forma, estos buscan familiarizar a los alumnos con la cultura universitaria, construir su identidad como estudiantes y reducir las brechas de rendimiento para garantizar la retención.</w:t>
      </w:r>
    </w:p>
    <w:p w14:paraId="3FCBA559" w14:textId="77777777" w:rsidR="00736686" w:rsidRDefault="00736686" w:rsidP="00736686">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ab/>
        <w:t>En la FCF se puede reconocer que se han implementado diversos dispositivos institucionales, a continuación, se menciona los explicitados en el Informe de Autoevaluación de Ingeniería Agronómica de la FCF (2025):</w:t>
      </w:r>
    </w:p>
    <w:p w14:paraId="029320E0" w14:textId="77777777" w:rsidR="00736686" w:rsidRDefault="00736686" w:rsidP="00736686">
      <w:pPr>
        <w:spacing w:after="0" w:line="240" w:lineRule="auto"/>
        <w:jc w:val="both"/>
        <w:rPr>
          <w:rFonts w:ascii="Times New Roman" w:eastAsia="Times New Roman" w:hAnsi="Times New Roman" w:cs="Times New Roman"/>
          <w:u w:val="single"/>
        </w:rPr>
      </w:pPr>
      <w:r>
        <w:rPr>
          <w:rFonts w:ascii="Times New Roman" w:eastAsia="Times New Roman" w:hAnsi="Times New Roman" w:cs="Times New Roman"/>
        </w:rPr>
        <w:t>1. Dispositivos de Ingreso y Articulación</w:t>
      </w:r>
    </w:p>
    <w:p w14:paraId="6160E72C" w14:textId="77777777" w:rsidR="00736686" w:rsidRDefault="00736686" w:rsidP="00736686">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ab/>
        <w:t xml:space="preserve">1.1 Introducción a los Estudios Universitarios (IEU): Es un curso de cuatro semanas, orientado a la integración a la vida universitaria y al abordaje de contenidos disciplinares básicos (matemática, química), con encuentros semanales en los que se abordan estrategias para el aprendizaje en el nivel superior. En el nuevo Plan de Estudios 2023, este dispositivo se incorporó formalmente a la malla curricular para mejorar las condiciones de acceso y permanencia. El tránsito de los estudiantes por el curso se </w:t>
      </w:r>
      <w:r>
        <w:rPr>
          <w:rFonts w:ascii="Times New Roman" w:eastAsia="Times New Roman" w:hAnsi="Times New Roman" w:cs="Times New Roman"/>
        </w:rPr>
        <w:lastRenderedPageBreak/>
        <w:t>constituye en un primer acercamiento a los estudios superiores, donde se busca construir sobre todo marcos anticipatorios que les permitan reconocer espacios, actores, procedimientos, rutinas y canales de comunicación formales e informales que tienen lugar en la institución.</w:t>
      </w:r>
    </w:p>
    <w:p w14:paraId="5D916CDC" w14:textId="77777777" w:rsidR="00736686" w:rsidRDefault="00736686" w:rsidP="00736686">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ab/>
        <w:t xml:space="preserve">1.2 Cursos Preuniversitarios: Enmarcados en el proyecto "La Universidad… un camino posible", ofrecen apoyo en disciplinas básicas a estudiantes de nivel secundario antes de su ingreso formal, buscando suavizar la transición entre niveles educativos. Estos cursos funcionan como experiencia anticipatoria, en ellos los estudiantes, que en general poseen motivaciones altas para el ingreso a carreras universitarias, se familiarizan con la institución y buscan muchas veces reafirmar elecciones vocacionales que se encuentran barajando como destinos posibles. </w:t>
      </w:r>
    </w:p>
    <w:p w14:paraId="2F0A17A7" w14:textId="77777777" w:rsidR="00736686" w:rsidRDefault="00736686" w:rsidP="00736686">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2. Dispositivos de Acompañamiento y Tutoría</w:t>
      </w:r>
    </w:p>
    <w:p w14:paraId="313A3271" w14:textId="77777777" w:rsidR="00736686" w:rsidRDefault="00736686" w:rsidP="00736686">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ab/>
        <w:t>2.1 Centro de Orientación Pedagógica y Tutorías: Brinda acompañamiento y orientación pedagógica a estudiantes fundamentalmente durante el ingreso, atención ante situaciones emergentes, como demandas de salud mental, convivencia o aplicación de protocolos contra la violencia de género.</w:t>
      </w:r>
    </w:p>
    <w:p w14:paraId="20ADEB8D" w14:textId="77777777" w:rsidR="00736686" w:rsidRDefault="00736686" w:rsidP="00736686">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ab/>
        <w:t>2.2 Sistema de Tutorías Pares: Implementado desde 2010, es un dispositivo donde participan estudiantes avanzados para orientar y motivar a los ingresantes. Actúa como un "espacio de mediación" para ayudar a los alumnos a adaptarse a las reglas y lógicas institucionales.</w:t>
      </w:r>
    </w:p>
    <w:p w14:paraId="4B32332C" w14:textId="77777777" w:rsidR="00736686" w:rsidRDefault="00736686" w:rsidP="00736686">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Estos espacios, se sostienen a partir de la iniciativa y asunción del rol que realizan docentes que se desempeñan en asignaturas de los primeros años. En este sentido, se trata de un dispositivo cuyas acciones se modifican de acuerdo con necesidades institucionales y al plan de trabajo coordinado anualmente con las Secretarías Académica y de Bienestar Estudiantil. Su sostenimiento, así como el desarrollo de políticas sistemáticas, que permitan su seguimiento y evaluación en el tiempo y desde distintas variables, constituye un desafío a asumir institucionalmente.</w:t>
      </w:r>
    </w:p>
    <w:p w14:paraId="5FE20C9A" w14:textId="77777777" w:rsidR="00736686" w:rsidRDefault="00736686" w:rsidP="00736686">
      <w:pPr>
        <w:spacing w:after="0" w:line="240" w:lineRule="auto"/>
        <w:jc w:val="both"/>
        <w:rPr>
          <w:rFonts w:ascii="Times New Roman" w:eastAsia="Times New Roman" w:hAnsi="Times New Roman" w:cs="Times New Roman"/>
          <w:u w:val="single"/>
        </w:rPr>
      </w:pPr>
      <w:r>
        <w:rPr>
          <w:rFonts w:ascii="Times New Roman" w:eastAsia="Times New Roman" w:hAnsi="Times New Roman" w:cs="Times New Roman"/>
        </w:rPr>
        <w:t>3. Dispositivos de Permanencia y Recuperación</w:t>
      </w:r>
    </w:p>
    <w:p w14:paraId="7E0A662E" w14:textId="77777777" w:rsidR="00736686" w:rsidRDefault="00736686" w:rsidP="00736686">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ab/>
        <w:t xml:space="preserve">3.1 Proyecto para la Permanencia Estudiantil (2024-2025): se trata de un conjunto de medidas, entre las que se destacan los Cursos de Permanencia, en tanto formas alternativas de recursado que intensifican el abordaje de contenidos de primer cuatrimestre. De esta manera los estudiantes pueden acreditar espacios curriculares iniciales y avanzar en momentos donde sus trayectorias se ven lentificadas. Se realizan desde el área de Ciencias Básicas, distintos talleres para la preparación de exámenes finales en matemática y química, en tanto espacios que evidencian mayor abandono e indicadores de recursado, muchas veces por la resistencia a enfrentar instancias de evaluación. En el marco de este proyecto se ofrece también la posibilidad de cursado en cátedras paralelas para algunas asignaturas del primer año, en las que los estudiantes presentan mayores dificultades, y de manera eventual, la institución dispone un doble dictado, ya sea como curso de verano o invierno. </w:t>
      </w:r>
    </w:p>
    <w:p w14:paraId="6FFEE4AD" w14:textId="77777777" w:rsidR="00736686" w:rsidRDefault="00736686" w:rsidP="00736686">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ab/>
        <w:t xml:space="preserve">3.2 Plan de Contingencia y Retención Postpandemia: Durante la emergencia sanitaria, se activaron dispositivos como becas de conectividad, aulas virtuales, entrevistas personalizadas con estudiantes en riesgo y flexibilización de regímenes de correlatividades para evitar la deserción. Muchas de estas prácticas quedaron instaladas como medidas que apoyan la permanencia y aunque su uso no es generalizado, aquellos </w:t>
      </w:r>
      <w:r>
        <w:rPr>
          <w:rFonts w:ascii="Times New Roman" w:eastAsia="Times New Roman" w:hAnsi="Times New Roman" w:cs="Times New Roman"/>
        </w:rPr>
        <w:lastRenderedPageBreak/>
        <w:t xml:space="preserve">estudiantes con trayectorias más extensas, hacen uso de estos espacios, que formaron parte de su recorrido inicial por los estudios universitarios. </w:t>
      </w:r>
    </w:p>
    <w:p w14:paraId="2097A554" w14:textId="77777777" w:rsidR="00736686" w:rsidRDefault="00736686" w:rsidP="00736686">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En general, la permanencia en los estudios superiores resulta menos sistematizada en cuanto a indicadores de logros y eficacia institucional. Por esto, resulta clave poner en juego procesos de investigación que hagan foco en los modos en que se construyen las trayectorias más allá del periodo de umbral o transición que caracteriza a los primeros años. </w:t>
      </w:r>
    </w:p>
    <w:p w14:paraId="74AE5151" w14:textId="77777777" w:rsidR="00736686" w:rsidRDefault="00736686" w:rsidP="00736686">
      <w:pPr>
        <w:spacing w:after="0" w:line="240" w:lineRule="auto"/>
        <w:jc w:val="both"/>
        <w:rPr>
          <w:rFonts w:ascii="Times New Roman" w:eastAsia="Times New Roman" w:hAnsi="Times New Roman" w:cs="Times New Roman"/>
          <w:u w:val="single"/>
        </w:rPr>
      </w:pPr>
      <w:r>
        <w:rPr>
          <w:rFonts w:ascii="Times New Roman" w:eastAsia="Times New Roman" w:hAnsi="Times New Roman" w:cs="Times New Roman"/>
        </w:rPr>
        <w:t>4. Políticas de Bienestar Estudiantil</w:t>
      </w:r>
    </w:p>
    <w:p w14:paraId="5E728D68" w14:textId="77777777" w:rsidR="00736686" w:rsidRDefault="00736686" w:rsidP="00736686">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ab/>
        <w:t xml:space="preserve">4.1 Sistema Integrado de Becas: Provee recursos económicos, alojamiento en albergues propios, servicio de comedor y acceso a servicios de salud a través de la obra social universitaria (Servicio Médico Asistencial de la Universidad Nacional de Misiones- SMAUNaM). Las becas externas que se administran son las del Programa de Respaldo a Estudiantes de Argentina (PROG.R.ES.AR), Becas Manuel Belgrano, Becas universitarias otorgadas por el INYM (Instituto Nacional de la Yerba Mate), Becas Consejo Interuniversitario Nacional (CIN), entre otras, donde la Secretaría de Bienestar Estudiantil (SBE) actúa como nexo y como contraparte institucional en los procesos de selección y evaluación de los rendimientos académicos que por lo general requieren estos programas. Estos recursos son fundamentales para estudiantes en condiciones de vulnerabilidad socioeconómica, en general, las estrategias de permanencia permiten combinar becas internas y externas, y el acceso de los estudiantes a las mismas constituye un aprendizaje más que deben realizar los ingresantes, al incorporarse a la institución. </w:t>
      </w:r>
    </w:p>
    <w:p w14:paraId="6BA7A7B8" w14:textId="77777777" w:rsidR="00736686" w:rsidRDefault="00736686" w:rsidP="00736686">
      <w:pPr>
        <w:spacing w:after="0" w:line="240" w:lineRule="auto"/>
        <w:jc w:val="both"/>
        <w:rPr>
          <w:rFonts w:ascii="Times New Roman" w:eastAsia="Times New Roman" w:hAnsi="Times New Roman" w:cs="Times New Roman"/>
          <w:u w:val="single"/>
        </w:rPr>
      </w:pPr>
      <w:r>
        <w:rPr>
          <w:rFonts w:ascii="Times New Roman" w:eastAsia="Times New Roman" w:hAnsi="Times New Roman" w:cs="Times New Roman"/>
        </w:rPr>
        <w:t>5. Inserción en la Vida Académica</w:t>
      </w:r>
    </w:p>
    <w:p w14:paraId="19DA2EFD" w14:textId="77777777" w:rsidR="00736686" w:rsidRDefault="00736686" w:rsidP="00736686">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ab/>
        <w:t>5.1 Adscripciones y Ayudantías: Permite a los estudiantes participar voluntariamente en equipos de cátedra, lo que fortalece su formación pedagógica y disciplinar.</w:t>
      </w:r>
    </w:p>
    <w:p w14:paraId="62495E2C" w14:textId="77777777" w:rsidR="00736686" w:rsidRDefault="00736686" w:rsidP="00736686">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ab/>
        <w:t>5.2 Suplemento al Título: Registro formal de actividades extracurriculares (investigación, extensión) que enriquecen la trayectoria del estudiante y se certifican al momento de la graduación.</w:t>
      </w:r>
    </w:p>
    <w:p w14:paraId="33AEBC04" w14:textId="77777777" w:rsidR="00736686" w:rsidRDefault="00736686" w:rsidP="00736686">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b/>
        <w:t>En términos generales, la FCF ha diseñado una estructura que se alinea con el paradigma de ingreso no selectivo y acompañado que describe García (2023b), priorizando el hospedaje y el cuidado de las trayectorias diversas por encima de los mecanismos de filtrado.</w:t>
      </w:r>
    </w:p>
    <w:p w14:paraId="516FACDC" w14:textId="77777777" w:rsidR="00736686" w:rsidRDefault="00736686" w:rsidP="00736686">
      <w:pPr>
        <w:spacing w:after="0" w:line="240" w:lineRule="auto"/>
        <w:jc w:val="both"/>
        <w:rPr>
          <w:rFonts w:ascii="Times New Roman" w:eastAsia="Times New Roman" w:hAnsi="Times New Roman" w:cs="Times New Roman"/>
        </w:rPr>
      </w:pPr>
    </w:p>
    <w:p w14:paraId="444751BB" w14:textId="77777777" w:rsidR="00736686" w:rsidRDefault="00736686" w:rsidP="00736686">
      <w:p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 xml:space="preserve"> Discusiones</w:t>
      </w:r>
    </w:p>
    <w:p w14:paraId="7F175CA7" w14:textId="77777777" w:rsidR="00736686" w:rsidRDefault="00736686" w:rsidP="00736686">
      <w:pPr>
        <w:spacing w:after="0" w:line="240" w:lineRule="auto"/>
        <w:jc w:val="both"/>
        <w:rPr>
          <w:rFonts w:ascii="Times New Roman" w:eastAsia="Times New Roman" w:hAnsi="Times New Roman" w:cs="Times New Roman"/>
          <w:b/>
          <w:bCs/>
        </w:rPr>
      </w:pPr>
    </w:p>
    <w:p w14:paraId="3E4A7E2F" w14:textId="77777777" w:rsidR="00736686" w:rsidRDefault="00736686" w:rsidP="00736686">
      <w:pPr>
        <w:spacing w:after="0" w:line="240" w:lineRule="auto"/>
        <w:jc w:val="both"/>
        <w:rPr>
          <w:rFonts w:ascii="Times New Roman" w:eastAsia="Times New Roman" w:hAnsi="Times New Roman" w:cs="Times New Roman"/>
        </w:rPr>
      </w:pPr>
      <w:bookmarkStart w:id="1" w:name="_heading=h.mce0niq123v6" w:colFirst="0" w:colLast="0"/>
      <w:bookmarkEnd w:id="1"/>
      <w:r>
        <w:rPr>
          <w:rFonts w:ascii="Times New Roman" w:eastAsia="Times New Roman" w:hAnsi="Times New Roman" w:cs="Times New Roman"/>
        </w:rPr>
        <w:tab/>
        <w:t>La investigación en la FCF ha permitido la recolección de datos</w:t>
      </w:r>
      <w:r>
        <w:rPr>
          <w:rFonts w:ascii="Times New Roman" w:eastAsia="Times New Roman" w:hAnsi="Times New Roman" w:cs="Times New Roman"/>
          <w:color w:val="1B1B1C"/>
        </w:rPr>
        <w:t xml:space="preserve"> que se organizan aquí en tres categorías centrales: las percepciones sobre los dispositivos de inclusión, la construcción de estrategias de permanencia y la valoración de la cultura pedagógica.</w:t>
      </w:r>
      <w:r>
        <w:rPr>
          <w:rFonts w:ascii="Times New Roman" w:eastAsia="Times New Roman" w:hAnsi="Times New Roman" w:cs="Times New Roman"/>
        </w:rPr>
        <w:t xml:space="preserve"> A continuación, se presentan algunos de esos develamientos iniciales, buscando llevar a cabo una descripción y primeras interpretaciones derivadas de los mismos. Se presentan hallazgos de las entrevistas realizadas a seis jóvenes, cuatro varones y dos mujeres, que serán codificados como A, B, D, E, C y F respectivamente. </w:t>
      </w:r>
    </w:p>
    <w:p w14:paraId="4AD7B34E" w14:textId="77777777" w:rsidR="00736686" w:rsidRDefault="00736686" w:rsidP="00736686">
      <w:pPr>
        <w:spacing w:after="0" w:line="240" w:lineRule="auto"/>
        <w:jc w:val="both"/>
        <w:rPr>
          <w:rFonts w:ascii="Times New Roman" w:eastAsia="Times New Roman" w:hAnsi="Times New Roman" w:cs="Times New Roman"/>
          <w:b/>
          <w:bCs/>
        </w:rPr>
      </w:pPr>
    </w:p>
    <w:p w14:paraId="50069632" w14:textId="77777777" w:rsidR="00736686" w:rsidRDefault="00736686" w:rsidP="00736686">
      <w:pPr>
        <w:spacing w:after="0" w:line="240" w:lineRule="auto"/>
        <w:jc w:val="both"/>
        <w:rPr>
          <w:rFonts w:ascii="Times New Roman" w:eastAsia="Times New Roman" w:hAnsi="Times New Roman" w:cs="Times New Roman"/>
          <w:b/>
          <w:bCs/>
        </w:rPr>
      </w:pPr>
      <w:r>
        <w:rPr>
          <w:rFonts w:ascii="Times New Roman" w:eastAsia="Times New Roman" w:hAnsi="Times New Roman" w:cs="Times New Roman"/>
          <w:b/>
          <w:bCs/>
        </w:rPr>
        <w:t>Percepciones de los Dispositivos de Inclusión</w:t>
      </w:r>
    </w:p>
    <w:p w14:paraId="27BCD45B" w14:textId="77777777" w:rsidR="00736686" w:rsidRDefault="00736686" w:rsidP="00736686">
      <w:pPr>
        <w:spacing w:after="0" w:line="240" w:lineRule="auto"/>
        <w:jc w:val="both"/>
        <w:rPr>
          <w:rFonts w:ascii="Times New Roman" w:eastAsia="Times New Roman" w:hAnsi="Times New Roman" w:cs="Times New Roman"/>
        </w:rPr>
      </w:pPr>
    </w:p>
    <w:p w14:paraId="122B78E2" w14:textId="77777777" w:rsidR="00736686" w:rsidRDefault="00736686" w:rsidP="00736686">
      <w:pPr>
        <w:spacing w:after="0" w:line="240" w:lineRule="auto"/>
        <w:jc w:val="both"/>
        <w:rPr>
          <w:rFonts w:ascii="Times New Roman" w:eastAsia="Times New Roman" w:hAnsi="Times New Roman" w:cs="Times New Roman"/>
        </w:rPr>
      </w:pPr>
      <w:bookmarkStart w:id="2" w:name="_heading=h.ytnevoo966rv" w:colFirst="0" w:colLast="0"/>
      <w:bookmarkEnd w:id="2"/>
      <w:r>
        <w:rPr>
          <w:rFonts w:ascii="Times New Roman" w:eastAsia="Times New Roman" w:hAnsi="Times New Roman" w:cs="Times New Roman"/>
        </w:rPr>
        <w:lastRenderedPageBreak/>
        <w:tab/>
        <w:t xml:space="preserve">A continuación, se mencionan algunas características sobre los perfiles socioeconómicos y académicos de los estudiantes de Ingeniería Agronómica en la FCF, a los fines de contextualizar las miradas y percepciones de estos sobre los dispositivos institucionales que reconocen. Se registra que provienen de diversos orígenes socioeconómicos y educativos, visualizándose que el nivel educativo de las familias influye en el apoyo y las expectativas académicas (Bischoff et al., 2025). En ese sentido, los estudiantes entrevistados, representan la primera generación universitaria en sus familias, lo que complejiza la comprensión de la vida universitaria por parte de sus padres y otros miembros cercanos de su núcleo familiar. Dan cuenta además de su pertenencia a contextos altamente ruralizados y vulnerables, situación que la aleja de las representaciones sociales del ideal de estudiante que profesores y otros actores de la comunidad universitaria aún sostienen, esto analizado desde una perspectiva crítica y a partir de los aportes de teorías de la reproducción (Bischoff et al., 2025). </w:t>
      </w:r>
    </w:p>
    <w:p w14:paraId="28C93711" w14:textId="77777777" w:rsidR="00736686" w:rsidRDefault="00736686" w:rsidP="00736686">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ab/>
        <w:t>En cuanto a los antecedentes académicos, se identifican distintas formaciones previas y también formas diversas de atravesar la experiencia de umbralidad que constituye el primer año de los estudios en la universidad. Por un lado, se relevaron las características de los estudios secundarios seguidos por los entrevistados, por considerarlos un aspecto decisivo respecto del modo en que se produce la integración y vinculación con la universidad. Los relatos dan cuenta de experiencias de formación orientada hacia los estudios agrarios, incluso desde el nivel secundario; asimismo, expresan haber pasado por dificultades para el aprendizaje en asignaturas frecuentemente identificadas con el ciclo básico de la carrera (Bischoff et al., 2025).</w:t>
      </w:r>
    </w:p>
    <w:p w14:paraId="4A524D29" w14:textId="77777777" w:rsidR="00736686" w:rsidRDefault="00736686" w:rsidP="00736686">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ab/>
        <w:t>En relación con la</w:t>
      </w:r>
      <w:r>
        <w:rPr>
          <w:rFonts w:ascii="Times New Roman" w:eastAsia="Times New Roman" w:hAnsi="Times New Roman" w:cs="Times New Roman"/>
          <w:highlight w:val="white"/>
        </w:rPr>
        <w:t xml:space="preserve"> idea de percepción de los estudiantes sobre los dispositivos institucionales haremos referencia a la forma en que los sujetos interpretan, valoran y vivencian las políticas y estrategias que la Facultad de Ciencias Forestales implementa para garantizar su permanencia y evitar el abandono. A partir de los relatos se reconocen los siguientes:</w:t>
      </w:r>
    </w:p>
    <w:p w14:paraId="5266EA65" w14:textId="77777777" w:rsidR="00736686" w:rsidRDefault="00736686" w:rsidP="00736686">
      <w:pPr>
        <w:spacing w:after="0" w:line="240" w:lineRule="auto"/>
        <w:ind w:firstLine="720"/>
        <w:jc w:val="both"/>
        <w:rPr>
          <w:rFonts w:ascii="Times New Roman" w:eastAsia="Times New Roman" w:hAnsi="Times New Roman" w:cs="Times New Roman"/>
          <w:highlight w:val="white"/>
        </w:rPr>
      </w:pPr>
      <w:r>
        <w:rPr>
          <w:rFonts w:ascii="Times New Roman" w:eastAsia="Times New Roman" w:hAnsi="Times New Roman" w:cs="Times New Roman"/>
          <w:i/>
          <w:iCs/>
        </w:rPr>
        <w:t>Valoración de apoyos</w:t>
      </w:r>
      <w:r>
        <w:rPr>
          <w:rFonts w:ascii="Times New Roman" w:eastAsia="Times New Roman" w:hAnsi="Times New Roman" w:cs="Times New Roman"/>
        </w:rPr>
        <w:t xml:space="preserve">. Los estudiantes de la FCF valoran los dispositivos como soportes vitales para su derecho a estudiar. En ese sentido, B manifiesta que ha utilizado el comedor, la beca de fotocopiadora y participa en el centro de estudiantes, además de becas externas, considerando que los apoyos de la facultad están “bastante bien”. Mientras que C, aunque no los ha usado mayormente, reconoce su utilidad (ej. albergue). El comedor universitario y los albergues son los más destacados por su impacto económico y por permitir optimizar el tiempo de estudio en jornadas extensas, E expresa “Y ahorraba mucho tiempo, era muy importante, ya que los primeros años son muy cargados y ayudaba bastante”. Las becas internas y externas (como las del INYM) son calificadas como fundamentales, aunque a veces insuficientes frente al costo de vida. </w:t>
      </w:r>
      <w:r>
        <w:rPr>
          <w:rFonts w:ascii="Times New Roman" w:eastAsia="Times New Roman" w:hAnsi="Times New Roman" w:cs="Times New Roman"/>
          <w:highlight w:val="white"/>
        </w:rPr>
        <w:t xml:space="preserve">El estudiante B menciona que posee una beca externa, otorgada por el INYM, esto da cuenta de la pertenencia de su familia al sector de producción de este cultivo, ya que es requisito para acceder a este beneficio, encontrarse entre quienes conforman la cadena de producción de la yerba mate. </w:t>
      </w:r>
    </w:p>
    <w:p w14:paraId="513B0FFD" w14:textId="77777777" w:rsidR="00736686" w:rsidRDefault="00736686" w:rsidP="00736686">
      <w:pPr>
        <w:spacing w:after="0" w:line="240" w:lineRule="auto"/>
        <w:ind w:firstLine="720"/>
        <w:jc w:val="both"/>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Las percepciones y valoraciones sobre las tutorías de pares varían según la experiencia personal de cada uno, aunque no todos los entrevistados la utilizaron existe un consenso general sobre su importancia como dispositivo de apoyo.  F menciona que, aunque como estudiante no las utilizó, desde su rol de tutora incentivó constantemente a </w:t>
      </w:r>
      <w:r>
        <w:rPr>
          <w:rFonts w:ascii="Times New Roman" w:eastAsia="Times New Roman" w:hAnsi="Times New Roman" w:cs="Times New Roman"/>
          <w:highlight w:val="white"/>
        </w:rPr>
        <w:lastRenderedPageBreak/>
        <w:t>otros a acercarse al Centro de Orientación Pedagógica y Tutorías, valora este dispositivo como importante y sostiene que se le debe dar más visibilidad y difusión. D relata que durante el primer año le fue mal en Matemática, por lo que asistió a clases de tutorías durante las vacaciones, lo cual fue clave para "remontar el año siguiente" y aprobar la materia. Además, considera que los grupos que organizaban tutorías y consultas fueron experiencias iniciales fundamentales que le ayudaron a sentirse parte de la universidad. Las tutorías de pares son valoradas como "espacios de mediación" esenciales para sortear el extrañamiento del primer año, ayudando a entender "cómo estudiar”.</w:t>
      </w:r>
    </w:p>
    <w:p w14:paraId="61E13AF2" w14:textId="77777777" w:rsidR="00736686" w:rsidRDefault="00736686" w:rsidP="00736686">
      <w:pPr>
        <w:spacing w:after="0" w:line="240" w:lineRule="auto"/>
        <w:ind w:firstLine="720"/>
        <w:jc w:val="both"/>
        <w:rPr>
          <w:rFonts w:ascii="Times New Roman" w:eastAsia="Times New Roman" w:hAnsi="Times New Roman" w:cs="Times New Roman"/>
        </w:rPr>
      </w:pPr>
      <w:r>
        <w:rPr>
          <w:rFonts w:ascii="Times New Roman" w:eastAsia="Times New Roman" w:hAnsi="Times New Roman" w:cs="Times New Roman"/>
          <w:i/>
          <w:iCs/>
        </w:rPr>
        <w:t>Accesibilidad percibida</w:t>
      </w:r>
      <w:r>
        <w:rPr>
          <w:rFonts w:ascii="Times New Roman" w:eastAsia="Times New Roman" w:hAnsi="Times New Roman" w:cs="Times New Roman"/>
        </w:rPr>
        <w:t>: Aunque en general valoran positivamente la existencia de estos apoyos, identifican una dicotomía entre la disponibilidad y la visibilidad del recurso. Varios estudiantes coinciden en que, si bien los dispositivos existen, no siempre son conocidos por la totalidad del estudiantado. F sostiene que los dispositivos "necesitan más visibilidad". Argumenta que no basta con que el espacio esté abierto, sino que la facultad debe demostrar activamente que son útiles para todos los estudiantes en momentos difíciles. También se reconoce una desinformación inicial, por ejemplo, C comenta que, aunque escuchó hablar de las tutorías y los protocolos, nunca concurrió a ellos, y que durante sus primeros años ni siquiera sabía de la existencia de un Centro de Estudiantes activo. D menciona que, tras la pandemia, hubo un "aplacamiento" o reducción en la oferta de ciertas actividades de apoyo y becas, lo que se percibe como una disminución en la accesibilidad de estos espacios de mediación.</w:t>
      </w:r>
    </w:p>
    <w:p w14:paraId="189F2E2F" w14:textId="77777777" w:rsidR="00736686" w:rsidRDefault="00736686" w:rsidP="00736686">
      <w:pPr>
        <w:spacing w:after="0" w:line="240" w:lineRule="auto"/>
        <w:ind w:firstLine="720"/>
        <w:jc w:val="both"/>
        <w:rPr>
          <w:rFonts w:ascii="Times New Roman" w:eastAsia="Times New Roman" w:hAnsi="Times New Roman" w:cs="Times New Roman"/>
        </w:rPr>
      </w:pPr>
      <w:r>
        <w:rPr>
          <w:rFonts w:ascii="Times New Roman" w:eastAsia="Times New Roman" w:hAnsi="Times New Roman" w:cs="Times New Roman"/>
        </w:rPr>
        <w:t>Otro aspecto por señalar es que la escala de la facultad (ser una "facultad chica") es vista como un factor que mejora la accesibilidad a los docentes. Los estudiantes valoran la predisposición docente y la facilidad para realizar consultas directas. B destaca que "todo el mundo se conoce y se saluda", lo cual rompe el anonimato de las universidades de masas y facilita el acceso a la orientación pedagógica.</w:t>
      </w:r>
    </w:p>
    <w:p w14:paraId="2DBB7381" w14:textId="77777777" w:rsidR="00736686" w:rsidRDefault="00736686" w:rsidP="00736686">
      <w:pPr>
        <w:spacing w:after="0" w:line="240" w:lineRule="auto"/>
        <w:ind w:firstLine="720"/>
        <w:jc w:val="both"/>
        <w:rPr>
          <w:rFonts w:ascii="Times New Roman" w:eastAsia="Times New Roman" w:hAnsi="Times New Roman" w:cs="Times New Roman"/>
        </w:rPr>
      </w:pPr>
      <w:r>
        <w:rPr>
          <w:rFonts w:ascii="Times New Roman" w:eastAsia="Times New Roman" w:hAnsi="Times New Roman" w:cs="Times New Roman"/>
        </w:rPr>
        <w:t>La accesibilidad no solo se ve limitada por trámites, sino por cómo el estudiante se autopercibe frente al dispositivo, actuando esto como barreras simbólicas y subjetivas. En este sentido, F expresa que pedir ayuda puede ser visto con "vergüenza" por parte de los estudiantes, destaca que se debe trabajar para que el estudiante comprenda que recurrir a estos apoyos externos es parte normal de la trayectoria y no un signo de debilidad. Por otro lado, para A y D, el acceso a clases de consulta y espacios de agrupaciones estudiantiles fue lo que les permitió, en primera instancia, dejar de sentirse "extraños" y comenzar a habitar la facultad.</w:t>
      </w:r>
    </w:p>
    <w:p w14:paraId="0B4AD8B5" w14:textId="77777777" w:rsidR="00736686" w:rsidRDefault="00736686" w:rsidP="00736686">
      <w:pPr>
        <w:spacing w:after="0" w:line="240" w:lineRule="auto"/>
        <w:ind w:firstLine="720"/>
        <w:jc w:val="both"/>
        <w:rPr>
          <w:rFonts w:ascii="Times New Roman" w:eastAsia="Times New Roman" w:hAnsi="Times New Roman" w:cs="Times New Roman"/>
        </w:rPr>
      </w:pPr>
      <w:r>
        <w:rPr>
          <w:rFonts w:ascii="Times New Roman" w:eastAsia="Times New Roman" w:hAnsi="Times New Roman" w:cs="Times New Roman"/>
        </w:rPr>
        <w:t xml:space="preserve">Con relación a la accesibilidad administrativa y económica, los estudiantes evalúan qué tan factible es sostenerse en el sistema con los apoyos actuales. El acceso al comedor implica completar un formulario semanal, proceso que A tiene incorporado a su rutina. Sin embargo, E relata que perdió dos años de carrera por no poder concretar un trámite administrativo (entrega de un papel) durante la pandemia, evidenciando cómo la rigidez burocrática afecta la accesibilidad. Asimismo, B señala que, aunque las becas son accesibles, los montos (como las de los programas Progresar o Manuel Belgrano) no son suficientes para cubrir gastos básicos como un alquiler, lo que limita su efectividad real para estudiantes sin apoyo familiar. Por otro lado, se visualiza que existen tensiones en la mirada sobre los criterios de asignación sobre quién "merece" el acceso. Mientras unos lo ven como un derecho básico, C sugiere que los apoyos deberían "reflejar un cierto rendimiento académico" como incentivo. Estos estudiantes ponen en juego sus </w:t>
      </w:r>
      <w:r>
        <w:rPr>
          <w:rFonts w:ascii="Times New Roman" w:eastAsia="Times New Roman" w:hAnsi="Times New Roman" w:cs="Times New Roman"/>
        </w:rPr>
        <w:lastRenderedPageBreak/>
        <w:t>perspectivas sobre lo que consideran deficiencias de los dispositivos y ensayan propuestas para su modificación.</w:t>
      </w:r>
    </w:p>
    <w:p w14:paraId="51685E1C" w14:textId="77777777" w:rsidR="00736686" w:rsidRDefault="00736686" w:rsidP="00736686">
      <w:pPr>
        <w:spacing w:after="0" w:line="240" w:lineRule="auto"/>
        <w:jc w:val="both"/>
        <w:rPr>
          <w:rFonts w:ascii="Times New Roman" w:eastAsia="Times New Roman" w:hAnsi="Times New Roman" w:cs="Times New Roman"/>
          <w:b/>
          <w:bCs/>
        </w:rPr>
      </w:pPr>
    </w:p>
    <w:p w14:paraId="2BEF4784" w14:textId="77777777" w:rsidR="00736686" w:rsidRDefault="00736686" w:rsidP="00736686">
      <w:pPr>
        <w:spacing w:after="0" w:line="240" w:lineRule="auto"/>
        <w:jc w:val="both"/>
        <w:rPr>
          <w:rFonts w:ascii="Times New Roman" w:eastAsia="Times New Roman" w:hAnsi="Times New Roman" w:cs="Times New Roman"/>
          <w:b/>
          <w:bCs/>
        </w:rPr>
      </w:pPr>
    </w:p>
    <w:p w14:paraId="159769A6" w14:textId="77777777" w:rsidR="00736686" w:rsidRDefault="00736686" w:rsidP="00736686">
      <w:pPr>
        <w:spacing w:after="0" w:line="240" w:lineRule="auto"/>
        <w:jc w:val="both"/>
        <w:rPr>
          <w:rFonts w:ascii="Times New Roman" w:eastAsia="Times New Roman" w:hAnsi="Times New Roman" w:cs="Times New Roman"/>
          <w:b/>
          <w:bCs/>
        </w:rPr>
      </w:pPr>
      <w:r>
        <w:rPr>
          <w:rFonts w:ascii="Times New Roman" w:eastAsia="Times New Roman" w:hAnsi="Times New Roman" w:cs="Times New Roman"/>
          <w:b/>
          <w:bCs/>
        </w:rPr>
        <w:t>El oficio de estudiante y estrategias de permanencia</w:t>
      </w:r>
    </w:p>
    <w:p w14:paraId="6CBCBED9" w14:textId="77777777" w:rsidR="00736686" w:rsidRDefault="00736686" w:rsidP="00736686">
      <w:pPr>
        <w:spacing w:after="0" w:line="240" w:lineRule="auto"/>
        <w:jc w:val="both"/>
        <w:rPr>
          <w:rFonts w:ascii="Times New Roman" w:eastAsia="Times New Roman" w:hAnsi="Times New Roman" w:cs="Times New Roman"/>
        </w:rPr>
      </w:pPr>
    </w:p>
    <w:p w14:paraId="1FF277DB" w14:textId="77777777" w:rsidR="00736686" w:rsidRDefault="00736686" w:rsidP="00736686">
      <w:pPr>
        <w:spacing w:after="0" w:line="240" w:lineRule="auto"/>
        <w:ind w:firstLine="720"/>
        <w:jc w:val="both"/>
        <w:rPr>
          <w:rFonts w:ascii="Times New Roman" w:eastAsia="Times New Roman" w:hAnsi="Times New Roman" w:cs="Times New Roman"/>
        </w:rPr>
      </w:pPr>
      <w:r>
        <w:rPr>
          <w:rFonts w:ascii="Times New Roman" w:eastAsia="Times New Roman" w:hAnsi="Times New Roman" w:cs="Times New Roman"/>
        </w:rPr>
        <w:t>Para los estudiantes entrevistados de la carrera de Ingeniería Agronómica de la FCF, el aprendizaje del "oficio de estudiante" y las estrategias para permanecer en el sistema universitario constituyen un proceso dinámico de adaptación subjetiva, marcado por el paso del extrañamiento inicial a una afiliación efectiva.</w:t>
      </w:r>
    </w:p>
    <w:p w14:paraId="33ECCB20" w14:textId="77777777" w:rsidR="00736686" w:rsidRDefault="00736686" w:rsidP="00736686">
      <w:pPr>
        <w:spacing w:after="0" w:line="240" w:lineRule="auto"/>
        <w:ind w:firstLine="720"/>
        <w:jc w:val="both"/>
        <w:rPr>
          <w:rFonts w:ascii="Times New Roman" w:eastAsia="Times New Roman" w:hAnsi="Times New Roman" w:cs="Times New Roman"/>
        </w:rPr>
      </w:pPr>
      <w:r>
        <w:rPr>
          <w:rFonts w:ascii="Times New Roman" w:eastAsia="Times New Roman" w:hAnsi="Times New Roman" w:cs="Times New Roman"/>
        </w:rPr>
        <w:t xml:space="preserve">Respecto a la </w:t>
      </w:r>
      <w:r>
        <w:rPr>
          <w:rFonts w:ascii="Times New Roman" w:eastAsia="Times New Roman" w:hAnsi="Times New Roman" w:cs="Times New Roman"/>
          <w:i/>
          <w:iCs/>
        </w:rPr>
        <w:t xml:space="preserve">percepción sobre el aprendizaje del "oficio de estudiante", los entrevistados </w:t>
      </w:r>
      <w:r>
        <w:rPr>
          <w:rFonts w:ascii="Times New Roman" w:eastAsia="Times New Roman" w:hAnsi="Times New Roman" w:cs="Times New Roman"/>
        </w:rPr>
        <w:t>interpretan este "oficio" como la adquisición de habilidades y códigos institucionales que trascienden lo puramente académico.</w:t>
      </w:r>
      <w:r>
        <w:rPr>
          <w:rFonts w:ascii="Times New Roman" w:eastAsia="Times New Roman" w:hAnsi="Times New Roman" w:cs="Times New Roman"/>
          <w:i/>
          <w:iCs/>
        </w:rPr>
        <w:t xml:space="preserve"> </w:t>
      </w:r>
      <w:r>
        <w:rPr>
          <w:rFonts w:ascii="Times New Roman" w:eastAsia="Times New Roman" w:hAnsi="Times New Roman" w:cs="Times New Roman"/>
        </w:rPr>
        <w:t>B y F perciben un quiebre respecto a la secundaria, entendiendo que ahora "todo depende de uno mismo" y que deben aprender a sobrevivir solos, vinculando esta idea con la capacidad desarrollar autonomía y responsabilidad de sus actos. En tanto C y E se refieren al dominio de códigos y lenguajes; C menciona que hay que aprender a descifrar lo que el docente espera de ellos (no sólo memoria, sino conceptos) y, E hace alusión a manejar un vocabulario técnico o "dialecto específico" para comunicarse con colegas y productores. Por otro lado, B menciona que el oficio incluye aprender a manejarse en la vida cotidiana, administrar el dinero propio y entender trámites burocráticos como el uso del SIU Guaraní. En tanto, tanto E y F valoran el aprendizaje de la oratoria, la capacidad de liderazgo y la interacción social como competencias fundamentales para su futuro profesional.</w:t>
      </w:r>
    </w:p>
    <w:p w14:paraId="1E3957CE" w14:textId="77777777" w:rsidR="00736686" w:rsidRDefault="00736686" w:rsidP="00736686">
      <w:pPr>
        <w:spacing w:after="0" w:line="240" w:lineRule="auto"/>
        <w:ind w:firstLine="720"/>
        <w:jc w:val="both"/>
        <w:rPr>
          <w:rFonts w:ascii="Times New Roman" w:eastAsia="Times New Roman" w:hAnsi="Times New Roman" w:cs="Times New Roman"/>
        </w:rPr>
      </w:pPr>
      <w:r>
        <w:rPr>
          <w:rFonts w:ascii="Times New Roman" w:eastAsia="Times New Roman" w:hAnsi="Times New Roman" w:cs="Times New Roman"/>
        </w:rPr>
        <w:t xml:space="preserve">Frente a los desafíos de la carrera y situaciones críticas como la pandemia, los estudiantes despliegan diversas </w:t>
      </w:r>
      <w:r>
        <w:rPr>
          <w:rFonts w:ascii="Times New Roman" w:eastAsia="Times New Roman" w:hAnsi="Times New Roman" w:cs="Times New Roman"/>
          <w:i/>
          <w:iCs/>
        </w:rPr>
        <w:t>estrategias de permanencia</w:t>
      </w:r>
      <w:r>
        <w:rPr>
          <w:rFonts w:ascii="Times New Roman" w:eastAsia="Times New Roman" w:hAnsi="Times New Roman" w:cs="Times New Roman"/>
        </w:rPr>
        <w:t xml:space="preserve">. </w:t>
      </w:r>
    </w:p>
    <w:p w14:paraId="18EA30C3" w14:textId="77777777" w:rsidR="00736686" w:rsidRDefault="00736686" w:rsidP="00736686">
      <w:pPr>
        <w:spacing w:after="0" w:line="240" w:lineRule="auto"/>
        <w:ind w:firstLine="720"/>
        <w:jc w:val="both"/>
        <w:rPr>
          <w:rFonts w:ascii="Times New Roman" w:eastAsia="Times New Roman" w:hAnsi="Times New Roman" w:cs="Times New Roman"/>
        </w:rPr>
      </w:pPr>
      <w:r>
        <w:rPr>
          <w:rFonts w:ascii="Times New Roman" w:eastAsia="Times New Roman" w:hAnsi="Times New Roman" w:cs="Times New Roman"/>
        </w:rPr>
        <w:t xml:space="preserve">Las redes de sostén (el grupo de pares), es la estrategia más mencionada y valorada por todos. El grupo de compañeros funciona como un "sustento emocional" indispensable ante la lejanía familiar y las crisis mentales. Académicamente, el grupo permite intercambiar apuntes, practicar oratoria para los exámenes y "contagiarse" las ganas de estudiar. </w:t>
      </w:r>
    </w:p>
    <w:p w14:paraId="6B5D61C8" w14:textId="77777777" w:rsidR="00736686" w:rsidRDefault="00736686" w:rsidP="00736686">
      <w:pPr>
        <w:spacing w:after="0" w:line="240" w:lineRule="auto"/>
        <w:ind w:firstLine="720"/>
        <w:jc w:val="both"/>
        <w:rPr>
          <w:rFonts w:ascii="Times New Roman" w:eastAsia="Times New Roman" w:hAnsi="Times New Roman" w:cs="Times New Roman"/>
        </w:rPr>
      </w:pPr>
      <w:r>
        <w:rPr>
          <w:rFonts w:ascii="Times New Roman" w:eastAsia="Times New Roman" w:hAnsi="Times New Roman" w:cs="Times New Roman"/>
        </w:rPr>
        <w:t>Desarrollar cualidades personales como la perseverancia y disciplina. A y D lo definen como "intentar hasta lograr", siendo clave para no abandonar tras reprobar materias "filtro" como Matemática o Química. Para el estudiante A significa "no darse por muertos" incluso quedando libres. B habla de tener autodisciplina, lo que representa imponerse rutinas de estudio rigurosas (como estudiar todas las noches) y saber decir que no a distracciones cuando se está "apretado" con las fechas.</w:t>
      </w:r>
    </w:p>
    <w:p w14:paraId="787D37A7" w14:textId="77777777" w:rsidR="00736686" w:rsidRDefault="00736686" w:rsidP="00736686">
      <w:pPr>
        <w:spacing w:after="0" w:line="240" w:lineRule="auto"/>
        <w:ind w:firstLine="720"/>
        <w:jc w:val="both"/>
        <w:rPr>
          <w:rFonts w:ascii="Times New Roman" w:eastAsia="Times New Roman" w:hAnsi="Times New Roman" w:cs="Times New Roman"/>
        </w:rPr>
      </w:pPr>
      <w:r>
        <w:rPr>
          <w:rFonts w:ascii="Times New Roman" w:eastAsia="Times New Roman" w:hAnsi="Times New Roman" w:cs="Times New Roman"/>
        </w:rPr>
        <w:t>Otra estrategia se refiere a la gestión del tiempo y del espacio. A y D manifiestan que una decisión clave es reducir los viajes a sus localidades de origen para quedarse a preparar finales durante los fines de semana o vacaciones. En tanto, E menciona que es importante integrar actividades físicas (correr, gimnasio, básquet, fútbol) para mantener la salud mental y "despejar la mente" ante la presión de estar todo el día encerrado estudiando.</w:t>
      </w:r>
    </w:p>
    <w:p w14:paraId="76CD0790" w14:textId="77777777" w:rsidR="00736686" w:rsidRDefault="00736686" w:rsidP="00736686">
      <w:pPr>
        <w:spacing w:after="0" w:line="240" w:lineRule="auto"/>
        <w:ind w:firstLine="720"/>
        <w:jc w:val="both"/>
        <w:rPr>
          <w:rFonts w:ascii="Times New Roman" w:eastAsia="Times New Roman" w:hAnsi="Times New Roman" w:cs="Times New Roman"/>
        </w:rPr>
      </w:pPr>
      <w:r>
        <w:rPr>
          <w:rFonts w:ascii="Times New Roman" w:eastAsia="Times New Roman" w:hAnsi="Times New Roman" w:cs="Times New Roman"/>
        </w:rPr>
        <w:t xml:space="preserve">Con relación a las estrategias académicas y de búsqueda de ayuda, el estudiante E decide optar por aprobar primero todas las materias de los años iniciales antes de avanzar con las del tramo medio para evitar trabas por correlatividades. Los estudiantes A, B, C y </w:t>
      </w:r>
      <w:r>
        <w:rPr>
          <w:rFonts w:ascii="Times New Roman" w:eastAsia="Times New Roman" w:hAnsi="Times New Roman" w:cs="Times New Roman"/>
        </w:rPr>
        <w:lastRenderedPageBreak/>
        <w:t>D recurren al apoyo externo y tecnológico como clases particulares, videotutoriales en internet, clases de consulta con docentes y el uso de la inteligencia artificial como herramienta de apoyo. El estudiante D destaca el acompañamiento profesional mediante la terapia como una decisión estratégica fundamental para superar miedos sociales y mejorar su desempeño en la facultad.</w:t>
      </w:r>
    </w:p>
    <w:p w14:paraId="32A80FEE" w14:textId="77777777" w:rsidR="00736686" w:rsidRDefault="00736686" w:rsidP="00736686">
      <w:pPr>
        <w:spacing w:after="0" w:line="240" w:lineRule="auto"/>
        <w:jc w:val="both"/>
        <w:rPr>
          <w:rFonts w:ascii="Times New Roman" w:eastAsia="Times New Roman" w:hAnsi="Times New Roman" w:cs="Times New Roman"/>
        </w:rPr>
      </w:pPr>
    </w:p>
    <w:p w14:paraId="7477F799" w14:textId="77777777" w:rsidR="00736686" w:rsidRDefault="00736686" w:rsidP="00736686">
      <w:pPr>
        <w:spacing w:after="0" w:line="240" w:lineRule="auto"/>
        <w:jc w:val="both"/>
        <w:rPr>
          <w:rFonts w:ascii="Times New Roman" w:eastAsia="Times New Roman" w:hAnsi="Times New Roman" w:cs="Times New Roman"/>
          <w:b/>
          <w:bCs/>
        </w:rPr>
      </w:pPr>
      <w:r>
        <w:rPr>
          <w:rFonts w:ascii="Times New Roman" w:eastAsia="Times New Roman" w:hAnsi="Times New Roman" w:cs="Times New Roman"/>
          <w:b/>
          <w:bCs/>
        </w:rPr>
        <w:t>Cultura Curricular y Pedagógica</w:t>
      </w:r>
    </w:p>
    <w:p w14:paraId="39629621" w14:textId="77777777" w:rsidR="00736686" w:rsidRDefault="00736686" w:rsidP="00736686">
      <w:pPr>
        <w:spacing w:after="0" w:line="240" w:lineRule="auto"/>
        <w:jc w:val="both"/>
        <w:rPr>
          <w:rFonts w:ascii="Times New Roman" w:eastAsia="Times New Roman" w:hAnsi="Times New Roman" w:cs="Times New Roman"/>
        </w:rPr>
      </w:pPr>
    </w:p>
    <w:p w14:paraId="1626390C" w14:textId="77777777" w:rsidR="00736686" w:rsidRDefault="00736686" w:rsidP="00736686">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ab/>
        <w:t>La FCF define la estructura curricular de Ingeniería Agronómica en tres ciclos: Formación Básica, Aplicada y Profesional. El plan original de 2011 buscaba integrar recursos con Ingeniería Forestal, pero los estudiantes perciben esto como una debilidad en su formación, por lo que sus percepciones sobre la articulación tienden a tomar un carácter negativo (Vercellino, 2025). La división curricular en áreas básica, aplicada y profesional remite a una clasificación en torno a las competencias y saberes prácticos que se ponen en juego en cada espacio, más que a momentos de la formación o del plan de estudios. No obstante, existe un predominio de las llamadas ciencias básicas y de los saberes de carácter teórico en los primeros años de trayectoria. Hacia esta etapa se ha orientado en general la acción institucional a través de los sistemas de apoyo a las trayectorias.</w:t>
      </w:r>
    </w:p>
    <w:p w14:paraId="536738A8" w14:textId="77777777" w:rsidR="00736686" w:rsidRDefault="00736686" w:rsidP="00736686">
      <w:pPr>
        <w:spacing w:after="0" w:line="240" w:lineRule="auto"/>
        <w:jc w:val="both"/>
        <w:rPr>
          <w:rFonts w:ascii="Times New Roman" w:eastAsia="Times New Roman" w:hAnsi="Times New Roman" w:cs="Times New Roman"/>
        </w:rPr>
      </w:pPr>
      <w:r>
        <w:rPr>
          <w:rFonts w:ascii="Times New Roman" w:eastAsia="Times New Roman" w:hAnsi="Times New Roman" w:cs="Times New Roman"/>
          <w:i/>
          <w:iCs/>
        </w:rPr>
        <w:tab/>
        <w:t>El tramo medio como obstáculo</w:t>
      </w:r>
      <w:r>
        <w:rPr>
          <w:rFonts w:ascii="Times New Roman" w:eastAsia="Times New Roman" w:hAnsi="Times New Roman" w:cs="Times New Roman"/>
        </w:rPr>
        <w:t>: El tránsito entre los tramos inicial y medio es percibido como un periodo de exigencia y ralentización de las trayectorias debido a la carga horaria y la densidad de los contenidos. Se identifica un salto crítico de complejidad al pasar de las ciencias básicas a las específicas de producción. El tercer año es identificado por los estudiantes B y E como el más pesado, con jornadas completas en la facultad que agotan físicamente y demandan perseverancia para no abandonar. Se mencionan asignaturas como Botánica, Sistemática Vegetal y Química Biológica como obstáculos críticos en los primeros años que a menudo traban el avance por sus regímenes de correlatividad. A pesar de la dificultad, estudiantes como D</w:t>
      </w:r>
      <w:r>
        <w:rPr>
          <w:rFonts w:ascii="Times New Roman" w:eastAsia="Times New Roman" w:hAnsi="Times New Roman" w:cs="Times New Roman"/>
          <w:b/>
          <w:bCs/>
        </w:rPr>
        <w:t xml:space="preserve"> </w:t>
      </w:r>
      <w:r>
        <w:rPr>
          <w:rFonts w:ascii="Times New Roman" w:eastAsia="Times New Roman" w:hAnsi="Times New Roman" w:cs="Times New Roman"/>
        </w:rPr>
        <w:t>y</w:t>
      </w:r>
      <w:r>
        <w:rPr>
          <w:rFonts w:ascii="Times New Roman" w:eastAsia="Times New Roman" w:hAnsi="Times New Roman" w:cs="Times New Roman"/>
          <w:b/>
          <w:bCs/>
        </w:rPr>
        <w:t xml:space="preserve"> </w:t>
      </w:r>
      <w:r>
        <w:rPr>
          <w:rFonts w:ascii="Times New Roman" w:eastAsia="Times New Roman" w:hAnsi="Times New Roman" w:cs="Times New Roman"/>
        </w:rPr>
        <w:t>C comentan que en el tramo medio lograron "tomarle la mano" al oficio de estudiante, aprendiendo a organizarse mejor y a descifrar lo que los docentes esperan de ellos.</w:t>
      </w:r>
    </w:p>
    <w:p w14:paraId="39F560D2" w14:textId="77777777" w:rsidR="00736686" w:rsidRDefault="00736686" w:rsidP="00736686">
      <w:pPr>
        <w:spacing w:after="0" w:line="240" w:lineRule="auto"/>
        <w:jc w:val="both"/>
        <w:rPr>
          <w:rFonts w:ascii="Times New Roman" w:eastAsia="Times New Roman" w:hAnsi="Times New Roman" w:cs="Times New Roman"/>
        </w:rPr>
      </w:pPr>
      <w:r>
        <w:rPr>
          <w:rFonts w:ascii="Times New Roman" w:eastAsia="Times New Roman" w:hAnsi="Times New Roman" w:cs="Times New Roman"/>
          <w:i/>
          <w:iCs/>
        </w:rPr>
        <w:tab/>
        <w:t>Relación Pedagógica</w:t>
      </w:r>
      <w:r>
        <w:rPr>
          <w:rFonts w:ascii="Times New Roman" w:eastAsia="Times New Roman" w:hAnsi="Times New Roman" w:cs="Times New Roman"/>
        </w:rPr>
        <w:t>: Uno de los puntos mejor valorados por los estudiantes es el vínculo cercano y facilitador con el cuerpo docente, favorecido por la escala pequeña de la facultad. No obstante, existe una demanda persistente por una formación que trascienda lo puramente teórico. El temor a "no saber qué hacer" en el campo al recibirse indica la necesidad de fortalecer las prácticas profesionalizantes desde etapas tempranas. Estudiantes como F</w:t>
      </w:r>
      <w:r>
        <w:rPr>
          <w:rFonts w:ascii="Times New Roman" w:eastAsia="Times New Roman" w:hAnsi="Times New Roman" w:cs="Times New Roman"/>
          <w:b/>
          <w:bCs/>
        </w:rPr>
        <w:t xml:space="preserve">, </w:t>
      </w:r>
      <w:r>
        <w:rPr>
          <w:rFonts w:ascii="Times New Roman" w:eastAsia="Times New Roman" w:hAnsi="Times New Roman" w:cs="Times New Roman"/>
        </w:rPr>
        <w:t>D</w:t>
      </w:r>
      <w:r>
        <w:rPr>
          <w:rFonts w:ascii="Times New Roman" w:eastAsia="Times New Roman" w:hAnsi="Times New Roman" w:cs="Times New Roman"/>
          <w:b/>
          <w:bCs/>
        </w:rPr>
        <w:t xml:space="preserve"> </w:t>
      </w:r>
      <w:r>
        <w:rPr>
          <w:rFonts w:ascii="Times New Roman" w:eastAsia="Times New Roman" w:hAnsi="Times New Roman" w:cs="Times New Roman"/>
        </w:rPr>
        <w:t>y</w:t>
      </w:r>
      <w:r>
        <w:rPr>
          <w:rFonts w:ascii="Times New Roman" w:eastAsia="Times New Roman" w:hAnsi="Times New Roman" w:cs="Times New Roman"/>
          <w:b/>
          <w:bCs/>
        </w:rPr>
        <w:t xml:space="preserve"> </w:t>
      </w:r>
      <w:r>
        <w:rPr>
          <w:rFonts w:ascii="Times New Roman" w:eastAsia="Times New Roman" w:hAnsi="Times New Roman" w:cs="Times New Roman"/>
        </w:rPr>
        <w:t>B</w:t>
      </w:r>
      <w:r>
        <w:rPr>
          <w:rFonts w:ascii="Times New Roman" w:eastAsia="Times New Roman" w:hAnsi="Times New Roman" w:cs="Times New Roman"/>
          <w:b/>
          <w:bCs/>
        </w:rPr>
        <w:t xml:space="preserve"> </w:t>
      </w:r>
      <w:r>
        <w:rPr>
          <w:rFonts w:ascii="Times New Roman" w:eastAsia="Times New Roman" w:hAnsi="Times New Roman" w:cs="Times New Roman"/>
        </w:rPr>
        <w:t>destacan que los profesores son muy accesibles, están siempre dispuestos a ayudar en clases de consulta y comprenden las dificultades de los alumnos. Aunque la percepción general es positiva, se reconoce que esto depende de cada equipo de cátedra; algunos son descritos como muy exigentes y distantes, mientras que otros son "más tranquis" y buscan que el estudiante apruebe proporcionando materiales adicionales. La predisposición docente es vista como un factor clave para la permanencia; D menciona que ver el apoyo de los docentes lo hace sentir "más motivado y con ganas de seguir adelante". Por su parte, C destaca que el buen trato de una profesora en su primera clase presencial fue fundamental para que ella retomara sus estudios tras la pandemia.</w:t>
      </w:r>
    </w:p>
    <w:p w14:paraId="15901F53" w14:textId="77777777" w:rsidR="00736686" w:rsidRDefault="00736686" w:rsidP="00736686">
      <w:pPr>
        <w:spacing w:after="0" w:line="240" w:lineRule="auto"/>
        <w:jc w:val="both"/>
        <w:rPr>
          <w:rFonts w:ascii="Times New Roman" w:eastAsia="Times New Roman" w:hAnsi="Times New Roman" w:cs="Times New Roman"/>
        </w:rPr>
      </w:pPr>
    </w:p>
    <w:p w14:paraId="550E6E1F" w14:textId="77777777" w:rsidR="00736686" w:rsidRDefault="00736686" w:rsidP="00736686">
      <w:p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lastRenderedPageBreak/>
        <w:t>Conclusión</w:t>
      </w:r>
    </w:p>
    <w:p w14:paraId="25A3733B" w14:textId="77777777" w:rsidR="00736686" w:rsidRDefault="00736686" w:rsidP="00736686">
      <w:pPr>
        <w:spacing w:after="0" w:line="240" w:lineRule="auto"/>
        <w:jc w:val="center"/>
        <w:rPr>
          <w:rFonts w:ascii="Times New Roman" w:eastAsia="Times New Roman" w:hAnsi="Times New Roman" w:cs="Times New Roman"/>
          <w:b/>
          <w:bCs/>
        </w:rPr>
      </w:pPr>
    </w:p>
    <w:p w14:paraId="0A885B5B" w14:textId="77777777" w:rsidR="00736686" w:rsidRDefault="00736686" w:rsidP="00736686">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ab/>
        <w:t xml:space="preserve">Este trabajo ha presentado los hallazgos iniciales de una investigación en curso, cuyo objetivo es comprender las complejas trayectorias académicas de los estudiantes de Ingeniería Agronómica en la FCF, abordando sobre su afiliación, </w:t>
      </w:r>
      <w:r>
        <w:rPr>
          <w:rFonts w:ascii="Times New Roman" w:eastAsia="Times New Roman" w:hAnsi="Times New Roman" w:cs="Times New Roman"/>
          <w:color w:val="1B1B1C"/>
        </w:rPr>
        <w:t>percepciones sobre los dispositivos de inclusión, construcción de estrategias de permanencia y valoración de la cultura pedagógica.</w:t>
      </w:r>
    </w:p>
    <w:p w14:paraId="2C255906" w14:textId="77777777" w:rsidR="00736686" w:rsidRDefault="00736686" w:rsidP="00736686">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ab/>
        <w:t>En línea con las perspectivas teóricas, se puede mencionar que “Habitar” la carrera de Ingeniería Agronómica de la FCF es un proceso dinámico de transformación subjetiva donde el estudiante se apropia del espacio institucional, otorgando de sentido a las reglas, reglamentaciones y vínculos institucionales para construir su propio recorrido personal y profesional. También implica la construcción de una identidad, vinculada a la transformación del sujeto, quien al habitar la facultad "se vuelve más fuerte hacia los desafíos" y desarrolla un sentido de orgullo y pertenencia. Asimismo, el uso de dispositivos institucionales</w:t>
      </w:r>
      <w:r>
        <w:rPr>
          <w:rFonts w:ascii="Times New Roman" w:eastAsia="Times New Roman" w:hAnsi="Times New Roman" w:cs="Times New Roman"/>
          <w:i/>
          <w:iCs/>
        </w:rPr>
        <w:t xml:space="preserve"> </w:t>
      </w:r>
      <w:r>
        <w:rPr>
          <w:rFonts w:ascii="Times New Roman" w:eastAsia="Times New Roman" w:hAnsi="Times New Roman" w:cs="Times New Roman"/>
        </w:rPr>
        <w:t>da cuenta de cómo los estudiantes viven y valoran los apoyos que la facultad implementa (comedor, albergues, becas, tutorías) no solo como recursos materiales, sino como facilitadores de su filiación institucional. Cabe señalar que las redes de pares, en tanto, grupos de compañeros, cumplen un papel de sostén emocional y académico, permitiendo que el estudiante se sienta integrado en una comunidad en lugar de permanecer en el anonimato (Bischoff et al., 2025).</w:t>
      </w:r>
    </w:p>
    <w:p w14:paraId="2FD5000A" w14:textId="77777777" w:rsidR="00736686" w:rsidRDefault="00736686" w:rsidP="00736686">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ab/>
        <w:t>De lo puesto en discusión, se puede mencionar que visibiliza una tensión persistente entre el "estudiante esperado" por la academia y el "estudiante real" que ingresa con trayectorias escolares a menudo vulnerables provenientes de zonas rurales. Esta brecha obliga a la FCF a repensar su pedagogía no como una mera transmisión de saberes, sino como un acompañamiento que reconozca la diversidad de capitales culturales. Por otro lado, la pandemia de COVID-19 actuó como un hito de desestabilización que evidenció desigualdades tecnológicas (falta de servicios de internet en zonas rurales), obligando a la institución a flexibilizar regímenes de correlatividades y crear "cursos de permanencia" para evitar el desgranamiento. Asimismo, el nuevo Plan de Estudios 2023 representa una respuesta institucional para fraccionar contenidos sobrecargados y mejorar la articulación teoría-práctica.</w:t>
      </w:r>
    </w:p>
    <w:p w14:paraId="196F56B4" w14:textId="77777777" w:rsidR="00736686" w:rsidRDefault="00736686" w:rsidP="00736686">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ab/>
        <w:t>Teniendo en cuenta la perspectiva de derechos, el éxito académico no puede depender exclusivamente del esfuerzo individual o del capital cultural heredado. Es imperativo que la universidad profundice su pedagogía de la afiliación, explicitando los códigos del oficio académico y fortaleciendo los dispositivos de apoyo emocional y material. Mediante el reconocimiento de las trayectorias reales y la integración efectiva de la práctica profesional desde los tramos medios, la FCF podrá garantizar que el derecho a la educación superior sea una realidad transformadora para los jóvenes del agro misionero.</w:t>
      </w:r>
    </w:p>
    <w:p w14:paraId="5F5DED6A" w14:textId="77777777" w:rsidR="00736686" w:rsidRDefault="00736686" w:rsidP="00736686">
      <w:pPr>
        <w:spacing w:after="0" w:line="240" w:lineRule="auto"/>
        <w:rPr>
          <w:rFonts w:ascii="Times New Roman" w:eastAsia="Times New Roman" w:hAnsi="Times New Roman" w:cs="Times New Roman"/>
          <w:b/>
          <w:bCs/>
        </w:rPr>
      </w:pPr>
    </w:p>
    <w:p w14:paraId="3169D3ED" w14:textId="77777777" w:rsidR="00736686" w:rsidRDefault="00736686" w:rsidP="00736686">
      <w:pPr>
        <w:spacing w:after="0" w:line="240" w:lineRule="auto"/>
        <w:jc w:val="both"/>
        <w:rPr>
          <w:rFonts w:ascii="Times New Roman" w:eastAsia="Times New Roman" w:hAnsi="Times New Roman" w:cs="Times New Roman"/>
        </w:rPr>
      </w:pPr>
    </w:p>
    <w:p w14:paraId="43F3EB76" w14:textId="3ABDCB5A" w:rsidR="00736686" w:rsidRDefault="00736686" w:rsidP="00736686">
      <w:pPr>
        <w:spacing w:after="0" w:line="240" w:lineRule="auto"/>
        <w:jc w:val="both"/>
      </w:pPr>
      <w:r>
        <w:br w:type="page"/>
      </w:r>
    </w:p>
    <w:p w14:paraId="7F9CE8D4" w14:textId="77777777" w:rsidR="00736686" w:rsidRDefault="00736686" w:rsidP="00736686">
      <w:pPr>
        <w:spacing w:after="0" w:line="240" w:lineRule="auto"/>
        <w:jc w:val="both"/>
      </w:pPr>
    </w:p>
    <w:p w14:paraId="419CFA7C" w14:textId="77777777" w:rsidR="00736686" w:rsidRDefault="00736686" w:rsidP="00736686">
      <w:p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Referencias</w:t>
      </w:r>
    </w:p>
    <w:p w14:paraId="3E424F6C" w14:textId="77777777" w:rsidR="00736686" w:rsidRDefault="00736686" w:rsidP="00736686">
      <w:p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 xml:space="preserve"> </w:t>
      </w:r>
    </w:p>
    <w:p w14:paraId="10EDBD0D" w14:textId="77777777" w:rsidR="00736686" w:rsidRDefault="00736686" w:rsidP="00736686">
      <w:pPr>
        <w:spacing w:after="0" w:line="240" w:lineRule="auto"/>
        <w:ind w:left="1440" w:right="720" w:hanging="720"/>
        <w:jc w:val="both"/>
        <w:rPr>
          <w:rFonts w:ascii="Times New Roman" w:eastAsia="Times New Roman" w:hAnsi="Times New Roman" w:cs="Times New Roman"/>
        </w:rPr>
      </w:pPr>
    </w:p>
    <w:p w14:paraId="0B7A54E5" w14:textId="77777777" w:rsidR="00736686" w:rsidRDefault="00736686" w:rsidP="00736686">
      <w:pPr>
        <w:spacing w:after="0" w:line="240" w:lineRule="auto"/>
        <w:ind w:left="1440" w:right="720" w:hanging="720"/>
        <w:jc w:val="both"/>
        <w:rPr>
          <w:rFonts w:ascii="Times New Roman" w:eastAsia="Times New Roman" w:hAnsi="Times New Roman" w:cs="Times New Roman"/>
          <w:color w:val="0563C1"/>
          <w:highlight w:val="white"/>
          <w:u w:val="single"/>
        </w:rPr>
      </w:pPr>
      <w:r>
        <w:rPr>
          <w:rFonts w:ascii="Times New Roman" w:eastAsia="Times New Roman" w:hAnsi="Times New Roman" w:cs="Times New Roman"/>
          <w:highlight w:val="white"/>
        </w:rPr>
        <w:t xml:space="preserve">Bischoff, M. C., Bobadilla, M., Parra, M., &amp; Maslowski, G. A. (2026) Trayectorias académicas y educación superior agraria: inserción y afiliación estudiantil en la Facultad de Ciencias Forestales. </w:t>
      </w:r>
      <w:r>
        <w:rPr>
          <w:rFonts w:ascii="Times New Roman" w:eastAsia="Times New Roman" w:hAnsi="Times New Roman" w:cs="Times New Roman"/>
          <w:i/>
          <w:iCs/>
          <w:highlight w:val="white"/>
        </w:rPr>
        <w:t>Revista Vivências</w:t>
      </w:r>
      <w:r>
        <w:rPr>
          <w:rFonts w:ascii="Times New Roman" w:eastAsia="Times New Roman" w:hAnsi="Times New Roman" w:cs="Times New Roman"/>
          <w:highlight w:val="white"/>
        </w:rPr>
        <w:t xml:space="preserve">, </w:t>
      </w:r>
      <w:r>
        <w:rPr>
          <w:rFonts w:ascii="Times New Roman" w:eastAsia="Times New Roman" w:hAnsi="Times New Roman" w:cs="Times New Roman"/>
          <w:i/>
          <w:iCs/>
          <w:highlight w:val="white"/>
        </w:rPr>
        <w:t>22</w:t>
      </w:r>
      <w:r>
        <w:rPr>
          <w:rFonts w:ascii="Times New Roman" w:eastAsia="Times New Roman" w:hAnsi="Times New Roman" w:cs="Times New Roman"/>
          <w:highlight w:val="white"/>
        </w:rPr>
        <w:t xml:space="preserve">(45), 23–34. </w:t>
      </w:r>
      <w:hyperlink r:id="rId6">
        <w:r>
          <w:rPr>
            <w:rFonts w:ascii="Times New Roman" w:eastAsia="Times New Roman" w:hAnsi="Times New Roman" w:cs="Times New Roman"/>
            <w:color w:val="0563C1"/>
            <w:highlight w:val="white"/>
            <w:u w:val="single"/>
          </w:rPr>
          <w:t>https://doi.org/10.31512/vivencias.v22i45.1867</w:t>
        </w:r>
      </w:hyperlink>
    </w:p>
    <w:p w14:paraId="6F179F5E" w14:textId="77777777" w:rsidR="00736686" w:rsidRDefault="00736686" w:rsidP="00736686">
      <w:pPr>
        <w:spacing w:after="0" w:line="240" w:lineRule="auto"/>
        <w:ind w:left="1440" w:right="720" w:hanging="720"/>
        <w:jc w:val="both"/>
        <w:rPr>
          <w:rFonts w:ascii="Times New Roman" w:eastAsia="Times New Roman" w:hAnsi="Times New Roman" w:cs="Times New Roman"/>
          <w:highlight w:val="white"/>
        </w:rPr>
      </w:pPr>
    </w:p>
    <w:p w14:paraId="7849D29B" w14:textId="77777777" w:rsidR="00736686" w:rsidRDefault="00736686" w:rsidP="00736686">
      <w:pPr>
        <w:spacing w:after="0" w:line="240" w:lineRule="auto"/>
        <w:ind w:left="1440" w:right="720" w:hanging="720"/>
        <w:jc w:val="both"/>
        <w:rPr>
          <w:rFonts w:ascii="Times New Roman" w:eastAsia="Times New Roman" w:hAnsi="Times New Roman" w:cs="Times New Roman"/>
        </w:rPr>
      </w:pPr>
      <w:r>
        <w:rPr>
          <w:rFonts w:ascii="Times New Roman" w:eastAsia="Times New Roman" w:hAnsi="Times New Roman" w:cs="Times New Roman"/>
        </w:rPr>
        <w:t xml:space="preserve">Bourdieu, P. &amp; Passeron, J. C. (2009). </w:t>
      </w:r>
      <w:r>
        <w:rPr>
          <w:rFonts w:ascii="Times New Roman" w:eastAsia="Times New Roman" w:hAnsi="Times New Roman" w:cs="Times New Roman"/>
          <w:i/>
          <w:iCs/>
        </w:rPr>
        <w:t>Los herederos. Los estudiantes y la cultura</w:t>
      </w:r>
      <w:r>
        <w:rPr>
          <w:rFonts w:ascii="Times New Roman" w:eastAsia="Times New Roman" w:hAnsi="Times New Roman" w:cs="Times New Roman"/>
        </w:rPr>
        <w:t>. Buenos Aires: Siglo XXI Editores.</w:t>
      </w:r>
    </w:p>
    <w:p w14:paraId="43216F15" w14:textId="77777777" w:rsidR="00736686" w:rsidRDefault="00736686" w:rsidP="00736686">
      <w:pPr>
        <w:spacing w:after="0" w:line="240" w:lineRule="auto"/>
        <w:ind w:left="1440" w:right="720" w:hanging="720"/>
        <w:jc w:val="both"/>
        <w:rPr>
          <w:rFonts w:ascii="Times New Roman" w:eastAsia="Times New Roman" w:hAnsi="Times New Roman" w:cs="Times New Roman"/>
          <w:highlight w:val="white"/>
        </w:rPr>
      </w:pPr>
    </w:p>
    <w:p w14:paraId="74AF4C52" w14:textId="77777777" w:rsidR="00736686" w:rsidRDefault="00736686" w:rsidP="00736686">
      <w:pPr>
        <w:spacing w:after="0" w:line="240" w:lineRule="auto"/>
        <w:ind w:left="1440" w:right="720" w:hanging="720"/>
        <w:jc w:val="both"/>
        <w:rPr>
          <w:rFonts w:ascii="Times New Roman" w:eastAsia="Times New Roman" w:hAnsi="Times New Roman" w:cs="Times New Roman"/>
        </w:rPr>
      </w:pPr>
      <w:r>
        <w:rPr>
          <w:rFonts w:ascii="Times New Roman" w:eastAsia="Times New Roman" w:hAnsi="Times New Roman" w:cs="Times New Roman"/>
        </w:rPr>
        <w:t xml:space="preserve">Coulon, A. (1993). </w:t>
      </w:r>
      <w:r>
        <w:rPr>
          <w:rFonts w:ascii="Times New Roman" w:eastAsia="Times New Roman" w:hAnsi="Times New Roman" w:cs="Times New Roman"/>
          <w:i/>
          <w:iCs/>
        </w:rPr>
        <w:t>Etnnometodología y educación</w:t>
      </w:r>
      <w:r>
        <w:rPr>
          <w:rFonts w:ascii="Times New Roman" w:eastAsia="Times New Roman" w:hAnsi="Times New Roman" w:cs="Times New Roman"/>
        </w:rPr>
        <w:t>. Buenos Aires: Editorial Paidós.</w:t>
      </w:r>
    </w:p>
    <w:p w14:paraId="040FE1E0" w14:textId="77777777" w:rsidR="00736686" w:rsidRDefault="00736686" w:rsidP="00736686">
      <w:pPr>
        <w:spacing w:after="0" w:line="240" w:lineRule="auto"/>
        <w:ind w:left="1440" w:right="720" w:hanging="720"/>
        <w:jc w:val="both"/>
        <w:rPr>
          <w:rFonts w:ascii="Times New Roman" w:eastAsia="Times New Roman" w:hAnsi="Times New Roman" w:cs="Times New Roman"/>
        </w:rPr>
      </w:pPr>
    </w:p>
    <w:p w14:paraId="7058FA0E" w14:textId="77777777" w:rsidR="00736686" w:rsidRDefault="00736686" w:rsidP="00736686">
      <w:pPr>
        <w:spacing w:after="0" w:line="240" w:lineRule="auto"/>
        <w:ind w:left="1440" w:right="720" w:hanging="720"/>
        <w:jc w:val="both"/>
        <w:rPr>
          <w:rFonts w:ascii="Times New Roman" w:eastAsia="Times New Roman" w:hAnsi="Times New Roman" w:cs="Times New Roman"/>
        </w:rPr>
      </w:pPr>
      <w:r>
        <w:rPr>
          <w:rFonts w:ascii="Times New Roman" w:eastAsia="Times New Roman" w:hAnsi="Times New Roman" w:cs="Times New Roman"/>
        </w:rPr>
        <w:t xml:space="preserve">Coulon, A. (1997). </w:t>
      </w:r>
      <w:r>
        <w:rPr>
          <w:rFonts w:ascii="Times New Roman" w:eastAsia="Times New Roman" w:hAnsi="Times New Roman" w:cs="Times New Roman"/>
          <w:i/>
          <w:iCs/>
        </w:rPr>
        <w:t>El Oficio de Estudiante. La Entrada en la Vida Universitaria</w:t>
      </w:r>
      <w:r>
        <w:rPr>
          <w:rFonts w:ascii="Times New Roman" w:eastAsia="Times New Roman" w:hAnsi="Times New Roman" w:cs="Times New Roman"/>
        </w:rPr>
        <w:t>. París: PUF.</w:t>
      </w:r>
    </w:p>
    <w:p w14:paraId="207DE752" w14:textId="77777777" w:rsidR="00736686" w:rsidRDefault="00736686" w:rsidP="00736686">
      <w:pPr>
        <w:spacing w:after="0" w:line="240" w:lineRule="auto"/>
        <w:ind w:left="1440" w:right="720" w:hanging="720"/>
        <w:jc w:val="both"/>
        <w:rPr>
          <w:rFonts w:ascii="Times New Roman" w:eastAsia="Times New Roman" w:hAnsi="Times New Roman" w:cs="Times New Roman"/>
        </w:rPr>
      </w:pPr>
    </w:p>
    <w:p w14:paraId="191FEE90" w14:textId="77777777" w:rsidR="00736686" w:rsidRDefault="00736686" w:rsidP="00736686">
      <w:pPr>
        <w:spacing w:after="0" w:line="240" w:lineRule="auto"/>
        <w:ind w:left="1440" w:right="720" w:hanging="720"/>
        <w:jc w:val="both"/>
        <w:rPr>
          <w:rFonts w:ascii="Times New Roman" w:eastAsia="Times New Roman" w:hAnsi="Times New Roman" w:cs="Times New Roman"/>
          <w:highlight w:val="white"/>
        </w:rPr>
      </w:pPr>
      <w:r>
        <w:rPr>
          <w:rFonts w:ascii="Times New Roman" w:eastAsia="Times New Roman" w:hAnsi="Times New Roman" w:cs="Times New Roman"/>
        </w:rPr>
        <w:t xml:space="preserve">Coulon, A. (2008). </w:t>
      </w:r>
      <w:r>
        <w:rPr>
          <w:rFonts w:ascii="Times New Roman" w:eastAsia="Times New Roman" w:hAnsi="Times New Roman" w:cs="Times New Roman"/>
          <w:i/>
          <w:iCs/>
        </w:rPr>
        <w:t>A condição de estudante: a entrada na vida universitária.</w:t>
      </w:r>
      <w:r>
        <w:rPr>
          <w:rFonts w:ascii="Times New Roman" w:eastAsia="Times New Roman" w:hAnsi="Times New Roman" w:cs="Times New Roman"/>
        </w:rPr>
        <w:t xml:space="preserve"> Salvador: Edufba.</w:t>
      </w:r>
    </w:p>
    <w:p w14:paraId="790FBF82" w14:textId="77777777" w:rsidR="00736686" w:rsidRDefault="00736686" w:rsidP="00736686">
      <w:pPr>
        <w:spacing w:after="0" w:line="240" w:lineRule="auto"/>
        <w:ind w:left="1440" w:right="720" w:hanging="720"/>
        <w:jc w:val="both"/>
        <w:rPr>
          <w:rFonts w:ascii="Times New Roman" w:eastAsia="Times New Roman" w:hAnsi="Times New Roman" w:cs="Times New Roman"/>
          <w:highlight w:val="white"/>
        </w:rPr>
      </w:pPr>
    </w:p>
    <w:p w14:paraId="6C32DD14" w14:textId="77777777" w:rsidR="00736686" w:rsidRDefault="00736686" w:rsidP="00736686">
      <w:pPr>
        <w:spacing w:after="0" w:line="240" w:lineRule="auto"/>
        <w:ind w:left="1440" w:right="720" w:hanging="720"/>
        <w:jc w:val="both"/>
        <w:rPr>
          <w:rFonts w:ascii="Times New Roman" w:eastAsia="Times New Roman" w:hAnsi="Times New Roman" w:cs="Times New Roman"/>
        </w:rPr>
      </w:pPr>
      <w:r>
        <w:rPr>
          <w:rFonts w:ascii="Times New Roman" w:eastAsia="Times New Roman" w:hAnsi="Times New Roman" w:cs="Times New Roman"/>
        </w:rPr>
        <w:t xml:space="preserve">Dubet, F. (2005). Los estudiantes. CPU-e, </w:t>
      </w:r>
      <w:r>
        <w:rPr>
          <w:rFonts w:ascii="Times New Roman" w:eastAsia="Times New Roman" w:hAnsi="Times New Roman" w:cs="Times New Roman"/>
          <w:i/>
          <w:iCs/>
        </w:rPr>
        <w:t>Revista de Investigación Educativa</w:t>
      </w:r>
      <w:r>
        <w:rPr>
          <w:rFonts w:ascii="Times New Roman" w:eastAsia="Times New Roman" w:hAnsi="Times New Roman" w:cs="Times New Roman"/>
        </w:rPr>
        <w:t xml:space="preserve">, México, N° 1. Disponível em: </w:t>
      </w:r>
      <w:hyperlink r:id="rId7">
        <w:r>
          <w:rPr>
            <w:rFonts w:ascii="Times New Roman" w:eastAsia="Times New Roman" w:hAnsi="Times New Roman" w:cs="Times New Roman"/>
            <w:color w:val="1155CC"/>
            <w:u w:val="single"/>
          </w:rPr>
          <w:t>http://www.uv.mx/cpue/num1/inves/estudiantes.htm#</w:t>
        </w:r>
      </w:hyperlink>
      <w:r>
        <w:rPr>
          <w:rFonts w:ascii="Times New Roman" w:eastAsia="Times New Roman" w:hAnsi="Times New Roman" w:cs="Times New Roman"/>
        </w:rPr>
        <w:t xml:space="preserve">.  </w:t>
      </w:r>
    </w:p>
    <w:p w14:paraId="76583608" w14:textId="77777777" w:rsidR="00736686" w:rsidRDefault="00736686" w:rsidP="00736686">
      <w:pPr>
        <w:spacing w:after="0" w:line="240" w:lineRule="auto"/>
        <w:ind w:left="1440" w:right="720" w:hanging="720"/>
        <w:jc w:val="both"/>
        <w:rPr>
          <w:rFonts w:ascii="Times New Roman" w:eastAsia="Times New Roman" w:hAnsi="Times New Roman" w:cs="Times New Roman"/>
        </w:rPr>
      </w:pPr>
    </w:p>
    <w:p w14:paraId="311DD528" w14:textId="77777777" w:rsidR="00736686" w:rsidRDefault="00736686" w:rsidP="00736686">
      <w:pPr>
        <w:spacing w:after="0" w:line="240" w:lineRule="auto"/>
        <w:ind w:left="1440" w:right="720" w:hanging="720"/>
        <w:jc w:val="both"/>
        <w:rPr>
          <w:rFonts w:ascii="Times New Roman" w:eastAsia="Times New Roman" w:hAnsi="Times New Roman" w:cs="Times New Roman"/>
        </w:rPr>
      </w:pPr>
      <w:r>
        <w:rPr>
          <w:rFonts w:ascii="Times New Roman" w:eastAsia="Times New Roman" w:hAnsi="Times New Roman" w:cs="Times New Roman"/>
        </w:rPr>
        <w:t xml:space="preserve">García, P. D. (2023a). Mapeo de dispositivos de ingreso a las universidades nacionales en Argentina. </w:t>
      </w:r>
      <w:r>
        <w:rPr>
          <w:rFonts w:ascii="Times New Roman" w:eastAsia="Times New Roman" w:hAnsi="Times New Roman" w:cs="Times New Roman"/>
          <w:i/>
          <w:iCs/>
        </w:rPr>
        <w:t>Praxis educativa,</w:t>
      </w:r>
      <w:r>
        <w:rPr>
          <w:rFonts w:ascii="Times New Roman" w:eastAsia="Times New Roman" w:hAnsi="Times New Roman" w:cs="Times New Roman"/>
        </w:rPr>
        <w:t xml:space="preserve"> </w:t>
      </w:r>
      <w:r>
        <w:rPr>
          <w:rFonts w:ascii="Times New Roman" w:eastAsia="Times New Roman" w:hAnsi="Times New Roman" w:cs="Times New Roman"/>
          <w:i/>
          <w:iCs/>
        </w:rPr>
        <w:t>Vol. 27, No 3 septiembre-diciembre 2023.</w:t>
      </w:r>
      <w:r>
        <w:rPr>
          <w:rFonts w:ascii="Times New Roman" w:eastAsia="Times New Roman" w:hAnsi="Times New Roman" w:cs="Times New Roman"/>
        </w:rPr>
        <w:t xml:space="preserve"> E -ISSN 2313-934X. pp. 1-25. </w:t>
      </w:r>
      <w:hyperlink r:id="rId8">
        <w:r>
          <w:rPr>
            <w:rFonts w:ascii="Times New Roman" w:eastAsia="Times New Roman" w:hAnsi="Times New Roman" w:cs="Times New Roman"/>
            <w:color w:val="0563C1"/>
            <w:u w:val="single"/>
          </w:rPr>
          <w:t>https://dx.doi.org/10.19137/praxiseducativa-2023-270302</w:t>
        </w:r>
      </w:hyperlink>
    </w:p>
    <w:p w14:paraId="608729EF" w14:textId="77777777" w:rsidR="00736686" w:rsidRDefault="00736686" w:rsidP="00736686">
      <w:pPr>
        <w:spacing w:after="0" w:line="240" w:lineRule="auto"/>
        <w:ind w:left="1440" w:right="720" w:hanging="720"/>
        <w:jc w:val="both"/>
        <w:rPr>
          <w:rFonts w:ascii="Times New Roman" w:eastAsia="Times New Roman" w:hAnsi="Times New Roman" w:cs="Times New Roman"/>
        </w:rPr>
      </w:pPr>
    </w:p>
    <w:p w14:paraId="3C609DD3" w14:textId="77777777" w:rsidR="00736686" w:rsidRDefault="00736686" w:rsidP="00736686">
      <w:pPr>
        <w:spacing w:after="0" w:line="240" w:lineRule="auto"/>
        <w:ind w:left="1440" w:right="720" w:hanging="720"/>
        <w:jc w:val="both"/>
        <w:rPr>
          <w:rFonts w:ascii="Times New Roman" w:eastAsia="Times New Roman" w:hAnsi="Times New Roman" w:cs="Times New Roman"/>
        </w:rPr>
      </w:pPr>
      <w:r>
        <w:rPr>
          <w:rFonts w:ascii="Times New Roman" w:eastAsia="Times New Roman" w:hAnsi="Times New Roman" w:cs="Times New Roman"/>
        </w:rPr>
        <w:t>García, P. D. (2023b). El ingreso a la universidad argentina. Tendencias y desafíos en torno al derecho a la educación superior.</w:t>
      </w:r>
      <w:r>
        <w:rPr>
          <w:rFonts w:ascii="Times New Roman" w:eastAsia="Times New Roman" w:hAnsi="Times New Roman" w:cs="Times New Roman"/>
          <w:i/>
          <w:iCs/>
        </w:rPr>
        <w:t xml:space="preserve"> Cuadernos Universitarios,</w:t>
      </w:r>
      <w:r>
        <w:rPr>
          <w:rFonts w:ascii="Times New Roman" w:eastAsia="Times New Roman" w:hAnsi="Times New Roman" w:cs="Times New Roman"/>
        </w:rPr>
        <w:t xml:space="preserve"> 16, pp. 11-28.</w:t>
      </w:r>
    </w:p>
    <w:p w14:paraId="619385FC" w14:textId="77777777" w:rsidR="00736686" w:rsidRDefault="00736686" w:rsidP="00736686">
      <w:pPr>
        <w:spacing w:after="0" w:line="240" w:lineRule="auto"/>
        <w:ind w:left="1440" w:right="720" w:hanging="720"/>
        <w:jc w:val="both"/>
        <w:rPr>
          <w:rFonts w:ascii="Times New Roman" w:eastAsia="Times New Roman" w:hAnsi="Times New Roman" w:cs="Times New Roman"/>
        </w:rPr>
      </w:pPr>
    </w:p>
    <w:p w14:paraId="738808AF" w14:textId="77777777" w:rsidR="00736686" w:rsidRDefault="00736686" w:rsidP="00736686">
      <w:pPr>
        <w:spacing w:after="0" w:line="240" w:lineRule="auto"/>
        <w:ind w:left="1440" w:right="720" w:hanging="720"/>
        <w:jc w:val="both"/>
        <w:rPr>
          <w:rFonts w:ascii="Times New Roman" w:eastAsia="Times New Roman" w:hAnsi="Times New Roman" w:cs="Times New Roman"/>
        </w:rPr>
      </w:pPr>
      <w:r>
        <w:rPr>
          <w:rFonts w:ascii="Times New Roman" w:eastAsia="Times New Roman" w:hAnsi="Times New Roman" w:cs="Times New Roman"/>
        </w:rPr>
        <w:t xml:space="preserve">Hernández-Sampieri, R.; Fernández-Collado, C.; &amp; Baptista-Lucio, P. (2014) </w:t>
      </w:r>
      <w:r>
        <w:rPr>
          <w:rFonts w:ascii="Times New Roman" w:eastAsia="Times New Roman" w:hAnsi="Times New Roman" w:cs="Times New Roman"/>
          <w:i/>
          <w:iCs/>
        </w:rPr>
        <w:t>Metodología de la Investigación</w:t>
      </w:r>
      <w:r>
        <w:rPr>
          <w:rFonts w:ascii="Times New Roman" w:eastAsia="Times New Roman" w:hAnsi="Times New Roman" w:cs="Times New Roman"/>
        </w:rPr>
        <w:t>. 6. ed. México: McGraw-Hill.</w:t>
      </w:r>
    </w:p>
    <w:p w14:paraId="44C2103E" w14:textId="77777777" w:rsidR="00736686" w:rsidRDefault="00736686" w:rsidP="00736686">
      <w:pPr>
        <w:spacing w:after="0" w:line="240" w:lineRule="auto"/>
        <w:ind w:left="1440" w:right="720" w:hanging="720"/>
        <w:jc w:val="both"/>
        <w:rPr>
          <w:rFonts w:ascii="Times New Roman" w:eastAsia="Times New Roman" w:hAnsi="Times New Roman" w:cs="Times New Roman"/>
        </w:rPr>
      </w:pPr>
    </w:p>
    <w:p w14:paraId="63F5FF4D" w14:textId="77777777" w:rsidR="00736686" w:rsidRDefault="00736686" w:rsidP="00736686">
      <w:pPr>
        <w:spacing w:after="0" w:line="240" w:lineRule="auto"/>
        <w:ind w:left="1440" w:right="720" w:hanging="720"/>
        <w:jc w:val="both"/>
        <w:rPr>
          <w:rFonts w:ascii="Times New Roman" w:eastAsia="Times New Roman" w:hAnsi="Times New Roman" w:cs="Times New Roman"/>
        </w:rPr>
      </w:pPr>
      <w:r>
        <w:rPr>
          <w:rFonts w:ascii="Times New Roman" w:eastAsia="Times New Roman" w:hAnsi="Times New Roman" w:cs="Times New Roman"/>
        </w:rPr>
        <w:t xml:space="preserve">Nicastro, S., &amp; Greco, M. B. (2012). </w:t>
      </w:r>
      <w:r>
        <w:rPr>
          <w:rFonts w:ascii="Times New Roman" w:eastAsia="Times New Roman" w:hAnsi="Times New Roman" w:cs="Times New Roman"/>
          <w:i/>
          <w:iCs/>
        </w:rPr>
        <w:t>Entre trayectorias: Escenas y pensamientos en espacios de formación</w:t>
      </w:r>
      <w:r>
        <w:rPr>
          <w:rFonts w:ascii="Times New Roman" w:eastAsia="Times New Roman" w:hAnsi="Times New Roman" w:cs="Times New Roman"/>
        </w:rPr>
        <w:t>. 2. reimp. Rosario: Homo Sapiens Ediciones.</w:t>
      </w:r>
    </w:p>
    <w:p w14:paraId="6F501293" w14:textId="77777777" w:rsidR="00736686" w:rsidRDefault="00736686" w:rsidP="00736686">
      <w:pPr>
        <w:spacing w:after="0" w:line="240" w:lineRule="auto"/>
        <w:ind w:left="1440" w:right="720" w:hanging="720"/>
        <w:jc w:val="both"/>
        <w:rPr>
          <w:rFonts w:ascii="Times New Roman" w:eastAsia="Times New Roman" w:hAnsi="Times New Roman" w:cs="Times New Roman"/>
        </w:rPr>
      </w:pPr>
    </w:p>
    <w:p w14:paraId="6DE576ED" w14:textId="77777777" w:rsidR="00736686" w:rsidRDefault="00736686" w:rsidP="00736686">
      <w:pPr>
        <w:ind w:left="1440" w:right="720" w:hanging="72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Piovani, J. I. (2018). Reflexividad en el proceso de investigación social: entre el diseño y la práctica, en Piovani, J.I. &amp; Muñiz Terra, L. (coord.) </w:t>
      </w:r>
      <w:r>
        <w:rPr>
          <w:rFonts w:ascii="Times New Roman" w:eastAsia="Times New Roman" w:hAnsi="Times New Roman" w:cs="Times New Roman"/>
          <w:i/>
          <w:iCs/>
          <w:sz w:val="22"/>
          <w:szCs w:val="22"/>
        </w:rPr>
        <w:lastRenderedPageBreak/>
        <w:t>¿Condenados a la reflexividad? Apuntes para repensar el proceso de investigación social</w:t>
      </w:r>
      <w:r>
        <w:rPr>
          <w:rFonts w:ascii="Times New Roman" w:eastAsia="Times New Roman" w:hAnsi="Times New Roman" w:cs="Times New Roman"/>
          <w:sz w:val="22"/>
          <w:szCs w:val="22"/>
        </w:rPr>
        <w:t>. CLACSO/ BIBLOS. Buenos Aires.</w:t>
      </w:r>
    </w:p>
    <w:p w14:paraId="17106719" w14:textId="77777777" w:rsidR="00736686" w:rsidRDefault="00736686" w:rsidP="00736686">
      <w:pPr>
        <w:spacing w:after="0" w:line="276" w:lineRule="auto"/>
        <w:ind w:left="1440" w:right="720" w:hanging="720"/>
        <w:jc w:val="both"/>
        <w:rPr>
          <w:rFonts w:ascii="Times New Roman" w:eastAsia="Times New Roman" w:hAnsi="Times New Roman" w:cs="Times New Roman"/>
        </w:rPr>
      </w:pPr>
      <w:r>
        <w:rPr>
          <w:rFonts w:ascii="Times New Roman" w:eastAsia="Times New Roman" w:hAnsi="Times New Roman" w:cs="Times New Roman"/>
          <w:highlight w:val="white"/>
        </w:rPr>
        <w:t xml:space="preserve">Rinesi, E. (2019). La educación superior en América Latina a cien años de la Reforma Universitaria. Integración y Conocimiento. </w:t>
      </w:r>
      <w:r>
        <w:rPr>
          <w:rFonts w:ascii="Times New Roman" w:eastAsia="Times New Roman" w:hAnsi="Times New Roman" w:cs="Times New Roman"/>
          <w:i/>
          <w:iCs/>
          <w:highlight w:val="white"/>
        </w:rPr>
        <w:t>Revista del Núcleo de Estudios e Investigaciones en Educación Superior de Mercosur</w:t>
      </w:r>
      <w:r>
        <w:rPr>
          <w:rFonts w:ascii="Times New Roman" w:eastAsia="Times New Roman" w:hAnsi="Times New Roman" w:cs="Times New Roman"/>
          <w:highlight w:val="white"/>
        </w:rPr>
        <w:t xml:space="preserve">, 8(2), 94-111. DialnetLaEducacionSuperiorEnAmericaLatinaACienAnosDeLaRef-8253479.pdf </w:t>
      </w:r>
    </w:p>
    <w:p w14:paraId="6B4FED71" w14:textId="77777777" w:rsidR="00736686" w:rsidRDefault="00736686" w:rsidP="00736686">
      <w:pPr>
        <w:spacing w:after="0" w:line="276" w:lineRule="auto"/>
        <w:ind w:left="1440" w:right="720" w:hanging="720"/>
        <w:jc w:val="both"/>
        <w:rPr>
          <w:rFonts w:ascii="Times New Roman" w:eastAsia="Times New Roman" w:hAnsi="Times New Roman" w:cs="Times New Roman"/>
        </w:rPr>
      </w:pPr>
    </w:p>
    <w:p w14:paraId="7454ED33" w14:textId="77777777" w:rsidR="00736686" w:rsidRDefault="00736686" w:rsidP="00736686">
      <w:pPr>
        <w:spacing w:after="0" w:line="276" w:lineRule="auto"/>
        <w:ind w:left="1440" w:right="720" w:hanging="720"/>
        <w:jc w:val="both"/>
        <w:rPr>
          <w:rFonts w:ascii="Times New Roman" w:eastAsia="Times New Roman" w:hAnsi="Times New Roman" w:cs="Times New Roman"/>
          <w:highlight w:val="white"/>
        </w:rPr>
      </w:pPr>
      <w:r>
        <w:rPr>
          <w:rFonts w:ascii="Times New Roman" w:eastAsia="Times New Roman" w:hAnsi="Times New Roman" w:cs="Times New Roman"/>
        </w:rPr>
        <w:t xml:space="preserve">Sautu, R., Boniolo, P., Dalle, P., y Elbert, R. (2010). </w:t>
      </w:r>
      <w:r>
        <w:rPr>
          <w:rFonts w:ascii="Times New Roman" w:eastAsia="Times New Roman" w:hAnsi="Times New Roman" w:cs="Times New Roman"/>
          <w:i/>
          <w:iCs/>
        </w:rPr>
        <w:t>Manual de metodología: Construcción del marco teórico, formulación de los objetivos y elección de la metodología</w:t>
      </w:r>
      <w:r>
        <w:rPr>
          <w:rFonts w:ascii="Times New Roman" w:eastAsia="Times New Roman" w:hAnsi="Times New Roman" w:cs="Times New Roman"/>
        </w:rPr>
        <w:t>. Prometeo Libros.</w:t>
      </w:r>
    </w:p>
    <w:p w14:paraId="791CC61E" w14:textId="77777777" w:rsidR="00736686" w:rsidRDefault="00736686" w:rsidP="00736686">
      <w:pPr>
        <w:spacing w:after="0" w:line="240" w:lineRule="auto"/>
        <w:ind w:left="1440" w:right="720" w:hanging="720"/>
        <w:jc w:val="both"/>
        <w:rPr>
          <w:rFonts w:ascii="Times New Roman" w:eastAsia="Times New Roman" w:hAnsi="Times New Roman" w:cs="Times New Roman"/>
          <w:highlight w:val="white"/>
        </w:rPr>
      </w:pPr>
    </w:p>
    <w:p w14:paraId="5FE97232" w14:textId="77777777" w:rsidR="00736686" w:rsidRDefault="00736686" w:rsidP="00736686">
      <w:pPr>
        <w:spacing w:after="0" w:line="240" w:lineRule="auto"/>
        <w:ind w:left="1440" w:right="720" w:hanging="720"/>
        <w:jc w:val="both"/>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Sotelo, L. A. (2025a). Los inicios a la vida universitaria en Argentina: hacia la construcción del campo de estudios. Espacios en Blanco. </w:t>
      </w:r>
      <w:r>
        <w:rPr>
          <w:rFonts w:ascii="Times New Roman" w:eastAsia="Times New Roman" w:hAnsi="Times New Roman" w:cs="Times New Roman"/>
          <w:i/>
          <w:iCs/>
          <w:highlight w:val="white"/>
        </w:rPr>
        <w:t>Revista de educación</w:t>
      </w:r>
      <w:r>
        <w:rPr>
          <w:rFonts w:ascii="Times New Roman" w:eastAsia="Times New Roman" w:hAnsi="Times New Roman" w:cs="Times New Roman"/>
          <w:highlight w:val="white"/>
        </w:rPr>
        <w:t>. Vol. 2 N°35</w:t>
      </w:r>
    </w:p>
    <w:p w14:paraId="19CEC767" w14:textId="77777777" w:rsidR="00736686" w:rsidRDefault="00736686" w:rsidP="00736686">
      <w:pPr>
        <w:spacing w:after="0" w:line="240" w:lineRule="auto"/>
        <w:ind w:left="1440" w:right="720" w:hanging="720"/>
        <w:jc w:val="both"/>
        <w:rPr>
          <w:rFonts w:ascii="Times New Roman" w:eastAsia="Times New Roman" w:hAnsi="Times New Roman" w:cs="Times New Roman"/>
          <w:highlight w:val="white"/>
        </w:rPr>
      </w:pPr>
    </w:p>
    <w:p w14:paraId="2CC468BA" w14:textId="77777777" w:rsidR="00736686" w:rsidRDefault="00736686" w:rsidP="00736686">
      <w:pPr>
        <w:spacing w:after="0" w:line="240" w:lineRule="auto"/>
        <w:ind w:left="1440" w:right="720" w:hanging="720"/>
        <w:jc w:val="both"/>
        <w:rPr>
          <w:rFonts w:ascii="Times New Roman" w:eastAsia="Times New Roman" w:hAnsi="Times New Roman" w:cs="Times New Roman"/>
        </w:rPr>
      </w:pPr>
      <w:r>
        <w:rPr>
          <w:rFonts w:ascii="Times New Roman" w:eastAsia="Times New Roman" w:hAnsi="Times New Roman" w:cs="Times New Roman"/>
        </w:rPr>
        <w:t xml:space="preserve">Sotelo, L. A. (2025b). La educación en cuestión: Reproducción Social, Igualdad y Experiencia Estudiantil en las Perspectivas de Bourdieu, Passeron y Dubet. </w:t>
      </w:r>
      <w:r>
        <w:rPr>
          <w:rFonts w:ascii="Times New Roman" w:eastAsia="Times New Roman" w:hAnsi="Times New Roman" w:cs="Times New Roman"/>
          <w:i/>
          <w:iCs/>
        </w:rPr>
        <w:t>Colección de Materiales Educativos: Herramientas para el Abordaje Crítico de las Ciencias Sociales y Humanas en la Universidad Pública</w:t>
      </w:r>
      <w:r>
        <w:rPr>
          <w:rFonts w:ascii="Times New Roman" w:eastAsia="Times New Roman" w:hAnsi="Times New Roman" w:cs="Times New Roman"/>
        </w:rPr>
        <w:t>. Universidad Nacional de la Patagonia Austral.</w:t>
      </w:r>
    </w:p>
    <w:p w14:paraId="05F264CA" w14:textId="77777777" w:rsidR="00736686" w:rsidRDefault="00736686" w:rsidP="00736686">
      <w:pPr>
        <w:spacing w:after="0" w:line="240" w:lineRule="auto"/>
        <w:ind w:left="1440" w:right="720" w:hanging="720"/>
        <w:jc w:val="both"/>
        <w:rPr>
          <w:rFonts w:ascii="Times New Roman" w:eastAsia="Times New Roman" w:hAnsi="Times New Roman" w:cs="Times New Roman"/>
        </w:rPr>
      </w:pPr>
      <w:r>
        <w:rPr>
          <w:rFonts w:ascii="Times New Roman" w:eastAsia="Times New Roman" w:hAnsi="Times New Roman" w:cs="Times New Roman"/>
        </w:rPr>
        <w:t xml:space="preserve"> </w:t>
      </w:r>
    </w:p>
    <w:p w14:paraId="3F115C38" w14:textId="77777777" w:rsidR="00736686" w:rsidRDefault="00736686" w:rsidP="00736686">
      <w:pPr>
        <w:spacing w:after="0" w:line="240" w:lineRule="auto"/>
        <w:ind w:left="1440" w:right="720" w:hanging="720"/>
        <w:jc w:val="both"/>
        <w:rPr>
          <w:rFonts w:ascii="Times New Roman" w:eastAsia="Times New Roman" w:hAnsi="Times New Roman" w:cs="Times New Roman"/>
        </w:rPr>
      </w:pPr>
      <w:r>
        <w:rPr>
          <w:rFonts w:ascii="Times New Roman" w:eastAsia="Times New Roman" w:hAnsi="Times New Roman" w:cs="Times New Roman"/>
        </w:rPr>
        <w:t xml:space="preserve">Stake, R. (2007). </w:t>
      </w:r>
      <w:r>
        <w:rPr>
          <w:rFonts w:ascii="Times New Roman" w:eastAsia="Times New Roman" w:hAnsi="Times New Roman" w:cs="Times New Roman"/>
          <w:i/>
          <w:iCs/>
        </w:rPr>
        <w:t>Investigación con estudios de caso</w:t>
      </w:r>
      <w:r>
        <w:rPr>
          <w:rFonts w:ascii="Times New Roman" w:eastAsia="Times New Roman" w:hAnsi="Times New Roman" w:cs="Times New Roman"/>
        </w:rPr>
        <w:t xml:space="preserve">. 4ta. Ed. Madrid: Ediciones Morata. </w:t>
      </w:r>
    </w:p>
    <w:p w14:paraId="180BAB16" w14:textId="77777777" w:rsidR="00736686" w:rsidRDefault="00736686" w:rsidP="00736686">
      <w:pPr>
        <w:spacing w:after="0" w:line="240" w:lineRule="auto"/>
        <w:ind w:left="1440" w:right="720" w:hanging="720"/>
        <w:jc w:val="both"/>
        <w:rPr>
          <w:rFonts w:ascii="Times New Roman" w:eastAsia="Times New Roman" w:hAnsi="Times New Roman" w:cs="Times New Roman"/>
        </w:rPr>
      </w:pPr>
    </w:p>
    <w:p w14:paraId="12AF1D32" w14:textId="77777777" w:rsidR="00736686" w:rsidRDefault="00736686" w:rsidP="00736686">
      <w:pPr>
        <w:spacing w:after="0" w:line="240" w:lineRule="auto"/>
        <w:ind w:left="1440" w:right="720" w:hanging="720"/>
        <w:jc w:val="both"/>
        <w:rPr>
          <w:rFonts w:ascii="Times New Roman" w:eastAsia="Times New Roman" w:hAnsi="Times New Roman" w:cs="Times New Roman"/>
        </w:rPr>
      </w:pPr>
      <w:r>
        <w:rPr>
          <w:rFonts w:ascii="Times New Roman" w:eastAsia="Times New Roman" w:hAnsi="Times New Roman" w:cs="Times New Roman"/>
        </w:rPr>
        <w:t xml:space="preserve">Terigi, F. (2009). </w:t>
      </w:r>
      <w:r>
        <w:rPr>
          <w:rFonts w:ascii="Times New Roman" w:eastAsia="Times New Roman" w:hAnsi="Times New Roman" w:cs="Times New Roman"/>
          <w:i/>
          <w:iCs/>
        </w:rPr>
        <w:t>Las trayectorias escolares. Del problema individual al desafío de la política educativa</w:t>
      </w:r>
      <w:r>
        <w:rPr>
          <w:rFonts w:ascii="Times New Roman" w:eastAsia="Times New Roman" w:hAnsi="Times New Roman" w:cs="Times New Roman"/>
        </w:rPr>
        <w:t>. Buenos Aires: Ministerio de Educación de la Nación.</w:t>
      </w:r>
    </w:p>
    <w:p w14:paraId="62FFD576" w14:textId="77777777" w:rsidR="00736686" w:rsidRDefault="00736686" w:rsidP="00736686">
      <w:pPr>
        <w:spacing w:after="0" w:line="240" w:lineRule="auto"/>
        <w:ind w:left="1440" w:right="720" w:hanging="720"/>
        <w:jc w:val="both"/>
        <w:rPr>
          <w:rFonts w:ascii="Times New Roman" w:eastAsia="Times New Roman" w:hAnsi="Times New Roman" w:cs="Times New Roman"/>
          <w:highlight w:val="white"/>
        </w:rPr>
      </w:pPr>
    </w:p>
    <w:p w14:paraId="0BAD08F4" w14:textId="77777777" w:rsidR="00736686" w:rsidRDefault="00736686" w:rsidP="00736686">
      <w:pPr>
        <w:pBdr>
          <w:top w:val="nil"/>
          <w:left w:val="nil"/>
          <w:bottom w:val="nil"/>
          <w:right w:val="nil"/>
          <w:between w:val="nil"/>
        </w:pBdr>
        <w:spacing w:after="0" w:line="240" w:lineRule="auto"/>
        <w:ind w:left="1440" w:right="720" w:hanging="72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Vercellino, S. (2025). Análisis crítico de las políticas que configuran los inicios de los estudios universitarios en Argentina. </w:t>
      </w:r>
      <w:r>
        <w:rPr>
          <w:rFonts w:ascii="Times New Roman" w:eastAsia="Times New Roman" w:hAnsi="Times New Roman" w:cs="Times New Roman"/>
          <w:i/>
          <w:iCs/>
          <w:color w:val="000000"/>
        </w:rPr>
        <w:t>Revista Academia</w:t>
      </w:r>
      <w:r>
        <w:rPr>
          <w:rFonts w:ascii="Times New Roman" w:eastAsia="Times New Roman" w:hAnsi="Times New Roman" w:cs="Times New Roman"/>
          <w:b/>
          <w:bCs/>
          <w:i/>
          <w:iCs/>
          <w:color w:val="000000"/>
        </w:rPr>
        <w:t xml:space="preserve"> </w:t>
      </w:r>
      <w:r>
        <w:rPr>
          <w:rFonts w:ascii="Times New Roman" w:eastAsia="Times New Roman" w:hAnsi="Times New Roman" w:cs="Times New Roman"/>
          <w:i/>
          <w:iCs/>
          <w:color w:val="000000"/>
        </w:rPr>
        <w:t xml:space="preserve">ISSN, 2241-1402 </w:t>
      </w:r>
      <w:r>
        <w:rPr>
          <w:rFonts w:ascii="Times New Roman" w:eastAsia="Times New Roman" w:hAnsi="Times New Roman" w:cs="Times New Roman"/>
          <w:color w:val="0000FF"/>
        </w:rPr>
        <w:t>http://hepnet.upatras.gr</w:t>
      </w:r>
    </w:p>
    <w:p w14:paraId="083D4080" w14:textId="77777777" w:rsidR="00736686" w:rsidRDefault="00736686" w:rsidP="00736686">
      <w:pPr>
        <w:spacing w:after="0" w:line="240" w:lineRule="auto"/>
        <w:ind w:left="1440" w:right="720" w:hanging="720"/>
        <w:jc w:val="both"/>
        <w:rPr>
          <w:rFonts w:ascii="Times New Roman" w:eastAsia="Times New Roman" w:hAnsi="Times New Roman" w:cs="Times New Roman"/>
        </w:rPr>
      </w:pPr>
    </w:p>
    <w:p w14:paraId="30E02965" w14:textId="77777777" w:rsidR="00736686" w:rsidRDefault="00736686" w:rsidP="00736686">
      <w:pPr>
        <w:spacing w:after="0" w:line="276" w:lineRule="auto"/>
        <w:ind w:left="1440" w:right="720" w:hanging="720"/>
        <w:jc w:val="both"/>
        <w:rPr>
          <w:rFonts w:ascii="Times New Roman" w:eastAsia="Times New Roman" w:hAnsi="Times New Roman" w:cs="Times New Roman"/>
        </w:rPr>
      </w:pPr>
      <w:r>
        <w:rPr>
          <w:rFonts w:ascii="Times New Roman" w:eastAsia="Times New Roman" w:hAnsi="Times New Roman" w:cs="Times New Roman"/>
        </w:rPr>
        <w:t xml:space="preserve">Facultad de Ciencias Forestales (2011) Plan de Estudio de la Carrera Ingeniería Agronómica. Anexo Resolución C.S. </w:t>
      </w:r>
      <w:proofErr w:type="spellStart"/>
      <w:r>
        <w:rPr>
          <w:rFonts w:ascii="Times New Roman" w:eastAsia="Times New Roman" w:hAnsi="Times New Roman" w:cs="Times New Roman"/>
        </w:rPr>
        <w:t>Nº</w:t>
      </w:r>
      <w:proofErr w:type="spellEnd"/>
      <w:r>
        <w:rPr>
          <w:rFonts w:ascii="Times New Roman" w:eastAsia="Times New Roman" w:hAnsi="Times New Roman" w:cs="Times New Roman"/>
        </w:rPr>
        <w:t xml:space="preserve"> 011/2011. Universidad Nacional de Misiones</w:t>
      </w:r>
    </w:p>
    <w:p w14:paraId="22A0D8B1" w14:textId="77777777" w:rsidR="00736686" w:rsidRDefault="00736686" w:rsidP="00736686">
      <w:pPr>
        <w:spacing w:after="0" w:line="240" w:lineRule="auto"/>
        <w:ind w:left="1440" w:right="720" w:hanging="720"/>
        <w:jc w:val="both"/>
        <w:rPr>
          <w:rFonts w:ascii="Times New Roman" w:eastAsia="Times New Roman" w:hAnsi="Times New Roman" w:cs="Times New Roman"/>
        </w:rPr>
      </w:pPr>
    </w:p>
    <w:p w14:paraId="7E83515B" w14:textId="1E2F1FCD" w:rsidR="001923DC" w:rsidRPr="00736686" w:rsidRDefault="00736686" w:rsidP="00736686">
      <w:pPr>
        <w:spacing w:after="0" w:line="240" w:lineRule="auto"/>
        <w:ind w:left="1440" w:right="720" w:hanging="720"/>
        <w:jc w:val="both"/>
        <w:rPr>
          <w:rFonts w:ascii="Times New Roman" w:eastAsia="Times New Roman" w:hAnsi="Times New Roman" w:cs="Times New Roman"/>
        </w:rPr>
      </w:pPr>
      <w:r>
        <w:rPr>
          <w:rFonts w:ascii="Times New Roman" w:eastAsia="Times New Roman" w:hAnsi="Times New Roman" w:cs="Times New Roman"/>
        </w:rPr>
        <w:t>Facultad de Ciencias Forestales (2025) Informe Autoevaluación Ingeniería Agronómica, 2025. Res. Consejo Directivo N° 038/2025. Universidad Nacional de Misiones</w:t>
      </w:r>
    </w:p>
    <w:sectPr w:rsidR="001923DC" w:rsidRPr="00736686" w:rsidSect="00701F64">
      <w:headerReference w:type="default" r:id="rId9"/>
      <w:footerReference w:type="default" r:id="rId10"/>
      <w:pgSz w:w="11906" w:h="16838"/>
      <w:pgMar w:top="2410" w:right="1701" w:bottom="1843" w:left="1701" w:header="284" w:footer="0" w:gutter="0"/>
      <w:pgBorders w:offsetFrom="page">
        <w:left w:val="single" w:sz="48" w:space="12" w:color="00B0F0"/>
        <w:right w:val="single" w:sz="48" w:space="12" w:color="00B0F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B5E4F9E" w14:textId="77777777" w:rsidR="009B1A33" w:rsidRPr="00BA642E" w:rsidRDefault="009B1A33" w:rsidP="00C802F5">
      <w:pPr>
        <w:spacing w:after="0" w:line="240" w:lineRule="auto"/>
      </w:pPr>
      <w:r w:rsidRPr="00BA642E">
        <w:separator/>
      </w:r>
    </w:p>
  </w:endnote>
  <w:endnote w:type="continuationSeparator" w:id="0">
    <w:p w14:paraId="01D26731" w14:textId="77777777" w:rsidR="009B1A33" w:rsidRPr="00BA642E" w:rsidRDefault="009B1A33" w:rsidP="00C802F5">
      <w:pPr>
        <w:spacing w:after="0" w:line="240" w:lineRule="auto"/>
      </w:pPr>
      <w:r w:rsidRPr="00BA64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F1CC46" w14:textId="732B193D" w:rsidR="00701F64" w:rsidRPr="00BA642E" w:rsidRDefault="00BA642E">
    <w:pPr>
      <w:pStyle w:val="Piedepgina"/>
    </w:pPr>
    <w:r w:rsidRPr="00BA642E">
      <w:rPr>
        <w:noProof/>
      </w:rPr>
      <w:drawing>
        <wp:inline distT="0" distB="0" distL="0" distR="0" wp14:anchorId="26F90C63" wp14:editId="4B2180C6">
          <wp:extent cx="5400040" cy="428625"/>
          <wp:effectExtent l="0" t="0" r="0" b="9525"/>
          <wp:docPr id="14201570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57093" name=""/>
                  <pic:cNvPicPr/>
                </pic:nvPicPr>
                <pic:blipFill>
                  <a:blip r:embed="rId1"/>
                  <a:stretch>
                    <a:fillRect/>
                  </a:stretch>
                </pic:blipFill>
                <pic:spPr>
                  <a:xfrm>
                    <a:off x="0" y="0"/>
                    <a:ext cx="5400040" cy="428625"/>
                  </a:xfrm>
                  <a:prstGeom prst="rect">
                    <a:avLst/>
                  </a:prstGeom>
                </pic:spPr>
              </pic:pic>
            </a:graphicData>
          </a:graphic>
        </wp:inline>
      </w:drawing>
    </w:r>
  </w:p>
  <w:p w14:paraId="7065C7CD" w14:textId="77777777" w:rsidR="00C802F5" w:rsidRPr="00BA642E" w:rsidRDefault="00C802F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55C31C" w14:textId="77777777" w:rsidR="009B1A33" w:rsidRPr="00BA642E" w:rsidRDefault="009B1A33" w:rsidP="00C802F5">
      <w:pPr>
        <w:spacing w:after="0" w:line="240" w:lineRule="auto"/>
      </w:pPr>
      <w:r w:rsidRPr="00BA642E">
        <w:separator/>
      </w:r>
    </w:p>
  </w:footnote>
  <w:footnote w:type="continuationSeparator" w:id="0">
    <w:p w14:paraId="25289DB4" w14:textId="77777777" w:rsidR="009B1A33" w:rsidRPr="00BA642E" w:rsidRDefault="009B1A33" w:rsidP="00C802F5">
      <w:pPr>
        <w:spacing w:after="0" w:line="240" w:lineRule="auto"/>
      </w:pPr>
      <w:r w:rsidRPr="00BA642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44B213" w14:textId="0B58DBD9" w:rsidR="00C802F5" w:rsidRPr="00BA642E" w:rsidRDefault="00C802F5" w:rsidP="00C802F5">
    <w:pPr>
      <w:pStyle w:val="Encabezado"/>
      <w:jc w:val="center"/>
    </w:pPr>
    <w:r w:rsidRPr="00BA642E">
      <w:rPr>
        <w:noProof/>
      </w:rPr>
      <w:drawing>
        <wp:inline distT="0" distB="0" distL="0" distR="0" wp14:anchorId="6AF6CEA6" wp14:editId="7A9FD2E8">
          <wp:extent cx="2595676" cy="1082040"/>
          <wp:effectExtent l="0" t="0" r="0" b="3810"/>
          <wp:docPr id="18644905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1383" name=""/>
                  <pic:cNvPicPr/>
                </pic:nvPicPr>
                <pic:blipFill>
                  <a:blip r:embed="rId1"/>
                  <a:stretch>
                    <a:fillRect/>
                  </a:stretch>
                </pic:blipFill>
                <pic:spPr>
                  <a:xfrm>
                    <a:off x="0" y="0"/>
                    <a:ext cx="2617939" cy="109132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3DC"/>
    <w:rsid w:val="001816D6"/>
    <w:rsid w:val="00185F5E"/>
    <w:rsid w:val="001923DC"/>
    <w:rsid w:val="002327C3"/>
    <w:rsid w:val="00312392"/>
    <w:rsid w:val="004040C0"/>
    <w:rsid w:val="00437E9C"/>
    <w:rsid w:val="00550766"/>
    <w:rsid w:val="005F3B2E"/>
    <w:rsid w:val="00701F64"/>
    <w:rsid w:val="00736686"/>
    <w:rsid w:val="007B5B5F"/>
    <w:rsid w:val="007D233B"/>
    <w:rsid w:val="0085070B"/>
    <w:rsid w:val="009B1A33"/>
    <w:rsid w:val="00A17247"/>
    <w:rsid w:val="00BA642E"/>
    <w:rsid w:val="00BC236F"/>
    <w:rsid w:val="00C802F5"/>
    <w:rsid w:val="00C96B2C"/>
    <w:rsid w:val="00CC04C1"/>
    <w:rsid w:val="00D843EC"/>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3D64F8"/>
  <w15:chartTrackingRefBased/>
  <w15:docId w15:val="{3B8DAB1D-3259-4DAF-A33D-10F61153B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419"/>
    </w:rPr>
  </w:style>
  <w:style w:type="paragraph" w:styleId="Ttulo1">
    <w:name w:val="heading 1"/>
    <w:basedOn w:val="Normal"/>
    <w:next w:val="Normal"/>
    <w:link w:val="Ttulo1C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923DC"/>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1923DC"/>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1923DC"/>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923DC"/>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1923DC"/>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1923D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923D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923D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923DC"/>
    <w:rPr>
      <w:rFonts w:eastAsiaTheme="majorEastAsia" w:cstheme="majorBidi"/>
      <w:color w:val="272727" w:themeColor="text1" w:themeTint="D8"/>
    </w:rPr>
  </w:style>
  <w:style w:type="paragraph" w:styleId="Ttulo">
    <w:name w:val="Title"/>
    <w:basedOn w:val="Normal"/>
    <w:next w:val="Normal"/>
    <w:link w:val="TtuloC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92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923D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923DC"/>
    <w:pPr>
      <w:spacing w:before="160"/>
      <w:jc w:val="center"/>
    </w:pPr>
    <w:rPr>
      <w:i/>
      <w:iCs/>
      <w:color w:val="404040" w:themeColor="text1" w:themeTint="BF"/>
    </w:rPr>
  </w:style>
  <w:style w:type="character" w:customStyle="1" w:styleId="CitaCar">
    <w:name w:val="Cita Car"/>
    <w:basedOn w:val="Fuentedeprrafopredeter"/>
    <w:link w:val="Cita"/>
    <w:uiPriority w:val="29"/>
    <w:rsid w:val="001923DC"/>
    <w:rPr>
      <w:i/>
      <w:iCs/>
      <w:color w:val="404040" w:themeColor="text1" w:themeTint="BF"/>
    </w:rPr>
  </w:style>
  <w:style w:type="paragraph" w:styleId="Prrafodelista">
    <w:name w:val="List Paragraph"/>
    <w:basedOn w:val="Normal"/>
    <w:uiPriority w:val="34"/>
    <w:qFormat/>
    <w:rsid w:val="001923DC"/>
    <w:pPr>
      <w:ind w:left="720"/>
      <w:contextualSpacing/>
    </w:pPr>
  </w:style>
  <w:style w:type="character" w:styleId="nfasisintenso">
    <w:name w:val="Intense Emphasis"/>
    <w:basedOn w:val="Fuentedeprrafopredeter"/>
    <w:uiPriority w:val="21"/>
    <w:qFormat/>
    <w:rsid w:val="001923DC"/>
    <w:rPr>
      <w:i/>
      <w:iCs/>
      <w:color w:val="2F5496" w:themeColor="accent1" w:themeShade="BF"/>
    </w:rPr>
  </w:style>
  <w:style w:type="paragraph" w:styleId="Citadestacada">
    <w:name w:val="Intense Quote"/>
    <w:basedOn w:val="Normal"/>
    <w:next w:val="Normal"/>
    <w:link w:val="CitadestacadaC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923DC"/>
    <w:rPr>
      <w:i/>
      <w:iCs/>
      <w:color w:val="2F5496" w:themeColor="accent1" w:themeShade="BF"/>
    </w:rPr>
  </w:style>
  <w:style w:type="character" w:styleId="Referenciaintensa">
    <w:name w:val="Intense Reference"/>
    <w:basedOn w:val="Fuentedeprrafopredeter"/>
    <w:uiPriority w:val="32"/>
    <w:qFormat/>
    <w:rsid w:val="001923DC"/>
    <w:rPr>
      <w:b/>
      <w:bCs/>
      <w:smallCaps/>
      <w:color w:val="2F5496" w:themeColor="accent1" w:themeShade="BF"/>
      <w:spacing w:val="5"/>
    </w:rPr>
  </w:style>
  <w:style w:type="paragraph" w:styleId="Encabezado">
    <w:name w:val="header"/>
    <w:basedOn w:val="Normal"/>
    <w:link w:val="EncabezadoCar"/>
    <w:uiPriority w:val="99"/>
    <w:unhideWhenUsed/>
    <w:rsid w:val="00C802F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802F5"/>
  </w:style>
  <w:style w:type="paragraph" w:styleId="Piedepgina">
    <w:name w:val="footer"/>
    <w:basedOn w:val="Normal"/>
    <w:link w:val="PiedepginaCar"/>
    <w:uiPriority w:val="99"/>
    <w:unhideWhenUsed/>
    <w:rsid w:val="00C802F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802F5"/>
  </w:style>
  <w:style w:type="character" w:styleId="Hipervnculo">
    <w:name w:val="Hyperlink"/>
    <w:basedOn w:val="Fuentedeprrafopredeter"/>
    <w:uiPriority w:val="99"/>
    <w:unhideWhenUsed/>
    <w:rsid w:val="00C802F5"/>
    <w:rPr>
      <w:color w:val="0563C1" w:themeColor="hyperlink"/>
      <w:u w:val="single"/>
    </w:rPr>
  </w:style>
  <w:style w:type="character" w:styleId="Mencinsinresolver">
    <w:name w:val="Unresolved Mention"/>
    <w:basedOn w:val="Fuentedeprrafopredeter"/>
    <w:uiPriority w:val="99"/>
    <w:semiHidden/>
    <w:unhideWhenUsed/>
    <w:rsid w:val="00C802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x.doi.org/10.19137/praxiseducativa-2023-270302" TargetMode="External"/><Relationship Id="rId3" Type="http://schemas.openxmlformats.org/officeDocument/2006/relationships/webSettings" Target="webSettings.xml"/><Relationship Id="rId7" Type="http://schemas.openxmlformats.org/officeDocument/2006/relationships/hyperlink" Target="http://www.uv.mx/cpue/num1/inves/estudiantes.htm"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oi.org/10.31512/vivencias.v22i45.1867"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14</Pages>
  <Words>6693</Words>
  <Characters>36816</Characters>
  <Application>Microsoft Office Word</Application>
  <DocSecurity>0</DocSecurity>
  <Lines>306</Lines>
  <Paragraphs>86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Daniel Garcia</dc:creator>
  <cp:keywords/>
  <dc:description/>
  <cp:lastModifiedBy>Mariela Bobadilla</cp:lastModifiedBy>
  <cp:revision>5</cp:revision>
  <dcterms:created xsi:type="dcterms:W3CDTF">2026-03-14T03:50:00Z</dcterms:created>
  <dcterms:modified xsi:type="dcterms:W3CDTF">2026-07-10T13:27:00Z</dcterms:modified>
</cp:coreProperties>
</file>