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222222"/>
          <w:highlight w:val="white"/>
          <w:rtl w:val="0"/>
        </w:rPr>
        <w:t xml:space="preserve">INSERCIÓN LABORAL DE EGRESADOS DE LA FACULTAD DE VETERINARIA, URUGUAY</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Rodriguez, Brasiliano 1</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Veterinaria - Universidad de la República (Uruguay)1</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brasilianomartin@gmail.com 1</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Borlido, Claudia 2</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Veterinaria - Universidad de la República (Uruguay)2</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claudiaborlido@gmail.com 2</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Cabral, Paola 3</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Veterinaria - Universidad de la República (Uruguay)3</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paocab@gmail.com 3</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w:t>
      </w:r>
      <w:r w:rsidDel="00000000" w:rsidR="00000000" w:rsidRPr="00000000">
        <w:rPr>
          <w:rFonts w:ascii="Times New Roman" w:cs="Times New Roman" w:eastAsia="Times New Roman" w:hAnsi="Times New Roman"/>
          <w:color w:val="ee0000"/>
          <w:rtl w:val="0"/>
        </w:rPr>
        <w:t xml:space="preserve"> 5.000 y 8.000 </w:t>
      </w:r>
      <w:r w:rsidDel="00000000" w:rsidR="00000000" w:rsidRPr="00000000">
        <w:rPr>
          <w:rFonts w:ascii="Times New Roman" w:cs="Times New Roman" w:eastAsia="Times New Roman" w:hAnsi="Times New Roman"/>
          <w:color w:val="ee0000"/>
          <w:rtl w:val="0"/>
        </w:rPr>
        <w:t xml:space="preserve">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1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Desde su creación, la Facultad de Veterinaria (FVet) de la Universidad de la República (Udelar) ha contado con propuestas curriculares que han ido cambiando y adecuándose a las diferentes necesidades de formación profesional respondiendo a los cambios económicos, políticos y sociales que se sucedieron en el país. Para este trabajo se realizó una consulta mediante formulario administrado a las/os </w:t>
      </w:r>
      <w:r w:rsidDel="00000000" w:rsidR="00000000" w:rsidRPr="00000000">
        <w:rPr>
          <w:rFonts w:ascii="Times New Roman" w:cs="Times New Roman" w:eastAsia="Times New Roman" w:hAnsi="Times New Roman"/>
          <w:highlight w:val="white"/>
          <w:rtl w:val="0"/>
        </w:rPr>
        <w:t xml:space="preserve">egresados</w:t>
      </w:r>
      <w:r w:rsidDel="00000000" w:rsidR="00000000" w:rsidRPr="00000000">
        <w:rPr>
          <w:rFonts w:ascii="Times New Roman" w:cs="Times New Roman" w:eastAsia="Times New Roman" w:hAnsi="Times New Roman"/>
          <w:highlight w:val="white"/>
          <w:rtl w:val="0"/>
        </w:rPr>
        <w:t xml:space="preserve"> de los años 2020 a 2023. En esos cuatro años se recibieron un total de 516 personas, de los que 177 (34%) respondieron a dicho formulario. Se presentan los resultados sobre las preguntas relacionadas con inserción laboral, acceso laboral y claves para la obtención del empleo. ¿Cuenta con empleo/s actualmente? El 91,5% sí cuentan con empleo en la actualidad, de estos, un 7% indicó que su trabajo no se relaciona con la profesión veterinaria. Sobre ¿cuál fue la forma en que accedió a ese empleo?, el 48% lo hizo a través de otras personas (amigos, familia, docentes); el 32% mediante concursos o llamados, 16% mediante otras formas, el 4% no respondió a la pregunta. También se preguntaba qué fue lo más relevante para acceder al empleo, el 34% planteó como relevantes las recomendaciones de su grupo social, 21% la experiencia, 17% la capacitación previa, 9% la escolaridad, 15% planteó que otras fueron las razones y 4% no respondió a la pregunta. Al realizar el análisis de ambas preguntas, sobre forma y acceso al empleo, se compararon las frecuencias de respuestas, de ahí surge que para los que conocieron el empleo a través de otras personas, el 60% plantea que las recomendaciones fueron lo más importante. De los que plantean que la capacitación y la escolaridad fue lo más importante, 58% conoció el empleo mediante concursos o llamados. Otra consulta fue sobre ¿Cuáles considera usted que son los elementos más importantes para la inserción laboral? De las respuestas buena calificación en la carrera para el 65% fue nada importante o poco importante, conocimientos en ciencia veterinaria para el 81% es importante o muy importante y vinculaciones personales para el 88% es importante o muy importante. Entre los elementos más destacados para la inserción laboral se ve reflejado que según la visión de los encuestados los conocimientos veterinarios son importantes, pero las vinculaciones personales también juegan un papel significativo. Estos resultados nos permiten inferir que en los primeros años luego de egresar, el capital social por medio de las redes sociales </w:t>
      </w:r>
      <w:r w:rsidDel="00000000" w:rsidR="00000000" w:rsidRPr="00000000">
        <w:rPr>
          <w:rFonts w:ascii="Times New Roman" w:cs="Times New Roman" w:eastAsia="Times New Roman" w:hAnsi="Times New Roman"/>
          <w:rtl w:val="0"/>
        </w:rPr>
        <w:t xml:space="preserve">(Valdecasas, G. 2011)</w:t>
      </w:r>
      <w:r w:rsidDel="00000000" w:rsidR="00000000" w:rsidRPr="00000000">
        <w:rPr>
          <w:rFonts w:ascii="Times New Roman" w:cs="Times New Roman" w:eastAsia="Times New Roman" w:hAnsi="Times New Roman"/>
          <w:highlight w:val="white"/>
          <w:rtl w:val="0"/>
        </w:rPr>
        <w:t xml:space="preserve"> juega un papel trascendente en la inserción laboral. Mientras que la capacitación y escolaridad cumplen un rol fundamental en los trabajos en los que se realiza un llamado abierto a concurso de méritos. Esto nos permite comprender no sólo cómo se insertan laboralmente los veterinarios recién egresados, sino también cómo perciben los graduados cuáles son las vías más importantes para acceder a un empleo. Además, aporta insumos valiosos para identificar aspectos a mejorar con el fin de que los conocimientos profesionales y las calificaciones académicas tengan un mayor peso en la inserción laboral.</w:t>
      </w:r>
    </w:p>
    <w:p w:rsidR="00000000" w:rsidDel="00000000" w:rsidP="00000000" w:rsidRDefault="00000000" w:rsidRPr="00000000" w14:paraId="00000015">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Palabras clave: egreso, inserción laboral, acceso al empleo.</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finales del siglo XIX, Uruguay experimentó un fuerte crecimiento como país productor de bienes agropecuarios, principalmente carne vacuna y sus derivados. En ese contexto surgió la </w:t>
      </w:r>
      <w:r w:rsidDel="00000000" w:rsidR="00000000" w:rsidRPr="00000000">
        <w:rPr>
          <w:rFonts w:ascii="Times New Roman" w:cs="Times New Roman" w:eastAsia="Times New Roman" w:hAnsi="Times New Roman"/>
          <w:i w:val="1"/>
          <w:iCs w:val="1"/>
          <w:rtl w:val="0"/>
        </w:rPr>
        <w:t xml:space="preserve">Liebig Extract of Meat Company</w:t>
      </w:r>
      <w:r w:rsidDel="00000000" w:rsidR="00000000" w:rsidRPr="00000000">
        <w:rPr>
          <w:rFonts w:ascii="Times New Roman" w:cs="Times New Roman" w:eastAsia="Times New Roman" w:hAnsi="Times New Roman"/>
          <w:rtl w:val="0"/>
        </w:rPr>
        <w:t xml:space="preserve"> (LEMCO), conocida posteriormente como Frigorífico Anglo, y más tarde se fundó la Empresa Frigorífica del Uruguay (EFU) </w:t>
      </w:r>
      <w:r w:rsidDel="00000000" w:rsidR="00000000" w:rsidRPr="00000000">
        <w:rPr>
          <w:rFonts w:ascii="Times New Roman" w:cs="Times New Roman" w:eastAsia="Times New Roman" w:hAnsi="Times New Roman"/>
          <w:rtl w:val="0"/>
        </w:rPr>
        <w:t xml:space="preserve">(Lewowicz, 2016)</w:t>
      </w:r>
      <w:r w:rsidDel="00000000" w:rsidR="00000000" w:rsidRPr="00000000">
        <w:rPr>
          <w:rFonts w:ascii="Times New Roman" w:cs="Times New Roman" w:eastAsia="Times New Roman" w:hAnsi="Times New Roman"/>
          <w:rtl w:val="0"/>
        </w:rPr>
        <w:t xml:space="preserve">. Este crecimiento económico del sector requería profesionales especializados en producción animal y en el control e higiene de los alimentos de origen animal, necesidades que a nivel internacional son atendidas por la profesión veterinaria. Hasta 1903, los profesionales veterinarios en Uruguay se formaban en el extranjero, principalmente en Argentina y España, sin que existiera formación nacional. Fue durante el gobierno de José Batlle y Ordóñez que se decretó la creación de los estudios veterinarios, el 23 de noviembre de 1903, bajo la órbita de la Universidad de la República (Udelar). Dado que en el territorio nacional no existía una masa crítica profesional suficiente para sustentar dicha formación, se realizaron gestiones en el exterior a través de las embajadas, logrando conformar un cuerpo docente con vasta experiencia para la formación de los futuros profesionales </w:t>
      </w:r>
      <w:r w:rsidDel="00000000" w:rsidR="00000000" w:rsidRPr="00000000">
        <w:rPr>
          <w:rFonts w:ascii="Times New Roman" w:cs="Times New Roman" w:eastAsia="Times New Roman" w:hAnsi="Times New Roman"/>
          <w:rtl w:val="0"/>
        </w:rPr>
        <w:t xml:space="preserve">(Oddone y Paris de Oddone, 2010).</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formación de esos primeros profesionales tenía una fuerte impronta hacia la inspección, higiene y tecnología de los alimentos de origen animal, orientación que respondía a las necesidades del país en aquel momento: garantizar la inocuidad de los productos que circulaban a nivel nacional y asegurar la calidad sanitaria de los productos de exportación.</w:t>
      </w:r>
    </w:p>
    <w:p w:rsidR="00000000" w:rsidDel="00000000" w:rsidP="00000000" w:rsidRDefault="00000000" w:rsidRPr="00000000" w14:paraId="0000001B">
      <w:pPr>
        <w:spacing w:after="0" w:line="240" w:lineRule="auto"/>
        <w:ind w:right="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dotación de recursos naturales y factores productivos le brinda a Uruguay ventajas comparativas en la producción de alimentos. Con más del 90% de la superficie apta para la actividad agropecuaria, Uruguay es un proveedor mundial confiable de alimentos y productos agrícolas. El sector agropecuario representa entre el 6% y el 7% del PIB en Uruguay (2019-2022). Al incluir los subsectores e industrias asociadas, se lo suele denominar sector agroindustrial y su contribución es entre 14% y 16% del PIB (2019-2022). La agroindustria, además de su participación directa, genera efectos positivos sobre otros sectores como demanda de servicios de transporte, almacenamiento, producción de insumos, telecomunicaciones, etc (Uruguay XXI, 2024). </w:t>
      </w:r>
    </w:p>
    <w:p w:rsidR="00000000" w:rsidDel="00000000" w:rsidP="00000000" w:rsidRDefault="00000000" w:rsidRPr="00000000" w14:paraId="0000001D">
      <w:pPr>
        <w:spacing w:after="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desafíos de la profesión han ido evolucionando con el correr de los años no solamente en las nuevas demandas del mundo productivo y en la calidad de los alimentos que se producen. Existieron también grandes cambios en lo que involucra al concepto de “Una Salud”(One Health), donde se busca equilibrar, optimizar y unificar la salud de las personas, los animales y el ambiente.</w:t>
      </w:r>
      <w:r w:rsidDel="00000000" w:rsidR="00000000" w:rsidRPr="00000000">
        <w:rPr>
          <w:rFonts w:ascii="Times New Roman" w:cs="Times New Roman" w:eastAsia="Times New Roman" w:hAnsi="Times New Roman"/>
          <w:rtl w:val="0"/>
        </w:rPr>
        <w:t xml:space="preserve">(Organización Mundial de la Salud).</w:t>
      </w:r>
    </w:p>
    <w:p w:rsidR="00000000" w:rsidDel="00000000" w:rsidP="00000000" w:rsidRDefault="00000000" w:rsidRPr="00000000" w14:paraId="0000001E">
      <w:pPr>
        <w:spacing w:after="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ajustes y nuevas actividades que involucran a la profesión se fueron adecuando en el transcurrir de la historia, esto queda de manifiesto con las modificaciones que se fueron realizando en los planes de estudios y el perfil que se busca para los nuevos veterinarios egresados.</w:t>
      </w:r>
    </w:p>
    <w:p w:rsidR="00000000" w:rsidDel="00000000" w:rsidP="00000000" w:rsidRDefault="00000000" w:rsidRPr="00000000" w14:paraId="0000001F">
      <w:pPr>
        <w:spacing w:after="0" w:before="160" w:line="240" w:lineRule="auto"/>
        <w:ind w:right="20"/>
        <w:jc w:val="both"/>
        <w:rPr>
          <w:rFonts w:ascii="Times New Roman" w:cs="Times New Roman" w:eastAsia="Times New Roman" w:hAnsi="Times New Roman"/>
          <w:b w:val="1"/>
          <w:bCs w:val="1"/>
          <w:u w:val="single"/>
          <w:shd w:fill="ff9900" w:val="clear"/>
        </w:rPr>
      </w:pPr>
      <w:r w:rsidDel="00000000" w:rsidR="00000000" w:rsidRPr="00000000">
        <w:rPr>
          <w:rFonts w:ascii="Times New Roman" w:cs="Times New Roman" w:eastAsia="Times New Roman" w:hAnsi="Times New Roman"/>
          <w:b w:val="1"/>
          <w:bCs w:val="1"/>
          <w:u w:val="single"/>
          <w:rtl w:val="0"/>
        </w:rPr>
        <w:t xml:space="preserve">Historia de los planes de estudio FVET</w:t>
      </w:r>
      <w:r w:rsidDel="00000000" w:rsidR="00000000" w:rsidRPr="00000000">
        <w:rPr>
          <w:rtl w:val="0"/>
        </w:rPr>
      </w:r>
    </w:p>
    <w:p w:rsidR="00000000" w:rsidDel="00000000" w:rsidP="00000000" w:rsidRDefault="00000000" w:rsidRPr="00000000" w14:paraId="00000020">
      <w:pPr>
        <w:spacing w:after="0" w:before="16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el momento de la promulgación del decreto presidencial para la creación de la carrera de veterinaria y su implementación surgieron grandes desacuerdos entre el nuevo gobierno nacional y las autoridades universitarias responsables de llevar a cabo la formación de los futuros profesionales. En el proyecto de ley orgánica de la Universidad de 1908, promovido por el presidente Williman y el ministro Terra, se separaba Veterinaria y Agronomía de la Universidad por entenderse que eran carreras de carácter técnico que debían vincularse directamente al Estado y a los sectores productivos y comerciales. En tanto escuelas técnicas, el gobierno nacional tendría mayor injerencia en su dirección, siendo el responsable de designar a su director. La conducción institucional recaería, además, en un consejo integrado por hacendados, veterinarios y el propio director. La insistencia del gobierno nacional en mantener el control de la formación de profesionales que se desempeñarán en el ámbito agropecuario, así como la integración de otros actores del sector en dicha formación, pone de manifiesto el carácter estratégico de ambas profesiones (Veterinaria y Agronomía) para el desarrollo nacional (Facultad de Veterinaria, s. f.).</w:t>
      </w:r>
      <w:r w:rsidDel="00000000" w:rsidR="00000000" w:rsidRPr="00000000">
        <w:rPr>
          <w:rtl w:val="0"/>
        </w:rPr>
      </w:r>
    </w:p>
    <w:p w:rsidR="00000000" w:rsidDel="00000000" w:rsidP="00000000" w:rsidRDefault="00000000" w:rsidRPr="00000000" w14:paraId="00000021">
      <w:pPr>
        <w:spacing w:after="0" w:before="16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sus primeros años, la Escuela de Veterinaria tuvo como director al Dr. Salmon (1908–1911), cuya gestión arrojó resultados por debajo de las expectativas existentes. Lo sucedió José Navarro, quien imprimió a la formación un enfoque más cercano a la escuela francesa, con fuerte énfasis en la investigación y en la producción de conocimiento contextualizado a la realidad del país. En 1933, la Escuela de Veterinaria fue reintegrada a la órbita de la Universidad de la República, pasando a denominarse Facultad de Veterinaria </w:t>
      </w:r>
      <w:r w:rsidDel="00000000" w:rsidR="00000000" w:rsidRPr="00000000">
        <w:rPr>
          <w:rFonts w:ascii="Times New Roman" w:cs="Times New Roman" w:eastAsia="Times New Roman" w:hAnsi="Times New Roman"/>
          <w:rtl w:val="0"/>
        </w:rPr>
        <w:t xml:space="preserve">(Oddone y Paris de Oddone, 2010).</w:t>
      </w:r>
      <w:r w:rsidDel="00000000" w:rsidR="00000000" w:rsidRPr="00000000">
        <w:rPr>
          <w:rtl w:val="0"/>
        </w:rPr>
      </w:r>
    </w:p>
    <w:p w:rsidR="00000000" w:rsidDel="00000000" w:rsidP="00000000" w:rsidRDefault="00000000" w:rsidRPr="00000000" w14:paraId="00000022">
      <w:pPr>
        <w:spacing w:after="0" w:before="16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escasos profesionales veterinarios que existían en Uruguay se agruparon en 1907 creando la Sociedad de Medicina Veterinaria. Esta sociedad fue incorporando nuevos integrantes a medida que egresaron los primeros profesionales formados en el país. Para 1918, la masa profesional había alcanzado una dimensión suficiente como para impulsar cambios en la formación de los futuros colegas, surgiendo así el plan de estudios de 1918 con la ley de Reorganización de los Estudios Veterinarios en Uruguay. Este plan estuvo fuertemente enfocado en en la ganadería y la producción pecuaria además de la impronta higiénico sanitaria qué caracterizó al plan anterior. El plan de estudios 1918 estuvo vigente por 48 años (De Lima, 2014). </w:t>
      </w:r>
      <w:r w:rsidDel="00000000" w:rsidR="00000000" w:rsidRPr="00000000">
        <w:rPr>
          <w:rFonts w:ascii="Times New Roman" w:cs="Times New Roman" w:eastAsia="Times New Roman" w:hAnsi="Times New Roman"/>
          <w:rtl w:val="0"/>
        </w:rPr>
        <w:t xml:space="preserve"> El plan de estudios 66 incluye como nuevas unidades curriculares materias referidas a especies de compañía, equinos, producción agropecuaria, pesca y productos pesqueros y la administración agropecuaria, para esta </w:t>
      </w:r>
      <w:r w:rsidDel="00000000" w:rsidR="00000000" w:rsidRPr="00000000">
        <w:rPr>
          <w:rFonts w:ascii="Times New Roman" w:cs="Times New Roman" w:eastAsia="Times New Roman" w:hAnsi="Times New Roman"/>
          <w:rtl w:val="0"/>
        </w:rPr>
        <w:t xml:space="preserve">época</w:t>
      </w:r>
      <w:r w:rsidDel="00000000" w:rsidR="00000000" w:rsidRPr="00000000">
        <w:rPr>
          <w:rFonts w:ascii="Times New Roman" w:cs="Times New Roman" w:eastAsia="Times New Roman" w:hAnsi="Times New Roman"/>
          <w:rtl w:val="0"/>
        </w:rPr>
        <w:t xml:space="preserve"> la influencia de las necesidades del Estado en la creaci</w:t>
      </w:r>
      <w:r w:rsidDel="00000000" w:rsidR="00000000" w:rsidRPr="00000000">
        <w:rPr>
          <w:rFonts w:ascii="Times New Roman" w:cs="Times New Roman" w:eastAsia="Times New Roman" w:hAnsi="Times New Roman"/>
          <w:rtl w:val="0"/>
        </w:rPr>
        <w:t xml:space="preserve">ón del plan de estudio está menos presente y las necesidades de la profesión y de los usuarios y tenedores de animales son consideradas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spacing w:after="0" w:before="160" w:line="240" w:lineRule="auto"/>
        <w:ind w:right="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1973, se ejecuta otro cambio al plan de estudio denominado </w:t>
      </w:r>
      <w:r w:rsidDel="00000000" w:rsidR="00000000" w:rsidRPr="00000000">
        <w:rPr>
          <w:rFonts w:ascii="Times New Roman" w:cs="Times New Roman" w:eastAsia="Times New Roman" w:hAnsi="Times New Roman"/>
          <w:i w:val="1"/>
          <w:iCs w:val="1"/>
          <w:rtl w:val="0"/>
        </w:rPr>
        <w:t xml:space="preserve">Plan 74</w:t>
      </w:r>
      <w:r w:rsidDel="00000000" w:rsidR="00000000" w:rsidRPr="00000000">
        <w:rPr>
          <w:rFonts w:ascii="Times New Roman" w:cs="Times New Roman" w:eastAsia="Times New Roman" w:hAnsi="Times New Roman"/>
          <w:rtl w:val="0"/>
        </w:rPr>
        <w:t xml:space="preserve"> que otorga el título de Doctor en Medicina y Tecnología Veterinaria. </w:t>
      </w:r>
    </w:p>
    <w:p w:rsidR="00000000" w:rsidDel="00000000" w:rsidP="00000000" w:rsidRDefault="00000000" w:rsidRPr="00000000" w14:paraId="00000024">
      <w:pP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Años después, se aprueba el “</w:t>
      </w:r>
      <w:r w:rsidDel="00000000" w:rsidR="00000000" w:rsidRPr="00000000">
        <w:rPr>
          <w:rFonts w:ascii="Times New Roman" w:cs="Times New Roman" w:eastAsia="Times New Roman" w:hAnsi="Times New Roman"/>
          <w:i w:val="1"/>
          <w:iCs w:val="1"/>
          <w:rtl w:val="0"/>
        </w:rPr>
        <w:t xml:space="preserve">Plan 80</w:t>
      </w:r>
      <w:r w:rsidDel="00000000" w:rsidR="00000000" w:rsidRPr="00000000">
        <w:rPr>
          <w:rFonts w:ascii="Times New Roman" w:cs="Times New Roman" w:eastAsia="Times New Roman" w:hAnsi="Times New Roman"/>
          <w:rtl w:val="0"/>
        </w:rPr>
        <w:t xml:space="preserve">” que expide el título de Doctor de Ciencias y Tecnologías Veterinarias. En 1997 se implementó un plan de estudio denominado “</w:t>
      </w:r>
      <w:r w:rsidDel="00000000" w:rsidR="00000000" w:rsidRPr="00000000">
        <w:rPr>
          <w:rFonts w:ascii="Times New Roman" w:cs="Times New Roman" w:eastAsia="Times New Roman" w:hAnsi="Times New Roman"/>
          <w:i w:val="1"/>
          <w:iCs w:val="1"/>
          <w:rtl w:val="0"/>
        </w:rPr>
        <w:t xml:space="preserve">Plan 98</w:t>
      </w:r>
      <w:r w:rsidDel="00000000" w:rsidR="00000000" w:rsidRPr="00000000">
        <w:rPr>
          <w:rFonts w:ascii="Times New Roman" w:cs="Times New Roman" w:eastAsia="Times New Roman" w:hAnsi="Times New Roman"/>
          <w:rtl w:val="0"/>
        </w:rPr>
        <w:t xml:space="preserve">”, otorgándo el título de Doctor en Veterinaria con tres orientaciones: alimentaria, producción y medicina.</w:t>
      </w:r>
      <w:r w:rsidDel="00000000" w:rsidR="00000000" w:rsidRPr="00000000">
        <w:rPr>
          <w:rFonts w:ascii="Times New Roman" w:cs="Times New Roman" w:eastAsia="Times New Roman" w:hAnsi="Times New Roman"/>
          <w:color w:val="7a7a7a"/>
          <w:highlight w:val="white"/>
          <w:rtl w:val="0"/>
        </w:rPr>
        <w:t xml:space="preserve"> </w:t>
      </w:r>
      <w:r w:rsidDel="00000000" w:rsidR="00000000" w:rsidRPr="00000000">
        <w:rPr>
          <w:rFonts w:ascii="Times New Roman" w:cs="Times New Roman" w:eastAsia="Times New Roman" w:hAnsi="Times New Roman"/>
          <w:rtl w:val="0"/>
        </w:rPr>
        <w:t xml:space="preserve">A partir de </w:t>
      </w:r>
      <w:r w:rsidDel="00000000" w:rsidR="00000000" w:rsidRPr="00000000">
        <w:rPr>
          <w:rFonts w:ascii="Times New Roman" w:cs="Times New Roman" w:eastAsia="Times New Roman" w:hAnsi="Times New Roman"/>
          <w:i w:val="1"/>
          <w:iCs w:val="1"/>
          <w:rtl w:val="0"/>
        </w:rPr>
        <w:t xml:space="preserve">2021 se implementó el Plan de Estudio vigente</w:t>
      </w:r>
      <w:r w:rsidDel="00000000" w:rsidR="00000000" w:rsidRPr="00000000">
        <w:rPr>
          <w:rFonts w:ascii="Times New Roman" w:cs="Times New Roman" w:eastAsia="Times New Roman" w:hAnsi="Times New Roman"/>
          <w:rtl w:val="0"/>
        </w:rPr>
        <w:t xml:space="preserve"> en la FVet en este se adopta como perfil profesional para su carrera de grado la definición aprobada para la acreditación de carreras universitarias del MERCOSUR. Otorgando la denominación del título que pasa a ser Médico/a Veterinario/a.</w:t>
      </w:r>
    </w:p>
    <w:p w:rsidR="00000000" w:rsidDel="00000000" w:rsidP="00000000" w:rsidRDefault="00000000" w:rsidRPr="00000000" w14:paraId="00000025">
      <w:pPr>
        <w:spacing w:line="240" w:lineRule="auto"/>
        <w:jc w:val="both"/>
        <w:rPr>
          <w:rFonts w:ascii="Times New Roman" w:cs="Times New Roman" w:eastAsia="Times New Roman" w:hAnsi="Times New Roman"/>
          <w:shd w:fill="ff9900" w:val="clear"/>
        </w:rPr>
      </w:pPr>
      <w:r w:rsidDel="00000000" w:rsidR="00000000" w:rsidRPr="00000000">
        <w:rPr>
          <w:rFonts w:ascii="Times New Roman" w:cs="Times New Roman" w:eastAsia="Times New Roman" w:hAnsi="Times New Roman"/>
          <w:rtl w:val="0"/>
        </w:rPr>
        <w:t xml:space="preserve">El perfil de egreso manifiesta que los egresados/as deben ser capaces de identificar y resolver de forma científica y tecnológica problemas en los campos de la salud, el bienestar y la producción de las especies animales, contemplando el concepto de una sola salud, involucrando el desarrollo de los procesos tecnológicos de la elaboración, inocuidad y calidad de los alimentos de origen animal y en la preservación del medio ambiente en el marco del desarrollo sustentable. Además, deben ser capaces de integrar, planificar, gestionar, investigar, desarrollar y transferir acciones en los campos mencionados (Facultad de Veterinaria, s. f.)</w:t>
      </w: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t>
      </w:r>
      <w:r w:rsidDel="00000000" w:rsidR="00000000" w:rsidRPr="00000000">
        <w:rPr>
          <w:rFonts w:ascii="Times New Roman" w:cs="Times New Roman" w:eastAsia="Times New Roman" w:hAnsi="Times New Roman"/>
          <w:rtl w:val="0"/>
        </w:rPr>
        <w:t xml:space="preserve"> historia de los planes de estudio muestran cómo el perfil de sus egresados ha ido evolucionando hacia un profesional más completo y cada día más complejo el cual debe enfrentarse a cambios constantes en su tarea, brindando una importancia sustancial a su formación. </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Uruguay es un país donde tradicionalmente el Estado ha depositado en su Universidad pública la principal responsabilidad de la formación de recursos humanos de nivel superior. La Udelar fue hasta la década de los 80’ la única institución universitaria en el país, pero ahora coexiste con Universidades e Institutos Universitarios de origen público y privado, en algunas áreas profesionales la Udelar mantiene una hegemonía este el caso del área agraria, donde la formación de la carrera de veterinaria continúan siendo exclusividad de esta. En este marco, se vuelve cada vez más necesario conocer la inserción y el desempeño de los profesionales, y analizar los cambios en el mercado laboral de los egresados de dichas instituciones que le permitan llevar adelante modificaciones no solo en los planes de estudio sino también con el propósito de optimizar la oferta de programas de educación continuada, para los nuevos desafíos que surgen continuamente. </w:t>
      </w:r>
    </w:p>
    <w:p w:rsidR="00000000" w:rsidDel="00000000" w:rsidP="00000000" w:rsidRDefault="00000000" w:rsidRPr="00000000" w14:paraId="00000028">
      <w:pPr>
        <w:spacing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Antecedentes de seguimientos de graduados</w:t>
      </w:r>
    </w:p>
    <w:p w:rsidR="00000000" w:rsidDel="00000000" w:rsidP="00000000" w:rsidRDefault="00000000" w:rsidRPr="00000000" w14:paraId="00000029">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Las investigaciones sobre el desarrollo laboral de los graduados optaron por diferentes esquemas, ya sea a partir de la caracterización en un período en el tiempo o los estudios de panel o seguimiento de una determinada cohorte desde su época de estudiante. Estos análisis, a veces identificados en la literatura como </w:t>
      </w:r>
      <w:r w:rsidDel="00000000" w:rsidR="00000000" w:rsidRPr="00000000">
        <w:rPr>
          <w:rFonts w:ascii="Times New Roman" w:cs="Times New Roman" w:eastAsia="Times New Roman" w:hAnsi="Times New Roman"/>
          <w:highlight w:val="white"/>
          <w:rtl w:val="0"/>
        </w:rPr>
        <w:t xml:space="preserve">seguimiento de graduados</w:t>
      </w:r>
      <w:r w:rsidDel="00000000" w:rsidR="00000000" w:rsidRPr="00000000">
        <w:rPr>
          <w:rFonts w:ascii="Times New Roman" w:cs="Times New Roman" w:eastAsia="Times New Roman" w:hAnsi="Times New Roman"/>
          <w:highlight w:val="white"/>
          <w:rtl w:val="0"/>
        </w:rPr>
        <w:t xml:space="preserve"> con fuerte proyección socioeconómica, partían de diferentes esquemas metodológicos y objetivos específicos, donde la comparabilidad de los mismos presenta algunas dificultades, sobre todo, por el carácter peculiar y propio de los diferentes medios laborales y los diferentes criterios de medición y referencia para el juicio de aspectos cruciales que resultan en algunos casos desajustados al contexto socioeconómico en el que se encuentran (Dietrich, E. 1988) (Sanyal, B. 1990).</w:t>
      </w:r>
    </w:p>
    <w:p w:rsidR="00000000" w:rsidDel="00000000" w:rsidP="00000000" w:rsidRDefault="00000000" w:rsidRPr="00000000" w14:paraId="0000002A">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los últimos años se han extendido los estudios con otro enfoque, centrados en el mercado laboral (tomado como puesto de trabajo o empleo), con referencia tanto a la estimación de las potencialidades para absorber determinados tipos de graduados, como determinar la orientación de las tendencias predominantes. Otros estudios hacen énfasis en la caracterización del </w:t>
      </w:r>
      <w:r w:rsidDel="00000000" w:rsidR="00000000" w:rsidRPr="00000000">
        <w:rPr>
          <w:rFonts w:ascii="Times New Roman" w:cs="Times New Roman" w:eastAsia="Times New Roman" w:hAnsi="Times New Roman"/>
          <w:highlight w:val="white"/>
          <w:rtl w:val="0"/>
        </w:rPr>
        <w:t xml:space="preserve">éxito profesional</w:t>
      </w:r>
      <w:r w:rsidDel="00000000" w:rsidR="00000000" w:rsidRPr="00000000">
        <w:rPr>
          <w:rFonts w:ascii="Times New Roman" w:cs="Times New Roman" w:eastAsia="Times New Roman" w:hAnsi="Times New Roman"/>
          <w:i w:val="1"/>
          <w:iCs w:val="1"/>
          <w:highlight w:val="white"/>
          <w:rtl w:val="0"/>
        </w:rPr>
        <w:t xml:space="preserve"> </w:t>
      </w:r>
      <w:r w:rsidDel="00000000" w:rsidR="00000000" w:rsidRPr="00000000">
        <w:rPr>
          <w:rFonts w:ascii="Times New Roman" w:cs="Times New Roman" w:eastAsia="Times New Roman" w:hAnsi="Times New Roman"/>
          <w:highlight w:val="white"/>
          <w:rtl w:val="0"/>
        </w:rPr>
        <w:t xml:space="preserve">(con frecuencia, asociando este término al nivel de remuneración que logran los profesionales o el grado del cargo que desempeñan). El análisis de la correspondencia entre la formación y el mundo del trabajo aparece como una herramienta muy útil para conocer fortalezas y debilidades de las propuestas académicas. </w:t>
      </w:r>
      <w:r w:rsidDel="00000000" w:rsidR="00000000" w:rsidRPr="00000000">
        <w:rPr>
          <w:rFonts w:ascii="Times New Roman" w:cs="Times New Roman" w:eastAsia="Times New Roman" w:hAnsi="Times New Roman"/>
          <w:highlight w:val="white"/>
          <w:rtl w:val="0"/>
        </w:rPr>
        <w:t xml:space="preserve">(Passarini, J. 2013)</w:t>
      </w:r>
    </w:p>
    <w:p w:rsidR="00000000" w:rsidDel="00000000" w:rsidP="00000000" w:rsidRDefault="00000000" w:rsidRPr="00000000" w14:paraId="0000002B">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Un aspecto a tener en cuenta es que la incorporación de estudios de seguimiento de graduados contribuye a un requerimiento de la Acreditación Regional de la carrera en el MERCOSUR (Red de Agencias Nacionales de Acreditación, 2015a, 2015b) y representa una herramienta de mejora de la gestión de la calidad de la instituciones de educación superior. De ahí, que los procesos de evaluación y acreditación de estas instituciones </w:t>
      </w:r>
      <w:r w:rsidDel="00000000" w:rsidR="00000000" w:rsidRPr="00000000">
        <w:rPr>
          <w:rFonts w:ascii="Times New Roman" w:cs="Times New Roman" w:eastAsia="Times New Roman" w:hAnsi="Times New Roman"/>
          <w:rtl w:val="0"/>
        </w:rPr>
        <w:t xml:space="preserve">han promovido un nuevo auge de los estudios de seguimiento de graduados, incluyendo indicadores específicos donde las instituciones de educación superior </w:t>
      </w:r>
      <w:r w:rsidDel="00000000" w:rsidR="00000000" w:rsidRPr="00000000">
        <w:rPr>
          <w:rFonts w:ascii="Times New Roman" w:cs="Times New Roman" w:eastAsia="Times New Roman" w:hAnsi="Times New Roman"/>
          <w:rtl w:val="0"/>
        </w:rPr>
        <w:t xml:space="preserve">procuran  la  medición  del impacto  de  la  educación  a través  de  la  inserción  efectiva  y  el  éxito  laboral de sus egresados en el mundo del trabajo.</w:t>
      </w: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los criterios para la Evaluación Institucional estipulados por la Udelar, también han incluido estos requerimientos dentro de su análisis. </w:t>
      </w:r>
      <w:r w:rsidDel="00000000" w:rsidR="00000000" w:rsidRPr="00000000">
        <w:rPr>
          <w:rFonts w:ascii="Times New Roman" w:cs="Times New Roman" w:eastAsia="Times New Roman" w:hAnsi="Times New Roman"/>
          <w:rtl w:val="0"/>
        </w:rPr>
        <w:t xml:space="preserve">(CEIyA, 2026)</w:t>
      </w:r>
      <w:r w:rsidDel="00000000" w:rsidR="00000000" w:rsidRPr="00000000">
        <w:rPr>
          <w:rFonts w:ascii="Times New Roman" w:cs="Times New Roman" w:eastAsia="Times New Roman" w:hAnsi="Times New Roman"/>
          <w:rtl w:val="0"/>
        </w:rPr>
        <w:t xml:space="preserve">. Esto surge de que las instituciones deben conocer su entorno, sus características; lo que contribuye a que la formación de un profesional sea adecuada a las exigencias de su vida laboral y coincidiendo con estas líneas de análisis de la realidad, es que se pueden observar indicadores específicos que exigen tener contacto con sus egresados y las demandas de la comunidad en la que se insertan. </w:t>
      </w:r>
      <w:r w:rsidDel="00000000" w:rsidR="00000000" w:rsidRPr="00000000">
        <w:rPr>
          <w:rFonts w:ascii="Times New Roman" w:cs="Times New Roman" w:eastAsia="Times New Roman" w:hAnsi="Times New Roman"/>
          <w:rtl w:val="0"/>
        </w:rPr>
        <w:t xml:space="preserve">Además de identificar las fortalezas y debilidades, y obtener sugerencias y recomendaciones para la Universidad, los estudios de egresados proporcionan a las instituciones información relevante para la toma de decisiones para actualizar no solo su currícula sino también mejorar y planificar los cursos de educación permanente que se ofrecen a sus egresados. </w:t>
      </w:r>
      <w:r w:rsidDel="00000000" w:rsidR="00000000" w:rsidRPr="00000000">
        <w:rPr>
          <w:rFonts w:ascii="Times New Roman" w:cs="Times New Roman" w:eastAsia="Times New Roman" w:hAnsi="Times New Roman"/>
          <w:rtl w:val="0"/>
        </w:rPr>
        <w:t xml:space="preserve">(Gomez, H y col .2016)</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Los cambios en patrones productivos y requerimientos laborales tornan cada vez más complejo el rol del sistema formal de la educación en la preparación para trayectorias futuras en el mundo del trabajo. No existe garantía de que la adquisición de conocimientos generales, la acumulación de conocimientos en materias específicas y el buen rendimiento escolar aseguren un futuro promisorio en el plano laboral </w:t>
      </w:r>
      <w:r w:rsidDel="00000000" w:rsidR="00000000" w:rsidRPr="00000000">
        <w:rPr>
          <w:rFonts w:ascii="Times New Roman" w:cs="Times New Roman" w:eastAsia="Times New Roman" w:hAnsi="Times New Roman"/>
          <w:rtl w:val="0"/>
        </w:rPr>
        <w:t xml:space="preserve">(Cepal 2004. p. 238)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el desempeño de los graduados a partir de la preparación adquirida, debe responder, por un lado, a las demandas de la sociedad basadas en el constante desarrollo, perfeccionamiento y aplicación de la ciencia y la técnica, y por otro, a los requerimientos del mundo del trabajo, sirviendo siempre de retroalimentación a la Universidad en su gestión de la calidad, pero con el objetivo de preparar profesionales capaces de incidir en esta realidad para transformarla hacia una sociedad más justa y equitativa, así como poder utilizar criterios que le permitan actualizarse y adaptarse de forma flexible a los nuevos desafíos.</w:t>
      </w:r>
      <w:r w:rsidDel="00000000" w:rsidR="00000000" w:rsidRPr="00000000">
        <w:rPr>
          <w:rFonts w:ascii="Times New Roman" w:cs="Times New Roman" w:eastAsia="Times New Roman" w:hAnsi="Times New Roman"/>
          <w:rtl w:val="0"/>
        </w:rPr>
        <w:t xml:space="preserve"> Es por esto la importancia de conocer la situación laboral de sus profesionales y, principalmente, de los recién graduados, quienes cuentan con los conocimientos obtenidos a partir de la formación universitaria como principal herramienta para insertarse laboralmente. </w:t>
      </w:r>
      <w:r w:rsidDel="00000000" w:rsidR="00000000" w:rsidRPr="00000000">
        <w:rPr>
          <w:rFonts w:ascii="Times New Roman" w:cs="Times New Roman" w:eastAsia="Times New Roman" w:hAnsi="Times New Roman"/>
          <w:rtl w:val="0"/>
        </w:rPr>
        <w:t xml:space="preserve">(Delgado Brito, J y col. 2021).</w:t>
      </w:r>
    </w:p>
    <w:p w:rsidR="00000000" w:rsidDel="00000000" w:rsidP="00000000" w:rsidRDefault="00000000" w:rsidRPr="00000000" w14:paraId="0000002D">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En lo que respecta a la Facultad de Veterinaria y el estudio sobre sus graduados se encuentran tres trabajos importantes: el efectuado por la empresa Equipos Consultores Asociados realizado en 1992 con el objetivo de conocer la “Situación y perspectiva de la profesión veterinaria”, el primer Censo Nacional Veterinarios (CNV) realizado en el año 2010 con el apoyo de la Sociedad de Medicina Veterinaria del Uruguay y el Ministerio de Ganadería Agricultura y Pesca;  y el desarrollo de la línea de investigación sobre graduados que viene llevando adelante la Unidad Académica de Educación Veterinaria en el que </w:t>
      </w:r>
      <w:r w:rsidDel="00000000" w:rsidR="00000000" w:rsidRPr="00000000">
        <w:rPr>
          <w:rFonts w:ascii="Times New Roman" w:cs="Times New Roman" w:eastAsia="Times New Roman" w:hAnsi="Times New Roman"/>
          <w:highlight w:val="white"/>
          <w:rtl w:val="0"/>
        </w:rPr>
        <w:t xml:space="preserve">se destacan:</w:t>
      </w:r>
    </w:p>
    <w:p w:rsidR="00000000" w:rsidDel="00000000" w:rsidP="00000000" w:rsidRDefault="00000000" w:rsidRPr="00000000" w14:paraId="0000002E">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T</w:t>
      </w:r>
      <w:r w:rsidDel="00000000" w:rsidR="00000000" w:rsidRPr="00000000">
        <w:rPr>
          <w:rFonts w:ascii="Times New Roman" w:cs="Times New Roman" w:eastAsia="Times New Roman" w:hAnsi="Times New Roman"/>
          <w:rtl w:val="0"/>
        </w:rPr>
        <w:t xml:space="preserve">esis de doctorado de José Passarini (2013) que se enfocó en el análisis de las correspondencias entre la formación de los veterinarios y su inserción laboral en los primeros años post egreso, analizando la valoración que realizan sobre la formación recibida.</w:t>
      </w:r>
    </w:p>
    <w:p w:rsidR="00000000" w:rsidDel="00000000" w:rsidP="00000000" w:rsidRDefault="00000000" w:rsidRPr="00000000" w14:paraId="0000002F">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E</w:t>
      </w:r>
      <w:r w:rsidDel="00000000" w:rsidR="00000000" w:rsidRPr="00000000">
        <w:rPr>
          <w:rFonts w:ascii="Times New Roman" w:cs="Times New Roman" w:eastAsia="Times New Roman" w:hAnsi="Times New Roman"/>
          <w:rtl w:val="0"/>
        </w:rPr>
        <w:t xml:space="preserve">l trabajo de iniciación a la investigación de Brasiliano Rodríguez, realizando una base de datos sobre los egresados de veterinaria de la última década, y analizando la encuesta que completan los mismos al momento de graduarse en la bedelía de la Facultad.</w:t>
      </w:r>
    </w:p>
    <w:p w:rsidR="00000000" w:rsidDel="00000000" w:rsidP="00000000" w:rsidRDefault="00000000" w:rsidRPr="00000000" w14:paraId="0000003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L</w:t>
      </w:r>
      <w:r w:rsidDel="00000000" w:rsidR="00000000" w:rsidRPr="00000000">
        <w:rPr>
          <w:rFonts w:ascii="Times New Roman" w:cs="Times New Roman" w:eastAsia="Times New Roman" w:hAnsi="Times New Roman"/>
          <w:rtl w:val="0"/>
        </w:rPr>
        <w:t xml:space="preserve">a tesis de grado de Paola Cabral (2017) que se centró en la demanda de veterinarios que tenía los anuncios clasificados durante un quinquenio, haciendo énfasis en el área de la profesión que se solicitaban y las competencias que requerían.</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b w:val="1"/>
          <w:bCs w:val="1"/>
          <w:color w:val="231f20"/>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231f20"/>
          <w:rtl w:val="0"/>
        </w:rPr>
        <w:t xml:space="preserve">Qué es el capital social?</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la amplitud del concepto de capital social y de las variaciones que presenta su aplicación, no existe un consenso pleno sobre cuál es su significado teórico ni su </w:t>
      </w:r>
      <w:r w:rsidDel="00000000" w:rsidR="00000000" w:rsidRPr="00000000">
        <w:rPr>
          <w:sz w:val="22"/>
          <w:szCs w:val="22"/>
          <w:highlight w:val="white"/>
          <w:rtl w:val="0"/>
        </w:rPr>
        <w:t xml:space="preserve">utilización</w:t>
      </w:r>
      <w:r w:rsidDel="00000000" w:rsidR="00000000" w:rsidRPr="00000000">
        <w:rPr>
          <w:rFonts w:ascii="Times New Roman" w:cs="Times New Roman" w:eastAsia="Times New Roman" w:hAnsi="Times New Roman"/>
          <w:rtl w:val="0"/>
        </w:rPr>
        <w:t xml:space="preserve"> metodológica. Esto es debido a que el mismo es aplicado en diversos</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ámbitos y ha permitido muchos y muy variados nudos conceptuales y problemas analíticos: sus fuentes, sus componentes, su extensión, su forma, su carácter colectivo o individual, su dimensión formalizada o informal, su vinculación con la cultura cívica o sólo con las redes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(Millán, R y col. 2004).</w:t>
      </w:r>
    </w:p>
    <w:p w:rsidR="00000000" w:rsidDel="00000000" w:rsidP="00000000" w:rsidRDefault="00000000" w:rsidRPr="00000000" w14:paraId="00000035">
      <w:pPr>
        <w:spacing w:after="0" w:line="240" w:lineRule="auto"/>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231f20"/>
          <w:rtl w:val="0"/>
        </w:rPr>
        <w:t xml:space="preserve">Los primeros esfuerzos por definir formalmente el capital social surgen según el economista Glenn Loury (1977) </w:t>
      </w:r>
      <w:r w:rsidDel="00000000" w:rsidR="00000000" w:rsidRPr="00000000">
        <w:rPr>
          <w:rFonts w:ascii="Times New Roman" w:cs="Times New Roman" w:eastAsia="Times New Roman" w:hAnsi="Times New Roman"/>
          <w:color w:val="231f20"/>
          <w:rtl w:val="0"/>
        </w:rPr>
        <w:t xml:space="preserve">citado por Saiz, J. 2008</w:t>
      </w:r>
      <w:r w:rsidDel="00000000" w:rsidR="00000000" w:rsidRPr="00000000">
        <w:rPr>
          <w:rFonts w:ascii="Times New Roman" w:cs="Times New Roman" w:eastAsia="Times New Roman" w:hAnsi="Times New Roman"/>
          <w:color w:val="231f20"/>
          <w:rtl w:val="0"/>
        </w:rPr>
        <w:t xml:space="preserve">, quien lo empleó en su estudio sobre los mercados de trabajo, "el capital social sirve para indicar las redes de relaciones familiares y sociales que pueden aumentar el capital humano" </w:t>
      </w:r>
      <w:r w:rsidDel="00000000" w:rsidR="00000000" w:rsidRPr="00000000">
        <w:rPr>
          <w:rFonts w:ascii="Times New Roman" w:cs="Times New Roman" w:eastAsia="Times New Roman" w:hAnsi="Times New Roman"/>
          <w:rtl w:val="0"/>
        </w:rPr>
        <w:t xml:space="preserve">(Saiz, J .2008)</w:t>
      </w:r>
      <w:r w:rsidDel="00000000" w:rsidR="00000000" w:rsidRPr="00000000">
        <w:rPr>
          <w:rFonts w:ascii="Times New Roman" w:cs="Times New Roman" w:eastAsia="Times New Roman" w:hAnsi="Times New Roman"/>
          <w:color w:val="231f20"/>
          <w:rtl w:val="0"/>
        </w:rPr>
        <w:t xml:space="preserve">, para otros el capital social es una forma de capital que puede ser comparado con el capital humano y al capital físico, en el que un individu</w:t>
      </w:r>
      <w:r w:rsidDel="00000000" w:rsidR="00000000" w:rsidRPr="00000000">
        <w:rPr>
          <w:rFonts w:ascii="Times New Roman" w:cs="Times New Roman" w:eastAsia="Times New Roman" w:hAnsi="Times New Roman"/>
          <w:rtl w:val="0"/>
        </w:rPr>
        <w:t xml:space="preserve">o puede invertir y que mediante este puede obtener ventajas u objetivos inalcanzables en s</w:t>
      </w:r>
      <w:r w:rsidDel="00000000" w:rsidR="00000000" w:rsidRPr="00000000">
        <w:rPr>
          <w:rFonts w:ascii="Times New Roman" w:cs="Times New Roman" w:eastAsia="Times New Roman" w:hAnsi="Times New Roman"/>
          <w:rtl w:val="0"/>
        </w:rPr>
        <w:t xml:space="preserve">u aus</w:t>
      </w:r>
      <w:r w:rsidDel="00000000" w:rsidR="00000000" w:rsidRPr="00000000">
        <w:rPr>
          <w:rFonts w:ascii="Times New Roman" w:cs="Times New Roman" w:eastAsia="Times New Roman" w:hAnsi="Times New Roman"/>
          <w:rtl w:val="0"/>
        </w:rPr>
        <w:t xml:space="preserve">encia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(Herreros, F.2002).</w:t>
      </w: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31f20"/>
          <w:rtl w:val="0"/>
        </w:rPr>
        <w:t xml:space="preserve">El desarrollo del concepto de capital social y su actual influencia en la ciencia social surge de diferentes autores que se repiten en la bibliografía. Según la concepción de Bourdieu (1985) </w:t>
      </w:r>
      <w:r w:rsidDel="00000000" w:rsidR="00000000" w:rsidRPr="00000000">
        <w:rPr>
          <w:rFonts w:ascii="Times New Roman" w:cs="Times New Roman" w:eastAsia="Times New Roman" w:hAnsi="Times New Roman"/>
          <w:rtl w:val="0"/>
        </w:rPr>
        <w:t xml:space="preserve">realiza</w:t>
      </w:r>
      <w:r w:rsidDel="00000000" w:rsidR="00000000" w:rsidRPr="00000000">
        <w:rPr>
          <w:rFonts w:ascii="Times New Roman" w:cs="Times New Roman" w:eastAsia="Times New Roman" w:hAnsi="Times New Roman"/>
          <w:color w:val="231f20"/>
          <w:rtl w:val="0"/>
        </w:rPr>
        <w:t xml:space="preserve"> un enfoque donde lo plantea </w:t>
      </w:r>
      <w:r w:rsidDel="00000000" w:rsidR="00000000" w:rsidRPr="00000000">
        <w:rPr>
          <w:sz w:val="22"/>
          <w:szCs w:val="22"/>
          <w:highlight w:val="white"/>
          <w:rtl w:val="0"/>
        </w:rPr>
        <w:t xml:space="preserve">al</w:t>
      </w:r>
      <w:r w:rsidDel="00000000" w:rsidR="00000000" w:rsidRPr="00000000">
        <w:rPr>
          <w:rFonts w:ascii="Times New Roman" w:cs="Times New Roman" w:eastAsia="Times New Roman" w:hAnsi="Times New Roman"/>
          <w:color w:val="231f20"/>
          <w:rtl w:val="0"/>
        </w:rPr>
        <w:t xml:space="preserve"> capital social vinculando a redes sociales y los movimientos de los individuos dentro de estas, en su análisis también lo relaciona a un capital en el que al individuo le otorga poder. James Coleman (1988, 1990) lo enfoca como recursos disponibles dentro de una estructura que un individuo puede tomar para formar parte de la misma y a su vez esto le exige ciertas obligaciones que la estructura le demanda. Hace referencia a las interacciones que existen en esta y son las que generan un vínculo que constituyen el capital social. Para este d</w:t>
      </w:r>
      <w:r w:rsidDel="00000000" w:rsidR="00000000" w:rsidRPr="00000000">
        <w:rPr>
          <w:rFonts w:ascii="Times New Roman" w:cs="Times New Roman" w:eastAsia="Times New Roman" w:hAnsi="Times New Roman"/>
          <w:rtl w:val="0"/>
        </w:rPr>
        <w:t xml:space="preserve">ebe considerarse que las relaciones sociales y las interacciones se dan en contextos que enmarcan elementos previos, tales como las relaciones de autoridad, de confianza y distribución de derechos, y que establecen normas para su funcionamiento habitual.</w:t>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31f20"/>
          <w:rtl w:val="0"/>
        </w:rPr>
        <w:t xml:space="preserve">Robert Putnam (1993a, 2000) en cambio toma una mirada más política de este concepto y lo vincula con las actividades cívicas de los individuos y las participaciones sociales de estos en las organizaciones, incluye dentro del mismo el ambiente social y político que conforma la estructura social y permite el desarrollo de normas. Para él estos rasgos fomentan</w:t>
      </w:r>
      <w:r w:rsidDel="00000000" w:rsidR="00000000" w:rsidRPr="00000000">
        <w:rPr>
          <w:rFonts w:ascii="Times New Roman" w:cs="Times New Roman" w:eastAsia="Times New Roman" w:hAnsi="Times New Roman"/>
          <w:color w:val="231f20"/>
          <w:rtl w:val="0"/>
        </w:rPr>
        <w:t xml:space="preserve"> la cooperación, incentivan la atención de asuntos comunes, generan relaciones de igualdad y confianza, solidaridad y tolerancia</w:t>
      </w:r>
      <w:r w:rsidDel="00000000" w:rsidR="00000000" w:rsidRPr="00000000">
        <w:rPr>
          <w:rFonts w:ascii="Times New Roman" w:cs="Times New Roman" w:eastAsia="Times New Roman" w:hAnsi="Times New Roman"/>
          <w:color w:val="231f20"/>
          <w:rtl w:val="0"/>
        </w:rPr>
        <w:t xml:space="preserve"> </w:t>
      </w:r>
      <w:r w:rsidDel="00000000" w:rsidR="00000000" w:rsidRPr="00000000">
        <w:rPr>
          <w:rFonts w:ascii="Times New Roman" w:cs="Times New Roman" w:eastAsia="Times New Roman" w:hAnsi="Times New Roman"/>
          <w:rtl w:val="0"/>
        </w:rPr>
        <w:t xml:space="preserve">(Herreros, F. 2002)</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(Millán, R y col. 2004) (Saiz, J. 2008).</w:t>
      </w:r>
    </w:p>
    <w:p w:rsidR="00000000" w:rsidDel="00000000" w:rsidP="00000000" w:rsidRDefault="00000000" w:rsidRPr="00000000" w14:paraId="00000038">
      <w:pPr>
        <w:spacing w:after="0" w:line="240" w:lineRule="auto"/>
        <w:jc w:val="both"/>
        <w:rPr>
          <w:rFonts w:ascii="Times New Roman" w:cs="Times New Roman" w:eastAsia="Times New Roman" w:hAnsi="Times New Roman"/>
          <w:color w:val="231f20"/>
        </w:rPr>
      </w:pPr>
      <w:r w:rsidDel="00000000" w:rsidR="00000000" w:rsidRPr="00000000">
        <w:rPr>
          <w:rFonts w:ascii="Times New Roman" w:cs="Times New Roman" w:eastAsia="Times New Roman" w:hAnsi="Times New Roman"/>
          <w:color w:val="231f20"/>
          <w:rtl w:val="0"/>
        </w:rPr>
        <w:t xml:space="preserve">Cuando se plantea analizar el concepto mediante su estructura podemos visualizar dos miradas en cuanto al concepto para algunos autores </w:t>
      </w:r>
      <w:r w:rsidDel="00000000" w:rsidR="00000000" w:rsidRPr="00000000">
        <w:rPr>
          <w:rFonts w:ascii="Times New Roman" w:cs="Times New Roman" w:eastAsia="Times New Roman" w:hAnsi="Times New Roman"/>
          <w:rtl w:val="0"/>
        </w:rPr>
        <w:t xml:space="preserve">como Lin, Coleman, Bourdieu</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(Valdecasas, G. 2011)</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231f20"/>
          <w:rtl w:val="0"/>
        </w:rPr>
        <w:t xml:space="preserve">ven a este con un enfoque más</w:t>
      </w:r>
      <w:r w:rsidDel="00000000" w:rsidR="00000000" w:rsidRPr="00000000">
        <w:rPr>
          <w:rFonts w:ascii="Times New Roman" w:cs="Times New Roman" w:eastAsia="Times New Roman" w:hAnsi="Times New Roman"/>
          <w:rtl w:val="0"/>
        </w:rPr>
        <w:t xml:space="preserve"> estructural, hablan de que es la información recorre la estructura de las redes sociales donde se mueven los individuos, donde una persona que no pertenece a la misma no tiene posibilidades de poder acceder a esa información y por tal motivo un individuo aislado carece de esta posibilidad de interacción. La otra mirada no plantea al capital social con una definición estructural, esta sostiene que este forma parte de la cultura donde se está inserto el sujeto. La mirada culturalista en la que se enmarcan </w:t>
      </w:r>
      <w:r w:rsidDel="00000000" w:rsidR="00000000" w:rsidRPr="00000000">
        <w:rPr>
          <w:rFonts w:ascii="Times New Roman" w:cs="Times New Roman" w:eastAsia="Times New Roman" w:hAnsi="Times New Roman"/>
          <w:rtl w:val="0"/>
        </w:rPr>
        <w:t xml:space="preserve">Paxton, Newton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231f20"/>
          <w:rtl w:val="0"/>
        </w:rPr>
        <w:t xml:space="preserve">hace referencia a que es un fenómeno subjetivo y difícil de medir que está dado por los valores y actitudes que tienen los ciudadanos pertenecientes a la misma red y eso marcará la forma de comportarse entre ellos. (Valdecasas, G. 2011, p.137).</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31f20"/>
          <w:rtl w:val="0"/>
        </w:rPr>
        <w:t xml:space="preserve">Al profundizar en el análisis del término creemos pertinente poder realizar una diferenciación entre el capital humano y social donde para muchos es algo similar. Para nosotros existe una clara diferencia en los conceptos, el capital humano es un plus que obtienen los individuos cuando adquieren ciertas habilidades, conocimiento u otros recursos útiles para desarrollar alguna tarea o actividad, este se puede medir de alguna forma ya sea mediante un título, una capacitación o con la experiencia laboral. Son propios de un individuo donde la persona invierte como para obtener réditos personales. Mientras el capital social es una serie de recursos sociales que se invierten en relaciones con la esperanza de obtener algún beneficio. Estos últimos se encuentran dentro de la estructura social y solo se pueden obtener siendo parte de la misma. Estos recursos se obtienen por formar una red de vínculos, pueden generar información valiosa para los integrantes de la misma y lo compromete a obligaciones de reciprocidad con los actores de la misma red social </w:t>
      </w:r>
      <w:r w:rsidDel="00000000" w:rsidR="00000000" w:rsidRPr="00000000">
        <w:rPr>
          <w:rFonts w:ascii="Times New Roman" w:cs="Times New Roman" w:eastAsia="Times New Roman" w:hAnsi="Times New Roman"/>
          <w:rtl w:val="0"/>
        </w:rPr>
        <w:t xml:space="preserve">(Valdecasas, G. 2011).</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nuestro trabajo nos paramos en el enfoque que plantea </w:t>
      </w:r>
      <w:r w:rsidDel="00000000" w:rsidR="00000000" w:rsidRPr="00000000">
        <w:rPr>
          <w:rFonts w:ascii="Times New Roman" w:cs="Times New Roman" w:eastAsia="Times New Roman" w:hAnsi="Times New Roman"/>
          <w:rtl w:val="0"/>
        </w:rPr>
        <w:t xml:space="preserve"> (Valdecasas, G. 2011). </w:t>
      </w:r>
      <w:r w:rsidDel="00000000" w:rsidR="00000000" w:rsidRPr="00000000">
        <w:rPr>
          <w:rFonts w:ascii="Times New Roman" w:cs="Times New Roman" w:eastAsia="Times New Roman" w:hAnsi="Times New Roman"/>
          <w:rtl w:val="0"/>
        </w:rPr>
        <w:t xml:space="preserve"> este hace referencia a las redes sociales como un conjunto de actores unidos entre sí a través de relaciones sociales, también cuestionan que no existe una única posibilidad de actores ya que los mismos pueden ser desde individuos, empresas, estados, etc. Y que esta relación también se puede dar en diferentes niveles dentro de los individuos, desde una relación de amistad, relaciones de poder, políticas, etc. Hace referencia a la fortaleza de los vínculos y cómo esto puede influir en la obtención de ventajas, como la difusión de tecnología, las preferencias políticas o en la obtención de empleo.</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tipo de red social al que pertenezca influye en la cantidad o la calidad de la información a la que tenga acceso. Una red grande con vínculos débiles (entre simples conocidos, sin relaciones de amistad) puede proporcionar más información acerca de, por ejemplo, ofertas de trabajo, que una red más pequeña de amigos Esto es más importante en vínculos profesionales, ya que estas redes son específicas donde se dan encuentros puntuales, reuniones, conferencias, donde están involucrados actores que tienen la misma especificidad, estos momentos generan encuentros y dan a los </w:t>
      </w:r>
      <w:r w:rsidDel="00000000" w:rsidR="00000000" w:rsidRPr="00000000">
        <w:rPr>
          <w:rFonts w:ascii="Times New Roman" w:cs="Times New Roman" w:eastAsia="Times New Roman" w:hAnsi="Times New Roman"/>
          <w:color w:val="231f20"/>
          <w:rtl w:val="0"/>
        </w:rPr>
        <w:t xml:space="preserve">involucrados un “sentido de comunidad” generando información que muchas veces le permiten al individuo lograr una movilidad laboral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(Granovetter, 1973)</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Esto reafirma la importancia de los vínculos en la obtención de algunos beneficios para los individuos. Como dice el dicho “no es sólo lo que conoces sino a quién conoces”, las redes a las que pertenecen los individuos pueden ser tan o más importantes que la formación académica que se tenga a la hora de buscar un empleo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(Valdecasas, G. 2011).</w:t>
      </w:r>
    </w:p>
    <w:p w:rsidR="00000000" w:rsidDel="00000000" w:rsidP="00000000" w:rsidRDefault="00000000" w:rsidRPr="00000000" w14:paraId="0000003C">
      <w:pPr>
        <w:spacing w:line="240" w:lineRule="auto"/>
        <w:jc w:val="both"/>
        <w:rPr>
          <w:rFonts w:ascii="Times New Roman" w:cs="Times New Roman" w:eastAsia="Times New Roman" w:hAnsi="Times New Roman"/>
          <w:color w:val="231f20"/>
        </w:rPr>
      </w:pPr>
      <w:r w:rsidDel="00000000" w:rsidR="00000000" w:rsidRPr="00000000">
        <w:rPr>
          <w:rFonts w:ascii="Times New Roman" w:cs="Times New Roman" w:eastAsia="Times New Roman" w:hAnsi="Times New Roman"/>
          <w:rtl w:val="0"/>
        </w:rPr>
        <w:t xml:space="preserve">Para nuestro trabajo definimos plantear al capital social desde la mirada estructural planteando la hipótesis de que las redes sociales a las que se pertenecen y los vínculos tanto sociales como profesionales pueden cumplir un rol fundamental al momento de obtener información que le permita a los jóvenes egresados de la carrera de veterinaria poder conseguir un empleo o que estos vínculos favorezcan la movilidad laboral dentro de la profesión</w:t>
      </w:r>
      <w:r w:rsidDel="00000000" w:rsidR="00000000" w:rsidRPr="00000000">
        <w:rPr>
          <w:rFonts w:ascii="Times New Roman" w:cs="Times New Roman" w:eastAsia="Times New Roman" w:hAnsi="Times New Roman"/>
          <w:color w:val="231f20"/>
          <w:rtl w:val="0"/>
        </w:rPr>
        <w:t xml:space="preserve">. </w:t>
      </w:r>
    </w:p>
    <w:p w:rsidR="00000000" w:rsidDel="00000000" w:rsidP="00000000" w:rsidRDefault="00000000" w:rsidRPr="00000000" w14:paraId="0000003D">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Inserción Laboral</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 inserción laboral es el término utilizado habitualmente para referirse al proceso de incorporación a la actividad económica de los individuos. Este proceso suele coincidir con la etapa juvenil. Siendo una transición social que va de posiciones del sistema educativo y de la familia de origen hacia posiciones del mercado de trabajo y de independización familiar. (Garcia Blanco, J.M. y col. 1996) este tema es una de las mayores preocupaciones de las instituciones de educación superior, dado que algunas de las mayores dificultades que existen en la actualidad son, la falta de políticas públicas destinadas a la inserción laboral de los jóvenes egresados que le faciliten su inserción laboral</w:t>
      </w:r>
      <w:r w:rsidDel="00000000" w:rsidR="00000000" w:rsidRPr="00000000">
        <w:rPr>
          <w:rFonts w:ascii="Times New Roman" w:cs="Times New Roman" w:eastAsia="Times New Roman" w:hAnsi="Times New Roman"/>
          <w:rtl w:val="0"/>
        </w:rPr>
        <w:t xml:space="preserve">. Existen procesos que afecta a los mercados de trabajo y a la inserción laboral, la coyuntura económica, así como la aceleración del cambio en los mercados, la marcada y creciente segmentación socioeconómica y el trasfondo familiar determina en gran medida las perspectivas laborales de los jóvenes, pues influye en las oportunidades de acumular capital humano. </w:t>
      </w:r>
      <w:r w:rsidDel="00000000" w:rsidR="00000000" w:rsidRPr="00000000">
        <w:rPr>
          <w:rFonts w:ascii="Times New Roman" w:cs="Times New Roman" w:eastAsia="Times New Roman" w:hAnsi="Times New Roman"/>
          <w:rtl w:val="0"/>
        </w:rPr>
        <w:t xml:space="preserve">(Panaia, M 2017) (</w:t>
      </w:r>
      <w:r w:rsidDel="00000000" w:rsidR="00000000" w:rsidRPr="00000000">
        <w:rPr>
          <w:rFonts w:ascii="Times New Roman" w:cs="Times New Roman" w:eastAsia="Times New Roman" w:hAnsi="Times New Roman"/>
          <w:rtl w:val="0"/>
        </w:rPr>
        <w:t xml:space="preserve">Weller, J. 2007)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Esto se puede asociar con la preocupación de muchos jóvenes sobre su “carrera laboral”, el punto de partida de esta concepción es la racionalidad económica por el cual un individuo invierte en la adquisición de capital humano, principalmente educación y formación esperando que esta le traiga réditos económicos. Estas carreras laborales de los individuos tienen desigualdades que están dadas por los diferentes niveles de inversión en capital humano, las diferentes redes a las que pertenecen. </w:t>
      </w:r>
      <w:r w:rsidDel="00000000" w:rsidR="00000000" w:rsidRPr="00000000">
        <w:rPr>
          <w:rFonts w:ascii="Times New Roman" w:cs="Times New Roman" w:eastAsia="Times New Roman" w:hAnsi="Times New Roman"/>
          <w:highlight w:val="white"/>
          <w:rtl w:val="0"/>
        </w:rPr>
        <w:t xml:space="preserve">(García Blanco, J.M. y col. 1996)</w:t>
      </w:r>
      <w:r w:rsidDel="00000000" w:rsidR="00000000" w:rsidRPr="00000000">
        <w:rPr>
          <w:rFonts w:ascii="Times New Roman" w:cs="Times New Roman" w:eastAsia="Times New Roman" w:hAnsi="Times New Roman"/>
          <w:highlight w:val="white"/>
          <w:rtl w:val="0"/>
        </w:rPr>
        <w:t xml:space="preserve"> D</w:t>
      </w:r>
      <w:r w:rsidDel="00000000" w:rsidR="00000000" w:rsidRPr="00000000">
        <w:rPr>
          <w:rFonts w:ascii="Times New Roman" w:cs="Times New Roman" w:eastAsia="Times New Roman" w:hAnsi="Times New Roman"/>
          <w:rtl w:val="0"/>
        </w:rPr>
        <w:t xml:space="preserve">esde el inicio de la era moderna, la inserción laboral de los jóvenes es el elemento clave para pasar a la vida adulta, dado que los ingresos propios generan la base material para disminuir y luego eliminar la dependencia económica respecto de los padres y establecer un hogar propio</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debate académico y político se han abordado varias explicaciones de las dificultades que enfrenta la inserción laboral juvenil. En cuanto a la oferta, destaca la hipótesis de que los sistemas educativos y de capacitación no preparan adecuadamente a los jóvenes para el mundo laboral. Otro elemento que complica la inserción laboral juvenil es la marcada (y creciente) segmentación socioeconómica, reflejo y origen de la elevada desigualdad en América Latina. El trasfondo familiar determina en gran medida las perspectivas laborales de los jóvenes, pues influye en las oportunidades de acumular capital humano (acceso a educación y capacitación de buena calidad), capital social (relaciones sociales basadas en la confianza, la cooperación y la reciprocidad) y capital cultural”</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es parte del problema que visualizamos y queremos investigar, cómo el capital social puede afectar la inserción laboral de los jóvenes veterinarios. Nos enfocamos en este dado que partimos de la idea de que todos los jóvenes egresados ya invirtieron en su capital humano para poder comenzar su “carrera laboral”.</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Resultados</w:t>
      </w:r>
      <w:r w:rsidDel="00000000" w:rsidR="00000000" w:rsidRPr="00000000">
        <w:rPr>
          <w:rtl w:val="0"/>
        </w:rPr>
      </w:r>
    </w:p>
    <w:p w:rsidR="00000000" w:rsidDel="00000000" w:rsidP="00000000" w:rsidRDefault="00000000" w:rsidRPr="00000000" w14:paraId="0000004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este trabajo se realizó una consulta mediante formulario administrado a las/os egresadas de los años 2020 a 2023. En él se consultó sobre diversas dimensiones. En la primera parte se pregunta sobre información personal, en el segundo apartado se busca tener información sobre la formación posterior a recibirse tanto de posgrado como de educación permanente, en la última parte de este se preguntan temas relacionados con su situación laboral actual. En este trabajo, se presentan específicamente los resultados sobre las preguntas relacionadas con inserción laboral, acceso laboral y claves para la obtención del empleo. </w:t>
      </w:r>
    </w:p>
    <w:p w:rsidR="00000000" w:rsidDel="00000000" w:rsidP="00000000" w:rsidRDefault="00000000" w:rsidRPr="00000000" w14:paraId="00000045">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cuatro años consultados el total de egresados de la carrera correspondió a 516 personas, de estos 177 un 34% del total fueron los que respondieron a dicha encuesta. </w:t>
      </w:r>
    </w:p>
    <w:p w:rsidR="00000000" w:rsidDel="00000000" w:rsidP="00000000" w:rsidRDefault="00000000" w:rsidRPr="00000000" w14:paraId="00000046">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las preguntas vinculadas con este estudio se consultó:</w:t>
      </w:r>
    </w:p>
    <w:p w:rsidR="00000000" w:rsidDel="00000000" w:rsidP="00000000" w:rsidRDefault="00000000" w:rsidRPr="00000000" w14:paraId="00000047">
      <w:pPr>
        <w:numPr>
          <w:ilvl w:val="0"/>
          <w:numId w:val="1"/>
        </w:numPr>
        <w:spacing w:after="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¿Cuenta con empleo/s actualmente? De las respuestas recibidas el 92% sí cuenta con empleo en la actualidad, luego se pedía aclarar si ese empleo se relacionaba con la profesión veterinaria. De los que cuentan con trabajo solo un 6,8% indicó que su trabajo no se relaciona con la profesión veterinaria. (11 respuestas de 163 que son las que trabajan actualmente)</w:t>
      </w:r>
    </w:p>
    <w:p w:rsidR="00000000" w:rsidDel="00000000" w:rsidP="00000000" w:rsidRDefault="00000000" w:rsidRPr="00000000" w14:paraId="00000048">
      <w:pPr>
        <w:numPr>
          <w:ilvl w:val="0"/>
          <w:numId w:val="1"/>
        </w:numPr>
        <w:spacing w:after="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¿Cuál es su grado de satisfacción con la inserción laboral como veterinario? El 18,1% (32) contestaron que presentan un muy bajo grado de satisfacción, el 36.7 % (65) un grado bajo, 35% (62) un alto grado y únicamente el 10,2% (18) contestaron que su grado de satisfacción es excelente.</w:t>
      </w:r>
    </w:p>
    <w:p w:rsidR="00000000" w:rsidDel="00000000" w:rsidP="00000000" w:rsidRDefault="00000000" w:rsidRPr="00000000" w14:paraId="00000049">
      <w:pPr>
        <w:numPr>
          <w:ilvl w:val="0"/>
          <w:numId w:val="1"/>
        </w:numPr>
        <w:spacing w:after="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¿Cuál es el grado de satisfacción profesional que le genera su trabajo como veterinario? El 8,5% manifestó que su trabajo le genera muy bajo grado de satisfacción, 20,3% (36) un grado bajo, 50,3% (89) se inclinó hacia un alto grado de satisfacción y el 20,9% (37) indicó que su grado de satisfacción es excelente.</w:t>
      </w:r>
    </w:p>
    <w:p w:rsidR="00000000" w:rsidDel="00000000" w:rsidP="00000000" w:rsidRDefault="00000000" w:rsidRPr="00000000" w14:paraId="0000004A">
      <w:pPr>
        <w:numPr>
          <w:ilvl w:val="0"/>
          <w:numId w:val="1"/>
        </w:numPr>
        <w:spacing w:after="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¿Cuál fue la forma en que accedió a ese empleo? El 48% dice que lo hizo a través de otras personas (amigos, familia, docentes) o recomendaciones; el 32% mediante concursos o llamados, 16% mediante otras formas y el 4% no respondió a la pregunta. </w:t>
      </w:r>
    </w:p>
    <w:p w:rsidR="00000000" w:rsidDel="00000000" w:rsidP="00000000" w:rsidRDefault="00000000" w:rsidRPr="00000000" w14:paraId="0000004B">
      <w:pPr>
        <w:numPr>
          <w:ilvl w:val="0"/>
          <w:numId w:val="1"/>
        </w:numPr>
        <w:spacing w:after="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se preguntó ¿Qué fue lo más relevante para acceder al empleo? Un 34% planteó que lo más relevante para conseguir el trabajo fueron las recomendaciones de su grupo social, 21% la experiencia fue lo más importante, 17% su capacitación previa, 9% indicó a la escolaridad como lo más importante, 15% planteó que otras fueron las razones y 4% no respondió a la pregunta. </w:t>
      </w:r>
    </w:p>
    <w:p w:rsidR="00000000" w:rsidDel="00000000" w:rsidP="00000000" w:rsidRDefault="00000000" w:rsidRPr="00000000" w14:paraId="0000004C">
      <w:pPr>
        <w:numPr>
          <w:ilvl w:val="0"/>
          <w:numId w:val="1"/>
        </w:numPr>
        <w:spacing w:after="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¿Cuál es su principal área de actividad? Dentro de esto se plantearon cinco grupos de actividades: docencia e investigación, medicina veterinaria, producción animal, tecnología de los alimentos y otros.</w:t>
      </w:r>
    </w:p>
    <w:p w:rsidR="00000000" w:rsidDel="00000000" w:rsidP="00000000" w:rsidRDefault="00000000" w:rsidRPr="00000000" w14:paraId="0000004D">
      <w:pPr>
        <w:spacing w:after="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separamos la forma de acceder al empleo según la actividad para los que hacen docencia, la escolaridad y la capacitación fue lo más importante, los que realizan medicina veterinaria y producción animal indicaron que la experiencia y las recomendaciones fueron lo más importante. Mientras que para los que su actividad se relaciona con tecnología de los alimentos los factores importantes fueron recomendaciones, capacitación y experiencia.  </w:t>
      </w:r>
    </w:p>
    <w:tbl>
      <w:tblPr>
        <w:tblStyle w:val="Table1"/>
        <w:tblW w:w="85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1590"/>
        <w:gridCol w:w="1695"/>
        <w:gridCol w:w="1710"/>
        <w:gridCol w:w="1695"/>
        <w:tblGridChange w:id="0">
          <w:tblGrid>
            <w:gridCol w:w="1830"/>
            <w:gridCol w:w="1590"/>
            <w:gridCol w:w="1695"/>
            <w:gridCol w:w="1710"/>
            <w:gridCol w:w="1695"/>
          </w:tblGrid>
        </w:tblGridChange>
      </w:tblGrid>
      <w:tr>
        <w:trPr>
          <w:cantSplit w:val="0"/>
          <w:trHeight w:val="285"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¿Cómo es su relación de dependencia laboral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keepLines w:val="1"/>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Docencia e Investigación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keepLines w:val="1"/>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Medicina Veterinaria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keepLines w:val="1"/>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Producción Animal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keepLines w:val="1"/>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Tecnología de los Alimentos</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Empleo Publico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36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D">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Empleo Privado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E">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1">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33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Ejercicio Liberal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contesta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B">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6C">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Por último, también se consulta sobre los elementos más importantes que ellos consideran para la inserción laboral, destacándose las vinculaciones personales como el elemento más importante para que esta se produzca  </w:t>
      </w:r>
    </w:p>
    <w:p w:rsidR="00000000" w:rsidDel="00000000" w:rsidP="00000000" w:rsidRDefault="00000000" w:rsidRPr="00000000" w14:paraId="0000006E">
      <w:pPr>
        <w:spacing w:after="0" w:line="276" w:lineRule="auto"/>
        <w:jc w:val="both"/>
        <w:rPr>
          <w:rFonts w:ascii="Times New Roman" w:cs="Times New Roman" w:eastAsia="Times New Roman" w:hAnsi="Times New Roman"/>
        </w:rPr>
      </w:pPr>
      <w:r w:rsidDel="00000000" w:rsidR="00000000" w:rsidRPr="00000000">
        <w:rPr>
          <w:rtl w:val="0"/>
        </w:rPr>
      </w:r>
    </w:p>
    <w:tbl>
      <w:tblPr>
        <w:tblStyle w:val="Table2"/>
        <w:tblpPr w:leftFromText="180" w:rightFromText="180" w:topFromText="180" w:bottomFromText="180" w:vertAnchor="text" w:horzAnchor="text" w:tblpX="-5.999999999999659" w:tblpY="0"/>
        <w:tblW w:w="8503.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40.949598305288"/>
        <w:gridCol w:w="690.6405531795837"/>
        <w:gridCol w:w="690.6405531795837"/>
        <w:gridCol w:w="690.6405531795837"/>
        <w:gridCol w:w="690.6405531795837"/>
        <w:tblGridChange w:id="0">
          <w:tblGrid>
            <w:gridCol w:w="5740.949598305288"/>
            <w:gridCol w:w="690.6405531795837"/>
            <w:gridCol w:w="690.6405531795837"/>
            <w:gridCol w:w="690.6405531795837"/>
            <w:gridCol w:w="690.6405531795837"/>
          </w:tblGrid>
        </w:tblGridChange>
      </w:tblGrid>
      <w:tr>
        <w:trPr>
          <w:cantSplit w:val="0"/>
          <w:trHeight w:val="960" w:hRule="atLeast"/>
          <w:tblHeader w:val="0"/>
        </w:trPr>
        <w:tc>
          <w:tcPr>
            <w:gridSpan w:val="5"/>
            <w:tcBorders>
              <w:top w:color="1f1f1f" w:space="0" w:sz="6" w:val="single"/>
              <w:left w:color="1f1f1f" w:space="0" w:sz="6" w:val="single"/>
              <w:bottom w:color="1f1f1f" w:space="0" w:sz="6" w:val="single"/>
              <w:right w:color="1f1f1f" w:space="0" w:sz="6" w:val="single"/>
            </w:tcBorders>
            <w:tcMar>
              <w:top w:w="20.0" w:type="dxa"/>
              <w:left w:w="20.0" w:type="dxa"/>
              <w:bottom w:w="20.0" w:type="dxa"/>
              <w:right w:w="20.0" w:type="dxa"/>
            </w:tcMar>
          </w:tcPr>
          <w:p w:rsidR="00000000" w:rsidDel="00000000" w:rsidP="00000000" w:rsidRDefault="00000000" w:rsidRPr="00000000" w14:paraId="0000006F">
            <w:pPr>
              <w:spacing w:after="0" w:before="100" w:line="276" w:lineRule="auto"/>
              <w:ind w:left="100"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¿Cuáles considera usted que son los elementos más importantes para la inserción laboral? Marque desde 1= nada importante, 2= poco importante, 3= importante, 4= muy importante</w:t>
            </w:r>
          </w:p>
        </w:tc>
      </w:tr>
      <w:tr>
        <w:trPr>
          <w:cantSplit w:val="0"/>
          <w:trHeight w:val="465" w:hRule="atLeast"/>
          <w:tblHeader w:val="0"/>
        </w:trPr>
        <w:tc>
          <w:tcPr>
            <w:tcBorders>
              <w:top w:color="1f1f1f" w:space="0" w:sz="6" w:val="single"/>
              <w:left w:color="1f1f1f" w:space="0" w:sz="6" w:val="single"/>
              <w:bottom w:color="1f1f1f" w:space="0" w:sz="6" w:val="single"/>
              <w:right w:color="1f1f1f" w:space="0" w:sz="6" w:val="single"/>
            </w:tcBorders>
            <w:tcMar>
              <w:top w:w="20.0" w:type="dxa"/>
              <w:left w:w="20.0" w:type="dxa"/>
              <w:bottom w:w="20.0" w:type="dxa"/>
              <w:right w:w="20.0" w:type="dxa"/>
            </w:tcMar>
          </w:tcPr>
          <w:p w:rsidR="00000000" w:rsidDel="00000000" w:rsidP="00000000" w:rsidRDefault="00000000" w:rsidRPr="00000000" w14:paraId="00000074">
            <w:pPr>
              <w:spacing w:after="0" w:before="100" w:line="276" w:lineRule="auto"/>
              <w:ind w:left="100" w:firstLine="0"/>
              <w:jc w:val="both"/>
              <w:rPr>
                <w:rFonts w:ascii="Times New Roman" w:cs="Times New Roman" w:eastAsia="Times New Roman" w:hAnsi="Times New Roman"/>
              </w:rPr>
            </w:pPr>
            <w:r w:rsidDel="00000000" w:rsidR="00000000" w:rsidRPr="00000000">
              <w:rPr>
                <w:rtl w:val="0"/>
              </w:rPr>
            </w:r>
          </w:p>
        </w:tc>
        <w:tc>
          <w:tcPr>
            <w:tcBorders>
              <w:top w:color="1f1f1f" w:space="0" w:sz="6" w:val="single"/>
              <w:left w:color="1f1f1f" w:space="0" w:sz="6" w:val="single"/>
              <w:bottom w:color="000000" w:space="0" w:sz="6" w:val="single"/>
              <w:right w:color="1f1f1f" w:space="0" w:sz="6" w:val="single"/>
            </w:tcBorders>
            <w:tcMar>
              <w:top w:w="20.0" w:type="dxa"/>
              <w:left w:w="20.0" w:type="dxa"/>
              <w:bottom w:w="20.0" w:type="dxa"/>
              <w:right w:w="20.0" w:type="dxa"/>
            </w:tcMar>
          </w:tcPr>
          <w:p w:rsidR="00000000" w:rsidDel="00000000" w:rsidP="00000000" w:rsidRDefault="00000000" w:rsidRPr="00000000" w14:paraId="00000075">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1f1f1f" w:space="0" w:sz="6" w:val="single"/>
              <w:left w:color="1f1f1f" w:space="0" w:sz="6" w:val="single"/>
              <w:bottom w:color="000000" w:space="0" w:sz="6" w:val="single"/>
              <w:right w:color="1f1f1f" w:space="0" w:sz="6" w:val="single"/>
            </w:tcBorders>
            <w:tcMar>
              <w:top w:w="20.0" w:type="dxa"/>
              <w:left w:w="20.0" w:type="dxa"/>
              <w:bottom w:w="20.0" w:type="dxa"/>
              <w:right w:w="20.0" w:type="dxa"/>
            </w:tcMar>
          </w:tcPr>
          <w:p w:rsidR="00000000" w:rsidDel="00000000" w:rsidP="00000000" w:rsidRDefault="00000000" w:rsidRPr="00000000" w14:paraId="00000076">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1f1f1f" w:space="0" w:sz="6" w:val="single"/>
              <w:left w:color="1f1f1f" w:space="0" w:sz="6" w:val="single"/>
              <w:bottom w:color="000000" w:space="0" w:sz="6" w:val="single"/>
              <w:right w:color="1f1f1f" w:space="0" w:sz="6" w:val="single"/>
            </w:tcBorders>
            <w:tcMar>
              <w:top w:w="20.0" w:type="dxa"/>
              <w:left w:w="20.0" w:type="dxa"/>
              <w:bottom w:w="20.0" w:type="dxa"/>
              <w:right w:w="20.0" w:type="dxa"/>
            </w:tcMar>
          </w:tcPr>
          <w:p w:rsidR="00000000" w:rsidDel="00000000" w:rsidP="00000000" w:rsidRDefault="00000000" w:rsidRPr="00000000" w14:paraId="00000077">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1f1f1f" w:space="0" w:sz="6" w:val="single"/>
              <w:left w:color="1f1f1f" w:space="0" w:sz="6" w:val="single"/>
              <w:bottom w:color="000000" w:space="0" w:sz="6" w:val="single"/>
              <w:right w:color="1f1f1f" w:space="0" w:sz="6" w:val="single"/>
            </w:tcBorders>
            <w:tcMar>
              <w:top w:w="20.0" w:type="dxa"/>
              <w:left w:w="20.0" w:type="dxa"/>
              <w:bottom w:w="20.0" w:type="dxa"/>
              <w:right w:w="20.0" w:type="dxa"/>
            </w:tcMar>
          </w:tcPr>
          <w:p w:rsidR="00000000" w:rsidDel="00000000" w:rsidP="00000000" w:rsidRDefault="00000000" w:rsidRPr="00000000" w14:paraId="00000078">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465" w:hRule="atLeast"/>
          <w:tblHeader w:val="0"/>
        </w:trPr>
        <w:tc>
          <w:tcPr>
            <w:tcBorders>
              <w:top w:color="1f1f1f" w:space="0" w:sz="6" w:val="single"/>
              <w:left w:color="1f1f1f" w:space="0" w:sz="6" w:val="single"/>
              <w:bottom w:color="1f1f1f"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079">
            <w:pPr>
              <w:spacing w:after="0" w:before="100" w:line="276"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Buena calificación en la carrera.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A">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B">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D">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465" w:hRule="atLeast"/>
          <w:tblHeader w:val="0"/>
        </w:trPr>
        <w:tc>
          <w:tcPr>
            <w:tcBorders>
              <w:top w:color="1f1f1f" w:space="0" w:sz="6" w:val="single"/>
              <w:left w:color="1f1f1f" w:space="0" w:sz="6" w:val="single"/>
              <w:bottom w:color="1f1f1f"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07E">
            <w:pPr>
              <w:spacing w:after="0" w:before="120" w:line="276"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Conocimientos generales de las Ciencias Veterinarias.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1">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2">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r>
        <w:trPr>
          <w:cantSplit w:val="0"/>
          <w:trHeight w:val="465" w:hRule="atLeast"/>
          <w:tblHeader w:val="0"/>
        </w:trPr>
        <w:tc>
          <w:tcPr>
            <w:tcBorders>
              <w:top w:color="1f1f1f" w:space="0" w:sz="6" w:val="single"/>
              <w:left w:color="1f1f1f" w:space="0" w:sz="6" w:val="single"/>
              <w:bottom w:color="1f1f1f"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083">
            <w:pPr>
              <w:spacing w:after="0" w:before="100" w:line="276"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Conocimientos específicos de las Ciencias Veterinarias.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4">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5">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6">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7">
            <w:pPr>
              <w:spacing w:after="0" w:before="10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rPr>
          <w:cantSplit w:val="0"/>
          <w:trHeight w:val="465" w:hRule="atLeast"/>
          <w:tblHeader w:val="0"/>
        </w:trPr>
        <w:tc>
          <w:tcPr>
            <w:tcBorders>
              <w:top w:color="1f1f1f" w:space="0" w:sz="6" w:val="single"/>
              <w:left w:color="1f1f1f" w:space="0" w:sz="6" w:val="single"/>
              <w:bottom w:color="1f1f1f"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088">
            <w:pPr>
              <w:spacing w:after="0" w:before="120" w:line="276"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Vinculaciones personales.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A">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rHeight w:val="465" w:hRule="atLeast"/>
          <w:tblHeader w:val="0"/>
        </w:trPr>
        <w:tc>
          <w:tcPr>
            <w:tcBorders>
              <w:top w:color="1f1f1f" w:space="0" w:sz="6" w:val="single"/>
              <w:left w:color="1f1f1f" w:space="0" w:sz="6" w:val="single"/>
              <w:bottom w:color="1f1f1f"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08D">
            <w:pPr>
              <w:spacing w:after="0" w:before="120" w:line="276" w:lineRule="auto"/>
              <w:ind w:lef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Estatus Social.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0">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465" w:hRule="atLeast"/>
          <w:tblHeader w:val="0"/>
        </w:trPr>
        <w:tc>
          <w:tcPr>
            <w:tcBorders>
              <w:top w:color="1f1f1f" w:space="0" w:sz="6" w:val="single"/>
              <w:left w:color="1f1f1f" w:space="0" w:sz="6" w:val="single"/>
              <w:bottom w:color="1f1f1f"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092">
            <w:pPr>
              <w:spacing w:after="0" w:before="120" w:line="276" w:lineRule="auto"/>
              <w:ind w:left="100"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Investigación/ Publicación de trabajos científicos.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spacing w:after="0" w:before="120" w:line="276"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bl>
    <w:p w:rsidR="00000000" w:rsidDel="00000000" w:rsidP="00000000" w:rsidRDefault="00000000" w:rsidRPr="00000000" w14:paraId="00000097">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8">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Discusión.</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 w:right="1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Luego del análisis de la información de las respuestas al formulario, se puede establecer que los egresados de veterinaria en Uruguay cuentan con muy buena inserción laboral, ya que más del 90% cuenta con trabajo al momento de contestar. A su vez, la gran mayoría de estos tienen trabajo relacionado con la profesión.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 w:right="1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concuerda con los resultados obtenidos por Pasarrini, J. (2013) en su trabajo de tesis doctoral en el que encuestó a egresados de la carrera de Veterinaria entre los 2003 al 2009 donde indica que estos cuentan con un  100% de ocupación como veterinarios. En algunos trabajos similares consultados muestran resultados menos alentadores Carreño,  A y col (2021) plantean que los egresados de la universidad de Santander Campus de Bucaramanga solo el 86,5% se encuentran ejerciendo la profesión.</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 w:right="1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Satisfacción laboral, se puede apreciar que más de un 50% manifiesta tener un bajo grado en cuanto a la inserción laboral, mientras que la satisfacción profesional que le genera su trabajo presenta a más del 70% con un alto grado de satisfacción o superior.  Datos similares obtenidos por Carreño y Col (2021)  donde se muestra un 89% de grado de satisfacción con su trabajo como veterinario.</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 w:right="1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Entre los elementos más importantes para </w:t>
      </w:r>
      <w:r w:rsidDel="00000000" w:rsidR="00000000" w:rsidRPr="00000000">
        <w:rPr>
          <w:rFonts w:ascii="Times New Roman" w:cs="Times New Roman" w:eastAsia="Times New Roman" w:hAnsi="Times New Roman"/>
          <w:rtl w:val="0"/>
        </w:rPr>
        <w:t xml:space="preserve">conseguir el empleo más del 80% conoció el empleo por sus redes sociales o por recomendaciones, cuando plantean lo más importante para obtenerlo se puede apreciar que las recomendaciones y la experiencia resultan lo más trascendente similares con algunos trabajos donde se establece que las recomendaciones son importantes al momento de conseguir empleo. </w:t>
      </w:r>
      <w:r w:rsidDel="00000000" w:rsidR="00000000" w:rsidRPr="00000000">
        <w:rPr>
          <w:rFonts w:ascii="Times New Roman" w:cs="Times New Roman" w:eastAsia="Times New Roman" w:hAnsi="Times New Roman"/>
          <w:rtl w:val="0"/>
        </w:rPr>
        <w:t xml:space="preserve">(Zapala, E. y col 2019.) (Carreño, A y col 2021). (Castellanos Vega y col 2022)</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 w:right="1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analizar el área de actividad laboral, la relación de dependencia y la forma de obtención del empleo, se puede apreciar que en la medicina animal y producción animal áreas donde el ejercicio de la profesión se realiza de forma libre o en empresas privadas mayoritariamente, lo más importante para obtener empleo son las recomendaciones y la experiencia, mientras que cuando el empleo se presenta en el ámbito público allí si es importante la capacitación y el curriculum para su obtención.</w:t>
      </w:r>
    </w:p>
    <w:p w:rsidR="00000000" w:rsidDel="00000000" w:rsidP="00000000" w:rsidRDefault="00000000" w:rsidRPr="00000000" w14:paraId="0000009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 w:right="14"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Este tipo de trabajo nos permite comprender no </w:t>
      </w:r>
      <w:r w:rsidDel="00000000" w:rsidR="00000000" w:rsidRPr="00000000">
        <w:rPr>
          <w:rFonts w:ascii="Times New Roman" w:cs="Times New Roman" w:eastAsia="Times New Roman" w:hAnsi="Times New Roman"/>
          <w:rtl w:val="0"/>
        </w:rPr>
        <w:t xml:space="preserve">sólo</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cómo se insertan laboralmente los veterinarios recién egresados, sino también cómo perciben los propios graduados cuáles son las vías más importantes para acceder a un empleo. Además, aporta insumos valiosos para identificar aspectos a mejorar con el fin de que los conocimientos profesionales y las calificaciones académicas tengan un mayor peso en la inserción laboral. Un ejemplo concreto sería que la Facultad de Veterinaria pueda ofrecer mecanismos que faciliten el acceso a oportunidades laborales, permitiendo a los egresados conocer posibles empleos y reduciendo así la dependencia del entorno social como la principal fuente de información sobre los llamados laborales.</w:t>
      </w:r>
    </w:p>
    <w:p w:rsidR="00000000" w:rsidDel="00000000" w:rsidP="00000000" w:rsidRDefault="00000000" w:rsidRPr="00000000" w14:paraId="000000A2">
      <w:pPr>
        <w:widowControl w:val="0"/>
        <w:spacing w:after="0" w:before="160" w:line="240" w:lineRule="auto"/>
        <w:ind w:left="1" w:right="1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resultados nos permiten inferir que en los primeros años luego de egresar, el capital social por medio de las redes sociales juega un papel trascendente en la inserción laboral. Mientras que la capacitación y escolaridad cumplen un rol fundamental en los trabajos en los que se realiza un llamado abierto a concurso de méritos.</w:t>
      </w:r>
      <w:r w:rsidDel="00000000" w:rsidR="00000000" w:rsidRPr="00000000">
        <w:rPr>
          <w:rtl w:val="0"/>
        </w:rPr>
      </w:r>
    </w:p>
    <w:p w:rsidR="00000000" w:rsidDel="00000000" w:rsidP="00000000" w:rsidRDefault="00000000" w:rsidRPr="00000000" w14:paraId="000000A3">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4">
      <w:pPr>
        <w:spacing w:line="240" w:lineRule="auto"/>
        <w:jc w:val="both"/>
        <w:rPr>
          <w:sz w:val="22"/>
          <w:szCs w:val="22"/>
          <w:highlight w:val="white"/>
        </w:rPr>
      </w:pPr>
      <w:r w:rsidDel="00000000" w:rsidR="00000000" w:rsidRPr="00000000">
        <w:rPr>
          <w:rFonts w:ascii="Times New Roman" w:cs="Times New Roman" w:eastAsia="Times New Roman" w:hAnsi="Times New Roman"/>
          <w:b w:val="1"/>
          <w:bCs w:val="1"/>
          <w:rtl w:val="0"/>
        </w:rPr>
        <w:t xml:space="preserve">Refe</w:t>
      </w:r>
      <w:r w:rsidDel="00000000" w:rsidR="00000000" w:rsidRPr="00000000">
        <w:rPr>
          <w:rFonts w:ascii="Times New Roman" w:cs="Times New Roman" w:eastAsia="Times New Roman" w:hAnsi="Times New Roman"/>
          <w:b w:val="1"/>
          <w:bCs w:val="1"/>
          <w:rtl w:val="0"/>
        </w:rPr>
        <w:t xml:space="preserve">rencias Bibliográficas</w:t>
      </w:r>
      <w:r w:rsidDel="00000000" w:rsidR="00000000" w:rsidRPr="00000000">
        <w:rPr>
          <w:rtl w:val="0"/>
        </w:rPr>
      </w:r>
    </w:p>
    <w:p w:rsidR="00000000" w:rsidDel="00000000" w:rsidP="00000000" w:rsidRDefault="00000000" w:rsidRPr="00000000" w14:paraId="000000A5">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Carreño Zambrano , A y  Hernández Álvarez , S. (2021). </w:t>
      </w:r>
      <w:r w:rsidDel="00000000" w:rsidR="00000000" w:rsidRPr="00000000">
        <w:rPr>
          <w:rFonts w:ascii="Times New Roman" w:cs="Times New Roman" w:eastAsia="Times New Roman" w:hAnsi="Times New Roman"/>
          <w:highlight w:val="white"/>
          <w:rtl w:val="0"/>
        </w:rPr>
        <w:t xml:space="preserve">Determinación de la Ocupación Laboral de los Médicos Veterinarios Graduados de la Universidad de Santander Campus Bucaramanga</w:t>
      </w:r>
      <w:r w:rsidDel="00000000" w:rsidR="00000000" w:rsidRPr="00000000">
        <w:rPr>
          <w:rFonts w:ascii="Times New Roman" w:cs="Times New Roman" w:eastAsia="Times New Roman" w:hAnsi="Times New Roman"/>
          <w:highlight w:val="white"/>
          <w:rtl w:val="0"/>
        </w:rPr>
        <w:t xml:space="preserve"> [Tesis de pregrado, Universidad de Santander Campus Bucaramanga]. https://repositorio.udes.edu.co/server/api/core/bitstreams/7bfcd758-240e-4db1-ba9b-2da77ef5c708/content.</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A6">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Castellanos Vega, R. del P y col ( 2022). Comportamiento de los estudios de egresados de programas de ciencias de la salud en las dos últimas décadas. </w:t>
      </w:r>
      <w:r w:rsidDel="00000000" w:rsidR="00000000" w:rsidRPr="00000000">
        <w:rPr>
          <w:rFonts w:ascii="Times New Roman" w:cs="Times New Roman" w:eastAsia="Times New Roman" w:hAnsi="Times New Roman"/>
          <w:highlight w:val="white"/>
          <w:rtl w:val="0"/>
        </w:rPr>
        <w:t xml:space="preserve">REVISTA BOLETÍN REDIP</w:t>
      </w:r>
      <w:r w:rsidDel="00000000" w:rsidR="00000000" w:rsidRPr="00000000">
        <w:rPr>
          <w:rFonts w:ascii="Times New Roman" w:cs="Times New Roman" w:eastAsia="Times New Roman" w:hAnsi="Times New Roman"/>
          <w:highlight w:val="white"/>
          <w:rtl w:val="0"/>
        </w:rPr>
        <w:t xml:space="preserve">, 11(5), 227-24. https://doi.org/10.36260/rbr.v11i5.1829.</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A7">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CEPAL, Naciones Unidas (2004, Enero 1). </w:t>
      </w:r>
      <w:r w:rsidDel="00000000" w:rsidR="00000000" w:rsidRPr="00000000">
        <w:rPr>
          <w:rFonts w:ascii="Times New Roman" w:cs="Times New Roman" w:eastAsia="Times New Roman" w:hAnsi="Times New Roman"/>
          <w:highlight w:val="white"/>
          <w:rtl w:val="0"/>
        </w:rPr>
        <w:t xml:space="preserve">La juventud en Iberoamérica: tendencias y urgencias</w:t>
      </w:r>
      <w:r w:rsidDel="00000000" w:rsidR="00000000" w:rsidRPr="00000000">
        <w:rPr>
          <w:rFonts w:ascii="Times New Roman" w:cs="Times New Roman" w:eastAsia="Times New Roman" w:hAnsi="Times New Roman"/>
          <w:highlight w:val="white"/>
          <w:rtl w:val="0"/>
        </w:rPr>
        <w:t xml:space="preserve">. Naciones Unidas. https://repositorio.cepal.org/server/api/core/bitstreams/8beb8172-bca1-438e-a5c6-4d10774195b8/content</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A8">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Comisión de Evaluación Interna y Acreditación. Universidad de la República. https://udelar.edu.uy/CEIyA/evaluacion-institucional/.</w:t>
        <w:tab/>
      </w:r>
    </w:p>
    <w:p w:rsidR="00000000" w:rsidDel="00000000" w:rsidP="00000000" w:rsidRDefault="00000000" w:rsidRPr="00000000" w14:paraId="000000A9">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De Lima, D. (2014). La formación práctica profesional en la carrera de veterinaria (UdelaR): contribuciones a la conformación del perfil de grado [Tesis de maestría, Universidad de la República]. Colibri. </w:t>
      </w:r>
      <w:hyperlink r:id="rId7">
        <w:r w:rsidDel="00000000" w:rsidR="00000000" w:rsidRPr="00000000">
          <w:rPr>
            <w:rFonts w:ascii="Times New Roman" w:cs="Times New Roman" w:eastAsia="Times New Roman" w:hAnsi="Times New Roman"/>
            <w:color w:val="1155cc"/>
            <w:highlight w:val="white"/>
            <w:u w:val="single"/>
            <w:rtl w:val="0"/>
          </w:rPr>
          <w:t xml:space="preserve">https://www.colibri.udelar.edu.uy/bitstream/123456789/9450/1/tesis_delma_de_lima_2017.pdf</w:t>
        </w:r>
      </w:hyperlink>
      <w:r w:rsidDel="00000000" w:rsidR="00000000" w:rsidRPr="00000000">
        <w:rPr>
          <w:rtl w:val="0"/>
        </w:rPr>
      </w:r>
    </w:p>
    <w:p w:rsidR="00000000" w:rsidDel="00000000" w:rsidP="00000000" w:rsidRDefault="00000000" w:rsidRPr="00000000" w14:paraId="000000AA">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Delgado Brito, Y. y col (2021). Los estudios de seguimiento de graduados. Una visión desde el contexto Latinoamericano. </w:t>
      </w:r>
      <w:r w:rsidDel="00000000" w:rsidR="00000000" w:rsidRPr="00000000">
        <w:rPr>
          <w:rFonts w:ascii="Times New Roman" w:cs="Times New Roman" w:eastAsia="Times New Roman" w:hAnsi="Times New Roman"/>
          <w:highlight w:val="white"/>
          <w:rtl w:val="0"/>
        </w:rPr>
        <w:t xml:space="preserve">Diálogos e Perspectivas Interventivas</w:t>
      </w:r>
      <w:r w:rsidDel="00000000" w:rsidR="00000000" w:rsidRPr="00000000">
        <w:rPr>
          <w:rFonts w:ascii="Times New Roman" w:cs="Times New Roman" w:eastAsia="Times New Roman" w:hAnsi="Times New Roman"/>
          <w:highlight w:val="white"/>
          <w:rtl w:val="0"/>
        </w:rPr>
        <w:t xml:space="preserve">, Serrinha - Bahia - Brasil, v2(n.e12024), p.1-23.</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AB">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Dietrich, E. (1988). </w:t>
      </w:r>
      <w:r w:rsidDel="00000000" w:rsidR="00000000" w:rsidRPr="00000000">
        <w:rPr>
          <w:rFonts w:ascii="Times New Roman" w:cs="Times New Roman" w:eastAsia="Times New Roman" w:hAnsi="Times New Roman"/>
          <w:i w:val="1"/>
          <w:iCs w:val="1"/>
          <w:highlight w:val="white"/>
          <w:rtl w:val="0"/>
        </w:rPr>
        <w:t xml:space="preserve">El desarrollo laboral de los jóvenes profesionales en la RDA: Un estudio longitudinal</w:t>
      </w:r>
      <w:r w:rsidDel="00000000" w:rsidR="00000000" w:rsidRPr="00000000">
        <w:rPr>
          <w:rFonts w:ascii="Times New Roman" w:cs="Times New Roman" w:eastAsia="Times New Roman" w:hAnsi="Times New Roman"/>
          <w:highlight w:val="white"/>
          <w:rtl w:val="0"/>
        </w:rPr>
        <w:t xml:space="preserve">. Informe de Investigación, s/n. </w:t>
      </w:r>
    </w:p>
    <w:p w:rsidR="00000000" w:rsidDel="00000000" w:rsidP="00000000" w:rsidRDefault="00000000" w:rsidRPr="00000000" w14:paraId="000000AC">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Facultad de Veterinaria. (s. f.). Historia. Universidad de la República. Recuperado el 16 de junio de 2026, de https://www.fvet.edu.uy/institucional/historia/</w:t>
      </w:r>
    </w:p>
    <w:p w:rsidR="00000000" w:rsidDel="00000000" w:rsidP="00000000" w:rsidRDefault="00000000" w:rsidRPr="00000000" w14:paraId="000000AD">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García Blanco, J. M., &amp; Gutiérrez Palacios, R. (2024). Inserción laboral y desigualdad en el mercado de trabajo cuestiones teóricas. </w:t>
      </w:r>
      <w:r w:rsidDel="00000000" w:rsidR="00000000" w:rsidRPr="00000000">
        <w:rPr>
          <w:rFonts w:ascii="Times New Roman" w:cs="Times New Roman" w:eastAsia="Times New Roman" w:hAnsi="Times New Roman"/>
          <w:highlight w:val="white"/>
          <w:rtl w:val="0"/>
        </w:rPr>
        <w:t xml:space="preserve">Revista Española De Investigaciones Sociológicas</w:t>
      </w:r>
      <w:r w:rsidDel="00000000" w:rsidR="00000000" w:rsidRPr="00000000">
        <w:rPr>
          <w:rFonts w:ascii="Times New Roman" w:cs="Times New Roman" w:eastAsia="Times New Roman" w:hAnsi="Times New Roman"/>
          <w:highlight w:val="white"/>
          <w:rtl w:val="0"/>
        </w:rPr>
        <w:t xml:space="preserve">, (75), 269–293. https://doi.org/10.5477/cis/reis.115.269</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AE">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García-Valdecasas Medina, J. I., (2011). Una definición estructural de capital social. </w:t>
      </w:r>
      <w:r w:rsidDel="00000000" w:rsidR="00000000" w:rsidRPr="00000000">
        <w:rPr>
          <w:rFonts w:ascii="Times New Roman" w:cs="Times New Roman" w:eastAsia="Times New Roman" w:hAnsi="Times New Roman"/>
          <w:highlight w:val="white"/>
          <w:rtl w:val="0"/>
        </w:rPr>
        <w:t xml:space="preserve">Redes. Revista Hispana para el Análisis de Redes Sociales, 20</w:t>
      </w:r>
      <w:r w:rsidDel="00000000" w:rsidR="00000000" w:rsidRPr="00000000">
        <w:rPr>
          <w:rFonts w:ascii="Times New Roman" w:cs="Times New Roman" w:eastAsia="Times New Roman" w:hAnsi="Times New Roman"/>
          <w:highlight w:val="white"/>
          <w:rtl w:val="0"/>
        </w:rPr>
        <w:t xml:space="preserve">, 132-160.</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AF">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Gomez, H y col. </w:t>
      </w:r>
      <w:r w:rsidDel="00000000" w:rsidR="00000000" w:rsidRPr="00000000">
        <w:rPr>
          <w:rFonts w:ascii="Times New Roman" w:cs="Times New Roman" w:eastAsia="Times New Roman" w:hAnsi="Times New Roman"/>
          <w:highlight w:val="white"/>
          <w:rtl w:val="0"/>
        </w:rPr>
        <w:t xml:space="preserve">(2017). El estudio de egresados para la mejora continua de las Universidades: Estudio de caso de la Ingeniería en Computación. </w:t>
      </w:r>
      <w:r w:rsidDel="00000000" w:rsidR="00000000" w:rsidRPr="00000000">
        <w:rPr>
          <w:rFonts w:ascii="Times New Roman" w:cs="Times New Roman" w:eastAsia="Times New Roman" w:hAnsi="Times New Roman"/>
          <w:highlight w:val="white"/>
          <w:rtl w:val="0"/>
        </w:rPr>
        <w:t xml:space="preserve">Revista Iberoamericana para la Investigación y el Desarrollo Educativo</w:t>
      </w:r>
      <w:r w:rsidDel="00000000" w:rsidR="00000000" w:rsidRPr="00000000">
        <w:rPr>
          <w:rFonts w:ascii="Times New Roman" w:cs="Times New Roman" w:eastAsia="Times New Roman" w:hAnsi="Times New Roman"/>
          <w:highlight w:val="white"/>
          <w:rtl w:val="0"/>
        </w:rPr>
        <w:t xml:space="preserve">, 7(14). https://www.redalyc.org/journal/4981/498153999009/html/</w:t>
      </w:r>
      <w:r w:rsidDel="00000000" w:rsidR="00000000" w:rsidRPr="00000000">
        <w:rPr>
          <w:rFonts w:ascii="Times New Roman" w:cs="Times New Roman" w:eastAsia="Times New Roman" w:hAnsi="Times New Roman"/>
          <w:color w:val="3a3a3a"/>
          <w:shd w:fill="f0f7ff" w:val="clear"/>
          <w:rtl w:val="0"/>
        </w:rPr>
        <w:t xml:space="preserve">.</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B0">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Granovetter, M. (1974). La fuerza de los vínculos debiles. </w:t>
      </w:r>
      <w:r w:rsidDel="00000000" w:rsidR="00000000" w:rsidRPr="00000000">
        <w:rPr>
          <w:rFonts w:ascii="Times New Roman" w:cs="Times New Roman" w:eastAsia="Times New Roman" w:hAnsi="Times New Roman"/>
          <w:highlight w:val="white"/>
          <w:rtl w:val="0"/>
        </w:rPr>
        <w:t xml:space="preserve">American Journal of Sociology</w:t>
      </w:r>
      <w:r w:rsidDel="00000000" w:rsidR="00000000" w:rsidRPr="00000000">
        <w:rPr>
          <w:rFonts w:ascii="Times New Roman" w:cs="Times New Roman" w:eastAsia="Times New Roman" w:hAnsi="Times New Roman"/>
          <w:highlight w:val="white"/>
          <w:rtl w:val="0"/>
        </w:rPr>
        <w:t xml:space="preserve">, 78(6), 1360-1380. https://www.redcimas.org/wordpress/wp-content/uploads/2012/08/m_MGranovetter_LAfuerzaDE.pdf.</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B1">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Herreros Vázquez, F. (2002). ¿Son las relaciones sociales una fuente de recursos? Una definición del capital social. </w:t>
      </w:r>
      <w:r w:rsidDel="00000000" w:rsidR="00000000" w:rsidRPr="00000000">
        <w:rPr>
          <w:rFonts w:ascii="Times New Roman" w:cs="Times New Roman" w:eastAsia="Times New Roman" w:hAnsi="Times New Roman"/>
          <w:highlight w:val="white"/>
          <w:rtl w:val="0"/>
        </w:rPr>
        <w:t xml:space="preserve">Papers. Revista De Sociologia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67</w:t>
      </w:r>
      <w:r w:rsidDel="00000000" w:rsidR="00000000" w:rsidRPr="00000000">
        <w:rPr>
          <w:rFonts w:ascii="Times New Roman" w:cs="Times New Roman" w:eastAsia="Times New Roman" w:hAnsi="Times New Roman"/>
          <w:highlight w:val="white"/>
          <w:rtl w:val="0"/>
        </w:rPr>
        <w:t xml:space="preserve">, 129–148. https://doi.org/10.5565/rev/papers/v67n0.1669 </w:t>
      </w:r>
    </w:p>
    <w:p w:rsidR="00000000" w:rsidDel="00000000" w:rsidP="00000000" w:rsidRDefault="00000000" w:rsidRPr="00000000" w14:paraId="000000B2">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Lewowicz, L. (2016). LEMCO: Un coloso de la industria cárnica en Fray Bentos, Uruguay. Zona Editorial.</w:t>
      </w:r>
    </w:p>
    <w:p w:rsidR="00000000" w:rsidDel="00000000" w:rsidP="00000000" w:rsidRDefault="00000000" w:rsidRPr="00000000" w14:paraId="000000B3">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Medina Cervantes, S.  (1999). Caracterización laboral del médico veterinario y zootecnista egresado de la Universidad  Baja California. Veterinaria México, 30(2), 175-182. </w:t>
      </w:r>
    </w:p>
    <w:p w:rsidR="00000000" w:rsidDel="00000000" w:rsidP="00000000" w:rsidRDefault="00000000" w:rsidRPr="00000000" w14:paraId="000000B4">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Millán, René, &amp; Gordon, Sara. (2004). Capital social: una lectura de tres perspectivas clásicas. </w:t>
      </w:r>
      <w:r w:rsidDel="00000000" w:rsidR="00000000" w:rsidRPr="00000000">
        <w:rPr>
          <w:rFonts w:ascii="Times New Roman" w:cs="Times New Roman" w:eastAsia="Times New Roman" w:hAnsi="Times New Roman"/>
          <w:rtl w:val="0"/>
        </w:rPr>
        <w:t xml:space="preserve">Revista mexicana de sociología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66</w:t>
      </w:r>
      <w:r w:rsidDel="00000000" w:rsidR="00000000" w:rsidRPr="00000000">
        <w:rPr>
          <w:rFonts w:ascii="Times New Roman" w:cs="Times New Roman" w:eastAsia="Times New Roman" w:hAnsi="Times New Roman"/>
          <w:rtl w:val="0"/>
        </w:rPr>
        <w:t xml:space="preserve">(4), 711-747. Recuperado en 29 de junio de 2026, de http://www.scielo.org.mx/scielo.php?script=sci_arttext&amp;pid=S0188-25032004000400004&amp;lng=es&amp;tlng=es. </w:t>
      </w:r>
    </w:p>
    <w:p w:rsidR="00000000" w:rsidDel="00000000" w:rsidP="00000000" w:rsidRDefault="00000000" w:rsidRPr="00000000" w14:paraId="000000B5">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Oddone, J., &amp; Paris de Oddone, B. (2010). Historia de la Universidad de la República.    Tomo II: La universidad del militarismo a la crisis 1885–1958 (2.ª ed.). Universidad de la República. </w:t>
      </w:r>
      <w:hyperlink r:id="rId8">
        <w:r w:rsidDel="00000000" w:rsidR="00000000" w:rsidRPr="00000000">
          <w:rPr>
            <w:rFonts w:ascii="Times New Roman" w:cs="Times New Roman" w:eastAsia="Times New Roman" w:hAnsi="Times New Roman"/>
            <w:color w:val="1155cc"/>
            <w:highlight w:val="white"/>
            <w:u w:val="single"/>
            <w:rtl w:val="0"/>
          </w:rPr>
          <w:t xml:space="preserve">http://www.universidad.edu.uy/libros/opac_css/doc_num.php?explnum_id=967</w:t>
        </w:r>
      </w:hyperlink>
      <w:r w:rsidDel="00000000" w:rsidR="00000000" w:rsidRPr="00000000">
        <w:rPr>
          <w:rtl w:val="0"/>
        </w:rPr>
      </w:r>
    </w:p>
    <w:p w:rsidR="00000000" w:rsidDel="00000000" w:rsidP="00000000" w:rsidRDefault="00000000" w:rsidRPr="00000000" w14:paraId="000000B6">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Organización Mundial de la Salud. (29 de Junio del 2006). Una Salud. </w:t>
      </w:r>
      <w:hyperlink r:id="rId9">
        <w:r w:rsidDel="00000000" w:rsidR="00000000" w:rsidRPr="00000000">
          <w:rPr>
            <w:rFonts w:ascii="Times New Roman" w:cs="Times New Roman" w:eastAsia="Times New Roman" w:hAnsi="Times New Roman"/>
            <w:color w:val="1155cc"/>
            <w:u w:val="single"/>
            <w:rtl w:val="0"/>
          </w:rPr>
          <w:t xml:space="preserve">https://www.who.int/es/news-room/fact-sheets/detail/one-health</w:t>
        </w:r>
      </w:hyperlink>
      <w:r w:rsidDel="00000000" w:rsidR="00000000" w:rsidRPr="00000000">
        <w:rPr>
          <w:rtl w:val="0"/>
        </w:rPr>
      </w:r>
    </w:p>
    <w:p w:rsidR="00000000" w:rsidDel="00000000" w:rsidP="00000000" w:rsidRDefault="00000000" w:rsidRPr="00000000" w14:paraId="000000B7">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Panaia , M. (2017). La crisis de las profesiones: algunos aportes para la formación con miras a la innovación.. En P. Panaia (Ed.), </w:t>
      </w:r>
      <w:r w:rsidDel="00000000" w:rsidR="00000000" w:rsidRPr="00000000">
        <w:rPr>
          <w:rFonts w:ascii="Times New Roman" w:cs="Times New Roman" w:eastAsia="Times New Roman" w:hAnsi="Times New Roman"/>
          <w:rtl w:val="0"/>
        </w:rPr>
        <w:t xml:space="preserve">De la formación al empleo. El desafío de la innovación.</w:t>
      </w:r>
      <w:r w:rsidDel="00000000" w:rsidR="00000000" w:rsidRPr="00000000">
        <w:rPr>
          <w:rFonts w:ascii="Times New Roman" w:cs="Times New Roman" w:eastAsia="Times New Roman" w:hAnsi="Times New Roman"/>
          <w:rtl w:val="0"/>
        </w:rPr>
        <w:t xml:space="preserve"> (pp. 9-31). Miño y Davila.</w:t>
      </w:r>
      <w:r w:rsidDel="00000000" w:rsidR="00000000" w:rsidRPr="00000000">
        <w:rPr>
          <w:rFonts w:ascii="Times New Roman" w:cs="Times New Roman" w:eastAsia="Times New Roman" w:hAnsi="Times New Roman"/>
          <w:rtl w:val="0"/>
        </w:rPr>
        <w:t xml:space="preserve"> Buenos Aires. Argentina.</w:t>
      </w:r>
    </w:p>
    <w:p w:rsidR="00000000" w:rsidDel="00000000" w:rsidP="00000000" w:rsidRDefault="00000000" w:rsidRPr="00000000" w14:paraId="000000B8">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Passarini, J. (2013). La formación de los veterinarios y su relación con el mundo del trabajo: un estudio de seguimiento de jóvenes graduados. Tesis de Doctorado en Ciencias de la Educación. Universidad de la Habana. La Habana, Cuba.</w:t>
      </w:r>
    </w:p>
    <w:p w:rsidR="00000000" w:rsidDel="00000000" w:rsidP="00000000" w:rsidRDefault="00000000" w:rsidRPr="00000000" w14:paraId="000000B9">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Saiz, J. &amp; Rangel Jiménez, S. (2008). Capital social: una revisión del concepto. </w:t>
      </w:r>
      <w:r w:rsidDel="00000000" w:rsidR="00000000" w:rsidRPr="00000000">
        <w:rPr>
          <w:rFonts w:ascii="Times New Roman" w:cs="Times New Roman" w:eastAsia="Times New Roman" w:hAnsi="Times New Roman"/>
          <w:rtl w:val="0"/>
        </w:rPr>
        <w:t xml:space="preserve">Revista CIFE</w:t>
      </w:r>
      <w:r w:rsidDel="00000000" w:rsidR="00000000" w:rsidRPr="00000000">
        <w:rPr>
          <w:rFonts w:ascii="Times New Roman" w:cs="Times New Roman" w:eastAsia="Times New Roman" w:hAnsi="Times New Roman"/>
          <w:rtl w:val="0"/>
        </w:rPr>
        <w:t xml:space="preserve">, 13, 250-263.</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A">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Sanyal, B. (1990). </w:t>
      </w:r>
      <w:r w:rsidDel="00000000" w:rsidR="00000000" w:rsidRPr="00000000">
        <w:rPr>
          <w:rFonts w:ascii="Times New Roman" w:cs="Times New Roman" w:eastAsia="Times New Roman" w:hAnsi="Times New Roman"/>
          <w:i w:val="1"/>
          <w:iCs w:val="1"/>
          <w:highlight w:val="white"/>
          <w:rtl w:val="0"/>
        </w:rPr>
        <w:t xml:space="preserve">Education and Employement and industrial comparative study.</w:t>
      </w:r>
      <w:r w:rsidDel="00000000" w:rsidR="00000000" w:rsidRPr="00000000">
        <w:rPr>
          <w:rFonts w:ascii="Times New Roman" w:cs="Times New Roman" w:eastAsia="Times New Roman" w:hAnsi="Times New Roman"/>
          <w:highlight w:val="white"/>
          <w:rtl w:val="0"/>
        </w:rPr>
        <w:t xml:space="preserve"> Paris: IIPE, UNESCO.</w:t>
      </w:r>
    </w:p>
    <w:p w:rsidR="00000000" w:rsidDel="00000000" w:rsidP="00000000" w:rsidRDefault="00000000" w:rsidRPr="00000000" w14:paraId="000000BB">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Red de Agencias Nacionales de Acreditación (2015a). </w:t>
      </w:r>
      <w:r w:rsidDel="00000000" w:rsidR="00000000" w:rsidRPr="00000000">
        <w:rPr>
          <w:rFonts w:ascii="Times New Roman" w:cs="Times New Roman" w:eastAsia="Times New Roman" w:hAnsi="Times New Roman"/>
          <w:i w:val="1"/>
          <w:iCs w:val="1"/>
          <w:highlight w:val="white"/>
          <w:rtl w:val="0"/>
        </w:rPr>
        <w:t xml:space="preserve">Sistema ARCU-SUR, criterios de calidad para la acreditación de carreras universitarias: Titulación Veterinaria</w:t>
      </w:r>
      <w:r w:rsidDel="00000000" w:rsidR="00000000" w:rsidRPr="00000000">
        <w:rPr>
          <w:rFonts w:ascii="Times New Roman" w:cs="Times New Roman" w:eastAsia="Times New Roman" w:hAnsi="Times New Roman"/>
          <w:highlight w:val="white"/>
          <w:rtl w:val="0"/>
        </w:rPr>
        <w:t xml:space="preserve">. Extraído desde</w:t>
      </w:r>
      <w:hyperlink r:id="rId10">
        <w:r w:rsidDel="00000000" w:rsidR="00000000" w:rsidRPr="00000000">
          <w:rPr>
            <w:rFonts w:ascii="Times New Roman" w:cs="Times New Roman" w:eastAsia="Times New Roman" w:hAnsi="Times New Roman"/>
            <w:highlight w:val="white"/>
            <w:rtl w:val="0"/>
          </w:rPr>
          <w:t xml:space="preserve"> </w:t>
        </w:r>
      </w:hyperlink>
      <w:hyperlink r:id="rId11">
        <w:r w:rsidDel="00000000" w:rsidR="00000000" w:rsidRPr="00000000">
          <w:rPr>
            <w:rFonts w:ascii="Times New Roman" w:cs="Times New Roman" w:eastAsia="Times New Roman" w:hAnsi="Times New Roman"/>
            <w:color w:val="1155cc"/>
            <w:highlight w:val="white"/>
            <w:rtl w:val="0"/>
          </w:rPr>
          <w:t xml:space="preserve"> </w:t>
        </w:r>
      </w:hyperlink>
      <w:hyperlink r:id="rId12">
        <w:r w:rsidDel="00000000" w:rsidR="00000000" w:rsidRPr="00000000">
          <w:rPr>
            <w:rFonts w:ascii="Times New Roman" w:cs="Times New Roman" w:eastAsia="Times New Roman" w:hAnsi="Times New Roman"/>
            <w:color w:val="1155cc"/>
            <w:highlight w:val="white"/>
            <w:u w:val="single"/>
            <w:rtl w:val="0"/>
          </w:rPr>
          <w:t xml:space="preserve">http://educacion.mec.gub.uy/boletin/arcusur/CRITERIOS_VETERINARIA_%20ARCUSUR[1]%2012%20feb09.pdf</w:t>
        </w:r>
      </w:hyperlink>
      <w:r w:rsidDel="00000000" w:rsidR="00000000" w:rsidRPr="00000000">
        <w:rPr>
          <w:rFonts w:ascii="Times New Roman" w:cs="Times New Roman" w:eastAsia="Times New Roman" w:hAnsi="Times New Roman"/>
          <w:highlight w:val="white"/>
          <w:rtl w:val="0"/>
        </w:rPr>
        <w:t xml:space="preserve"> el 15 de agosto de 2019.</w:t>
      </w:r>
    </w:p>
    <w:p w:rsidR="00000000" w:rsidDel="00000000" w:rsidP="00000000" w:rsidRDefault="00000000" w:rsidRPr="00000000" w14:paraId="000000BC">
      <w:pPr>
        <w:spacing w:after="0" w:line="276" w:lineRule="auto"/>
        <w:ind w:left="708.6614173228345" w:hanging="708.6614173228345"/>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Red de Agencias Nacionales de Acreditación (2015b). </w:t>
      </w:r>
      <w:r w:rsidDel="00000000" w:rsidR="00000000" w:rsidRPr="00000000">
        <w:rPr>
          <w:rFonts w:ascii="Times New Roman" w:cs="Times New Roman" w:eastAsia="Times New Roman" w:hAnsi="Times New Roman"/>
          <w:i w:val="1"/>
          <w:iCs w:val="1"/>
          <w:highlight w:val="white"/>
          <w:rtl w:val="0"/>
        </w:rPr>
        <w:t xml:space="preserve">Sistema ARCU-SUR, criterios de calidad para la acreditación de carreras universitarias: Titulación Agronomía Extraído desde</w:t>
      </w:r>
      <w:hyperlink r:id="rId13">
        <w:r w:rsidDel="00000000" w:rsidR="00000000" w:rsidRPr="00000000">
          <w:rPr>
            <w:rFonts w:ascii="Times New Roman" w:cs="Times New Roman" w:eastAsia="Times New Roman" w:hAnsi="Times New Roman"/>
            <w:i w:val="1"/>
            <w:iCs w:val="1"/>
            <w:highlight w:val="white"/>
            <w:rtl w:val="0"/>
          </w:rPr>
          <w:t xml:space="preserve"> </w:t>
        </w:r>
      </w:hyperlink>
      <w:hyperlink r:id="rId14">
        <w:r w:rsidDel="00000000" w:rsidR="00000000" w:rsidRPr="00000000">
          <w:rPr>
            <w:rFonts w:ascii="Times New Roman" w:cs="Times New Roman" w:eastAsia="Times New Roman" w:hAnsi="Times New Roman"/>
            <w:i w:val="1"/>
            <w:iCs w:val="1"/>
            <w:color w:val="1155cc"/>
            <w:highlight w:val="white"/>
            <w:u w:val="single"/>
            <w:rtl w:val="0"/>
          </w:rPr>
          <w:t xml:space="preserve"> </w:t>
        </w:r>
      </w:hyperlink>
      <w:hyperlink r:id="rId15">
        <w:r w:rsidDel="00000000" w:rsidR="00000000" w:rsidRPr="00000000">
          <w:rPr>
            <w:rFonts w:ascii="Times New Roman" w:cs="Times New Roman" w:eastAsia="Times New Roman" w:hAnsi="Times New Roman"/>
            <w:i w:val="1"/>
            <w:iCs w:val="1"/>
            <w:color w:val="1155cc"/>
            <w:highlight w:val="white"/>
            <w:u w:val="single"/>
            <w:rtl w:val="0"/>
          </w:rPr>
          <w:t xml:space="preserve">http://educacion.mec.gub.uy/boletin/arcusur/CRITERIOS_AGRONOMIA_%20ARCUSUR[1]%2012%20feb09.pdf</w:t>
        </w:r>
      </w:hyperlink>
      <w:r w:rsidDel="00000000" w:rsidR="00000000" w:rsidRPr="00000000">
        <w:rPr>
          <w:rFonts w:ascii="Times New Roman" w:cs="Times New Roman" w:eastAsia="Times New Roman" w:hAnsi="Times New Roman"/>
          <w:i w:val="1"/>
          <w:iCs w:val="1"/>
          <w:highlight w:val="white"/>
          <w:rtl w:val="0"/>
        </w:rPr>
        <w:t xml:space="preserve"> el 15 de agosto de 2019.</w:t>
      </w:r>
    </w:p>
    <w:p w:rsidR="00000000" w:rsidDel="00000000" w:rsidP="00000000" w:rsidRDefault="00000000" w:rsidRPr="00000000" w14:paraId="000000BD">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Uruguay XXI. (2024, noviembre). Informe Agrícola - 2024: Informe del Sector Agrícola. Instituto de Promoción de Inversiones, Exportaciones e Imagen País. </w:t>
      </w:r>
      <w:hyperlink r:id="rId16">
        <w:r w:rsidDel="00000000" w:rsidR="00000000" w:rsidRPr="00000000">
          <w:rPr>
            <w:rFonts w:ascii="Times New Roman" w:cs="Times New Roman" w:eastAsia="Times New Roman" w:hAnsi="Times New Roman"/>
            <w:color w:val="1155cc"/>
            <w:highlight w:val="white"/>
            <w:u w:val="single"/>
            <w:rtl w:val="0"/>
          </w:rPr>
          <w:t xml:space="preserve">https://www.uruguayxxi.gub.uy/es/centro-informacion/articulo/informe-agricola-2024</w:t>
        </w:r>
      </w:hyperlink>
      <w:r w:rsidDel="00000000" w:rsidR="00000000" w:rsidRPr="00000000">
        <w:rPr>
          <w:rtl w:val="0"/>
        </w:rPr>
      </w:r>
    </w:p>
    <w:p w:rsidR="00000000" w:rsidDel="00000000" w:rsidP="00000000" w:rsidRDefault="00000000" w:rsidRPr="00000000" w14:paraId="000000BE">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Weller, J. (2007). La inserción laboral de los jóvenes: características, tensiones y desafíos. </w:t>
      </w:r>
      <w:r w:rsidDel="00000000" w:rsidR="00000000" w:rsidRPr="00000000">
        <w:rPr>
          <w:rFonts w:ascii="Times New Roman" w:cs="Times New Roman" w:eastAsia="Times New Roman" w:hAnsi="Times New Roman"/>
          <w:rtl w:val="0"/>
        </w:rPr>
        <w:t xml:space="preserve">R E V I S T A D E L A C E P A L </w:t>
      </w:r>
      <w:r w:rsidDel="00000000" w:rsidR="00000000" w:rsidRPr="00000000">
        <w:rPr>
          <w:rFonts w:ascii="Times New Roman" w:cs="Times New Roman" w:eastAsia="Times New Roman" w:hAnsi="Times New Roman"/>
          <w:rtl w:val="0"/>
        </w:rPr>
        <w:t xml:space="preserve">, 9 2, 61-82. https://repositorio.cepal.org/server/api/core/bitstreams/d03c7da1-6da3-4dff-8c3c-d3c7fbe74a9e/content.</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F">
      <w:pPr>
        <w:spacing w:after="0" w:line="276" w:lineRule="auto"/>
        <w:ind w:left="708.6614173228345" w:hanging="708.66141732283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Zalapa Lúa, E. E., Silva Riquer, J., &amp; Favila Tello, A. (2019). De la Universidad al mercado de trabajo: el caso de los egresados de la Universidad Michoacana. Revista Educación, 43(2), 525-542.</w:t>
      </w:r>
    </w:p>
    <w:p w:rsidR="00000000" w:rsidDel="00000000" w:rsidP="00000000" w:rsidRDefault="00000000" w:rsidRPr="00000000" w14:paraId="000000C0">
      <w:pPr>
        <w:spacing w:after="0" w:line="276" w:lineRule="auto"/>
        <w:ind w:left="708.6614173228345" w:hanging="708.6614173228345"/>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C1">
      <w:pPr>
        <w:spacing w:line="240" w:lineRule="auto"/>
        <w:jc w:val="both"/>
        <w:rPr>
          <w:rFonts w:ascii="Times New Roman" w:cs="Times New Roman" w:eastAsia="Times New Roman" w:hAnsi="Times New Roman"/>
        </w:rPr>
      </w:pPr>
      <w:r w:rsidDel="00000000" w:rsidR="00000000" w:rsidRPr="00000000">
        <w:rPr>
          <w:rtl w:val="0"/>
        </w:rPr>
      </w:r>
    </w:p>
    <w:sectPr>
      <w:headerReference r:id="rId17" w:type="default"/>
      <w:footerReference r:id="rId1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educacion.mec.gub.uy/boletin/arcusur/CRITERIOS_VETERINARIA_%20ARCUSUR%5b1%5d%2012%20feb09.pdf" TargetMode="External"/><Relationship Id="rId10" Type="http://schemas.openxmlformats.org/officeDocument/2006/relationships/hyperlink" Target="http://educacion.mec.gub.uy/boletin/arcusur/CRITERIOS_VETERINARIA_%20ARCUSUR%5b1%5d%2012%20feb09.pdf" TargetMode="External"/><Relationship Id="rId13" Type="http://schemas.openxmlformats.org/officeDocument/2006/relationships/hyperlink" Target="http://educacion.mec.gub.uy/boletin/arcusur/CRITERIOS_VETERINARIA_%20ARCUSUR%5b1%5d%2012%20feb09.pdf" TargetMode="External"/><Relationship Id="rId12" Type="http://schemas.openxmlformats.org/officeDocument/2006/relationships/hyperlink" Target="http://educacion.mec.gub.uy/boletin/arcusur/CRITERIOS_VETERINARIA_%20ARCUSUR%5b1%5d%2012%20feb09.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ho.int/es/news-room/fact-sheets/detail/one-health" TargetMode="External"/><Relationship Id="rId15" Type="http://schemas.openxmlformats.org/officeDocument/2006/relationships/hyperlink" Target="http://educacion.mec.gub.uy/boletin/arcusur/CRITERIOS_AGRONOMIA_%20ARCUSUR%5b1%5d%2012%20feb09.pdf" TargetMode="External"/><Relationship Id="rId14" Type="http://schemas.openxmlformats.org/officeDocument/2006/relationships/hyperlink" Target="http://educacion.mec.gub.uy/boletin/arcusur/CRITERIOS_VETERINARIA_%20ARCUSUR%5b1%5d%2012%20feb09.pdf" TargetMode="External"/><Relationship Id="rId17" Type="http://schemas.openxmlformats.org/officeDocument/2006/relationships/header" Target="header1.xml"/><Relationship Id="rId16" Type="http://schemas.openxmlformats.org/officeDocument/2006/relationships/hyperlink" Target="https://www.uruguayxxi.gub.uy/es/centro-informacion/articulo/informe-agricola-2024"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www.colibri.udelar.edu.uy/bitstream/123456789/9450/1/tesis_delma_de_lima_2017.pdf" TargetMode="External"/><Relationship Id="rId8" Type="http://schemas.openxmlformats.org/officeDocument/2006/relationships/hyperlink" Target="http://www.universidad.edu.uy/libros/opac_css/doc_num.php?explnum_id=96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m+HNEYeWaYfVG4SXWj1tw7AYGw==">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