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86071" w14:textId="77777777" w:rsidR="00716881" w:rsidRDefault="00716881">
      <w:pPr>
        <w:jc w:val="center"/>
        <w:rPr>
          <w:rFonts w:ascii="Times New Roman" w:eastAsia="Times New Roman" w:hAnsi="Times New Roman" w:cs="Times New Roman"/>
        </w:rPr>
      </w:pPr>
    </w:p>
    <w:p w14:paraId="1CB89FAD" w14:textId="77777777" w:rsidR="00716881" w:rsidRDefault="00000000">
      <w:pPr>
        <w:jc w:val="center"/>
        <w:rPr>
          <w:rFonts w:ascii="Times New Roman" w:eastAsia="Times New Roman" w:hAnsi="Times New Roman" w:cs="Times New Roman"/>
        </w:rPr>
      </w:pPr>
      <w:r>
        <w:rPr>
          <w:rFonts w:ascii="Times New Roman" w:eastAsia="Times New Roman" w:hAnsi="Times New Roman" w:cs="Times New Roman"/>
          <w:b/>
          <w:bCs/>
        </w:rPr>
        <w:t>De la confrontación a la articulación: prácticas políticas de estudiantes militantes en tres universidades públicas</w:t>
      </w:r>
    </w:p>
    <w:p w14:paraId="71D27468" w14:textId="77777777" w:rsidR="00716881" w:rsidRPr="00C33CC9" w:rsidRDefault="00000000">
      <w:pPr>
        <w:spacing w:after="0" w:line="240" w:lineRule="auto"/>
        <w:jc w:val="right"/>
        <w:rPr>
          <w:rFonts w:ascii="Times New Roman" w:eastAsia="Times New Roman" w:hAnsi="Times New Roman" w:cs="Times New Roman"/>
          <w:lang w:val="pt-BR"/>
        </w:rPr>
      </w:pPr>
      <w:r w:rsidRPr="00C33CC9">
        <w:rPr>
          <w:rFonts w:ascii="Times New Roman" w:eastAsia="Times New Roman" w:hAnsi="Times New Roman" w:cs="Times New Roman"/>
          <w:lang w:val="pt-BR"/>
        </w:rPr>
        <w:t>Luques Agustina</w:t>
      </w:r>
    </w:p>
    <w:p w14:paraId="31C89B57" w14:textId="77777777" w:rsidR="00716881" w:rsidRPr="00C33CC9" w:rsidRDefault="00000000">
      <w:pPr>
        <w:spacing w:after="0" w:line="240" w:lineRule="auto"/>
        <w:jc w:val="right"/>
        <w:rPr>
          <w:rFonts w:ascii="Times New Roman" w:eastAsia="Times New Roman" w:hAnsi="Times New Roman" w:cs="Times New Roman"/>
          <w:lang w:val="pt-BR"/>
        </w:rPr>
      </w:pPr>
      <w:r w:rsidRPr="00C33CC9">
        <w:rPr>
          <w:rFonts w:ascii="Times New Roman" w:eastAsia="Times New Roman" w:hAnsi="Times New Roman" w:cs="Times New Roman"/>
          <w:lang w:val="pt-BR"/>
        </w:rPr>
        <w:t>FaHCE-UNLP</w:t>
      </w:r>
    </w:p>
    <w:p w14:paraId="77FC1F42" w14:textId="77777777" w:rsidR="00716881" w:rsidRPr="00C33CC9" w:rsidRDefault="00000000">
      <w:pPr>
        <w:spacing w:after="0" w:line="240" w:lineRule="auto"/>
        <w:jc w:val="right"/>
        <w:rPr>
          <w:rFonts w:ascii="Times New Roman" w:eastAsia="Times New Roman" w:hAnsi="Times New Roman" w:cs="Times New Roman"/>
          <w:lang w:val="pt-BR"/>
        </w:rPr>
      </w:pPr>
      <w:hyperlink r:id="rId7">
        <w:r w:rsidRPr="00C33CC9">
          <w:rPr>
            <w:rFonts w:ascii="Times New Roman" w:eastAsia="Times New Roman" w:hAnsi="Times New Roman" w:cs="Times New Roman"/>
            <w:color w:val="0563C1"/>
            <w:u w:val="single"/>
            <w:lang w:val="pt-BR"/>
          </w:rPr>
          <w:t>agusluques@gmail.com</w:t>
        </w:r>
      </w:hyperlink>
      <w:r w:rsidRPr="00C33CC9">
        <w:rPr>
          <w:rFonts w:ascii="Times New Roman" w:eastAsia="Times New Roman" w:hAnsi="Times New Roman" w:cs="Times New Roman"/>
          <w:lang w:val="pt-BR"/>
        </w:rPr>
        <w:t xml:space="preserve"> </w:t>
      </w:r>
    </w:p>
    <w:p w14:paraId="1E483232" w14:textId="77777777" w:rsidR="00716881" w:rsidRPr="00C33CC9" w:rsidRDefault="00716881">
      <w:pPr>
        <w:spacing w:line="240" w:lineRule="auto"/>
        <w:jc w:val="both"/>
        <w:rPr>
          <w:rFonts w:ascii="Times New Roman" w:eastAsia="Times New Roman" w:hAnsi="Times New Roman" w:cs="Times New Roman"/>
          <w:b/>
          <w:bCs/>
          <w:lang w:val="pt-BR"/>
        </w:rPr>
      </w:pPr>
    </w:p>
    <w:p w14:paraId="52BA6E85"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Resumen: </w:t>
      </w:r>
      <w:r>
        <w:rPr>
          <w:rFonts w:ascii="Times New Roman" w:eastAsia="Times New Roman" w:hAnsi="Times New Roman" w:cs="Times New Roman"/>
        </w:rPr>
        <w:t>Los estudiantes son agentes clave en el análisis de la dimensión política de las universidades en América Latina, ocupando desde una perspectiva histórica un lugar central en la agenda académica regional (Leite, 2010; Carli, 2012). En este sentido, Krotsch (2002) señaló la ausencia de investigaciones que abordaran su papel como actores en la formulación de políticas universitarias dentro del campo de estudios de la educación superior. Este trabajo se inscribe en esta segunda línea de investigación y analiza las formas de «hacer política» de la militancia estudiantil en tres universidades públicas de Argentina. Se centra en las estrategias que implementan y los conocimientos que construyen para intervenir en las instituciones en medio de las transformaciones del paradigma reformista de la gobernanza universitaria (Acosta Silva, Atairo y Camou, 2015), que forman parte de una tendencia general hacia el fortalecimiento de las autoridades unipersonales, lo que debilita el poder de los órganos colegiados de toma de decisiones (Musselin, 2005). Este proceso configura un cambio sustancial en la cultura institucional de las universidades y abre interrogantes sobre las formas que asume la participación estudiantil en los órganos de gobierno, partiendo del supuesto de que han transformado sus formas de intervención en la vida política universitaria en relación con este nuevo escenario. Se presentan resultados preliminares de la investigación, centrándonos en las entrevistas semiestructuradas con militantes estudiantiles universitarios/as. Se sostiene que, en contraste con un pasado reciente marcado por un fuerte rechazo a las formas establecidas de política y a los mecanismos de representación universitaria (Naishtat y Toer, 2005), en el marco de una crisis general de las instituciones y de la política tradicional, actualmente predominan estrategias de negociación y articulación con las autoridades, junto con la adaptación a las lógicas de discusión específicas habilitadas por cada institución. Asimismo, aunque no es posible referir a una lógica homogénea y articulada del movimiento estudiantil y las formas de hacer política de los militantes estudiantiles varían dependiendo de su posición dentro de la política universitaria, se identifica una nueva orientación común, coherente con una creciente recuperación de la confianza e incorporación de los jóvenes a la política institucional (Vommaro, 2015), centrada en la resolución de problemas o la exigencia de una «buena gestión», acompañada de un discurso enmarcado en la comprensión de las universidades en un período de crisis, lo que sugiere una reconfiguración en las formas de participación política de la militancia estudiantil. Se desarrolla primeramente una contextualización del estudio y algunas coordenadas que orientan el análisis, para luego presentar la indagación empírica y sus primeros resultados.</w:t>
      </w:r>
    </w:p>
    <w:p w14:paraId="552ED3A9" w14:textId="77777777" w:rsidR="00716881"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 xml:space="preserve">Palabras clave: </w:t>
      </w:r>
      <w:r>
        <w:rPr>
          <w:rFonts w:ascii="Times New Roman" w:eastAsia="Times New Roman" w:hAnsi="Times New Roman" w:cs="Times New Roman"/>
        </w:rPr>
        <w:t>PARTICIPACIÓN POLÍTICA, ESTUDIANTES UNIVERSITARIOS, MILITANCIA ESTUDIANTIL, POLÍTICA UNIVERSITARIA</w:t>
      </w:r>
    </w:p>
    <w:p w14:paraId="007AD117" w14:textId="77777777" w:rsidR="00716881" w:rsidRDefault="00716881">
      <w:pPr>
        <w:spacing w:line="240" w:lineRule="auto"/>
        <w:jc w:val="both"/>
        <w:rPr>
          <w:rFonts w:ascii="Times New Roman" w:eastAsia="Times New Roman" w:hAnsi="Times New Roman" w:cs="Times New Roman"/>
          <w:b/>
          <w:bCs/>
        </w:rPr>
      </w:pPr>
    </w:p>
    <w:p w14:paraId="02B418E8"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14:paraId="522C1C93" w14:textId="77777777" w:rsidR="00716881" w:rsidRDefault="00000000">
      <w:pPr>
        <w:spacing w:after="120" w:line="276" w:lineRule="auto"/>
        <w:jc w:val="both"/>
        <w:rPr>
          <w:rFonts w:ascii="Times New Roman" w:eastAsia="Times New Roman" w:hAnsi="Times New Roman" w:cs="Times New Roman"/>
          <w:highlight w:val="green"/>
        </w:rPr>
      </w:pPr>
      <w:r>
        <w:rPr>
          <w:rFonts w:ascii="Times New Roman" w:eastAsia="Times New Roman" w:hAnsi="Times New Roman" w:cs="Times New Roman"/>
        </w:rPr>
        <w:t xml:space="preserve">Los estudiantes son agentes clave en el análisis de la dimensión política de las universidades en América Latina, ocupando desde una perspectiva histórica un lugar central en la agenda académica regional (Leite, 2010; Carli, 2012). Sin embargo, Krotsch (2002) señaló la ausencia de investigaciones que aborden su papel como actores en la formulación de políticas universitarias dentro del campo de estudios de la educación superior. Este trabajo se inscribe en esta segunda línea de investigación y analiza las formas de «hacer política» de la militancia estudiantil, en el marco de una investigación doctoral. El objetivo es abordar la participación estudiantil en la política institucional de las universidades argentinas durante el 2018-2022, tomando para el análisis tres universidades nacionales de la región metropolitana creadas en tres momentos diferentes de expansión del sector público. En esta ponencia se presentan resultados preliminares de una parte del trabajo de campo que incluye entrevistas en profundidad a 42 militantes estudiantiles en total, representantes o referentes de agrupaciones con representación en los consejos superiores de cada universidad. Las tres universidades públicas seleccionadas (Universidad Nacional de La Plata, Universidad Nacional de General Sarmiento y Universidad Nacional Arturo Jauretche) presentan variaciones en cuanto a su cultura institucional signadas por sus marcas de origen en un determinado contexto político, su tamaño, su diseño institucional y la vinculación propia de las universidades en los territorios. </w:t>
      </w:r>
    </w:p>
    <w:p w14:paraId="015123C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indagación se centra en recuperar las estrategias que implementan y los conocimientos que construyen los/as estudiantes militantes para intervenir en las instituciones. El trabajo se organiza en dos grandes apartados: el primero más </w:t>
      </w:r>
      <w:proofErr w:type="gramStart"/>
      <w:r>
        <w:rPr>
          <w:rFonts w:ascii="Times New Roman" w:eastAsia="Times New Roman" w:hAnsi="Times New Roman" w:cs="Times New Roman"/>
        </w:rPr>
        <w:t>teórico  recupera</w:t>
      </w:r>
      <w:proofErr w:type="gramEnd"/>
      <w:r>
        <w:rPr>
          <w:rFonts w:ascii="Times New Roman" w:eastAsia="Times New Roman" w:hAnsi="Times New Roman" w:cs="Times New Roman"/>
        </w:rPr>
        <w:t xml:space="preserve"> las transformaciones en las formas de “hacer política” de la militancia estudiantil universitaria en Argentina, y luego las vincula con las prácticas políticas de la militancia juvenil en Argentina, estableciendo así relaciones entre la condición estudiantil, juvenil y militante que atraviesa a los sujetos a analizar. </w:t>
      </w:r>
    </w:p>
    <w:p w14:paraId="20D5875F"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segundo lugar, un apartado de corte más empírico donde se presentan primeramente </w:t>
      </w:r>
      <w:r>
        <w:rPr>
          <w:rFonts w:ascii="Times New Roman" w:eastAsia="Times New Roman" w:hAnsi="Times New Roman" w:cs="Times New Roman"/>
          <w:i/>
          <w:iCs/>
        </w:rPr>
        <w:t>configuraciones institucionales</w:t>
      </w:r>
      <w:r>
        <w:rPr>
          <w:rFonts w:ascii="Times New Roman" w:eastAsia="Times New Roman" w:hAnsi="Times New Roman" w:cs="Times New Roman"/>
        </w:rPr>
        <w:t xml:space="preserve"> de las tres universidades seleccionadas, enfatizando en la apuesta que los/as militantes tienden a articular con equipos de gestión universitaria, y a participar en el marco de las </w:t>
      </w:r>
      <w:r>
        <w:rPr>
          <w:rFonts w:ascii="Times New Roman" w:eastAsia="Times New Roman" w:hAnsi="Times New Roman" w:cs="Times New Roman"/>
          <w:i/>
          <w:iCs/>
        </w:rPr>
        <w:t>reglas del juego</w:t>
      </w:r>
      <w:r>
        <w:rPr>
          <w:rFonts w:ascii="Times New Roman" w:eastAsia="Times New Roman" w:hAnsi="Times New Roman" w:cs="Times New Roman"/>
        </w:rPr>
        <w:t xml:space="preserve"> marcadas por la propia lógica institucional de cada universidad, ambas prácticas permeadas por la adhesión a los modelos de gestión y de universidad en las cuales se inscriben, y una visión estratégica en tanto se identifica como uno de los principales factores que permite viabilizar demandas. Seguido por otra parte en la que se hace referencia a un conjunto de prácticas identificadas orientadas a </w:t>
      </w:r>
      <w:r>
        <w:rPr>
          <w:rFonts w:ascii="Times New Roman" w:eastAsia="Times New Roman" w:hAnsi="Times New Roman" w:cs="Times New Roman"/>
        </w:rPr>
        <w:lastRenderedPageBreak/>
        <w:t xml:space="preserve">atender las cuestiones que no encuentran cauce dentro de la lógica anterior, en las cuales se identifica como denominador común una lógica de gestión para atender a los problemas o cuestiones que surgen. Por último, se presentan conclusiones preliminares en las que se recuperan los resultados y se plantean algunas hipótesis de la investigación. </w:t>
      </w:r>
    </w:p>
    <w:p w14:paraId="3AB6FC57" w14:textId="77777777" w:rsidR="00716881" w:rsidRDefault="00716881">
      <w:pPr>
        <w:spacing w:line="240" w:lineRule="auto"/>
        <w:jc w:val="both"/>
        <w:rPr>
          <w:rFonts w:ascii="Times New Roman" w:eastAsia="Times New Roman" w:hAnsi="Times New Roman" w:cs="Times New Roman"/>
          <w:b/>
          <w:bCs/>
        </w:rPr>
      </w:pPr>
    </w:p>
    <w:p w14:paraId="18FB56C2"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La militancia estudiantil universitaria en Argentina: una breve historización</w:t>
      </w:r>
    </w:p>
    <w:p w14:paraId="7D3C14A8"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nuestro país, la Reforma Universitaria de 1918 inauguró la tradición de co-gobierno tripartito y con ello la participación estudiantil dentro de los órganos colegiados en las universidades públicas, en un proceso protagonizado por un movimiento estudiantil que signó con sus repertorios de acción y sus marcos organizativos las décadas siguientes. Pese a las reiteradas interrupciones y daños a la vida democrática durante el siglo pasado, las formas de participación y los grados de politización de los/as estudiantes universitarios/as se configuran hasta hoy como características distintivas de las universidades argentinas y su papel protagónico en las luchas por la democratización de la universidad en América Latina ha sido objeto de interés y de estudio dentro de las ciencias sociales. </w:t>
      </w:r>
    </w:p>
    <w:p w14:paraId="04F17C7A"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Durante la década de 1960 la actividad política de los/as estudiantes se intensifica en tanto una serie de cambios políticos y culturales impulsaron distintas prácticas de confrontación y radicalización en las cuales la juventud emergió como protagonista a nivel global. En Argentina, a diferencia de la figura de la “juventud universitaria” inaugurada por la Reforma, el movimiento estudiantil de este período incorpora representaciones que fusionan la figura de estudiante con las de trabajador, militante y sujeto del cambio revolucionario (Carli, 2012), y el Cordobazo se constituye como hito representativo de las transformaciones de la juventud en los planos político, social y cultural (Bonvillani et al., 2008).</w:t>
      </w:r>
    </w:p>
    <w:p w14:paraId="3F410925"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Fue la última dictadura cívico-militar y las consiguientes represiones, persecuciones políticas y desapariciones forzadas que acabaron casi totalmente con la cultura militante de ese entonces, y que particularmente en las universidades tuvo un fuerte impacto por la persecución, exilio o asesinato de muchos de sus estudiantes y profesores, y la clausura de parte su oferta académica. El proceso denominado de “normalización” universitaria, iniciado durante la transición democrática, permitió una recomposición de la política estudiantil, aunque limitada en comparación con las décadas anteriores. La “vuelta a la política” implicó la partidización de la política universitaria como forma generalizada y arraigada (Stubrin, 2001). La reapertura de los centros de estudiantes se organizó a partir de agrupaciones vinculadas fuertemente con los partidos políticos (Vommaro, 2015), y a finales de la década fueron ganando mayor peso en las prácticas y concepciones de la política la dimensión electoral y la prestación de servicios al estudiante (Simon, 1993).</w:t>
      </w:r>
    </w:p>
    <w:p w14:paraId="3D08AC74"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década de 1990 inaugura una nueva relación entre la universidad y el estado en nuestro país. Dichas transformaciones estuvieron signadas en la </w:t>
      </w:r>
      <w:proofErr w:type="gramStart"/>
      <w:r>
        <w:rPr>
          <w:rFonts w:ascii="Times New Roman" w:eastAsia="Times New Roman" w:hAnsi="Times New Roman" w:cs="Times New Roman"/>
        </w:rPr>
        <w:t>región  por</w:t>
      </w:r>
      <w:proofErr w:type="gramEnd"/>
      <w:r>
        <w:rPr>
          <w:rFonts w:ascii="Times New Roman" w:eastAsia="Times New Roman" w:hAnsi="Times New Roman" w:cs="Times New Roman"/>
        </w:rPr>
        <w:t xml:space="preserve"> la reducción del financiamiento público y la introducción del paradigma del </w:t>
      </w:r>
      <w:r>
        <w:rPr>
          <w:rFonts w:ascii="Times New Roman" w:eastAsia="Times New Roman" w:hAnsi="Times New Roman" w:cs="Times New Roman"/>
          <w:i/>
          <w:iCs/>
        </w:rPr>
        <w:t>Estado Evaluador</w:t>
      </w:r>
      <w:r>
        <w:rPr>
          <w:rFonts w:ascii="Times New Roman" w:eastAsia="Times New Roman" w:hAnsi="Times New Roman" w:cs="Times New Roman"/>
        </w:rPr>
        <w:t xml:space="preserve">, ante el cual las universidades argentinas respondieron con mecanismos de adaptación y de resistencia (Krotsch, Camou y Prati, 2007). El movimiento estudiantil se configuró como un actor central en el rechazo y resistencia a los intentos de mercantilización de la educación superior y a las políticas de evaluación y acreditación del sistema. El progresivo desencantamiento de la política durante la década fue acompañado del surgimiento de varias agrupaciones independientes en las universidades nacionales, que inauguraron un conjunto de nuevas prácticas políticas colectivas con una temporalidad efímera y episódica, que buscaban diferenciarse de los sentidos propios de las lógicas políticas partidarias y de la lógica estatal (Picotto y Vommaro, 2010). </w:t>
      </w:r>
    </w:p>
    <w:p w14:paraId="10CCBA15"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Iniciado el nuevo siglo, los estudios sobre movimientos estudiantiles en América latina han postulado un lugar de “ruptura” con los anclajes organizativos y repertorios de décadas pasadas, enfatizando el carácter “novedoso” de sus formas y contenidos. Se destacan como nuevos elementos distintivos “la participación directa, horizontal y por asamblea que rehúye de liderazgos reconocidos, mediaciones partidarias, institucionales y estatales; el uso creciente de nuevas tecnologías de comunicación; y una agenda de reivindicaciones ligadas a la ampliación de derechos civiles” (Dip, 2023, p. 63). Varios trabajos dieron cuenta de estas nuevas configuraciones de la militancia universitaria en Argentina, enfatizando en la relevancia que asumieron los asuntos estrictamente universitarios y el rechazo a las formas </w:t>
      </w:r>
      <w:r>
        <w:rPr>
          <w:rFonts w:ascii="Times New Roman" w:eastAsia="Times New Roman" w:hAnsi="Times New Roman" w:cs="Times New Roman"/>
          <w:i/>
          <w:iCs/>
        </w:rPr>
        <w:t>tradicionales</w:t>
      </w:r>
      <w:r>
        <w:rPr>
          <w:rFonts w:ascii="Times New Roman" w:eastAsia="Times New Roman" w:hAnsi="Times New Roman" w:cs="Times New Roman"/>
        </w:rPr>
        <w:t xml:space="preserve"> de “hacer política” para una generación de militantes (Naishtat y Toer, 2005; Kandel y Cortés, 2002; Kandel, 2005; Picotto y Vommaro, 2010; Losada, 2019). Estas iniciativas toman aún más impulso a finales de la década del 2000, cristalizándose en demandas de ampliación de políticas de bienestar universitario (Llaudat, Llaudat y Pis Diez, 2012), coincidentes con un momento de recomposición presupuestaria y de inversión en el sistema universitario y científico.</w:t>
      </w:r>
    </w:p>
    <w:p w14:paraId="190B663D"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Este tipo de reivindicaciones tuvieron continuidad dentro de la política estudiantil universitaria en los años que siguen: algunas investigaciones ya situadas en la década siguiente (Blanco, 2014, 2017; Trotta, 2015) recuperan procesos en los cuales el ejercicio de estas nuevas prácticas políticas en la universidad generan cambios dentro de las instituciones, dando cuenta de las vinculaciones existentes entre agendas estudiantiles y políticas institucionales de las universidades, y su condición en tanto actores que forman parte del ciclo de esas políticas. </w:t>
      </w:r>
    </w:p>
    <w:p w14:paraId="655DE4E2" w14:textId="77777777" w:rsidR="00716881" w:rsidRDefault="00716881">
      <w:pPr>
        <w:spacing w:after="120" w:line="276" w:lineRule="auto"/>
        <w:jc w:val="both"/>
        <w:rPr>
          <w:rFonts w:ascii="Times New Roman" w:eastAsia="Times New Roman" w:hAnsi="Times New Roman" w:cs="Times New Roman"/>
        </w:rPr>
      </w:pPr>
    </w:p>
    <w:p w14:paraId="5E22B12E"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Estudiantes, jóvenes, militantes: el análisis de las prácticas políticas de un sujeto multidimensional </w:t>
      </w:r>
    </w:p>
    <w:p w14:paraId="73F40DF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Desde fines del siglo pasado se reconoce el progresivo desdibujamiento de una condición propiamente estudiantil (Brunner, 1986), y que las “maneras de ser estudiante” se ven atravesadas por la experiencia juvenil. En este sentido, ser estudiante es “una forma más” de ser joven que solo cobra especificidad con respecto al resto de los jóvenes a partir de su relación con los estudios (Dubet, 2005), de allí que sea pertinente incorporar los aportes del campo de estudios sobre juventudes para comprender las prácticas políticas de la militancia universitaria. Reconocer la condición de estudiantes en vinculación a las juventudes supone reconocer su heterogeneidad, y en particular la dimensión relacional de la condición juvenil para recuperar cómo los/as jóvenes ocupan una peculiar posición en la estructura social, inmersos en relaciones de clase, de edad, de género, étnicas y raciales que atraviesan de manera diferencial su condición (Chaves, 2009). </w:t>
      </w:r>
    </w:p>
    <w:p w14:paraId="74C7EDC1"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Los procesos de masificación de la Educación Superior habilitaron aún más la diversificación de las condiciones de quiénes ingresan a la universidad, y diversas investigaciones dan cuenta de cómo esa condición juvenil atraviesa las experiencias y las formas de identificación de los estudiantes universitarios. La condición de jóvenes se ve aún más exaltada en aquellos/as estudiantes que militan, tanto por la condición etaria de quienes componen las agrupaciones, como por las tradiciones de las organizaciones políticas universitarias, que toman las agendas políticas de las juventudes como parte de su agenda de intervención.</w:t>
      </w:r>
    </w:p>
    <w:p w14:paraId="34F8F43C" w14:textId="3D884251"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este sentido, recuperamos el </w:t>
      </w:r>
      <w:r>
        <w:rPr>
          <w:rFonts w:ascii="Times New Roman" w:eastAsia="Times New Roman" w:hAnsi="Times New Roman" w:cs="Times New Roman"/>
          <w:i/>
          <w:iCs/>
        </w:rPr>
        <w:t>doble desplazamiento</w:t>
      </w:r>
      <w:r>
        <w:rPr>
          <w:rFonts w:ascii="Times New Roman" w:eastAsia="Times New Roman" w:hAnsi="Times New Roman" w:cs="Times New Roman"/>
        </w:rPr>
        <w:t xml:space="preserve"> en las formas de “hacer política” de las juventudes argentinas en las últimas décadas, planteado por Vommaro (2015). El primer desplazamiento se produce en los años ’80 y con más fuerza en los ’90, “desde las formas clásicas de organización y participación política hacia otro tipo de espacios y prácticas, en los que no sólo no rechazaban la política, sino que se politizaban sobre la base de la impugnación de los mecanismos delegativos de participación y toma de decisiones” (2015, p. 23). El segundo, posterior a 2003, consiste en un movimiento de recomposición de la política partidaria e institucional, en el marco de un reencantamiento con lo público estatal y las formas clásicas de participación, que dio lugar a organizaciones juveniles que se constituyen desde o en diálogo fluido con el Estado y encuentran en sus políticas públicas espacios fértiles de acción. En Argentina, señala Vommaro, este </w:t>
      </w:r>
      <w:r>
        <w:rPr>
          <w:rFonts w:ascii="Times New Roman" w:eastAsia="Times New Roman" w:hAnsi="Times New Roman" w:cs="Times New Roman"/>
          <w:i/>
          <w:iCs/>
        </w:rPr>
        <w:t>regreso de la política</w:t>
      </w:r>
      <w:r>
        <w:rPr>
          <w:rFonts w:ascii="Times New Roman" w:eastAsia="Times New Roman" w:hAnsi="Times New Roman" w:cs="Times New Roman"/>
        </w:rPr>
        <w:t xml:space="preserve"> no se constituye como una réplica de momentos anteriores, sino que se asienta sobre nuevas bases caracterizadas por dos nociones fundamentales: territorio y politización. </w:t>
      </w:r>
    </w:p>
    <w:p w14:paraId="4DBE63A9"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Pueden establecerse vinculaciones entre este </w:t>
      </w:r>
      <w:r>
        <w:rPr>
          <w:rFonts w:ascii="Times New Roman" w:eastAsia="Times New Roman" w:hAnsi="Times New Roman" w:cs="Times New Roman"/>
          <w:i/>
          <w:iCs/>
        </w:rPr>
        <w:t>doble desplazamiento</w:t>
      </w:r>
      <w:r>
        <w:rPr>
          <w:rFonts w:ascii="Times New Roman" w:eastAsia="Times New Roman" w:hAnsi="Times New Roman" w:cs="Times New Roman"/>
        </w:rPr>
        <w:t xml:space="preserve"> en la participación política juvenil y los cambios en las prácticas políticas de la militancia estudiantil universitaria recuperados en la breve historización realizada anteriormente, y confirmados por el análisis de agendas estudiantiles (Luques, 2026) con un carácter más propositivo y centradas en </w:t>
      </w:r>
      <w:r>
        <w:rPr>
          <w:rFonts w:ascii="Times New Roman" w:eastAsia="Times New Roman" w:hAnsi="Times New Roman" w:cs="Times New Roman"/>
          <w:i/>
          <w:iCs/>
        </w:rPr>
        <w:t>lo estrictamente universitario</w:t>
      </w:r>
      <w:r>
        <w:rPr>
          <w:rFonts w:ascii="Times New Roman" w:eastAsia="Times New Roman" w:hAnsi="Times New Roman" w:cs="Times New Roman"/>
        </w:rPr>
        <w:t xml:space="preserve">, que comienzan a tomar fuerza </w:t>
      </w:r>
      <w:r>
        <w:rPr>
          <w:rFonts w:ascii="Times New Roman" w:eastAsia="Times New Roman" w:hAnsi="Times New Roman" w:cs="Times New Roman"/>
        </w:rPr>
        <w:lastRenderedPageBreak/>
        <w:t>recién en un marco de recomposición de las funciones del Estado y de progresiva confianza en los marcos institucionales.</w:t>
      </w:r>
    </w:p>
    <w:p w14:paraId="1C021746"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la investigación en curso pueden identificarse además ambos desplazamientos en las identidades y tradiciones de las organizaciones estudiantiles analizadas: exceptuando a las pocas que tienen mayor historia en la universidad vinculadas a partidos políticos tradicionales, el amplio espectro político se conforma por varias agrupaciones de origen independiente, o bien por otras con un surgimiento vinculado a la ola de reencantamiento de </w:t>
      </w:r>
      <w:r>
        <w:rPr>
          <w:rFonts w:ascii="Times New Roman" w:eastAsia="Times New Roman" w:hAnsi="Times New Roman" w:cs="Times New Roman"/>
          <w:i/>
          <w:iCs/>
        </w:rPr>
        <w:t>lo público</w:t>
      </w:r>
      <w:r>
        <w:rPr>
          <w:rFonts w:ascii="Times New Roman" w:eastAsia="Times New Roman" w:hAnsi="Times New Roman" w:cs="Times New Roman"/>
        </w:rPr>
        <w:t>. Sin embargo, se observa en sus prácticas actuales una suerte de confluencia: independientemente de sus orígenes, existe una similitud notable en las prácticas y lógicas de intervención de agrupaciones de distinto signo dentro de las universidades. Gran parte de ellas se distancian de la impronta defensiva que ordenaba el accionar político de finales de siglo y priorizan, más allá de su tradición de origen, la resolución de problemas puntuales y específicamente universitarios con un carácter propositivo. Es a estas prácticas que se dedican los apartados siguientes.</w:t>
      </w:r>
    </w:p>
    <w:p w14:paraId="174399D8" w14:textId="77777777" w:rsidR="00716881" w:rsidRDefault="00716881">
      <w:pPr>
        <w:spacing w:after="120" w:line="276" w:lineRule="auto"/>
        <w:jc w:val="both"/>
        <w:rPr>
          <w:rFonts w:ascii="Times New Roman" w:eastAsia="Times New Roman" w:hAnsi="Times New Roman" w:cs="Times New Roman"/>
        </w:rPr>
      </w:pPr>
    </w:p>
    <w:p w14:paraId="1771BCE7"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“Hacer política” en la universidad. De la confrontación a la articulación, del rechazo a la adhesión a las </w:t>
      </w:r>
      <w:r>
        <w:rPr>
          <w:rFonts w:ascii="Times New Roman" w:eastAsia="Times New Roman" w:hAnsi="Times New Roman" w:cs="Times New Roman"/>
          <w:b/>
          <w:bCs/>
          <w:i/>
          <w:iCs/>
        </w:rPr>
        <w:t>reglas del juego</w:t>
      </w:r>
    </w:p>
    <w:p w14:paraId="01689DB3"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este apartado se plantea como argumento que, en contraste con un pasado reciente marcado por un fuerte rechazo a las formas establecidas de política y a los mecanismos de representación y de gobierno universitario (Naishtat y Toer, 2005), actualmente predomina una legitimación de los modelos de universidad y de gestión de las universidades públicas que se traducen en estrategias de articulación y negociación con las autoridades, junto con la adaptación a las lógicas de discusión específicas habilitadas por cada institución. El trabajo de campo realizado permite observar cómo las formas de </w:t>
      </w:r>
      <w:r>
        <w:rPr>
          <w:rFonts w:ascii="Times New Roman" w:eastAsia="Times New Roman" w:hAnsi="Times New Roman" w:cs="Times New Roman"/>
          <w:i/>
          <w:iCs/>
        </w:rPr>
        <w:t xml:space="preserve">hacer política </w:t>
      </w:r>
      <w:r>
        <w:rPr>
          <w:rFonts w:ascii="Times New Roman" w:eastAsia="Times New Roman" w:hAnsi="Times New Roman" w:cs="Times New Roman"/>
        </w:rPr>
        <w:t xml:space="preserve">de la militancia estudiantil universitaria están fuertemente permeadas por la posición de las agrupaciones dentro de la política institucional, y en particular por su relación con las autoridades y funcionarios universitarios/as, más que por su orientación político-ideológica o su ordenamiento en la política nacional. </w:t>
      </w:r>
    </w:p>
    <w:p w14:paraId="25767CD9" w14:textId="77777777" w:rsidR="00716881" w:rsidRDefault="00000000">
      <w:pPr>
        <w:spacing w:after="120" w:line="276" w:lineRule="auto"/>
        <w:jc w:val="both"/>
        <w:rPr>
          <w:rFonts w:ascii="Times New Roman" w:eastAsia="Times New Roman" w:hAnsi="Times New Roman" w:cs="Times New Roman"/>
          <w:sz w:val="34"/>
          <w:szCs w:val="34"/>
        </w:rPr>
      </w:pPr>
      <w:r>
        <w:rPr>
          <w:rFonts w:ascii="Times New Roman" w:eastAsia="Times New Roman" w:hAnsi="Times New Roman" w:cs="Times New Roman"/>
        </w:rPr>
        <w:t xml:space="preserve">En tanto los/as militantes estudiantiles reconocen las limitaciones que su posición dentro de la política universitaria impone para impulsar temas en la agenda, identifican que la factibilidad  depende de varios factores, entre ellos: el diálogo o la construcción de acuerdos con las gestiones de las universidades; los acuerdos entre las propias agrupaciones del claustro estudiantil; la capacidad de organización, movilización y difusión previa con el estudiantado; los grados de conocimiento sobre la dinámica institucional y cuestiones procedimentales a tener en cuenta para participar en los órganos de co-gobierno; la situación presupuestaria de cada universidad, que condiciona de manera directa las posibilidades de implementar políticas; y la articulación con otros claustros. </w:t>
      </w:r>
    </w:p>
    <w:p w14:paraId="4DA059BD" w14:textId="77777777" w:rsidR="00716881" w:rsidRDefault="00000000">
      <w:pPr>
        <w:spacing w:after="120" w:line="276" w:lineRule="auto"/>
        <w:jc w:val="both"/>
        <w:rPr>
          <w:rFonts w:ascii="Times New Roman" w:eastAsia="Times New Roman" w:hAnsi="Times New Roman" w:cs="Times New Roman"/>
          <w:vertAlign w:val="superscript"/>
        </w:rPr>
      </w:pPr>
      <w:r>
        <w:rPr>
          <w:rFonts w:ascii="Times New Roman" w:eastAsia="Times New Roman" w:hAnsi="Times New Roman" w:cs="Times New Roman"/>
        </w:rPr>
        <w:lastRenderedPageBreak/>
        <w:t xml:space="preserve">El primero de estos factores es uno de los más jerarquizados en los relatos de los/as militantes entrevistados/as. Se identifica que existe una búsqueda de gran parte de las agrupaciones estudiantiles de construcción de acuerdos con los equipos de gestión de las universidades tanto del nivel central como de las unidades académicas como facultades e institutos. Pero además, también se vislumbran otras prácticas, vinculada a promover la viabilidad de sus demandas o agendas, de adaptación a las </w:t>
      </w:r>
      <w:r>
        <w:rPr>
          <w:rFonts w:ascii="Times New Roman" w:eastAsia="Times New Roman" w:hAnsi="Times New Roman" w:cs="Times New Roman"/>
          <w:i/>
          <w:iCs/>
        </w:rPr>
        <w:t>reglas del juego</w:t>
      </w:r>
      <w:r>
        <w:rPr>
          <w:rFonts w:ascii="Times New Roman" w:eastAsia="Times New Roman" w:hAnsi="Times New Roman" w:cs="Times New Roman"/>
        </w:rPr>
        <w:t xml:space="preserve"> marcadas por la propia lógica institucional de cada universidad, que habilita determinados mecanismos de discusión a los que los/as militantes apuestan, ya sea por decisiones estratégicas que permiten la obtención de mayores beneficios, al menos en el corto y mediano plazo, o por adhesión en tanto las mismas se inscriben en el modelo de universidad que los/as convoca, sin que ambas motivaciones sean necesariamente excluyentes.</w:t>
      </w:r>
      <w:r>
        <w:rPr>
          <w:rFonts w:ascii="Times New Roman" w:eastAsia="Times New Roman" w:hAnsi="Times New Roman" w:cs="Times New Roman"/>
          <w:vertAlign w:val="superscript"/>
        </w:rPr>
        <w:footnoteReference w:id="1"/>
      </w:r>
    </w:p>
    <w:p w14:paraId="1B9F82E3"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La Universidad Nacional de La Plata (UNLP) se constituye como una de las universidades públicas más grandes y antiguas del país y cuenta con 17 facultades con una gran autonomía institucional, donde cursan sus </w:t>
      </w:r>
      <w:proofErr w:type="gramStart"/>
      <w:r>
        <w:rPr>
          <w:rFonts w:ascii="Times New Roman" w:eastAsia="Times New Roman" w:hAnsi="Times New Roman" w:cs="Times New Roman"/>
        </w:rPr>
        <w:t>carreras  aproximadamente</w:t>
      </w:r>
      <w:proofErr w:type="gramEnd"/>
      <w:r>
        <w:rPr>
          <w:rFonts w:ascii="Times New Roman" w:eastAsia="Times New Roman" w:hAnsi="Times New Roman" w:cs="Times New Roman"/>
        </w:rPr>
        <w:t xml:space="preserve"> 134.000 estudiantes en el grado con </w:t>
      </w:r>
      <w:proofErr w:type="gramStart"/>
      <w:r>
        <w:rPr>
          <w:rFonts w:ascii="Times New Roman" w:eastAsia="Times New Roman" w:hAnsi="Times New Roman" w:cs="Times New Roman"/>
        </w:rPr>
        <w:t>un  porcentaje</w:t>
      </w:r>
      <w:proofErr w:type="gramEnd"/>
      <w:r>
        <w:rPr>
          <w:rFonts w:ascii="Times New Roman" w:eastAsia="Times New Roman" w:hAnsi="Times New Roman" w:cs="Times New Roman"/>
        </w:rPr>
        <w:t xml:space="preserve"> de estudiantes de primera generación universitaria en aumento. Su Consejo Superior cuenta con 72 miembros con voto, de los cuales diecisiete corresponden al claustro estudiantil (23,6%). Las organizaciones que componen el amplio arco político de la UNLP con representación en el Consejo Superior en el periodo analizado son varias y de un carácter heterogéneo, pero se pueden distinguir tres facciones para su ordenamiento: un primer bloque al que pertenecen varias organizaciones que se referencian dentro de lo que denominan ellos mismos </w:t>
      </w:r>
      <w:r>
        <w:rPr>
          <w:rFonts w:ascii="Times New Roman" w:eastAsia="Times New Roman" w:hAnsi="Times New Roman" w:cs="Times New Roman"/>
          <w:i/>
          <w:iCs/>
        </w:rPr>
        <w:t>campo nacional-popular</w:t>
      </w:r>
      <w:r>
        <w:rPr>
          <w:rFonts w:ascii="Times New Roman" w:eastAsia="Times New Roman" w:hAnsi="Times New Roman" w:cs="Times New Roman"/>
        </w:rPr>
        <w:t xml:space="preserve"> e incluye organizaciones peronistas, kirchneristas y/o de izquierda, nucleadas mayoritariamente en la Federación Universitaria de La Plata; otro actor con peso en la universidad es la Franja Morada, históricamente alineada a la UCR y al gobierno de la UNLP, con una fuerte inserción y una presencia importante en la mayoría de las facultades; y un tercer grupo con menor peso (ya no bloque, dado que no actúa como tal) de organizaciones independientes o de izquierda, que suelen tener inserción significativa en una sola facultad y no tienen puntos político-ideológicos en común entre sí. La coalición de gobierno actual de la universidad reúne a la amplia mayoría de sus actores políticos integrándolos en una amplia estructura de gestión dependiente del nivel central, que adopta una dirección radial que gravita en torno a la figura del presidente y su equipo (Atairo, 2014). Los dos bloques mayoritarios estudiantiles forman parte de este esquema, aunque con momentos de incorporación distintos, y articulan, dialogan y negocian directamente con autoridades y funcionarios en un clima que los/as militantes entrevistados/as refieren como de </w:t>
      </w:r>
      <w:r>
        <w:rPr>
          <w:rFonts w:ascii="Times New Roman" w:eastAsia="Times New Roman" w:hAnsi="Times New Roman" w:cs="Times New Roman"/>
          <w:i/>
          <w:iCs/>
        </w:rPr>
        <w:t>consenso</w:t>
      </w:r>
      <w:r>
        <w:rPr>
          <w:rFonts w:ascii="Times New Roman" w:eastAsia="Times New Roman" w:hAnsi="Times New Roman" w:cs="Times New Roman"/>
        </w:rPr>
        <w:t xml:space="preserve">, generado por una adhesión a un modelo o proyecto de universidad común, que estructura tanto las orientaciones compartidas como </w:t>
      </w:r>
      <w:r>
        <w:rPr>
          <w:rFonts w:ascii="Times New Roman" w:eastAsia="Times New Roman" w:hAnsi="Times New Roman" w:cs="Times New Roman"/>
        </w:rPr>
        <w:lastRenderedPageBreak/>
        <w:t xml:space="preserve">la forma en que se procesan los intereses estudiantiles aún hasta para militantes de dos organizaciones que se han incorporado recientemente a la coalición gobernante: </w:t>
      </w:r>
    </w:p>
    <w:p w14:paraId="516D0ABE"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“la universidad tiene una postura muy vinculada a esto que te decía de la generación de consensos (...) hay como una serie de principios que sostienen la universidad en las que todo el mundo se siente contenido. Me parece que es algo que es muy valorable porque, digamos, son elementos de los que todos nos hacemos carne y por eso defendemos a la universidad y por eso somos parte también de este proyecto de universidad (...) existe un proyecto de universidad que nos contiene políticamente y en ese término estamos también de ser parte, simplemente aportar a ese proceso de transformación en la que estamos con mucho gusto.” (Entrevistada #8, UNLP, 23/6/2023)</w:t>
      </w:r>
    </w:p>
    <w:p w14:paraId="5F41F16A"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“hay una </w:t>
      </w:r>
      <w:r>
        <w:rPr>
          <w:rFonts w:ascii="Times New Roman" w:eastAsia="Times New Roman" w:hAnsi="Times New Roman" w:cs="Times New Roman"/>
          <w:i/>
          <w:iCs/>
        </w:rPr>
        <w:t>armonía</w:t>
      </w:r>
      <w:r>
        <w:rPr>
          <w:rFonts w:ascii="Times New Roman" w:eastAsia="Times New Roman" w:hAnsi="Times New Roman" w:cs="Times New Roman"/>
        </w:rPr>
        <w:t xml:space="preserve"> entre el espectro político en la Universidad de la Plata que tiene mucho que ver con la gestión también que hay de la universidad, que contiene dentro de la gestión a todo el arco político y eso le genera mejores situaciones para poder ir concediendo o ir forcejeando en relación hacia dónde se destina los recursos de la Universidad. Creo que si vos comparás la Universidad de la Plata con otras universidades, efectivamente estamos mejor, digo, en relación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digo, desde el punto de vista de los derechos estudiantiles” (Entrevistado #16, UNLP, 6/9/2023)</w:t>
      </w:r>
    </w:p>
    <w:p w14:paraId="7FD759E7"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En contrapunto con un pasado reciente de confrontación del movimiento estudiantil platense con las gestiones de la universidad, actualmente la articulación con funcionarios del nivel central es un punto en común de los bloques mayoritarios estudiantiles, más allá de que a su interior condensan un espectro político amplio y heterogéneo. Un militante de una agrupación históricamente ligada al gobierno de la universidad narra este proceso vinculándolo al sucesivo cumplimiento de demandas estudiantiles por parte de la gestión de la UNLP:</w:t>
      </w:r>
    </w:p>
    <w:p w14:paraId="03A0F06D"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“La universidad en vez de ponerse en contra de los estudiantes se los puso a favor, dándole lo que los estudiantes estaban reclamando. Dándoles el albergue, dándoles el comedor, mejorando la calidad de todos los servicios, ampliando la cantidad de becas (...) esa transformación que sufre la universidad, en un plazo de 10, 15 años, hace que uno como organización estudiantil, como gremio, se le dificulte la tarea. Porque si tu objetivo es salir a la calle a protestar porque no tenés albergue, cuando tengas el albergue... ¿Y ahora por qué protesto? Es un poco lo que creo que </w:t>
      </w:r>
      <w:proofErr w:type="gramStart"/>
      <w:r>
        <w:rPr>
          <w:rFonts w:ascii="Times New Roman" w:eastAsia="Times New Roman" w:hAnsi="Times New Roman" w:cs="Times New Roman"/>
        </w:rPr>
        <w:t>le</w:t>
      </w:r>
      <w:proofErr w:type="gramEnd"/>
      <w:r>
        <w:rPr>
          <w:rFonts w:ascii="Times New Roman" w:eastAsia="Times New Roman" w:hAnsi="Times New Roman" w:cs="Times New Roman"/>
        </w:rPr>
        <w:t xml:space="preserve"> pasó a muchas organizaciones políticas” (Entrevistado #7, UNLP, 23/6/2023)</w:t>
      </w:r>
    </w:p>
    <w:p w14:paraId="503442AA"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Sin embargo, también puede observarse como algunos militantes marcan limitaciones de esta </w:t>
      </w:r>
      <w:r>
        <w:rPr>
          <w:rFonts w:ascii="Times New Roman" w:eastAsia="Times New Roman" w:hAnsi="Times New Roman" w:cs="Times New Roman"/>
          <w:i/>
          <w:iCs/>
        </w:rPr>
        <w:t>adhesión</w:t>
      </w:r>
      <w:r>
        <w:rPr>
          <w:rFonts w:ascii="Times New Roman" w:eastAsia="Times New Roman" w:hAnsi="Times New Roman" w:cs="Times New Roman"/>
        </w:rPr>
        <w:t xml:space="preserve"> al consenso común. El mismo entrevistado que refería a la </w:t>
      </w:r>
      <w:r>
        <w:rPr>
          <w:rFonts w:ascii="Times New Roman" w:eastAsia="Times New Roman" w:hAnsi="Times New Roman" w:cs="Times New Roman"/>
          <w:i/>
          <w:iCs/>
        </w:rPr>
        <w:t xml:space="preserve">armonía </w:t>
      </w:r>
      <w:r>
        <w:rPr>
          <w:rFonts w:ascii="Times New Roman" w:eastAsia="Times New Roman" w:hAnsi="Times New Roman" w:cs="Times New Roman"/>
        </w:rPr>
        <w:t xml:space="preserve">de la </w:t>
      </w:r>
      <w:r>
        <w:rPr>
          <w:rFonts w:ascii="Times New Roman" w:eastAsia="Times New Roman" w:hAnsi="Times New Roman" w:cs="Times New Roman"/>
        </w:rPr>
        <w:lastRenderedPageBreak/>
        <w:t>universidad luego realiza una autocrítica sobre los límites autoimpuestos de su grupo político para no “romper” el equilibrio político interno:</w:t>
      </w:r>
    </w:p>
    <w:p w14:paraId="7FEE4F04"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"Es muy medido hasta dónde se empuja una iniciativa, porque tiene mucho que ver en cómo no generar rispideces con las relaciones políticas que hay dentro de la universidad y cómo hay un límite desde la gestión alrededor de la conciliación entre las agrupaciones y las propias gestiones (...) el costo político de alterar ese equilibrio tiene que ver con no ir a fondo con algunas cuestiones." (Entrevistado #16, UNLP, 6/9/2023)</w:t>
      </w:r>
    </w:p>
    <w:p w14:paraId="745A55CB" w14:textId="77777777" w:rsidR="00716881" w:rsidRDefault="00716881">
      <w:pPr>
        <w:spacing w:after="120" w:line="276" w:lineRule="auto"/>
        <w:ind w:left="708"/>
        <w:jc w:val="both"/>
        <w:rPr>
          <w:rFonts w:ascii="Times New Roman" w:eastAsia="Times New Roman" w:hAnsi="Times New Roman" w:cs="Times New Roman"/>
        </w:rPr>
      </w:pPr>
    </w:p>
    <w:p w14:paraId="489A4B00" w14:textId="5D66D62F"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Pasando a la U</w:t>
      </w:r>
      <w:r w:rsidR="00C33CC9">
        <w:rPr>
          <w:rFonts w:ascii="Times New Roman" w:eastAsia="Times New Roman" w:hAnsi="Times New Roman" w:cs="Times New Roman"/>
        </w:rPr>
        <w:t>niversidad Nacional de General Sarmiento,</w:t>
      </w:r>
      <w:r>
        <w:rPr>
          <w:rFonts w:ascii="Times New Roman" w:eastAsia="Times New Roman" w:hAnsi="Times New Roman" w:cs="Times New Roman"/>
        </w:rPr>
        <w:t xml:space="preserve"> tenemos una universidad chica en tamaño en tanto la matrícula alcanza los 20.000 estudiantes. Esta institución fue creada en el marco de las reformas de 1990 y presenta un diseño institucional organizado por institutos con un alto grado </w:t>
      </w:r>
      <w:proofErr w:type="gramStart"/>
      <w:r>
        <w:rPr>
          <w:rFonts w:ascii="Times New Roman" w:eastAsia="Times New Roman" w:hAnsi="Times New Roman" w:cs="Times New Roman"/>
        </w:rPr>
        <w:t>de  concentración</w:t>
      </w:r>
      <w:proofErr w:type="gramEnd"/>
      <w:r>
        <w:rPr>
          <w:rFonts w:ascii="Times New Roman" w:eastAsia="Times New Roman" w:hAnsi="Times New Roman" w:cs="Times New Roman"/>
        </w:rPr>
        <w:t xml:space="preserve">  de las funciones en el nivel central. En el espectro de organizaciones políticas que componen el Consejo Superior en el periodo seleccionado, se pueden distinguir en rasgos generales tres grandes grupos: uno lo constituye un bloque peronista que conduce en conjunto el Centro de Estudiantes, un segundo bloque compuesto por organizaciones de izquierda trotskistas, y un tercer grupo con menor peso y una impronta independiente</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que incluye dos agrupaciones de distinto tipo y sin vinculaciones entre sí, que comparten tener inserciones e intereses puntuales vinculados a los institutos y a las carreras a las que pertenecen. </w:t>
      </w:r>
    </w:p>
    <w:p w14:paraId="623C1B63"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El diseño institucional de la universidad fue reformado recientemente incorporando el mecanismo de elección directa de autoridades y ampliando la composición del Consejo Superior, el estudiantil pasó del 18% al 23% de la representación, y además aumentó la proporción de los claustros minoritarios. Esta y otras iniciativas recientes como el Presupuesto participativo,</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marcan una orientación democratizadora en la toma de decisiones dentro de la universidad. La militancia estudiantil tiene una </w:t>
      </w:r>
      <w:proofErr w:type="gramStart"/>
      <w:r>
        <w:rPr>
          <w:rFonts w:ascii="Times New Roman" w:eastAsia="Times New Roman" w:hAnsi="Times New Roman" w:cs="Times New Roman"/>
        </w:rPr>
        <w:t>participación activa</w:t>
      </w:r>
      <w:proofErr w:type="gramEnd"/>
      <w:r>
        <w:rPr>
          <w:rFonts w:ascii="Times New Roman" w:eastAsia="Times New Roman" w:hAnsi="Times New Roman" w:cs="Times New Roman"/>
        </w:rPr>
        <w:t xml:space="preserve"> en estas instancias para introducir parte de sus propuestas, aunque es mayor la adhesión y participación de las agrupaciones que tienen mayor afinidad y vinculación con la conducción que gestiona la universidad. Es así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se puede observar una participación general de las agrupaciones en las distintas instancias que la institución habilita que se traduce, por ejemplo, en que todos/as los/as militantes entrevistados/as recuperen proyectos que han presentado en la instancia de Presupuesto Participativo, aunque </w:t>
      </w:r>
      <w:r>
        <w:rPr>
          <w:rFonts w:ascii="Times New Roman" w:eastAsia="Times New Roman" w:hAnsi="Times New Roman" w:cs="Times New Roman"/>
        </w:rPr>
        <w:lastRenderedPageBreak/>
        <w:t xml:space="preserve">marquen críticas en ciertos aspectos de su funcionamiento y limitantes en lo que refiere a su implementación. </w:t>
      </w:r>
    </w:p>
    <w:p w14:paraId="36F37D6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lo que refiere al Consejo Superior, órgano de gobierno en que tanto las mayorías como las minorías estudiantiles de cada instituto tienen representación, constituye un espacio al que los/as militantes apuestan para viabilizar ciertas demandas o discusiones. Es un espacio al que se le da importancia, en el que, en particular varios/as militantes resaltan que se necesita una amplia disponibilidad, disposición y conocimientos que no siempre son fácilmente incorporados por quienes ocupan esos espacios desde el claustro estudiantil:  </w:t>
      </w:r>
    </w:p>
    <w:p w14:paraId="361DD8F7"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"El Consejo Superior es muchísima rosca, o sea, es muchísima rosca si vos te lo tomás en serio (...) las participaciones en cada una de las comisiones implicaba semanas de preparación, o sea, saber cuál, o sea, primero que tenés que saber bien el estatuto, tenés que saber los reglamentos, tenés que saber cada una de las cosas que se van a discutir (...) tenés que articular con los espacios de oposición (...) Obviamente si vos estás metido en las ideas, re interesante, está buenísimo, pero te quema el cerebro, o sea, tenés que abocarte a eso como al 100%." (Entrevistada #28, UNGS, 25/7/2023)</w:t>
      </w:r>
    </w:p>
    <w:p w14:paraId="321956B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Así, los/as militantes señalan como una dificultad la exigencia que les requiere sostener su presencia en los múltiples espacios, frente a las dificultades materiales y la disponibilidad de tiempo que esa participación demanda. Frente a este escenario buscan mediante propuestas mejorar las condiciones para </w:t>
      </w:r>
      <w:r>
        <w:rPr>
          <w:rFonts w:ascii="Times New Roman" w:eastAsia="Times New Roman" w:hAnsi="Times New Roman" w:cs="Times New Roman"/>
          <w:i/>
          <w:iCs/>
        </w:rPr>
        <w:t>sostener</w:t>
      </w:r>
      <w:r>
        <w:rPr>
          <w:rFonts w:ascii="Times New Roman" w:eastAsia="Times New Roman" w:hAnsi="Times New Roman" w:cs="Times New Roman"/>
        </w:rPr>
        <w:t xml:space="preserve"> su participación en los espacios formales de representación: una de ellas ha sido pasar la sesión del pleno del Consejo Superior a los sábados, en articulación con representantes del claustro de graduados, que ha sido mencionada en las entrevistas por militantes de espacios políticos muy distintos, con o sin afinidad a la gestión, quienes coincidieron en señalar que el horario vigente coincidía con su jornada laboral y dificultaba la asistencia presencial a las sesiones. Otra iniciativa consistió en ofrecer viáticos para los/as consejeros/as superiores/as del claustro estudiantil. Al respecto afirmaban:</w:t>
      </w:r>
    </w:p>
    <w:p w14:paraId="111FB1C6"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“porque lo que sucede dentro del Consejo Superior es que todos son trabajadores o perciben algún salario por la universidad, menos los graduados y los estudiantes. Entonces, para </w:t>
      </w:r>
      <w:r>
        <w:rPr>
          <w:rFonts w:ascii="Times New Roman" w:eastAsia="Times New Roman" w:hAnsi="Times New Roman" w:cs="Times New Roman"/>
          <w:i/>
          <w:iCs/>
        </w:rPr>
        <w:t>sostener la participación</w:t>
      </w:r>
      <w:r>
        <w:rPr>
          <w:rFonts w:ascii="Times New Roman" w:eastAsia="Times New Roman" w:hAnsi="Times New Roman" w:cs="Times New Roman"/>
        </w:rPr>
        <w:t xml:space="preserve"> dentro de los órganos de co-gobierno (…). Lo que decimos no es, ‘bueno, hay que pagarles por militar’, sino sostener lo mínimo que sería el boleto para llegar acá, pero ahora con el boleto estudiantil ya es más sencillo esa parte. (...) Si vos vivís acá una hora, no llegás, o sea, comés y venís corriendo (...) te consumen horas y lo que sucede es que esos compañeros no dejan de trabajar. Por eso el que termina militando es el que tiene plata básicamente o el que tiene más resueltas ciertas situaciones” (Entrevistada #26, UNGS, 21/7/2023)</w:t>
      </w:r>
    </w:p>
    <w:p w14:paraId="07F3BADF"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lastRenderedPageBreak/>
        <w:t>“Yo en mi pareja era la que me ocupaba de la nena (...). No podía agarrar y pagar una niñera para ir a la universidad a hacer la reunión del consejo. Tengo que gastar plata para poder participar (...) Siempre es: ‘¿por qué los varones participan más?’ Porque existe esa realidad.” (Entrevistada #30, UNGS, 7/9/2023)</w:t>
      </w:r>
    </w:p>
    <w:p w14:paraId="501E157C" w14:textId="77777777" w:rsidR="00C33CC9" w:rsidRDefault="00C33CC9">
      <w:pPr>
        <w:spacing w:after="120" w:line="276" w:lineRule="auto"/>
        <w:ind w:left="708"/>
        <w:jc w:val="both"/>
        <w:rPr>
          <w:rFonts w:ascii="Times New Roman" w:eastAsia="Times New Roman" w:hAnsi="Times New Roman" w:cs="Times New Roman"/>
        </w:rPr>
      </w:pPr>
    </w:p>
    <w:p w14:paraId="2C54AA7F" w14:textId="7011DAB8" w:rsidR="00716881" w:rsidRDefault="00C33CC9">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La</w:t>
      </w:r>
      <w:r w:rsidR="00000000">
        <w:rPr>
          <w:rFonts w:ascii="Times New Roman" w:eastAsia="Times New Roman" w:hAnsi="Times New Roman" w:cs="Times New Roman"/>
        </w:rPr>
        <w:t xml:space="preserve"> Universidad Nacional Arturo Jauretche (UNAJ) es la universidad más nueva, pero mediana en tanto desde sus inicios la matrícula ha aumentado sustantivamente y supera actualmente los 30.000 estudiantes. Fue inaugurada en 2010 en Florencio Varela, en el marco de una nueva ola de creación de universidades en un contexto de recomposición de las funciones del Estado, y de jerarquización de las políticas educativas universitarias y del sistema científico y tecnológico. Cuenta con una estructura de gestión más chica y centralizada que las otras universidades y su Consejo Superior cuenta con 17 representantes en total de los cuales 3 son estudiantes (que equivale al 17,6%). Las agrupaciones estudiantiles con representación en el Consejo Superior de la universidad en el período relevado son tres: una peronista que tiene la mayoría y la conducción de la Federación estudiantil, otra vinculada al peronismo y una vinculada al radicalismo, estas dos últimas opositoras a la gestión de la universidad en contraposición a la primera.</w:t>
      </w:r>
    </w:p>
    <w:p w14:paraId="471D876E"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El margen que estas agrupaciones tienen para introducir temas en la agenda institucional desde el claustro estudiantil pareciera menor que en las otras dos universidades. En general los/as militantes entrevistados/as señalan que la relación con el equipo de gestión es un factor importante que determina la viabilidad de encauzar demandas, e independientemente de la proximidad de las organizaciones tengan, las mismas buscan generar instancias de interlocución, buscando integrarse a la lógica que la institución habilita. Esto es más notorio al recuperar algunos relatos de militantes de las organizaciones opositoras a la gestión, con mayores y menores niveles de crítica:</w:t>
      </w:r>
    </w:p>
    <w:p w14:paraId="52E150C4"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“La realidad es que los </w:t>
      </w:r>
      <w:r>
        <w:rPr>
          <w:rFonts w:ascii="Times New Roman" w:eastAsia="Times New Roman" w:hAnsi="Times New Roman" w:cs="Times New Roman"/>
          <w:i/>
          <w:iCs/>
        </w:rPr>
        <w:t>(proyectos)</w:t>
      </w:r>
      <w:r>
        <w:rPr>
          <w:rFonts w:ascii="Times New Roman" w:eastAsia="Times New Roman" w:hAnsi="Times New Roman" w:cs="Times New Roman"/>
        </w:rPr>
        <w:t xml:space="preserve"> del claustro de estudiantes no suelen pasar. (…) Entonces quizás lo que sí se termina haciendo es… llegan al Consejo Superior las demandas, pero sin proyecto (…). Eso también, digo, fue una lucha en su momento, porque cuando asumió esta nueva gestión era difícil que hablemos, si no estaba </w:t>
      </w:r>
      <w:r>
        <w:rPr>
          <w:rFonts w:ascii="Times New Roman" w:eastAsia="Times New Roman" w:hAnsi="Times New Roman" w:cs="Times New Roman"/>
          <w:i/>
          <w:iCs/>
        </w:rPr>
        <w:t>(el tema)</w:t>
      </w:r>
      <w:r>
        <w:rPr>
          <w:rFonts w:ascii="Times New Roman" w:eastAsia="Times New Roman" w:hAnsi="Times New Roman" w:cs="Times New Roman"/>
        </w:rPr>
        <w:t xml:space="preserve">, si no era parte de la orden del día. Que era algo que no nos pasaba con la anterior gestión (…). </w:t>
      </w:r>
    </w:p>
    <w:p w14:paraId="28E445D2"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Ahora hablamos. Digo, aunque no sea parte de la orden del día, es como ‘bueno, voy a hablar porque tengo tal cosa para decir y porque me corresponde porque hay un reglamento que dice que puedo’. Yo fui elegida para decir lo que quiera ahí.” (Entrevistada #36, UNAJ, 25/10/2023)</w:t>
      </w:r>
    </w:p>
    <w:p w14:paraId="5857623A" w14:textId="77777777" w:rsidR="00716881" w:rsidRDefault="00000000">
      <w:pPr>
        <w:spacing w:after="120" w:line="276" w:lineRule="auto"/>
        <w:ind w:left="708"/>
        <w:jc w:val="both"/>
        <w:rPr>
          <w:rFonts w:ascii="Times New Roman" w:eastAsia="Times New Roman" w:hAnsi="Times New Roman" w:cs="Times New Roman"/>
          <w:highlight w:val="green"/>
        </w:rPr>
      </w:pPr>
      <w:r>
        <w:rPr>
          <w:rFonts w:ascii="Times New Roman" w:eastAsia="Times New Roman" w:hAnsi="Times New Roman" w:cs="Times New Roman"/>
        </w:rPr>
        <w:t xml:space="preserve">“Nuestra postura contra la gestión o con respecto a la gestión, mejor dicho, ha sido de oposición en todo este tiempo. Pero una oposición constructiva, de acompañar </w:t>
      </w:r>
      <w:r>
        <w:rPr>
          <w:rFonts w:ascii="Times New Roman" w:eastAsia="Times New Roman" w:hAnsi="Times New Roman" w:cs="Times New Roman"/>
        </w:rPr>
        <w:lastRenderedPageBreak/>
        <w:t>lo que se hacía bien y de criticar lo que nosotros entendíamos que se estaba haciendo mal. Entonces, a mí lo que me interesa como militante, pero principalmente pensándolo colectivamente, es que lo que tiene que ver con el avance y la construcción de un mejor lugar” (Entrevistado #42, UNAJ, 29/11/2023)</w:t>
      </w:r>
    </w:p>
    <w:p w14:paraId="2B603C37"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Por último, nos interesa marcar una cuestión observada de forma transversal en las tres universidades: cómo las políticas de recorte presupuestario y de ataque a las universidades públicas durante el macrismo constituyó cierto punto de inflexión, en el cual la bandera de la defensa de la universidad pública generó marcos de unidad e iniciativas conjuntas en las universidades. Para algunos/as militantes constituyó una novedad en tanto los marcos de articulación las gestiones, así con los representantes de otros claustros, eran pocos:</w:t>
      </w:r>
    </w:p>
    <w:p w14:paraId="25F2C819"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“una situación que, durante mi primer periodo en la universidad era completamente irrisoria, que era encontrarte marchando con un decano, durante el macrismo era común (...) durante los años anteriores jamás lo hubiera pensado porque el decano era la persona a la que le seguías exigiendo más derechos, entonces creo que con el cambio de la etapa política cambió también esa esa cercanía con otros actores en la universidad.” (Entrevistada #19, UNLP, 9/9/2023)</w:t>
      </w:r>
    </w:p>
    <w:p w14:paraId="6DF330CF"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Para una militante estudiantil de la UNAJ, con afinidad política con la gestión de la universidad y con otros gremios docentes, los ataques y los recortes que sufría la universidad constituyeron una causa de mayor encuentro entre actores: </w:t>
      </w:r>
    </w:p>
    <w:p w14:paraId="25A46B37"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“siempre tratamos de llevar todo a través del diálogo, pero por lo general trabajamos muy en conjunto tanto con el gremio docente. Obviamente siempre primando por los derechos de los estudiantes que a veces se contraponen, ¿no? Con los docentes y con los no docentes. Pero por lo general siempre estamos trabajando en conjunto, porque yo creo que lo del </w:t>
      </w:r>
      <w:r>
        <w:rPr>
          <w:rFonts w:ascii="Times New Roman" w:eastAsia="Times New Roman" w:hAnsi="Times New Roman" w:cs="Times New Roman"/>
          <w:i/>
          <w:iCs/>
        </w:rPr>
        <w:t>Abrazo</w:t>
      </w:r>
      <w:r>
        <w:rPr>
          <w:rFonts w:ascii="Times New Roman" w:eastAsia="Times New Roman" w:hAnsi="Times New Roman" w:cs="Times New Roman"/>
          <w:i/>
          <w:iCs/>
          <w:vertAlign w:val="superscript"/>
        </w:rPr>
        <w:footnoteReference w:id="4"/>
      </w:r>
      <w:r>
        <w:rPr>
          <w:rFonts w:ascii="Times New Roman" w:eastAsia="Times New Roman" w:hAnsi="Times New Roman" w:cs="Times New Roman"/>
        </w:rPr>
        <w:t xml:space="preserve"> y lo de la crisis nos unió aún más. Pero nosotros somos… la universidad la consideramos como una gran comunidad y me parece que si todos tiramos para el mismo lado se pueden construir mejor las cosas” (Entrevistada #39, UNAJ, 31/10/2023)</w:t>
      </w:r>
    </w:p>
    <w:p w14:paraId="2FB1D3C1"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Muchas de las prácticas recuperadas adquieren sentido para los/as estudiantes militantes en la medida en que buscan </w:t>
      </w:r>
      <w:r>
        <w:rPr>
          <w:rFonts w:ascii="Times New Roman" w:eastAsia="Times New Roman" w:hAnsi="Times New Roman" w:cs="Times New Roman"/>
          <w:i/>
          <w:iCs/>
        </w:rPr>
        <w:t>sostener</w:t>
      </w:r>
      <w:r>
        <w:rPr>
          <w:rFonts w:ascii="Times New Roman" w:eastAsia="Times New Roman" w:hAnsi="Times New Roman" w:cs="Times New Roman"/>
        </w:rPr>
        <w:t xml:space="preserve"> ciertas condiciones en las instituciones en un contexto que caracterizan de </w:t>
      </w:r>
      <w:r>
        <w:rPr>
          <w:rFonts w:ascii="Times New Roman" w:eastAsia="Times New Roman" w:hAnsi="Times New Roman" w:cs="Times New Roman"/>
          <w:i/>
          <w:iCs/>
        </w:rPr>
        <w:t>crisis</w:t>
      </w:r>
      <w:r>
        <w:rPr>
          <w:rFonts w:ascii="Times New Roman" w:eastAsia="Times New Roman" w:hAnsi="Times New Roman" w:cs="Times New Roman"/>
        </w:rPr>
        <w:t>, enmarcando sus acciones en una orientación compartida con otros actores de la comunidad universitaria, tal cual marca una entrevistada de una organización con oposición a la gestión de su universidad:</w:t>
      </w:r>
    </w:p>
    <w:p w14:paraId="5415647C"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lastRenderedPageBreak/>
        <w:t>“lo que veo es que las demandas estudiantiles digo, en el periodo anterior del rector anterior eran escuchadas y obviamente había ciertos límites de poder quizás concretarlas por una cuestión de que estábamos pasando cuatro años de desfinanciamiento en la universidad, y más allá de eso yo realmente destaco la cantidad de cosas que hizo la gestión anterior para sostener la universidad, ¿no? Y para más allá de todo lo que sucedió digo, generar desde de la propia universidad, lazos con diferentes actores políticos ya ajenos a la universidad, digo exteriores para sostenerla y demás” (Entrevistada #36, UNAJ, 25/10/2023)</w:t>
      </w:r>
    </w:p>
    <w:p w14:paraId="53BCCCED"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Puede observarse que varios/as militantes perciben una suerte de acuerdos comunes que surgen del período en el cual el antagonismo con el gobierno nacional logró aglutinar a los/as distintos actores universitarios/as bajo la bandera de la defensa de la universidad pública. La identidad de “comunidad universitaria”, o de “comunidad educativa” con una serie de demandas comunes y articulación con otras luchas sectoriales (Maraschio, 2019) repercutió, entonces en cómo los/as militantes estudiantiles piensan sus marcos de acción dentro de las universidades públicas:</w:t>
      </w:r>
    </w:p>
    <w:p w14:paraId="0D0E7ECF"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“la universidad se compone de los docentes, de los no docentes y de los estudiantes, esa es la comunidad educativa, y me parece que hay muchos puntos de acuerdo en poder trabajar demandas específicas de cada uno de los claustros (...) nos parece que está en juego lo público de la universidad y que es algo que hay que defender.” (Entrevistado #13, UNLP, 5/9/2023)</w:t>
      </w:r>
    </w:p>
    <w:p w14:paraId="00239575" w14:textId="77777777" w:rsidR="00716881" w:rsidRDefault="00716881">
      <w:pPr>
        <w:spacing w:after="120" w:line="276" w:lineRule="auto"/>
        <w:jc w:val="both"/>
        <w:rPr>
          <w:rFonts w:ascii="Times New Roman" w:eastAsia="Times New Roman" w:hAnsi="Times New Roman" w:cs="Times New Roman"/>
        </w:rPr>
      </w:pPr>
    </w:p>
    <w:p w14:paraId="70295D34" w14:textId="77777777" w:rsidR="00716881"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De la demanda a la gestión. </w:t>
      </w:r>
      <w:r>
        <w:rPr>
          <w:rFonts w:ascii="Times New Roman" w:eastAsia="Times New Roman" w:hAnsi="Times New Roman" w:cs="Times New Roman"/>
          <w:b/>
          <w:bCs/>
          <w:i/>
          <w:iCs/>
        </w:rPr>
        <w:t>Resolver</w:t>
      </w:r>
      <w:r>
        <w:rPr>
          <w:rFonts w:ascii="Times New Roman" w:eastAsia="Times New Roman" w:hAnsi="Times New Roman" w:cs="Times New Roman"/>
          <w:b/>
          <w:bCs/>
        </w:rPr>
        <w:t xml:space="preserve"> y </w:t>
      </w:r>
      <w:r>
        <w:rPr>
          <w:rFonts w:ascii="Times New Roman" w:eastAsia="Times New Roman" w:hAnsi="Times New Roman" w:cs="Times New Roman"/>
          <w:b/>
          <w:bCs/>
          <w:i/>
          <w:iCs/>
        </w:rPr>
        <w:t>sostener</w:t>
      </w:r>
      <w:r>
        <w:rPr>
          <w:rFonts w:ascii="Times New Roman" w:eastAsia="Times New Roman" w:hAnsi="Times New Roman" w:cs="Times New Roman"/>
          <w:b/>
          <w:bCs/>
        </w:rPr>
        <w:t xml:space="preserve"> como orientaciones comunes en las prácticas de militantes universitarios/as</w:t>
      </w:r>
    </w:p>
    <w:p w14:paraId="7DE97A77"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Anteriormente señalamos cómo los/as militantes estudiantiles despliegan repertorios de acción a partir de las lógicas planteadas en cada universidad sin pretender modificarlas, que varían según el lugar que cada organización ocupa en el mapa político institucional. En este segundo apartado se hace referencia a prácticas que adoptan los/as militantes para viabilizar aquello que </w:t>
      </w:r>
      <w:r>
        <w:rPr>
          <w:rFonts w:ascii="Times New Roman" w:eastAsia="Times New Roman" w:hAnsi="Times New Roman" w:cs="Times New Roman"/>
          <w:i/>
          <w:iCs/>
        </w:rPr>
        <w:t>no se tramita</w:t>
      </w:r>
      <w:r>
        <w:rPr>
          <w:rFonts w:ascii="Times New Roman" w:eastAsia="Times New Roman" w:hAnsi="Times New Roman" w:cs="Times New Roman"/>
        </w:rPr>
        <w:t xml:space="preserve"> mediante esas reglas del juego y que se encauza en una nueva orientación común, centrada en la resolución de problemas o la exigencia de una “buena gestión”, que surge con un discurso enmarcado en la comprensión de las universidades en un período de crisis, lo que sugiere una reconfiguración en las formas de hacer política de la militancia estudiantil. Pasa a trabajarse en un marco propositivo en pos de </w:t>
      </w:r>
      <w:r>
        <w:rPr>
          <w:rFonts w:ascii="Times New Roman" w:eastAsia="Times New Roman" w:hAnsi="Times New Roman" w:cs="Times New Roman"/>
          <w:i/>
          <w:iCs/>
        </w:rPr>
        <w:t xml:space="preserve">gestionar </w:t>
      </w:r>
      <w:r>
        <w:rPr>
          <w:rFonts w:ascii="Times New Roman" w:eastAsia="Times New Roman" w:hAnsi="Times New Roman" w:cs="Times New Roman"/>
        </w:rPr>
        <w:t xml:space="preserve">o </w:t>
      </w:r>
      <w:r>
        <w:rPr>
          <w:rFonts w:ascii="Times New Roman" w:eastAsia="Times New Roman" w:hAnsi="Times New Roman" w:cs="Times New Roman"/>
          <w:i/>
          <w:iCs/>
        </w:rPr>
        <w:t xml:space="preserve">resolver </w:t>
      </w:r>
      <w:r>
        <w:rPr>
          <w:rFonts w:ascii="Times New Roman" w:eastAsia="Times New Roman" w:hAnsi="Times New Roman" w:cs="Times New Roman"/>
        </w:rPr>
        <w:t xml:space="preserve">los problemas que no ingresan a la agenda institucional desde las propias organizaciones estudiantiles. Este desplazamiento no adopta las mismas formas en cada universidad, pero actualmente parece haberse convertido en una práctica común, priorizada y perfeccionada, y que se traduce en responder a las consultas y a los problemas, ocuparse de lo que le acontece a los/as estudiantes, facilitar y producir </w:t>
      </w:r>
      <w:r>
        <w:rPr>
          <w:rFonts w:ascii="Times New Roman" w:eastAsia="Times New Roman" w:hAnsi="Times New Roman" w:cs="Times New Roman"/>
        </w:rPr>
        <w:lastRenderedPageBreak/>
        <w:t xml:space="preserve">información, y generar </w:t>
      </w:r>
      <w:r>
        <w:rPr>
          <w:rFonts w:ascii="Times New Roman" w:eastAsia="Times New Roman" w:hAnsi="Times New Roman" w:cs="Times New Roman"/>
          <w:i/>
          <w:iCs/>
        </w:rPr>
        <w:t>avances</w:t>
      </w:r>
      <w:r>
        <w:rPr>
          <w:rFonts w:ascii="Times New Roman" w:eastAsia="Times New Roman" w:hAnsi="Times New Roman" w:cs="Times New Roman"/>
        </w:rPr>
        <w:t xml:space="preserve"> o </w:t>
      </w:r>
      <w:r>
        <w:rPr>
          <w:rFonts w:ascii="Times New Roman" w:eastAsia="Times New Roman" w:hAnsi="Times New Roman" w:cs="Times New Roman"/>
          <w:i/>
          <w:iCs/>
        </w:rPr>
        <w:t>logros</w:t>
      </w:r>
      <w:r>
        <w:rPr>
          <w:rFonts w:ascii="Times New Roman" w:eastAsia="Times New Roman" w:hAnsi="Times New Roman" w:cs="Times New Roman"/>
        </w:rPr>
        <w:t xml:space="preserve"> concretos. Un militante estudiantil de la UNLP relata:</w:t>
      </w:r>
    </w:p>
    <w:p w14:paraId="010C2916"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“A medida que fueron pasando los años, y sobre todo en el macrismo, sí empezamos a encontrarnos cada vez más con que las políticas pasaron a hacer un poco más de permanencia dentro de la universidad (…) también empezaron a quedar un poco de lado, digo, las diferencias (…) porque de repente era como, ‘bueno, hay que resolver esto’. Si no lo resolvemos, a nadie le importa de qué manera… ningún estudiante está pensando quién se lo resuelve, sino que evidentemente no se lo está resolviendo nadie.” (Entrevistado #14, UNLP, 6/9/2023)</w:t>
      </w:r>
    </w:p>
    <w:p w14:paraId="4A90DC3A"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Aunque los Centros de estudiantes, y a veces las Federaciones de estudiantes, tienen a su cargo en la mayoría de las universidades públicas servicios -como buffet/comedor, fotocopiadoras- que requieren de responsabilidades para la militancia estudiantil universitaria, se adicionan tareas de gestión de distinta índole que los/as militantes asumen para abordar un conjunto de demandas o problemas. Un militante de la UNLP lo señala con una lectura crítica al respecto, al nivel de las facultades:</w:t>
      </w:r>
    </w:p>
    <w:p w14:paraId="325D6F7E"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“Hoy lo de los servicios pasa centralmente por ahí. El Buffet, la fotocopiadora, el que tiene el mejor dispenser, o el acceso a la tarjeta Sube, o te cargan... Incluso se venden pasajes de micro en los centros de estudiantes. Cosa que históricamente les tendría que garantizar el Estado, pero que cada vez se pone en manos de los centros de estudiantes o las agrupaciones estudiantiles. (…) hay una situación donde las agrupaciones pasan a tener el rol, o cumplen el rol que tiene que cumplir la facultad (...) Es una </w:t>
      </w:r>
      <w:r>
        <w:rPr>
          <w:rFonts w:ascii="Times New Roman" w:eastAsia="Times New Roman" w:hAnsi="Times New Roman" w:cs="Times New Roman"/>
          <w:i/>
          <w:iCs/>
        </w:rPr>
        <w:t>facultad paralela</w:t>
      </w:r>
      <w:r>
        <w:rPr>
          <w:rFonts w:ascii="Times New Roman" w:eastAsia="Times New Roman" w:hAnsi="Times New Roman" w:cs="Times New Roman"/>
        </w:rPr>
        <w:t xml:space="preserve"> lo que empujan las agrupaciones.” (Entrevistado #16, UNLP, 6/9/2023)</w:t>
      </w:r>
    </w:p>
    <w:p w14:paraId="458B1295"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la UNLP, además, la mayoría de las fuerzas políticas que conforman la representación estudiantil mayoritaria, al formar parte de la coalición gobernante, ocupan lugares en la estructura de gestión del nivel central desde donde impulsan políticas que son de interés para las organizaciones estudiantiles. Esto genera además una dinámica específica de </w:t>
      </w:r>
      <w:r>
        <w:rPr>
          <w:rFonts w:ascii="Times New Roman" w:eastAsia="Times New Roman" w:hAnsi="Times New Roman" w:cs="Times New Roman"/>
          <w:i/>
          <w:iCs/>
        </w:rPr>
        <w:t>rendición de cuentas</w:t>
      </w:r>
      <w:r>
        <w:rPr>
          <w:rFonts w:ascii="Times New Roman" w:eastAsia="Times New Roman" w:hAnsi="Times New Roman" w:cs="Times New Roman"/>
        </w:rPr>
        <w:t xml:space="preserve"> entre organizaciones: cuando una medida depende de un área a cargo de otra organización política, se le exige su </w:t>
      </w:r>
      <w:r>
        <w:rPr>
          <w:rFonts w:ascii="Times New Roman" w:eastAsia="Times New Roman" w:hAnsi="Times New Roman" w:cs="Times New Roman"/>
          <w:i/>
          <w:iCs/>
        </w:rPr>
        <w:t>buena gestión</w:t>
      </w:r>
      <w:r>
        <w:rPr>
          <w:rFonts w:ascii="Times New Roman" w:eastAsia="Times New Roman" w:hAnsi="Times New Roman" w:cs="Times New Roman"/>
        </w:rPr>
        <w:t xml:space="preserve"> y </w:t>
      </w:r>
      <w:r>
        <w:rPr>
          <w:rFonts w:ascii="Times New Roman" w:eastAsia="Times New Roman" w:hAnsi="Times New Roman" w:cs="Times New Roman"/>
          <w:i/>
          <w:iCs/>
        </w:rPr>
        <w:t>buen funcionamiento</w:t>
      </w:r>
      <w:r>
        <w:rPr>
          <w:rFonts w:ascii="Times New Roman" w:eastAsia="Times New Roman" w:hAnsi="Times New Roman" w:cs="Times New Roman"/>
        </w:rPr>
        <w:t>:</w:t>
      </w:r>
    </w:p>
    <w:p w14:paraId="0354C7DB"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“las veces que le quisimos pedir presupuestos (...) distribución de presupuestos a </w:t>
      </w:r>
      <w:r>
        <w:rPr>
          <w:rFonts w:ascii="Times New Roman" w:eastAsia="Times New Roman" w:hAnsi="Times New Roman" w:cs="Times New Roman"/>
          <w:i/>
          <w:iCs/>
        </w:rPr>
        <w:t xml:space="preserve">(la Prosecretaría de…) </w:t>
      </w:r>
      <w:r>
        <w:rPr>
          <w:rFonts w:ascii="Times New Roman" w:eastAsia="Times New Roman" w:hAnsi="Times New Roman" w:cs="Times New Roman"/>
        </w:rPr>
        <w:t>“Bienestar Estudiantil” y nos dieron un Excel (...). Sabemos que Bienestar estudiantil está, digamos, comandado por la Franja Morada, pero es muy bajo el nivel, es terrible lo que sucede y además la plata que tienen, porque también está eso (...) el presupuesto es el mayor de toda la universidad.” (Entrevistada #10, UNLP, 29/6/2023)</w:t>
      </w:r>
    </w:p>
    <w:p w14:paraId="6683DB59"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las otras dos universidades las organizaciones estudiantiles, que no forman parte de la estructura de gestión, también asumen la provisión por cuenta propia de servicios, equipamiento o materiales, y muchas veces las iniciativas implican gestionar recursos y/o recaudar fondos. Este patrón es más pronunciado en la UNAJ que en la UNGS, y pareciera que a menor margen en la institución para encauzar o introducir temas en la agenda, mayor es la tendencia a intentar resolverlos por cuenta propia por sobre otras posibles acciones. </w:t>
      </w:r>
    </w:p>
    <w:p w14:paraId="6B82C76A"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“tanto en la mesa de la UES como en la mesa de Unidos (...) vas a encontrar préstamo de calculadora, préstamo de diccionario, préstamo de equipo de mate (...) cada centro de estudiantes y principalmente de la Federación tiene su beca de apuntes (...) hay un sistema que, si bien tiene que profundizarse, se esquematiza como un </w:t>
      </w:r>
      <w:r>
        <w:rPr>
          <w:rFonts w:ascii="Times New Roman" w:eastAsia="Times New Roman" w:hAnsi="Times New Roman" w:cs="Times New Roman"/>
          <w:i/>
          <w:iCs/>
        </w:rPr>
        <w:t>sistema de acompañamiento y de integración</w:t>
      </w:r>
      <w:r>
        <w:rPr>
          <w:rFonts w:ascii="Times New Roman" w:eastAsia="Times New Roman" w:hAnsi="Times New Roman" w:cs="Times New Roman"/>
        </w:rPr>
        <w:t xml:space="preserve">” (Entrevistado #42, UNAJ, 29/11/2023) </w:t>
      </w:r>
    </w:p>
    <w:p w14:paraId="13291570"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“muchos estudiantes se desmayaban porque no habían comido (...). Entonces empezamos entre los compañeros a decir: 'Bueno, ¿qué hacemos nosotros como el centro de estudiantes ante esta situación?' Porque claramente no somos un Estado (...) lo que se nos ocurrió en ese momento fue dar servicios gratuitos, que venimos sosteniendo hasta el día de hoy” (Entrevistada #39, UNAJ, 31/10/2023)</w:t>
      </w:r>
    </w:p>
    <w:p w14:paraId="2A281AC4"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En la UNGS se observa con menor profundidad esta tendencia, lo cual puede explicarse porque se habilita un mecanismo para la distribución de recursos en proyectos que pueden impulsar estudiantes en articulación con otros claustros. Sin embargo, también se observa esta lógica en algunas agrupaciones cuando los canales formales se muestran insuficientes. </w:t>
      </w:r>
    </w:p>
    <w:p w14:paraId="5F97AA11"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“nosotros creemos que tiene que salir por parte del Consejo Superior y por parte de la Fundación y por parte de los organismos institucionales de la universidad, un proyecto que permita tener un baño en el campus, que permita poner en forma las canchas, que permita comprar nuevos materiales. Nosotros, por ejemplo, este año pudimos articular una bolsa de pelotas y herramientas de educación física con la Municipalidad de Malvinas Argentinas y eso nosotros lo pudimos articular y traerlo para todo lo que es deporte en la universidad. Se lo donamos como parte del centro de estudiantes. Y eso es algo que no nos podemos hacer cargo nosotros.”</w:t>
      </w:r>
      <w:r>
        <w:rPr>
          <w:rFonts w:ascii="Times New Roman" w:eastAsia="Times New Roman" w:hAnsi="Times New Roman" w:cs="Times New Roman"/>
          <w:i/>
          <w:iCs/>
        </w:rPr>
        <w:t xml:space="preserve"> </w:t>
      </w:r>
      <w:r>
        <w:rPr>
          <w:rFonts w:ascii="Times New Roman" w:eastAsia="Times New Roman" w:hAnsi="Times New Roman" w:cs="Times New Roman"/>
        </w:rPr>
        <w:t>(Entrevistado #35, UNGS, 20/12/2023)</w:t>
      </w:r>
    </w:p>
    <w:p w14:paraId="58643859"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“Para nuestras propuestas siempre hay trabas, entonces también nosotros tratamos de traer todo solucionado: traemos la propuesta, traemos los fondos, traemos el consenso, todo junto (...) no vamos a vender humo presentando algo que no se va a hacer nunca.” (Entrevistado #32, UNGS, 14/9/2023)</w:t>
      </w:r>
    </w:p>
    <w:p w14:paraId="17D296EF" w14:textId="77777777" w:rsidR="00716881" w:rsidRDefault="00000000">
      <w:pPr>
        <w:spacing w:after="120" w:line="276" w:lineRule="auto"/>
        <w:jc w:val="both"/>
        <w:rPr>
          <w:rFonts w:ascii="Times New Roman" w:eastAsia="Times New Roman" w:hAnsi="Times New Roman" w:cs="Times New Roman"/>
          <w:highlight w:val="green"/>
        </w:rPr>
      </w:pPr>
      <w:r>
        <w:rPr>
          <w:rFonts w:ascii="Times New Roman" w:eastAsia="Times New Roman" w:hAnsi="Times New Roman" w:cs="Times New Roman"/>
        </w:rPr>
        <w:lastRenderedPageBreak/>
        <w:t xml:space="preserve">Por </w:t>
      </w:r>
      <w:proofErr w:type="gramStart"/>
      <w:r>
        <w:rPr>
          <w:rFonts w:ascii="Times New Roman" w:eastAsia="Times New Roman" w:hAnsi="Times New Roman" w:cs="Times New Roman"/>
        </w:rPr>
        <w:t>último</w:t>
      </w:r>
      <w:proofErr w:type="gramEnd"/>
      <w:r>
        <w:rPr>
          <w:rFonts w:ascii="Times New Roman" w:eastAsia="Times New Roman" w:hAnsi="Times New Roman" w:cs="Times New Roman"/>
        </w:rPr>
        <w:t xml:space="preserve"> el análisis diacrónico nos permite observar cómo en particular el período de pandemia aparece como un momento en el cual las prácticas de gestión se profundizan, en tanto se vuelve necesario atender a las nuevas problemáticas que surgen. A la vez, una oportunidad particular para construir información orientada al mejoramiento de la gestión institucional y de las propias prácticas de gestión estudiantiles, profundizándose una lógica en la cual la información sobre los distintos aspectos de la universidad se vuelve un recurso fundamental al que los/as militantes buscan acceder:</w:t>
      </w:r>
    </w:p>
    <w:p w14:paraId="04F5182F"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"la discusión de la pandemia demandó al movimiento estudiantil construir su propia información… Como 'precisar la información', caracterizar el construir el problema con información precisa. (...) cuanto uno más precisa… más construye…. le da más forma a esa demanda, bueno, más posibilidades hay de que eso sea canalizado digamos en términos institucionales." (Entrevistado #1, UNLP, 15/6/2023)</w:t>
      </w:r>
    </w:p>
    <w:p w14:paraId="49AD6FE2" w14:textId="77777777" w:rsidR="00716881" w:rsidRDefault="00000000">
      <w:pPr>
        <w:spacing w:after="120" w:line="276" w:lineRule="auto"/>
        <w:ind w:left="708"/>
        <w:jc w:val="both"/>
        <w:rPr>
          <w:rFonts w:ascii="Times New Roman" w:eastAsia="Times New Roman" w:hAnsi="Times New Roman" w:cs="Times New Roman"/>
        </w:rPr>
      </w:pPr>
      <w:r>
        <w:rPr>
          <w:rFonts w:ascii="Times New Roman" w:eastAsia="Times New Roman" w:hAnsi="Times New Roman" w:cs="Times New Roman"/>
        </w:rPr>
        <w:t xml:space="preserve">“nosotres en pandemia llegamos a hacer un censo para pensar el tema de que nosotros estábamos reclamando, la cuestión de accesibilidad de internet (...), el tema de los dispositivos, desde dónde se conectaban, eh… como que siempre teníamos esta cuestión de, ‘bueno, che, hagamos algo con esto, o pidamos datos’” (Entrevistada #28, UNGS, 25/7/2023) </w:t>
      </w:r>
    </w:p>
    <w:p w14:paraId="1DA9FC68"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Así, para gran parte de las organizaciones la información pasó a constituirse como un recurso valioso en dos sentidos: uno ligado a proporcionar al estudiantado los avisos o comunicaciones necesarias en una situación de excepcionalidad; otro ligado a generar mejores condiciones para su intervención política en la institución. </w:t>
      </w:r>
    </w:p>
    <w:p w14:paraId="1D44EA50" w14:textId="77777777" w:rsidR="00716881" w:rsidRDefault="00716881">
      <w:pPr>
        <w:spacing w:after="120" w:line="276" w:lineRule="auto"/>
        <w:jc w:val="both"/>
        <w:rPr>
          <w:rFonts w:ascii="Times New Roman" w:eastAsia="Times New Roman" w:hAnsi="Times New Roman" w:cs="Times New Roman"/>
        </w:rPr>
      </w:pPr>
    </w:p>
    <w:p w14:paraId="77DDD24E" w14:textId="77777777" w:rsidR="00716881"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 preliminares</w:t>
      </w:r>
    </w:p>
    <w:p w14:paraId="13D9F2F9"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Nos hemos propuesto en esta ponencia, luego de recuperar algunas coordenadas para el análisis de las prácticas políticas de jóvenes militantes estudiantiles universitarios/as, a identificar algunos patrones comunes</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que orientan su accionar en tres universidades nacionales. En un primer apartado se han identificado prácticas políticas que privilegian la negociación y articulación con las autoridades, y la adaptación a las lógicas de discusión específicas habilitadas por cada institución para viabilizar sus demandas, en contraposición a un pasado reciente de cuestionamiento a las formas establecidas de política en la universidad. En un segundo apartado, se hizo referencia a prácticas orientadas a viabilizar demandas que no ingresan a la agenda institucional, centradas en </w:t>
      </w:r>
      <w:r>
        <w:rPr>
          <w:rFonts w:ascii="Times New Roman" w:eastAsia="Times New Roman" w:hAnsi="Times New Roman" w:cs="Times New Roman"/>
        </w:rPr>
        <w:lastRenderedPageBreak/>
        <w:t xml:space="preserve">la resolución de problemas y en la “buena gestión”, que cobran sentido o son justificadas por varios/as militantes al comprender a las universidades en un período de crisis. </w:t>
      </w:r>
    </w:p>
    <w:p w14:paraId="2B4AFF05"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El recorte en un período específico también nos permite ver cómo los condicionamientos sociales, políticos y económicos que atravesaron al sistema universitario en su conjunto tuvieron repercusiones en las formas de comprender y por lo tanto de hacer política en las instituciones: el ajuste presupuestario durante el gobierno de Cambiemos aparece como un punto clave para comprender los mayores niveles de adhesión a los modelos de universidad y de articulación con otros actores universitarios en tanto se articulan sentidos comunes compartidos en torno a la defensa de las universidades públicas, que “aterrizan” en defender lo particular de cada institución. Y la pandemia constituye otro momento clave en el cual los niveles de imprevisibilidad habilitaron a los/as militantes a buscar perfeccionar sus prácticas vinculadas a la gestión, en particular las vinculadas a recopilar, sistematizar y producir información.</w:t>
      </w:r>
    </w:p>
    <w:p w14:paraId="77261E0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En el análisis realizado hasta el momento se observa que el origen político-organizativo de cada agrupación pierde peso explicativo frente a su posición relativa dentro de la cultura institucional de cada universidad. Se plantea como hipótesis que este conjunto de prácticas relevadas, con un carácter propositivo y de participación dentro de la lógica institucional, cobran fuerza en un contexto de aumento presupuestario en el conjunto del sistema universitario y científico y de tendencias regionales y globales de reivindicación del derecho a la Educación Superior, pero se sostienen como orientación predominante y se reconfiguran frente a sucesivos cambios de etapa política. Nos interesa plantear que estos cambios pueden comprenderse dentro de una transformación más general en la orientación de las prácticas de la militancia juvenil en Argentina, donde la recuperación de la confianza en la política institucional (Vommaro, 2015) y la inscripción de la militancia de varios colectivos y activismos en términos de “gestión militante” dentro del Estado (Vázquez, 2014), orientó las prácticas hacia la propuesta y la acción antes que a la confrontación.</w:t>
      </w:r>
    </w:p>
    <w:p w14:paraId="0C5A1F9A"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Así, los repertorios de acción de los movimientos estudiantiles moldeados por la organización colectiva (Dip, 2023) y la política contenciosa (Cejudo, 2019) se expresan para encauzar demandas a actores externos a la universidad, pero para las demandas de orden interno o institucional se opta en gran medida por otras formas de hacer política, en las que se prioriza la negociación sobre el conflicto, y la resolución de problemas sobre su denuncia.</w:t>
      </w:r>
    </w:p>
    <w:p w14:paraId="787B0792" w14:textId="77777777" w:rsidR="00716881" w:rsidRDefault="00716881">
      <w:pPr>
        <w:spacing w:line="240" w:lineRule="auto"/>
        <w:jc w:val="both"/>
        <w:rPr>
          <w:rFonts w:ascii="Times New Roman" w:eastAsia="Times New Roman" w:hAnsi="Times New Roman" w:cs="Times New Roman"/>
        </w:rPr>
      </w:pPr>
    </w:p>
    <w:p w14:paraId="22DE67D3" w14:textId="77777777" w:rsidR="00716881" w:rsidRPr="00C33CC9" w:rsidRDefault="00000000">
      <w:pPr>
        <w:spacing w:line="240" w:lineRule="auto"/>
        <w:rPr>
          <w:rFonts w:ascii="Times New Roman" w:eastAsia="Times New Roman" w:hAnsi="Times New Roman" w:cs="Times New Roman"/>
          <w:b/>
          <w:bCs/>
          <w:lang w:val="pt-BR"/>
        </w:rPr>
      </w:pPr>
      <w:r w:rsidRPr="00C33CC9">
        <w:rPr>
          <w:rFonts w:ascii="Times New Roman" w:eastAsia="Times New Roman" w:hAnsi="Times New Roman" w:cs="Times New Roman"/>
          <w:b/>
          <w:bCs/>
          <w:lang w:val="pt-BR"/>
        </w:rPr>
        <w:t>Referencias Bibliográficas</w:t>
      </w:r>
    </w:p>
    <w:p w14:paraId="4941BFD3" w14:textId="77777777" w:rsidR="00716881" w:rsidRDefault="00000000">
      <w:pPr>
        <w:spacing w:after="120" w:line="276" w:lineRule="auto"/>
        <w:jc w:val="both"/>
        <w:rPr>
          <w:rFonts w:ascii="Times New Roman" w:eastAsia="Times New Roman" w:hAnsi="Times New Roman" w:cs="Times New Roman"/>
        </w:rPr>
      </w:pPr>
      <w:r w:rsidRPr="00C33CC9">
        <w:rPr>
          <w:rFonts w:ascii="Times New Roman" w:eastAsia="Times New Roman" w:hAnsi="Times New Roman" w:cs="Times New Roman"/>
          <w:lang w:val="pt-BR"/>
        </w:rPr>
        <w:t xml:space="preserve">Acosta Silva, A., Atairo, D., y Camou, C. (2015). </w:t>
      </w:r>
      <w:r>
        <w:rPr>
          <w:rFonts w:ascii="Times New Roman" w:eastAsia="Times New Roman" w:hAnsi="Times New Roman" w:cs="Times New Roman"/>
        </w:rPr>
        <w:t xml:space="preserve">Gobernabilidad y democracia en la universidad pública latinoamericana: Argentina y México en perspectiva comparada. En </w:t>
      </w:r>
      <w:r>
        <w:rPr>
          <w:rFonts w:ascii="Times New Roman" w:eastAsia="Times New Roman" w:hAnsi="Times New Roman" w:cs="Times New Roman"/>
        </w:rPr>
        <w:lastRenderedPageBreak/>
        <w:t xml:space="preserve">A. Acosta Silva et al., </w:t>
      </w:r>
      <w:r>
        <w:rPr>
          <w:rFonts w:ascii="Times New Roman" w:eastAsia="Times New Roman" w:hAnsi="Times New Roman" w:cs="Times New Roman"/>
          <w:i/>
          <w:iCs/>
        </w:rPr>
        <w:t>Los desafíos de la universidad pública en América Latina y el Caribe</w:t>
      </w:r>
      <w:r>
        <w:rPr>
          <w:rFonts w:ascii="Times New Roman" w:eastAsia="Times New Roman" w:hAnsi="Times New Roman" w:cs="Times New Roman"/>
        </w:rPr>
        <w:t xml:space="preserve"> (pp. 19-117). CLACSO.</w:t>
      </w:r>
    </w:p>
    <w:p w14:paraId="7A68E800"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Atairo, A. (2014). El revés de la trama: cambios en el gobierno de la Universidad Nacional de La Plata durante 1986-2014 (Tesis de doctorado). FLACSO, Argentina.</w:t>
      </w:r>
    </w:p>
    <w:p w14:paraId="25994CDA"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Blanco, R. (2014). La politización de lo cotidiano en la militancia estudiantil. Agendas y retóricas en torno al género y la sexualidad en la Universidad de Buenos Aires. En S. Carli, </w:t>
      </w:r>
      <w:r>
        <w:rPr>
          <w:rFonts w:ascii="Times New Roman" w:eastAsia="Times New Roman" w:hAnsi="Times New Roman" w:cs="Times New Roman"/>
          <w:i/>
          <w:iCs/>
        </w:rPr>
        <w:t>La universidad pública y la experiencia estudiantil. Historia, política y vida cotidiana</w:t>
      </w:r>
      <w:r>
        <w:rPr>
          <w:rFonts w:ascii="Times New Roman" w:eastAsia="Times New Roman" w:hAnsi="Times New Roman" w:cs="Times New Roman"/>
        </w:rPr>
        <w:t>. Buenos Aires: Miño &amp; Dávila.</w:t>
      </w:r>
    </w:p>
    <w:p w14:paraId="0525FCA0"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Blanco, R. (2017). </w:t>
      </w:r>
      <w:r>
        <w:rPr>
          <w:rFonts w:ascii="Times New Roman" w:eastAsia="Times New Roman" w:hAnsi="Times New Roman" w:cs="Times New Roman"/>
          <w:i/>
          <w:iCs/>
        </w:rPr>
        <w:t>Escenas militantes: lenguajes, identidades políticas y nuevas agendas del activismo estudiantil universitario</w:t>
      </w:r>
      <w:r>
        <w:rPr>
          <w:rFonts w:ascii="Times New Roman" w:eastAsia="Times New Roman" w:hAnsi="Times New Roman" w:cs="Times New Roman"/>
        </w:rPr>
        <w:t>. Buenos Aires: CLACSO.</w:t>
      </w:r>
    </w:p>
    <w:p w14:paraId="1D5926CC"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Bonvillani, A., Palermo, A. I., Vázquez, M. y Vommaro, P. (2008). Juventud y política en la Argentina (1968-2008). Hacia la construcción de un estado del arte. </w:t>
      </w:r>
      <w:r>
        <w:rPr>
          <w:rFonts w:ascii="Times New Roman" w:eastAsia="Times New Roman" w:hAnsi="Times New Roman" w:cs="Times New Roman"/>
          <w:i/>
          <w:iCs/>
        </w:rPr>
        <w:t>Revista Argentina de Sociología, 6</w:t>
      </w:r>
      <w:r>
        <w:rPr>
          <w:rFonts w:ascii="Times New Roman" w:eastAsia="Times New Roman" w:hAnsi="Times New Roman" w:cs="Times New Roman"/>
        </w:rPr>
        <w:t xml:space="preserve">(11), 44-73. </w:t>
      </w:r>
    </w:p>
    <w:p w14:paraId="00321B15"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Brunner, J. J. (1986). El movimiento estudiantil ha muerto. Nacen los movimientos estudiantiles. En J. C. Tedesco y H. Blumenthal, </w:t>
      </w:r>
      <w:r>
        <w:rPr>
          <w:rFonts w:ascii="Times New Roman" w:eastAsia="Times New Roman" w:hAnsi="Times New Roman" w:cs="Times New Roman"/>
          <w:i/>
          <w:iCs/>
        </w:rPr>
        <w:t>La juventud universitaria en América Latina</w:t>
      </w:r>
      <w:r>
        <w:rPr>
          <w:rFonts w:ascii="Times New Roman" w:eastAsia="Times New Roman" w:hAnsi="Times New Roman" w:cs="Times New Roman"/>
        </w:rPr>
        <w:t>. Venezuela: CRESALC–ILDIS.</w:t>
      </w:r>
    </w:p>
    <w:p w14:paraId="1D45A63C"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Carli, S. (2012). E</w:t>
      </w:r>
      <w:r>
        <w:rPr>
          <w:rFonts w:ascii="Times New Roman" w:eastAsia="Times New Roman" w:hAnsi="Times New Roman" w:cs="Times New Roman"/>
          <w:i/>
          <w:iCs/>
        </w:rPr>
        <w:t>l estudiante universitario. Hacia una historia del presente de la educación pública</w:t>
      </w:r>
      <w:r>
        <w:rPr>
          <w:rFonts w:ascii="Times New Roman" w:eastAsia="Times New Roman" w:hAnsi="Times New Roman" w:cs="Times New Roman"/>
        </w:rPr>
        <w:t>. Siglo XXI.</w:t>
      </w:r>
    </w:p>
    <w:p w14:paraId="140708B8"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Cejudo Ramos, D. (2019). Para analizar los movimientos estudiantiles. </w:t>
      </w:r>
      <w:r>
        <w:rPr>
          <w:rFonts w:ascii="Times New Roman" w:eastAsia="Times New Roman" w:hAnsi="Times New Roman" w:cs="Times New Roman"/>
          <w:i/>
          <w:iCs/>
        </w:rPr>
        <w:t>Conjeturas Sociológicas</w:t>
      </w:r>
      <w:r>
        <w:rPr>
          <w:rFonts w:ascii="Times New Roman" w:eastAsia="Times New Roman" w:hAnsi="Times New Roman" w:cs="Times New Roman"/>
        </w:rPr>
        <w:t>, (20), 134-153.</w:t>
      </w:r>
    </w:p>
    <w:p w14:paraId="6CE63031"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Chaves, M. (2009). Investigaciones sobre juventudes en la Argentina: estado del arte en ciencias sociales 1983-2006. </w:t>
      </w:r>
      <w:r>
        <w:rPr>
          <w:rFonts w:ascii="Times New Roman" w:eastAsia="Times New Roman" w:hAnsi="Times New Roman" w:cs="Times New Roman"/>
          <w:i/>
          <w:iCs/>
        </w:rPr>
        <w:t>Papeles de trabajo. Revista electrónica del Instituto de Altos Estudios Sociales de la Universidad Nacional de General San Martín</w:t>
      </w:r>
      <w:r>
        <w:rPr>
          <w:rFonts w:ascii="Times New Roman" w:eastAsia="Times New Roman" w:hAnsi="Times New Roman" w:cs="Times New Roman"/>
        </w:rPr>
        <w:t xml:space="preserve">, 2(5). </w:t>
      </w:r>
    </w:p>
    <w:p w14:paraId="55D3AE3A"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Dip, N. (2023). </w:t>
      </w:r>
      <w:r>
        <w:rPr>
          <w:rFonts w:ascii="Times New Roman" w:eastAsia="Times New Roman" w:hAnsi="Times New Roman" w:cs="Times New Roman"/>
          <w:i/>
          <w:iCs/>
        </w:rPr>
        <w:t>Movimientos estudiantiles en América Latina. Interrogantes para su historia, presente y futuro</w:t>
      </w:r>
      <w:r>
        <w:rPr>
          <w:rFonts w:ascii="Times New Roman" w:eastAsia="Times New Roman" w:hAnsi="Times New Roman" w:cs="Times New Roman"/>
        </w:rPr>
        <w:t>. CLACSO/IEC-CONADU.</w:t>
      </w:r>
    </w:p>
    <w:p w14:paraId="34CFCC99"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Dubet, F. (2005). Los estudiantes. </w:t>
      </w:r>
      <w:r>
        <w:rPr>
          <w:rFonts w:ascii="Times New Roman" w:eastAsia="Times New Roman" w:hAnsi="Times New Roman" w:cs="Times New Roman"/>
          <w:i/>
          <w:iCs/>
        </w:rPr>
        <w:t>Revista de Investigación</w:t>
      </w:r>
      <w:r>
        <w:rPr>
          <w:rFonts w:ascii="Times New Roman" w:eastAsia="Times New Roman" w:hAnsi="Times New Roman" w:cs="Times New Roman"/>
        </w:rPr>
        <w:t xml:space="preserve"> (1). Instituto de investigaciones en Educación, Universidad Veracruzana.</w:t>
      </w:r>
    </w:p>
    <w:p w14:paraId="22E8E825"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Kandel, V. (2005).</w:t>
      </w:r>
      <w:r>
        <w:rPr>
          <w:rFonts w:ascii="Times New Roman" w:eastAsia="Times New Roman" w:hAnsi="Times New Roman" w:cs="Times New Roman"/>
          <w:i/>
          <w:iCs/>
        </w:rPr>
        <w:t xml:space="preserve"> Participación estudiantil y gobierno universitario. Nuevos actores – viejas estructuras </w:t>
      </w:r>
      <w:r>
        <w:rPr>
          <w:rFonts w:ascii="Times New Roman" w:eastAsia="Times New Roman" w:hAnsi="Times New Roman" w:cs="Times New Roman"/>
        </w:rPr>
        <w:t xml:space="preserve">(tesis de maestría). FLACSO Argentina. </w:t>
      </w:r>
    </w:p>
    <w:p w14:paraId="5C1E8FC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Kandel, V. y Cortés, C. (2002).  Reflexiones en torno a las nuevas formas de participación estudiantil en la vida política de la universidad. </w:t>
      </w:r>
      <w:r>
        <w:rPr>
          <w:rFonts w:ascii="Times New Roman" w:eastAsia="Times New Roman" w:hAnsi="Times New Roman" w:cs="Times New Roman"/>
          <w:i/>
          <w:iCs/>
        </w:rPr>
        <w:t>Revista Fundamentos en Humanidades, 3</w:t>
      </w:r>
      <w:r>
        <w:rPr>
          <w:rFonts w:ascii="Times New Roman" w:eastAsia="Times New Roman" w:hAnsi="Times New Roman" w:cs="Times New Roman"/>
        </w:rPr>
        <w:t>(5/6).</w:t>
      </w:r>
    </w:p>
    <w:p w14:paraId="1B7DE7C9"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Krotsch, P. (2002). Los universitarios como actores de reformas en América Latina: ¿han muerto los movimientos estudiantiles? </w:t>
      </w:r>
      <w:r>
        <w:rPr>
          <w:rFonts w:ascii="Times New Roman" w:eastAsia="Times New Roman" w:hAnsi="Times New Roman" w:cs="Times New Roman"/>
          <w:i/>
          <w:iCs/>
        </w:rPr>
        <w:t>Espacios en Blanco, Revista de Educación</w:t>
      </w:r>
      <w:r>
        <w:rPr>
          <w:rFonts w:ascii="Times New Roman" w:eastAsia="Times New Roman" w:hAnsi="Times New Roman" w:cs="Times New Roman"/>
        </w:rPr>
        <w:t>, (12).</w:t>
      </w:r>
    </w:p>
    <w:p w14:paraId="4831C97C" w14:textId="77777777" w:rsidR="00716881" w:rsidRPr="00C33CC9" w:rsidRDefault="00000000">
      <w:pPr>
        <w:spacing w:after="120" w:line="276" w:lineRule="auto"/>
        <w:jc w:val="both"/>
        <w:rPr>
          <w:rFonts w:ascii="Times New Roman" w:eastAsia="Times New Roman" w:hAnsi="Times New Roman" w:cs="Times New Roman"/>
          <w:lang w:val="pt-BR"/>
        </w:rPr>
      </w:pPr>
      <w:r>
        <w:rPr>
          <w:rFonts w:ascii="Times New Roman" w:eastAsia="Times New Roman" w:hAnsi="Times New Roman" w:cs="Times New Roman"/>
        </w:rPr>
        <w:t xml:space="preserve">Krotsch, P., Camou, A. y Prati, M. (Coords.). (2007). </w:t>
      </w:r>
      <w:r>
        <w:rPr>
          <w:rFonts w:ascii="Times New Roman" w:eastAsia="Times New Roman" w:hAnsi="Times New Roman" w:cs="Times New Roman"/>
          <w:i/>
          <w:iCs/>
        </w:rPr>
        <w:t>Evaluando la evaluación: Políticas universitarias, instituciones y actores en Argentina y América latina</w:t>
      </w:r>
      <w:r>
        <w:rPr>
          <w:rFonts w:ascii="Times New Roman" w:eastAsia="Times New Roman" w:hAnsi="Times New Roman" w:cs="Times New Roman"/>
        </w:rPr>
        <w:t xml:space="preserve">. </w:t>
      </w:r>
      <w:r w:rsidRPr="00C33CC9">
        <w:rPr>
          <w:rFonts w:ascii="Times New Roman" w:eastAsia="Times New Roman" w:hAnsi="Times New Roman" w:cs="Times New Roman"/>
          <w:lang w:val="pt-BR"/>
        </w:rPr>
        <w:t>Prometeo.</w:t>
      </w:r>
    </w:p>
    <w:p w14:paraId="390B6E1E" w14:textId="77777777" w:rsidR="00716881" w:rsidRPr="00C33CC9" w:rsidRDefault="00000000">
      <w:pPr>
        <w:spacing w:after="120" w:line="276" w:lineRule="auto"/>
        <w:jc w:val="both"/>
        <w:rPr>
          <w:rFonts w:ascii="Times New Roman" w:eastAsia="Times New Roman" w:hAnsi="Times New Roman" w:cs="Times New Roman"/>
          <w:lang w:val="pt-BR"/>
        </w:rPr>
      </w:pPr>
      <w:r w:rsidRPr="00C33CC9">
        <w:rPr>
          <w:rFonts w:ascii="Times New Roman" w:eastAsia="Times New Roman" w:hAnsi="Times New Roman" w:cs="Times New Roman"/>
          <w:lang w:val="pt-BR"/>
        </w:rPr>
        <w:t xml:space="preserve">Leite, D. (2010). Estudantes e avaliação. </w:t>
      </w:r>
      <w:r w:rsidRPr="00C33CC9">
        <w:rPr>
          <w:rFonts w:ascii="Times New Roman" w:eastAsia="Times New Roman" w:hAnsi="Times New Roman" w:cs="Times New Roman"/>
          <w:i/>
          <w:iCs/>
          <w:lang w:val="pt-BR"/>
        </w:rPr>
        <w:t>Avaliação de Educação Superior, 15</w:t>
      </w:r>
      <w:r w:rsidRPr="00C33CC9">
        <w:rPr>
          <w:rFonts w:ascii="Times New Roman" w:eastAsia="Times New Roman" w:hAnsi="Times New Roman" w:cs="Times New Roman"/>
          <w:lang w:val="pt-BR"/>
        </w:rPr>
        <w:t>(3).</w:t>
      </w:r>
    </w:p>
    <w:p w14:paraId="068C4719"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Llaudat, M. D., Llaudat, S. y Pis Diez, N. (2012). </w:t>
      </w:r>
      <w:r>
        <w:rPr>
          <w:rFonts w:ascii="Times New Roman" w:eastAsia="Times New Roman" w:hAnsi="Times New Roman" w:cs="Times New Roman"/>
          <w:i/>
          <w:iCs/>
        </w:rPr>
        <w:t>En las aulas y en las calles. Antecedentes, continuidades y rupturas de una década del movimiento estudiantil argentino (2002-2011)</w:t>
      </w:r>
      <w:r>
        <w:rPr>
          <w:rFonts w:ascii="Times New Roman" w:eastAsia="Times New Roman" w:hAnsi="Times New Roman" w:cs="Times New Roman"/>
        </w:rPr>
        <w:t>. Herramienta.</w:t>
      </w:r>
    </w:p>
    <w:p w14:paraId="4E904786"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Losada, C. (2019). </w:t>
      </w:r>
      <w:r>
        <w:rPr>
          <w:rFonts w:ascii="Times New Roman" w:eastAsia="Times New Roman" w:hAnsi="Times New Roman" w:cs="Times New Roman"/>
          <w:i/>
          <w:iCs/>
        </w:rPr>
        <w:t>Movimiento estudiantil en la Universidad de Buenos Aires a inicios del nuevo milenio</w:t>
      </w:r>
      <w:r>
        <w:rPr>
          <w:rFonts w:ascii="Times New Roman" w:eastAsia="Times New Roman" w:hAnsi="Times New Roman" w:cs="Times New Roman"/>
        </w:rPr>
        <w:t>. Eudeba.</w:t>
      </w:r>
    </w:p>
    <w:p w14:paraId="1014B76D"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Luques, A. (2026). Transformaciones en las agendas de estudiantes militantes de la Universidad Nacional de La Plata: Demandas y propuestas en torno al derecho a la Educación Superior. En D. Atairo y L. Rovelli (coords.), </w:t>
      </w:r>
      <w:r>
        <w:rPr>
          <w:rFonts w:ascii="Times New Roman" w:eastAsia="Times New Roman" w:hAnsi="Times New Roman" w:cs="Times New Roman"/>
          <w:i/>
          <w:iCs/>
        </w:rPr>
        <w:t>Acceso a la Educación superior en clave de derechos: aportes desde la investigación educativa</w:t>
      </w:r>
      <w:r>
        <w:rPr>
          <w:rFonts w:ascii="Times New Roman" w:eastAsia="Times New Roman" w:hAnsi="Times New Roman" w:cs="Times New Roman"/>
        </w:rPr>
        <w:t xml:space="preserve"> (pp. 161-188). Universidad Nacional de La Plata. Facultad de Humanidades y Ciencias de la Educación; IdIHCS.</w:t>
      </w:r>
    </w:p>
    <w:p w14:paraId="05CD789D"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Maraschio, M. (2019). Universidad Pública: Análisis de los sentidos construidos sobre los sujetos que transitan la comunidad universitaria. </w:t>
      </w:r>
      <w:r>
        <w:rPr>
          <w:rFonts w:ascii="Times New Roman" w:eastAsia="Times New Roman" w:hAnsi="Times New Roman" w:cs="Times New Roman"/>
          <w:i/>
          <w:iCs/>
        </w:rPr>
        <w:t>Actas de las XXVII Jornadas de Jóvenes Investigadores de la Asociación de Universidades Grupo Montevideo</w:t>
      </w:r>
      <w:r>
        <w:rPr>
          <w:rFonts w:ascii="Times New Roman" w:eastAsia="Times New Roman" w:hAnsi="Times New Roman" w:cs="Times New Roman"/>
        </w:rPr>
        <w:t xml:space="preserve"> (Brasil, 23 al 25 de octubre de 2019).</w:t>
      </w:r>
    </w:p>
    <w:p w14:paraId="3698D25D" w14:textId="77777777" w:rsidR="00716881" w:rsidRPr="00C33CC9" w:rsidRDefault="00000000">
      <w:pPr>
        <w:spacing w:after="120" w:line="276" w:lineRule="auto"/>
        <w:jc w:val="both"/>
        <w:rPr>
          <w:rFonts w:ascii="Times New Roman" w:eastAsia="Times New Roman" w:hAnsi="Times New Roman" w:cs="Times New Roman"/>
          <w:lang w:val="en-US"/>
        </w:rPr>
      </w:pPr>
      <w:r w:rsidRPr="00C33CC9">
        <w:rPr>
          <w:rFonts w:ascii="Times New Roman" w:eastAsia="Times New Roman" w:hAnsi="Times New Roman" w:cs="Times New Roman"/>
          <w:lang w:val="en-US"/>
        </w:rPr>
        <w:t xml:space="preserve">Musselin, C. (2005). </w:t>
      </w:r>
      <w:r w:rsidRPr="00C33CC9">
        <w:rPr>
          <w:rFonts w:ascii="Times New Roman" w:eastAsia="Times New Roman" w:hAnsi="Times New Roman" w:cs="Times New Roman"/>
          <w:i/>
          <w:iCs/>
          <w:lang w:val="en-US"/>
        </w:rPr>
        <w:t>The Long March of French Universities</w:t>
      </w:r>
      <w:r w:rsidRPr="00C33CC9">
        <w:rPr>
          <w:rFonts w:ascii="Times New Roman" w:eastAsia="Times New Roman" w:hAnsi="Times New Roman" w:cs="Times New Roman"/>
          <w:lang w:val="en-US"/>
        </w:rPr>
        <w:t>. Taylor &amp; Francis/Routledge.</w:t>
      </w:r>
    </w:p>
    <w:p w14:paraId="1FCAFD86" w14:textId="77777777" w:rsidR="00716881" w:rsidRDefault="00000000">
      <w:pPr>
        <w:spacing w:after="120" w:line="276" w:lineRule="auto"/>
        <w:jc w:val="both"/>
        <w:rPr>
          <w:rFonts w:ascii="Times New Roman" w:eastAsia="Times New Roman" w:hAnsi="Times New Roman" w:cs="Times New Roman"/>
        </w:rPr>
      </w:pPr>
      <w:r w:rsidRPr="00C33CC9">
        <w:rPr>
          <w:rFonts w:ascii="Times New Roman" w:eastAsia="Times New Roman" w:hAnsi="Times New Roman" w:cs="Times New Roman"/>
          <w:lang w:val="en-US"/>
        </w:rPr>
        <w:t xml:space="preserve">Naishtat, F., y Toer, M. (Eds.) </w:t>
      </w:r>
      <w:r>
        <w:rPr>
          <w:rFonts w:ascii="Times New Roman" w:eastAsia="Times New Roman" w:hAnsi="Times New Roman" w:cs="Times New Roman"/>
        </w:rPr>
        <w:t xml:space="preserve">(2005). </w:t>
      </w:r>
      <w:r>
        <w:rPr>
          <w:rFonts w:ascii="Times New Roman" w:eastAsia="Times New Roman" w:hAnsi="Times New Roman" w:cs="Times New Roman"/>
          <w:i/>
          <w:iCs/>
        </w:rPr>
        <w:t>Democracia y representación en la universidad. El caso de la Universidad de Buenos Aires desde la visión de sus protagonistas</w:t>
      </w:r>
      <w:r>
        <w:rPr>
          <w:rFonts w:ascii="Times New Roman" w:eastAsia="Times New Roman" w:hAnsi="Times New Roman" w:cs="Times New Roman"/>
        </w:rPr>
        <w:t>. Biblos.</w:t>
      </w:r>
    </w:p>
    <w:p w14:paraId="496CB8F3"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Picotto, D. y Vommaro, P. (2010). Jóvenes y política: las agrupaciones estudiantiles independientes de la universidad de Buenos Aires. </w:t>
      </w:r>
      <w:r>
        <w:rPr>
          <w:rFonts w:ascii="Times New Roman" w:eastAsia="Times New Roman" w:hAnsi="Times New Roman" w:cs="Times New Roman"/>
          <w:i/>
          <w:iCs/>
        </w:rPr>
        <w:t>Nómadas,</w:t>
      </w:r>
      <w:r>
        <w:rPr>
          <w:rFonts w:ascii="Times New Roman" w:eastAsia="Times New Roman" w:hAnsi="Times New Roman" w:cs="Times New Roman"/>
        </w:rPr>
        <w:t xml:space="preserve"> (32), 149-162.</w:t>
      </w:r>
    </w:p>
    <w:p w14:paraId="6B000FC0" w14:textId="4D33C0CF"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Simón, J. (1993). Estudiantes y política en los ´90. Algunos elementos para analizar la crisis del movimiento estudiantil. </w:t>
      </w:r>
      <w:r>
        <w:rPr>
          <w:rFonts w:ascii="Times New Roman" w:eastAsia="Times New Roman" w:hAnsi="Times New Roman" w:cs="Times New Roman"/>
          <w:i/>
          <w:iCs/>
        </w:rPr>
        <w:t xml:space="preserve">Revista del Instituto de Investigaciones en Ciencias de la Educación, </w:t>
      </w:r>
      <w:proofErr w:type="gramStart"/>
      <w:r>
        <w:rPr>
          <w:rFonts w:ascii="Times New Roman" w:eastAsia="Times New Roman" w:hAnsi="Times New Roman" w:cs="Times New Roman"/>
          <w:i/>
          <w:iCs/>
        </w:rPr>
        <w:t>II</w:t>
      </w:r>
      <w:r>
        <w:rPr>
          <w:rFonts w:ascii="Times New Roman" w:eastAsia="Times New Roman" w:hAnsi="Times New Roman" w:cs="Times New Roman"/>
        </w:rPr>
        <w:t>(</w:t>
      </w:r>
      <w:proofErr w:type="gramEnd"/>
      <w:r>
        <w:rPr>
          <w:rFonts w:ascii="Times New Roman" w:eastAsia="Times New Roman" w:hAnsi="Times New Roman" w:cs="Times New Roman"/>
        </w:rPr>
        <w:t xml:space="preserve">3). Miño y Dávila. </w:t>
      </w:r>
    </w:p>
    <w:p w14:paraId="7C6931E8"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Stubrin, A. (2001). La política de partidos y las universidades públicas en Argentina 1983-2000. En A. Chiroleu, </w:t>
      </w:r>
      <w:r>
        <w:rPr>
          <w:rFonts w:ascii="Times New Roman" w:eastAsia="Times New Roman" w:hAnsi="Times New Roman" w:cs="Times New Roman"/>
          <w:i/>
          <w:iCs/>
        </w:rPr>
        <w:t>Repensando la educación superior</w:t>
      </w:r>
      <w:r>
        <w:rPr>
          <w:rFonts w:ascii="Times New Roman" w:eastAsia="Times New Roman" w:hAnsi="Times New Roman" w:cs="Times New Roman"/>
        </w:rPr>
        <w:t>. UNR Editora.</w:t>
      </w:r>
    </w:p>
    <w:p w14:paraId="6AAC868B" w14:textId="77777777" w:rsidR="00716881" w:rsidRDefault="00000000">
      <w:pPr>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Trotta, L. (2015). </w:t>
      </w:r>
      <w:r>
        <w:rPr>
          <w:rFonts w:ascii="Times New Roman" w:eastAsia="Times New Roman" w:hAnsi="Times New Roman" w:cs="Times New Roman"/>
          <w:i/>
          <w:iCs/>
        </w:rPr>
        <w:t>Estudiantes y política de acreditación. Una mirada desde lo local: el caso de la Facultad de Ciencias Médicas de la UNLP (2001-2010)</w:t>
      </w:r>
      <w:r>
        <w:rPr>
          <w:rFonts w:ascii="Times New Roman" w:eastAsia="Times New Roman" w:hAnsi="Times New Roman" w:cs="Times New Roman"/>
        </w:rPr>
        <w:t xml:space="preserve"> (Tesis de Maestría en Ciencias Sociales). FLACSO Argentina.</w:t>
      </w:r>
    </w:p>
    <w:p w14:paraId="77B266AC"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Vázquez, M. (2014). «Militar la gestión»: una aproximación a las relaciones entre activismo y trabajo en el Estado a partir de las gestiones de gobierno de Cristina Fernández de Kirchner en Argentina. </w:t>
      </w:r>
      <w:r>
        <w:rPr>
          <w:rFonts w:ascii="Times New Roman" w:eastAsia="Times New Roman" w:hAnsi="Times New Roman" w:cs="Times New Roman"/>
          <w:i/>
          <w:iCs/>
        </w:rPr>
        <w:t>Aposta. Revista de Ciencias Sociales</w:t>
      </w:r>
      <w:r>
        <w:rPr>
          <w:rFonts w:ascii="Times New Roman" w:eastAsia="Times New Roman" w:hAnsi="Times New Roman" w:cs="Times New Roman"/>
        </w:rPr>
        <w:t>, (62), 1-32.</w:t>
      </w:r>
    </w:p>
    <w:p w14:paraId="1219CF12"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Vázquez, M. (2015). Del que se vayan todos a militar por, para y desde el Estado. Desplazamientos y reconfiguraciones del activismo y las causas militantes luego de la crisis de 2001 en Argentina. En J. M. Valenzuela Arce (Coord.),</w:t>
      </w:r>
      <w:r>
        <w:rPr>
          <w:rFonts w:ascii="Times New Roman" w:eastAsia="Times New Roman" w:hAnsi="Times New Roman" w:cs="Times New Roman"/>
          <w:i/>
          <w:iCs/>
        </w:rPr>
        <w:t xml:space="preserve"> El sistema es antinosotros. Culturas, movimientos y resistencias juveniles. </w:t>
      </w:r>
      <w:r>
        <w:rPr>
          <w:rFonts w:ascii="Times New Roman" w:eastAsia="Times New Roman" w:hAnsi="Times New Roman" w:cs="Times New Roman"/>
        </w:rPr>
        <w:t>UNAM/COLEF/GEDISA.</w:t>
      </w:r>
    </w:p>
    <w:p w14:paraId="03299F50" w14:textId="77777777" w:rsidR="00716881" w:rsidRDefault="00000000">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Vommaro, P. (2015). </w:t>
      </w:r>
      <w:r>
        <w:rPr>
          <w:rFonts w:ascii="Times New Roman" w:eastAsia="Times New Roman" w:hAnsi="Times New Roman" w:cs="Times New Roman"/>
          <w:i/>
          <w:iCs/>
        </w:rPr>
        <w:t>Juventudes y políticas en la Argentina y en América Latina. Tendencias, conflictos y desafíos</w:t>
      </w:r>
      <w:r>
        <w:rPr>
          <w:rFonts w:ascii="Times New Roman" w:eastAsia="Times New Roman" w:hAnsi="Times New Roman" w:cs="Times New Roman"/>
        </w:rPr>
        <w:t>. Grupo Editor Universitario/CLACSO.</w:t>
      </w:r>
    </w:p>
    <w:p w14:paraId="6ED17542" w14:textId="77777777" w:rsidR="00716881" w:rsidRDefault="00716881">
      <w:pPr>
        <w:spacing w:after="120" w:line="276" w:lineRule="auto"/>
        <w:jc w:val="both"/>
        <w:rPr>
          <w:rFonts w:ascii="Times New Roman" w:eastAsia="Times New Roman" w:hAnsi="Times New Roman" w:cs="Times New Roman"/>
        </w:rPr>
      </w:pPr>
    </w:p>
    <w:p w14:paraId="748C63D4" w14:textId="77777777" w:rsidR="00716881" w:rsidRDefault="00716881">
      <w:pPr>
        <w:spacing w:line="240" w:lineRule="auto"/>
        <w:rPr>
          <w:rFonts w:ascii="Times New Roman" w:eastAsia="Times New Roman" w:hAnsi="Times New Roman" w:cs="Times New Roman"/>
        </w:rPr>
      </w:pPr>
    </w:p>
    <w:p w14:paraId="48DEC0B7" w14:textId="77777777" w:rsidR="00716881" w:rsidRDefault="00716881">
      <w:pPr>
        <w:spacing w:line="240" w:lineRule="auto"/>
        <w:rPr>
          <w:rFonts w:ascii="Times New Roman" w:eastAsia="Times New Roman" w:hAnsi="Times New Roman" w:cs="Times New Roman"/>
        </w:rPr>
      </w:pPr>
    </w:p>
    <w:sectPr w:rsidR="00716881">
      <w:headerReference w:type="default" r:id="rId8"/>
      <w:footerReference w:type="default" r:id="rId9"/>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A5CF8" w14:textId="77777777" w:rsidR="0031246C" w:rsidRDefault="0031246C">
      <w:pPr>
        <w:spacing w:after="0" w:line="240" w:lineRule="auto"/>
      </w:pPr>
      <w:r>
        <w:separator/>
      </w:r>
    </w:p>
  </w:endnote>
  <w:endnote w:type="continuationSeparator" w:id="0">
    <w:p w14:paraId="3644B637" w14:textId="77777777" w:rsidR="0031246C" w:rsidRDefault="0031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16F1D96-D95A-4D77-AD9F-1DDB0DE090AA}"/>
    <w:embedItalic r:id="rId2" w:fontKey="{EE3631B2-01B2-4E00-84F5-67BC28CA49A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3AC11674-B317-4860-BEBA-BD33ACBD9E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E071" w14:textId="77777777" w:rsidR="00716881"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4B8D87CC" wp14:editId="0F9F6C16">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2A5E1436" w14:textId="77777777" w:rsidR="00716881" w:rsidRDefault="0071688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67AA3" w14:textId="77777777" w:rsidR="0031246C" w:rsidRDefault="0031246C">
      <w:pPr>
        <w:spacing w:after="0" w:line="240" w:lineRule="auto"/>
      </w:pPr>
      <w:r>
        <w:separator/>
      </w:r>
    </w:p>
  </w:footnote>
  <w:footnote w:type="continuationSeparator" w:id="0">
    <w:p w14:paraId="6DD95414" w14:textId="77777777" w:rsidR="0031246C" w:rsidRDefault="0031246C">
      <w:pPr>
        <w:spacing w:after="0" w:line="240" w:lineRule="auto"/>
      </w:pPr>
      <w:r>
        <w:continuationSeparator/>
      </w:r>
    </w:p>
  </w:footnote>
  <w:footnote w:id="1">
    <w:p w14:paraId="72024CB3" w14:textId="77777777" w:rsidR="00716881"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La preeminencia de una motivación u otra </w:t>
      </w:r>
      <w:r>
        <w:rPr>
          <w:sz w:val="20"/>
          <w:szCs w:val="20"/>
        </w:rPr>
        <w:t>varía</w:t>
      </w:r>
      <w:r>
        <w:rPr>
          <w:color w:val="000000"/>
          <w:sz w:val="20"/>
          <w:szCs w:val="20"/>
        </w:rPr>
        <w:t xml:space="preserve"> en cada organización y en cada universidad, por motivos de extensión y pertinencia no se profundiza en esta cuestión.</w:t>
      </w:r>
    </w:p>
  </w:footnote>
  <w:footnote w:id="2">
    <w:p w14:paraId="5D455E85" w14:textId="77777777" w:rsidR="00716881" w:rsidRDefault="00000000">
      <w:pPr>
        <w:spacing w:after="0" w:line="240" w:lineRule="auto"/>
        <w:rPr>
          <w:sz w:val="20"/>
          <w:szCs w:val="20"/>
        </w:rPr>
      </w:pPr>
      <w:r>
        <w:rPr>
          <w:vertAlign w:val="superscript"/>
        </w:rPr>
        <w:footnoteRef/>
      </w:r>
      <w:r>
        <w:rPr>
          <w:sz w:val="20"/>
          <w:szCs w:val="20"/>
        </w:rPr>
        <w:t xml:space="preserve"> Cabe destacar que las otras dos facciones también contemplan o han contemplado en sus armados de lista la incorporación de estudiantes independientes sin militancia partidaria. </w:t>
      </w:r>
    </w:p>
  </w:footnote>
  <w:footnote w:id="3">
    <w:p w14:paraId="4947F8F2" w14:textId="77777777" w:rsidR="00716881"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Herramienta creada en el año 2013 para debatir el destino de una parte de los fondos no recurrentes de la universidad a través de la participación de todos los miembros de la comunidad universitaria. Los proyectos son presentados por integrantes de al menos dos claustros y seleccionados mediante el voto.</w:t>
      </w:r>
    </w:p>
  </w:footnote>
  <w:footnote w:id="4">
    <w:p w14:paraId="69263394" w14:textId="77777777" w:rsidR="00716881"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w:t>
      </w:r>
      <w:r>
        <w:rPr>
          <w:sz w:val="20"/>
          <w:szCs w:val="20"/>
        </w:rPr>
        <w:t>ferencia al “</w:t>
      </w:r>
      <w:r>
        <w:rPr>
          <w:color w:val="000000"/>
          <w:sz w:val="20"/>
          <w:szCs w:val="20"/>
        </w:rPr>
        <w:t>Abrazo a la UNAJ</w:t>
      </w:r>
      <w:r>
        <w:rPr>
          <w:sz w:val="20"/>
          <w:szCs w:val="20"/>
        </w:rPr>
        <w:t>” manifestación pública de agosto de 2018 de apoyo a la universidad en el marco de las protestas por el financiamiento del sistema universitario argentino, siendo de las primeras iniciativas de esta índole y de las de mayor impacto mediático.</w:t>
      </w:r>
    </w:p>
  </w:footnote>
  <w:footnote w:id="5">
    <w:p w14:paraId="7995A288" w14:textId="77777777" w:rsidR="00716881" w:rsidRDefault="00000000">
      <w:pPr>
        <w:spacing w:after="0" w:line="240" w:lineRule="auto"/>
        <w:rPr>
          <w:sz w:val="20"/>
          <w:szCs w:val="20"/>
        </w:rPr>
      </w:pPr>
      <w:r>
        <w:rPr>
          <w:vertAlign w:val="superscript"/>
        </w:rPr>
        <w:footnoteRef/>
      </w:r>
      <w:r>
        <w:rPr>
          <w:sz w:val="20"/>
          <w:szCs w:val="20"/>
        </w:rPr>
        <w:t xml:space="preserve"> Se alude aquí a patrones comunes en el sentido de generalizados, no universales. Las organizaciones de izquierda trotskistas constituyen una excepción relevante, al menos en varios de los aspectos mencionados en la ponencia, aunque no en todos (por ejemplo, sí participan activamente en las instancias de representación institucional en la UNGS).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4EA6" w14:textId="77777777" w:rsidR="00716881"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0F9BB02B" wp14:editId="62C21ADD">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81"/>
    <w:rsid w:val="001061F8"/>
    <w:rsid w:val="0031246C"/>
    <w:rsid w:val="00716881"/>
    <w:rsid w:val="00C33C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72A3"/>
  <w15:docId w15:val="{1D5AF924-4167-4E6A-8960-713F9C73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usluque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yeI9EHyrW2cOtHnf9R7v3Ba3Q==">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8319</Words>
  <Characters>45757</Characters>
  <Application>Microsoft Office Word</Application>
  <DocSecurity>0</DocSecurity>
  <Lines>381</Lines>
  <Paragraphs>107</Paragraphs>
  <ScaleCrop>false</ScaleCrop>
  <Company/>
  <LinksUpToDate>false</LinksUpToDate>
  <CharactersWithSpaces>53969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Agustina Luques</cp:lastModifiedBy>
  <cp:revision>2</cp:revision>
  <dcterms:created xsi:type="dcterms:W3CDTF">2026-07-13T02:46:00Z</dcterms:created>
  <dcterms:modified xsi:type="dcterms:W3CDTF">2026-07-13T02:49:00Z</dcterms:modified>
</cp:coreProperties>
</file>