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Beca de Acceso a la Universidad Pública: una política de inclusión social en la Universidad Nacional de Rosario</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Prados, María Luz</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de Investigaciones de la Universidad Nacional de Rosario</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maluzprados@hotmail.com</w:t>
      </w:r>
    </w:p>
    <w:p w:rsidR="00000000" w:rsidDel="00000000" w:rsidP="00000000" w:rsidRDefault="00000000" w:rsidRPr="00000000" w14:paraId="0000000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w:t>
      </w:r>
    </w:p>
    <w:p w:rsidR="00000000" w:rsidDel="00000000" w:rsidP="00000000" w:rsidRDefault="00000000" w:rsidRPr="00000000" w14:paraId="00000008">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educación superior ha adquirido mayor relevancia con el comienzo del siglo XXI y se ha evidenciado su rol en la economía internacional basada en el conocimiento. Asimismo, se ha identificado que a nivel mundial la educación superior, a la vez que atraviesa una masificación intensa, continua y sin antecedentes, evidencia altas tasas de abandono estudiantil dando lugar a procesos de </w:t>
      </w:r>
      <w:r w:rsidDel="00000000" w:rsidR="00000000" w:rsidRPr="00000000">
        <w:rPr>
          <w:rFonts w:ascii="Times New Roman" w:cs="Times New Roman" w:eastAsia="Times New Roman" w:hAnsi="Times New Roman"/>
          <w:i w:val="1"/>
          <w:iCs w:val="1"/>
          <w:rtl w:val="0"/>
        </w:rPr>
        <w:t xml:space="preserve">inclusión excluyente </w:t>
      </w:r>
      <w:r w:rsidDel="00000000" w:rsidR="00000000" w:rsidRPr="00000000">
        <w:rPr>
          <w:rFonts w:ascii="Times New Roman" w:cs="Times New Roman" w:eastAsia="Times New Roman" w:hAnsi="Times New Roman"/>
          <w:rtl w:val="0"/>
        </w:rPr>
        <w:t xml:space="preserve"> (Ezcurra, 2022). </w:t>
      </w:r>
    </w:p>
    <w:p w:rsidR="00000000" w:rsidDel="00000000" w:rsidP="00000000" w:rsidRDefault="00000000" w:rsidRPr="00000000" w14:paraId="00000009">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Argentina estas transformaciones adquirieron dimensiones específicas. La universidad pública de este país atraviesa procesos de masificación intensos, debiéndose en gran parte a dos tradiciones que la han marcado fuertemente: el ingreso irrestricto -sin cupos- y la gratuidad -sin aranceles-. En los últimos años se desarrolló un profundo debate sobre la relación entre el ingreso irrestricto y la inclusión social. De este modo, emergió como consenso entre varias investigadoras de que en sociedades profundamente desiguales operan mecanismos de selectividad, incluso cuando existen mecanismos y posicionamientos democráticos como los del ingreso irrestricto y la gratuidad en las universidades argentinas (Gluz, 2011; Grandoli, 2009; Ezcurra, 2013). En este contexto las políticas de becas irán adquiriendo el sentido de ayudar a contrarrestar los efectos de la desigualdad social en el ámbito universitario. </w:t>
      </w:r>
    </w:p>
    <w:p w:rsidR="00000000" w:rsidDel="00000000" w:rsidP="00000000" w:rsidRDefault="00000000" w:rsidRPr="00000000" w14:paraId="0000000A">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ponencia se presentarán avances de un Proyecto de Investigación procura analizar un programa de becas desplegado por la Universidad Nacional de Rosario (Santa Fe, Argentina) y el modo en que se propone incidir particularmente en la tensión entre inclusión educativa y desigualdad social. El Programa “Beca de Acceso a la Universidad Pública” comenzó a implementarse en 2019 y tiene como objetivo fortalecer las trayectorias de estudiantes de clases populares. Del Programa participan 13 escuelas de barrios populares de la ciudad de Rosario que provienen de articulaciones previas generadas en distintos programas. </w:t>
      </w:r>
    </w:p>
    <w:p w:rsidR="00000000" w:rsidDel="00000000" w:rsidP="00000000" w:rsidRDefault="00000000" w:rsidRPr="00000000" w14:paraId="0000000B">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ejes de indagación tienen que ver con los objetivos, modalidad de implementación y población participante del programa, así como las percepciones de distintos actores institucionales respecto de la tensión entre inclusión educativa y desigualdad social. La estrategia metodológica implementada en la investigación fue la cualitativa y la recogida de datos se realizó entre los años 2024 y 2025.     </w:t>
      </w:r>
    </w:p>
    <w:p w:rsidR="00000000" w:rsidDel="00000000" w:rsidP="00000000" w:rsidRDefault="00000000" w:rsidRPr="00000000" w14:paraId="0000000C">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Inclusión, desigualdad, políticas de becas.</w:t>
      </w: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0F">
      <w:pPr>
        <w:spacing w:after="0" w:before="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los últimos años la permanencia en la educación superior se ha convertido en un tema de agenda en América Latina y el Caribe. Así, en las políticas educativas e institucionales se observa un desplazamiento en el marco de las preocupaciones del acceso a la permanencia. Hoy se reconoce que garantizar el acceso no es suficiente y que se hace necesario diseñar estrategias institucionales para sostener las trayectorias estudiantiles (García, 2024). </w:t>
      </w:r>
    </w:p>
    <w:p w:rsidR="00000000" w:rsidDel="00000000" w:rsidP="00000000" w:rsidRDefault="00000000" w:rsidRPr="00000000" w14:paraId="00000010">
      <w:pPr>
        <w:spacing w:after="0" w:before="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este campo de estudios, Silva Laya (2015) señala que con el cambio de siglo hay un desplazamiento desde las explicaciones sobre el abandono a la retención. De este modo, aparece una preocupación por entender cuales son las estrategias que despliegan las instituciones para aportar a la permanencia, a que el estudiantado sostenga sus trayectorias. Coincidentemente, </w:t>
      </w:r>
      <w:r w:rsidDel="00000000" w:rsidR="00000000" w:rsidRPr="00000000">
        <w:rPr>
          <w:rFonts w:ascii="Times New Roman" w:cs="Times New Roman" w:eastAsia="Times New Roman" w:hAnsi="Times New Roman"/>
          <w:highlight w:val="white"/>
          <w:rtl w:val="0"/>
        </w:rPr>
        <w:t xml:space="preserve">un estudio reciente (Chiarino et al., 2024), que realiza una revisión exhaustiva sobre artículos que abordan las problemáticas del abandono y la permanencia de estudiantes en universidades latinoamericanas y caribeñas entre 1992 y 2022, arroja que aún predominan los estudios con foco en el abandono. También, detalla que se observa un crecimiento de este campo a partir del 2013, que la mayoría de las investigaciones han puesto el foco en variables vinculadas al sujeto  y que predominan las realizadas por instituciones públicas. Asimismo, señalan que recientemente ha habido un aumento de estudios sobre la permanencia estudiantil y que se observa una vacante respecto de los análisis sobre los impactos de las políticas educativas para la permanencia. </w:t>
      </w:r>
      <w:r w:rsidDel="00000000" w:rsidR="00000000" w:rsidRPr="00000000">
        <w:rPr>
          <w:rtl w:val="0"/>
        </w:rPr>
      </w:r>
    </w:p>
    <w:p w:rsidR="00000000" w:rsidDel="00000000" w:rsidP="00000000" w:rsidRDefault="00000000" w:rsidRPr="00000000" w14:paraId="00000011">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las políticas de becas irán adquiriendo el sentido de aportar a contrarrestar los efectos de la desigualdad social en el ámbito universitario. Es así que estudiar las políticas de becas en este nuevo escenario implica pensar el rol de las instituciones en términos de garantizar el acceso a la educación superior y promover procesos de inclusión educativa, es decir, de retención. </w:t>
      </w:r>
    </w:p>
    <w:p w:rsidR="00000000" w:rsidDel="00000000" w:rsidP="00000000" w:rsidRDefault="00000000" w:rsidRPr="00000000" w14:paraId="00000012">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problemática, que como decimos tiene un alcance regional, adquiere dimensiones específicas en la universidad pública argentina que por su devenir histórico, plagado de tensiones, se construyó en torno a tradiciones como el ingreso irrestricto y la gratuidad (</w:t>
      </w:r>
      <w:r w:rsidDel="00000000" w:rsidR="00000000" w:rsidRPr="00000000">
        <w:rPr>
          <w:rFonts w:ascii="Times New Roman" w:cs="Times New Roman" w:eastAsia="Times New Roman" w:hAnsi="Times New Roman"/>
          <w:rtl w:val="0"/>
        </w:rPr>
        <w:t xml:space="preserve">Pierella y Santos Sharpe, 2016</w:t>
      </w:r>
      <w:r w:rsidDel="00000000" w:rsidR="00000000" w:rsidRPr="00000000">
        <w:rPr>
          <w:rFonts w:ascii="Times New Roman" w:cs="Times New Roman" w:eastAsia="Times New Roman" w:hAnsi="Times New Roman"/>
          <w:rtl w:val="0"/>
        </w:rPr>
        <w:t xml:space="preserve">). De este modo, el sistema universitario argentino posee algunas características que actúan como dinámicas democratizadoras y en donde las políticas de becas adquieren la relevancia de ser un instrumento que coadyuva en tales procesos. </w:t>
      </w:r>
    </w:p>
    <w:p w:rsidR="00000000" w:rsidDel="00000000" w:rsidP="00000000" w:rsidRDefault="00000000" w:rsidRPr="00000000" w14:paraId="00000013">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En Argentina desde los años 60 hasta el año 2000 estuvo vigente el Programa de Crédito Educativo. También, estuvieron presentes distintos programas de becas, los cuales se fueron ampliando. En el año 2014 </w:t>
      </w:r>
      <w:r w:rsidDel="00000000" w:rsidR="00000000" w:rsidRPr="00000000">
        <w:rPr>
          <w:rFonts w:ascii="Times New Roman" w:cs="Times New Roman" w:eastAsia="Times New Roman" w:hAnsi="Times New Roman"/>
          <w:rtl w:val="0"/>
        </w:rPr>
        <w:t xml:space="preserve">se creó el Programa de Respaldo a Estudiantes —Progresar—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con el objetivo de contribuir a la inserción laboral y educativa de jóvenes provenientes de hogares con bajos ingresos. </w:t>
      </w:r>
      <w:r w:rsidDel="00000000" w:rsidR="00000000" w:rsidRPr="00000000">
        <w:rPr>
          <w:rFonts w:ascii="Times New Roman" w:cs="Times New Roman" w:eastAsia="Times New Roman" w:hAnsi="Times New Roman"/>
          <w:rtl w:val="0"/>
        </w:rPr>
        <w:t xml:space="preserve">Melendez et al. (2020) señalan que </w:t>
      </w:r>
      <w:r w:rsidDel="00000000" w:rsidR="00000000" w:rsidRPr="00000000">
        <w:rPr>
          <w:rFonts w:ascii="Times New Roman" w:cs="Times New Roman" w:eastAsia="Times New Roman" w:hAnsi="Times New Roman"/>
          <w:highlight w:val="white"/>
          <w:rtl w:val="0"/>
        </w:rPr>
        <w:t xml:space="preserve">el programa promueve que los/as jóvenes que no trabajan, que trabajan de  modo informal o tienen un salario menor al mínimo vital y móvil, inicien o completen sus estudios o su formación para el trabajo. Si bien comprende a jóvenes de entre 18 y 24 años, excepcionalmente se extiende hasta los 30 años. Esta política ha tenido una gran relevancia por la magnitud de población que comprende, siendo el desempleo y la informalidad laboral una problemática que afecta particularmente a la juventud. Por su parte, Chiroleu (2018) y García de Fanelli (2014) han destacado el importante rol que han tenido estas becas en el acceso, permanencia y finalización de carreras de estudiantes de hogares de clases populares en las universidades nacionales. </w:t>
      </w:r>
      <w:r w:rsidDel="00000000" w:rsidR="00000000" w:rsidRPr="00000000">
        <w:rPr>
          <w:rtl w:val="0"/>
        </w:rPr>
      </w:r>
    </w:p>
    <w:p w:rsidR="00000000" w:rsidDel="00000000" w:rsidP="00000000" w:rsidRDefault="00000000" w:rsidRPr="00000000" w14:paraId="00000014">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trabajo presentamos algunos resultados de un proyecto de investigación que procura  analizar un programa de becas desplegado por la Universidad Nacional de Rosario (Santa Fe, Argentina) y el modo en que se propone incidir particularmente en la tensión entre inclusión educativa y desigualdad social. El Programa “Beca de Acceso a la Universidad Pública” comenzó a implementarse en 2019 y tiene como objetivo fortalecer las trayectorias de estudiantes de clases populares. Así, indagaremos acerca de </w:t>
      </w:r>
      <w:r w:rsidDel="00000000" w:rsidR="00000000" w:rsidRPr="00000000">
        <w:rPr>
          <w:rFonts w:ascii="Times New Roman" w:cs="Times New Roman" w:eastAsia="Times New Roman" w:hAnsi="Times New Roman"/>
          <w:highlight w:val="white"/>
          <w:rtl w:val="0"/>
        </w:rPr>
        <w:t xml:space="preserve">los</w:t>
      </w:r>
      <w:r w:rsidDel="00000000" w:rsidR="00000000" w:rsidRPr="00000000">
        <w:rPr>
          <w:rFonts w:ascii="Times New Roman" w:cs="Times New Roman" w:eastAsia="Times New Roman" w:hAnsi="Times New Roman"/>
          <w:rtl w:val="0"/>
        </w:rPr>
        <w:t xml:space="preserve"> objetivos, modalidad de implementación y población participante del programa bajo estudio, así como las percepciones de distintos actores institucionales respecto al modo en que esta política aporta a la inclusión educativa en la universidad. La estrategia metodológica implementada fue la cualitativa y la recogida de datos se realizó entre los años 2024 y 2025.</w:t>
      </w:r>
    </w:p>
    <w:p w:rsidR="00000000" w:rsidDel="00000000" w:rsidP="00000000" w:rsidRDefault="00000000" w:rsidRPr="00000000" w14:paraId="0000001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7">
      <w:pPr>
        <w:spacing w:after="0" w:line="240" w:lineRule="auto"/>
        <w:ind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highlight w:val="white"/>
          <w:rtl w:val="0"/>
        </w:rPr>
        <w:t xml:space="preserve">Surgimiento y objetivos del Programa “Beca de Acceso a la Universidad Pública”</w:t>
      </w: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Beca, si bien fue creada en 2011, recién se implementó en 2019 y apunta a poner a disposición de estudiantes de escuelas medias de barrios populares de la ciudad, información, acompañamiento, contención y recursos materiales para que continúen sus estudios en la UNR. Por su parte, la normativa de creación del programa -Resol. CS N° 549/2011- retoma como fundamento de la iniciativa el artículo 75 inc. 19 de la Constitución Nacional donde se alude a la responsabilidad indelegable del Estado en términos de garantizar la igualdad de oportunidades, sin discriminación alguna y los </w:t>
      </w:r>
      <w:r w:rsidDel="00000000" w:rsidR="00000000" w:rsidRPr="00000000">
        <w:rPr>
          <w:rFonts w:ascii="Times New Roman" w:cs="Times New Roman" w:eastAsia="Times New Roman" w:hAnsi="Times New Roman"/>
          <w:highlight w:val="white"/>
          <w:rtl w:val="0"/>
        </w:rPr>
        <w:t xml:space="preserve">principios de gratuidad y equidad de la educación pública estatal. A su vez, se hace mención al Estatuto de la UNR que tiene como principio el compromiso social con los distintos sectores sociales. De este modo, el presente programa busca materializar estos principios político-educativos tendiendo a garantizar la igualdad de oportunidades en el ingreso, permanencia y egreso. El organismo para vehiculizar este programa fue la Dirección de Bienestar Estudiantil, ya que tiene como misión institucional “crear condiciones de inclusión social y académica, promoviendo la inserción real del estudiante en la comunidad universitaria y contribuyendo a la continuidad del cursado de la carrera sin interrupciones hasta su finalización” (</w:t>
      </w:r>
      <w:r w:rsidDel="00000000" w:rsidR="00000000" w:rsidRPr="00000000">
        <w:rPr>
          <w:rFonts w:ascii="Times New Roman" w:cs="Times New Roman" w:eastAsia="Times New Roman" w:hAnsi="Times New Roman"/>
          <w:rtl w:val="0"/>
        </w:rPr>
        <w:t xml:space="preserve">Resol. CS N° 549/2011).</w:t>
      </w:r>
    </w:p>
    <w:p w:rsidR="00000000" w:rsidDel="00000000" w:rsidP="00000000" w:rsidRDefault="00000000" w:rsidRPr="00000000" w14:paraId="0000001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 forma en que se buscó materializar este objetivo, la referente plantea que en un  primer momento se pensó en articular con el Ministerio de Educación de la provincia de Santa Fe y relevar escuelas que se encontraban en barrios en situación de vulnerabilidad. Sin embargo, prontamente se halló que esta forma de encarar la iniciativa ameritaba otra temporalidad ante la gran magnitud. Así, se decidió comenzar con escuelas con las que ya había un contacto previo. Las articulaciones gestadas en programas con comunidades de Pueblos Originarios y de los programas “Nexos II”, perteneciente al, por entonces llamado, Ministerio de Educación, Cultura, Ciencia y Tecnología de la Nación (Resolución E Nº 3117/2017), y “Lazos”, del Ministerio de Educación de la Provincia de Santa Fe (UNR, 2019) fueron las que posibilitaron ese comienzo. </w:t>
      </w:r>
    </w:p>
    <w:p w:rsidR="00000000" w:rsidDel="00000000" w:rsidP="00000000" w:rsidRDefault="00000000" w:rsidRPr="00000000" w14:paraId="0000001A">
      <w:pPr>
        <w:spacing w:after="0" w:line="240" w:lineRule="auto"/>
        <w:ind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 Programa participan, actualmente, 13 escuelas de barrios populares de la ciudad de Rosario que, como se mencionó anteriormente, provienen de articulaciones previas generadas en distintos programas (Página institucional: https://unr.edu.ar/becas-estudiantiles/). Integran el Programa dos escuelas de formación técnica y 11 escuelas orientadas, perteneciendo 5 de ellas a la gestión pública, 7 a la gestión privada y una de gestión social.  Las mismas se encuentran emplazadas en distintos puntos geográficos, que tal como se puede ver en el Mapa 1, están ubicadas, en su mayoría, en la periferia de la ciudad. </w:t>
      </w:r>
    </w:p>
    <w:p w:rsidR="00000000" w:rsidDel="00000000" w:rsidP="00000000" w:rsidRDefault="00000000" w:rsidRPr="00000000" w14:paraId="0000001B">
      <w:pPr>
        <w:spacing w:after="0" w:line="240" w:lineRule="auto"/>
        <w:ind w:right="17.95275590551284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line="240" w:lineRule="auto"/>
        <w:ind w:right="17.952755905512845"/>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Mapa 1. Distribución de escuelas participantes del programa Beca de Acceso a la Universidad Pública en la ciudad de Rosario (Santa Fe, Argentina)</w:t>
      </w:r>
    </w:p>
    <w:p w:rsidR="00000000" w:rsidDel="00000000" w:rsidP="00000000" w:rsidRDefault="00000000" w:rsidRPr="00000000" w14:paraId="0000001D">
      <w:pPr>
        <w:spacing w:after="0" w:line="240" w:lineRule="auto"/>
        <w:ind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4775200"/>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399730" cy="47752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0" w:line="240" w:lineRule="auto"/>
        <w:ind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Fuentes: elaboración propia en base a herramientas Google Maps y Chat GPT. </w:t>
      </w:r>
    </w:p>
    <w:p w:rsidR="00000000" w:rsidDel="00000000" w:rsidP="00000000" w:rsidRDefault="00000000" w:rsidRPr="00000000" w14:paraId="0000001F">
      <w:pPr>
        <w:spacing w:after="0" w:line="240" w:lineRule="auto"/>
        <w:ind w:right="17.952755905512845"/>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0">
      <w:pPr>
        <w:spacing w:after="0" w:line="240" w:lineRule="auto"/>
        <w:ind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decir, estas escuelas se encuentran por fuera del centro de la ciudad, que es donde se ubican las principales actividades comerciales, financieras, administrativas y de servicios, así como donde se concentra el capital económico y social. </w:t>
      </w:r>
    </w:p>
    <w:p w:rsidR="00000000" w:rsidDel="00000000" w:rsidP="00000000" w:rsidRDefault="00000000" w:rsidRPr="00000000" w14:paraId="00000021">
      <w:pPr>
        <w:spacing w:after="0" w:line="240" w:lineRule="auto"/>
        <w:ind w:right="17.95275590551284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after="0" w:line="240" w:lineRule="auto"/>
        <w:ind w:right="17.952755905512845"/>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Implementación de la propuesta</w:t>
      </w:r>
    </w:p>
    <w:p w:rsidR="00000000" w:rsidDel="00000000" w:rsidP="00000000" w:rsidRDefault="00000000" w:rsidRPr="00000000" w14:paraId="00000023">
      <w:pPr>
        <w:spacing w:after="0" w:line="240" w:lineRule="auto"/>
        <w:ind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la implementación de la propuesta, el Área de Bienestar Universitario (UN</w:t>
      </w:r>
      <w:r w:rsidDel="00000000" w:rsidR="00000000" w:rsidRPr="00000000">
        <w:rPr>
          <w:rFonts w:ascii="Times New Roman" w:cs="Times New Roman" w:eastAsia="Times New Roman" w:hAnsi="Times New Roman"/>
          <w:highlight w:val="white"/>
          <w:rtl w:val="0"/>
        </w:rPr>
        <w:t xml:space="preserve">R) dicta u</w:t>
      </w:r>
      <w:r w:rsidDel="00000000" w:rsidR="00000000" w:rsidRPr="00000000">
        <w:rPr>
          <w:rFonts w:ascii="Times New Roman" w:cs="Times New Roman" w:eastAsia="Times New Roman" w:hAnsi="Times New Roman"/>
          <w:rtl w:val="0"/>
        </w:rPr>
        <w:t xml:space="preserve">na serie de talleres sobre la oferta de carreras y de becas para estudiantes del último año en las escuelas participantes del Programa. Luego, se realiza un acompañamiento a quienes deseen inscribirse en alguna carrera </w:t>
      </w:r>
      <w:r w:rsidDel="00000000" w:rsidR="00000000" w:rsidRPr="00000000">
        <w:rPr>
          <w:rFonts w:ascii="Times New Roman" w:cs="Times New Roman" w:eastAsia="Times New Roman" w:hAnsi="Times New Roman"/>
          <w:rtl w:val="0"/>
        </w:rPr>
        <w:t xml:space="preserve">y se le otorga de modo gradual una serie de Becas y un estipendio mensual.</w:t>
      </w:r>
      <w:r w:rsidDel="00000000" w:rsidR="00000000" w:rsidRPr="00000000">
        <w:rPr>
          <w:rFonts w:ascii="Times New Roman" w:cs="Times New Roman" w:eastAsia="Times New Roman" w:hAnsi="Times New Roman"/>
          <w:rtl w:val="0"/>
        </w:rPr>
        <w:t xml:space="preserve"> Se realizan encuentros en las facultades para mostrarle las instalaciones, indicarles los espacios que tienen a disposición y donde deben realizar trámites administrativos. También, se pone en contacto a las personas participantes con los espacios de tutoría de cada facultad para que tengan un acompañamiento en los inicios de sus carreras. Asimismo, se realizan entrevistas grupales e individuales para acompañar el tránsito, identificar problemáticas que están teniendo y brindar herramientas para resolverlo. También, se busca evaluar la continuidad en los estudios y sostener un contacto entre el Programa y el estudiantado. </w:t>
      </w:r>
    </w:p>
    <w:p w:rsidR="00000000" w:rsidDel="00000000" w:rsidP="00000000" w:rsidRDefault="00000000" w:rsidRPr="00000000" w14:paraId="00000024">
      <w:pPr>
        <w:spacing w:after="0" w:line="240" w:lineRule="auto"/>
        <w:ind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cabe destacar algunas cuestiones que afectaron la implementación de esta política. Por un lado, emerge la virtualización forzosa que sufrió el programa entre los años 2020 y 2021, debido a la pandemia mundial del Covid-19. Durante esos años la misma se sostuvo bajo un formato virtual. Así, se realizaron jornadas de difusión de carreras virtuales, entrevistas en formato </w:t>
      </w:r>
      <w:r w:rsidDel="00000000" w:rsidR="00000000" w:rsidRPr="00000000">
        <w:rPr>
          <w:rFonts w:ascii="Times New Roman" w:cs="Times New Roman" w:eastAsia="Times New Roman" w:hAnsi="Times New Roman"/>
          <w:i w:val="1"/>
          <w:iCs w:val="1"/>
          <w:rtl w:val="0"/>
        </w:rPr>
        <w:t xml:space="preserve">on line</w:t>
      </w:r>
      <w:r w:rsidDel="00000000" w:rsidR="00000000" w:rsidRPr="00000000">
        <w:rPr>
          <w:rFonts w:ascii="Times New Roman" w:cs="Times New Roman" w:eastAsia="Times New Roman" w:hAnsi="Times New Roman"/>
          <w:rtl w:val="0"/>
        </w:rPr>
        <w:t xml:space="preserve"> y acompañamiento por redes sociales y whatsapp. Por otro lado, cabe considerar que desde 2023 el programa, así como todas las actividades universitarias, sufren las consecuencias del enorme ajuste presupuestario que se aplica a las instituciones públicas. Los/as actores institucionales relatan las enormes dificultades que tuvieron para sostener las actividades en un escenario marcado por el desfinanciamiento y en donde debieron redoblar los esfuerzos para lograr la continuidad de las iniciativas. En tal contexto, cabe destacar un cambio que se efectuó en la implementación del Programa durante los años 2024 y 2025. Si bien se pudo relevar que en 2026 se volvió a la forma de implementación anterior. </w:t>
      </w:r>
    </w:p>
    <w:p w:rsidR="00000000" w:rsidDel="00000000" w:rsidP="00000000" w:rsidRDefault="00000000" w:rsidRPr="00000000" w14:paraId="00000025">
      <w:pPr>
        <w:spacing w:after="0" w:line="240" w:lineRule="auto"/>
        <w:ind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año 2024 se buscó retomar la idea, que estaba en los inicios, de incrementar la cantidad de escuelas participantes y “ampliar la llegada” (E1, 2025). En este sentido, la referente entrevistada relata que se trabajó con listados proporcionados por el Ministerio de Educación de la provincia, donde se agrupa a las escuelas por perfiles socioeconómicos, se definió una población objetivo y se convocó a las escuelas a participar del Programa. De este modo, se contactó al personal directivo de las instituciones y se coordinaron las actividades en los distritos municipales, en conjunto con estos espacios. Las charlas, que antes se hacían en las escuelas, se realizaron en espacios municipales. Así, se amplió la cantidad de escuelas participantes, llegando a unas 40 escuelas, y alcanzando a 694 estudiantes (Dirección de Bienestar Estudiantil UNR, 2025). También, la intención era </w:t>
      </w:r>
      <w:r w:rsidDel="00000000" w:rsidR="00000000" w:rsidRPr="00000000">
        <w:rPr>
          <w:rFonts w:ascii="Times New Roman" w:cs="Times New Roman" w:eastAsia="Times New Roman" w:hAnsi="Times New Roman"/>
          <w:rtl w:val="0"/>
        </w:rPr>
        <w:t xml:space="preserve">generar</w:t>
      </w:r>
      <w:r w:rsidDel="00000000" w:rsidR="00000000" w:rsidRPr="00000000">
        <w:rPr>
          <w:rFonts w:ascii="Times New Roman" w:cs="Times New Roman" w:eastAsia="Times New Roman" w:hAnsi="Times New Roman"/>
          <w:rtl w:val="0"/>
        </w:rPr>
        <w:t xml:space="preserve"> articulaciones en el territorio con otras instituciones como los centros de salud para poder promover abordajes más coordinados de la población participante.</w:t>
      </w:r>
    </w:p>
    <w:p w:rsidR="00000000" w:rsidDel="00000000" w:rsidP="00000000" w:rsidRDefault="00000000" w:rsidRPr="00000000" w14:paraId="00000026">
      <w:pPr>
        <w:spacing w:after="0" w:line="240" w:lineRule="auto"/>
        <w:ind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algunos/as docentes de las escuelas plantean dificultades que se presentaron con este cambio en la implementación. Entre algunas de ellas aparecen: dificultades de las instituciones para organizar salidas fuera y, por tanto, participar de las actividades y pérdida de relación entre el Programa y las escuelas que lo integran desde el comienzo. Como mencionamos anteriormente, al año siguiente se decidió continuar con la modalidad de trabajo anterior.</w:t>
      </w:r>
    </w:p>
    <w:p w:rsidR="00000000" w:rsidDel="00000000" w:rsidP="00000000" w:rsidRDefault="00000000" w:rsidRPr="00000000" w14:paraId="00000027">
      <w:pPr>
        <w:spacing w:after="0" w:line="240" w:lineRule="auto"/>
        <w:ind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cabe señalar las limitaciones que supuso el recorte presupuestario efectuado por el gobierno a todas las universidades nacionales del país, que tuvo efectos directos en todas las actividades de la institución. Referentes del Programa señalan que esta reducción presupuestaria implicó que se cuente con menos recursos para afrontar las actividades, lo que en muchos casos significó que sea el personal quien intenta suplirlo con su trabajo (E1, 2025). En este sentido, la referente plantea que es paradójico que en un momento donde desde el gobierno nacional se buscó “retroceder en todo lo que sea lo público” fue cuando más la universidad estuvo “afuera”, en contacto con la sociedad (E1, 2025).</w:t>
      </w:r>
    </w:p>
    <w:p w:rsidR="00000000" w:rsidDel="00000000" w:rsidP="00000000" w:rsidRDefault="00000000" w:rsidRPr="00000000" w14:paraId="00000028">
      <w:pPr>
        <w:spacing w:after="0" w:line="240" w:lineRule="auto"/>
        <w:ind w:right="17.952755905512845"/>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9">
      <w:pPr>
        <w:spacing w:after="0" w:line="240" w:lineRule="auto"/>
        <w:ind w:right="17.952755905512845"/>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Población participante de la Beca y elecciones de carrera</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los datos brindados por la Dirección de Bienestar Estudiantil UNR (2025) se puede observar una gran fluctuación en la participación. En el año 2020 se registraron unos/as 120 inscriptos/as y en 2025 se alcanzó a casi 700 estudiantes. Estas variaciones se debieron a las diferencias en que la convocatoria fue realizada, tal como mencionamos anteriormente.</w:t>
      </w:r>
    </w:p>
    <w:p w:rsidR="00000000" w:rsidDel="00000000" w:rsidP="00000000" w:rsidRDefault="00000000" w:rsidRPr="00000000" w14:paraId="0000002B">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destacar que en su mayoría las participantes son mujeres y que esto se condice con las estadísticas que hablan de una mayor participación de mujeres en la educación superior (</w:t>
      </w:r>
      <w:r w:rsidDel="00000000" w:rsidR="00000000" w:rsidRPr="00000000">
        <w:rPr>
          <w:rFonts w:ascii="Times New Roman" w:cs="Times New Roman" w:eastAsia="Times New Roman" w:hAnsi="Times New Roman"/>
          <w:color w:val="212121"/>
          <w:rtl w:val="0"/>
        </w:rPr>
        <w:t xml:space="preserve">IESALC, 2026</w:t>
      </w:r>
      <w:r w:rsidDel="00000000" w:rsidR="00000000" w:rsidRPr="00000000">
        <w:rPr>
          <w:rFonts w:ascii="Times New Roman" w:cs="Times New Roman" w:eastAsia="Times New Roman" w:hAnsi="Times New Roman"/>
          <w:rtl w:val="0"/>
        </w:rPr>
        <w:t xml:space="preserve">). En cuanto a las carreras elegidas encontramos que la Licenciatura en Enfermería es la más seleccionada por el estudiantado. Otras carreras muy elegidas son: Arquitectura, Psicología y Contador Público. En menor medida hay estudiantes que eligen carreras como Medicina, Licenciatura en Diseño Gráfico, Licenciatura en Administración de Empresas y Abogacía.</w:t>
      </w:r>
    </w:p>
    <w:p w:rsidR="00000000" w:rsidDel="00000000" w:rsidP="00000000" w:rsidRDefault="00000000" w:rsidRPr="00000000" w14:paraId="0000002C">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ejemplo, en diciembre de 2024 había 88 estudiantes que participaban del Programa. 27  de ellos/as estudiaban carreras relacionadas a la salud: 18 en Licenciatura en Enfermería, 6 en Medicina, 2 en Licenciatura en Fonoaudiología y 2 en Odontología. Mientras que 9 de ellos/as estudiaban Psicología, otros/as 9 Arquitectura y otros/as  9 Contador Público.  </w:t>
      </w:r>
    </w:p>
    <w:p w:rsidR="00000000" w:rsidDel="00000000" w:rsidP="00000000" w:rsidRDefault="00000000" w:rsidRPr="00000000" w14:paraId="0000002D">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la elección de Enfermería como la carrera más seleccionada por los/as participantes del programa, existen varios estudios (Garriga Olmos, 2025; González y Malleville, 2021) que analizan esto. Así, se vincula su configuración histórica como profesión ligada al cuidado y, por tanto, con mayor presencia de mujeres e identidades feminizadas. González y Malleville (2021) analizan las trayectorias de estudiantes y visualizan cómo la posición social y genérica se conjugan haciendo que la carrera de Enfermería aparezca como horizonte de posibilidad de estudios y de una carrera laboral factible. Esta vinculación es resaltada por una de las docentes entrevistadas al destacar que muchas de sus estudiantes, que provienen de la comunidad Qom, eligen esta carrera por cuanto el cuidado es muy importante en su cultura (E3).</w:t>
      </w:r>
    </w:p>
    <w:p w:rsidR="00000000" w:rsidDel="00000000" w:rsidP="00000000" w:rsidRDefault="00000000" w:rsidRPr="00000000" w14:paraId="0000002E">
      <w:pPr>
        <w:spacing w:after="0" w:line="240" w:lineRule="auto"/>
        <w:ind w:firstLine="283.464566929133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0" w:line="240" w:lineRule="auto"/>
        <w:ind w:right="17.952755905512845"/>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Sentidos sobre la inclusión educativa en el Programa</w:t>
      </w:r>
    </w:p>
    <w:p w:rsidR="00000000" w:rsidDel="00000000" w:rsidP="00000000" w:rsidRDefault="00000000" w:rsidRPr="00000000" w14:paraId="00000030">
      <w:pPr>
        <w:spacing w:after="0" w:line="240" w:lineRule="auto"/>
        <w:ind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 como hemos mencionado anteriormente, los programas de becas en la universidad buscan, principalmente desde los años 90, disminuir las desigualdades en el nivel. En términos de Chiroleu (2016) buscan promover una “democratización externa” al incentivar medidas tendientes a generar una mayor representación social de las clases o grupos sociales históricamente ausentes en el seno de la institución. </w:t>
      </w:r>
    </w:p>
    <w:p w:rsidR="00000000" w:rsidDel="00000000" w:rsidP="00000000" w:rsidRDefault="00000000" w:rsidRPr="00000000" w14:paraId="00000031">
      <w:pPr>
        <w:spacing w:after="0" w:line="240" w:lineRule="auto"/>
        <w:ind w:firstLine="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respecto, vale introducir la noción de “cuestión social" que propone Grassi (2003), en cuanto nos permite entender a los problemas sociales y a las políticas que los abordan como construcciones, fruto de un determinado momento histórico. Grassi (2003) sostiene que el Estado Moderno, como referente de la ciudadanía, se instituyó sobre las ideas de la igualdad y la libertad, pero que, como constitutivo del proceso de acumulación capitalista, se fundó sobre la desigualdad estructural y la dependencia resultante de la subordinación del trabajo al capital. De este modo, afirma que la cuestión social se particulariza, en cada época, en problemas sociales que son, a la vez, la “expresión hegemónica de cómo se interroga, interpreta, resuelve, ordena y canaliza la misma” (p. 22). Entonces, un problema social no sería tal por su dimensión absoluta, sino que deviene en el mismo como fruto de una disputa por su definición, pero, también, por la delimitación de sus causas y ámbitos de competencia en sus soluciones. En síntesis, un problema social es “objeto de disputas simbólicas y teóricas  que enmascaran intereses que orientan la acción en lo ateniente a la solución del mismo; esto es, los planes y programas de los diversos sectores de la política social del Estado” (Grassi, 2003, p. 23). A partir de la noción de problema social como construcción de época en la que intervienen intereses y conflictos por su definición, delimitación y soluciones, es que cabe pensar a las políticas de beca como construcciones atravesadas por estas tensiones. Asimismo, Capelari (2017) señala que las políticas pueden concebirse como producto y como proceso y que así como se traducen en textos escritos (normativas, programas, planes, etc.), las políticas implican acciones y prácticas. Entonces, para la autora, un aspecto central de las mismas son los significados que los actores les atribuyen; ya que hacer política supone una tensión entre lo universal y lo particular y la construcción de consensos sobre los principios generales y sus formas de concreción (Vitar, 2006 en Capelari, 2017). De tal modo, Capelari (2017) afirma que es importante explicar la génesis de las políticas según los problemas que se plantean como centrales y las soluciones y formas de concreción privilegiadas que se identifican para responder a los mismos en los distintos contextos. </w:t>
      </w:r>
    </w:p>
    <w:p w:rsidR="00000000" w:rsidDel="00000000" w:rsidP="00000000" w:rsidRDefault="00000000" w:rsidRPr="00000000" w14:paraId="00000032">
      <w:pPr>
        <w:spacing w:after="0" w:line="240" w:lineRule="auto"/>
        <w:ind w:right="17.952755905512845"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este modo, podemos afirmar que el Programa bajo estudio se inserta dentro de una línea de intervención que apunta a la democratización externa de la universidad (Chiroleu, 2016). Es decir, busca generar incentivos materiales, a través de una beca, para que estudiantes de barrios populares de la ciudad accedan a la educación superior. Sin embargo, hallamos que para docentes de las escuelas participantes los modos de generar ese acceso se diferencian de otros programas al buscar construir la demanda. Es en la medida en que “la universidad” va “al barrio” que, para los actores instituciones, se producen efectos de inclusión educativa: “van dos o tres veces al barrio a hacer el taller y eso fue un cambio total. Y ahí sí, digo, nosotros lo valoramos como un intento más serio de inclusión educativa. Que no es sólo poner guita</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para becas, digamos” (E2)</w:t>
      </w:r>
    </w:p>
    <w:p w:rsidR="00000000" w:rsidDel="00000000" w:rsidP="00000000" w:rsidRDefault="00000000" w:rsidRPr="00000000" w14:paraId="00000033">
      <w:pPr>
        <w:spacing w:after="0" w:line="240" w:lineRule="auto"/>
        <w:ind w:firstLine="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palabras de este docente hallamos que este movimiento, “de la universidad al barrio”, presenta una carga simbólica que excede al mero desplazamiento por la ciudad. Que la universidad vaya al barrio implica, para este docente, una apuesta por una inclusión educativa “seria”. Es decir, se contrapone una forma seria de construir inclusión, moverse, versus una forma no seria, sólo “poner guita”. Parecería que en esta forma “</w:t>
      </w:r>
      <w:r w:rsidDel="00000000" w:rsidR="00000000" w:rsidRPr="00000000">
        <w:rPr>
          <w:rFonts w:ascii="Times New Roman" w:cs="Times New Roman" w:eastAsia="Times New Roman" w:hAnsi="Times New Roman"/>
          <w:rtl w:val="0"/>
        </w:rPr>
        <w:t xml:space="preserve">seria” d</w:t>
      </w:r>
      <w:r w:rsidDel="00000000" w:rsidR="00000000" w:rsidRPr="00000000">
        <w:rPr>
          <w:rFonts w:ascii="Times New Roman" w:cs="Times New Roman" w:eastAsia="Times New Roman" w:hAnsi="Times New Roman"/>
          <w:rtl w:val="0"/>
        </w:rPr>
        <w:t xml:space="preserve">e construir inclusión, a la que alude el docente, tuviera peso el moverse en términos de correrse de un lugar de privilegio, ir al barrio, recorrer las escuelas y conocer el estudiantado. La forma no seria de promover inclusión, para el entrevistado, se hallaría en sólo destinar dinero a una beca en donde no se traspasarían las fronteras simbólicas -y </w:t>
      </w:r>
      <w:r w:rsidDel="00000000" w:rsidR="00000000" w:rsidRPr="00000000">
        <w:rPr>
          <w:rFonts w:ascii="Times New Roman" w:cs="Times New Roman" w:eastAsia="Times New Roman" w:hAnsi="Times New Roman"/>
          <w:rtl w:val="0"/>
        </w:rPr>
        <w:t xml:space="preserve">reales</w:t>
      </w:r>
      <w:r w:rsidDel="00000000" w:rsidR="00000000" w:rsidRPr="00000000">
        <w:rPr>
          <w:rFonts w:ascii="Times New Roman" w:cs="Times New Roman" w:eastAsia="Times New Roman" w:hAnsi="Times New Roman"/>
          <w:rtl w:val="0"/>
        </w:rPr>
        <w:t xml:space="preserve">- que separan a la universidad del barrio. </w:t>
      </w:r>
    </w:p>
    <w:p w:rsidR="00000000" w:rsidDel="00000000" w:rsidP="00000000" w:rsidRDefault="00000000" w:rsidRPr="00000000" w14:paraId="00000034">
      <w:pPr>
        <w:spacing w:after="0" w:line="240" w:lineRule="auto"/>
        <w:ind w:firstLine="283"/>
        <w:jc w:val="both"/>
        <w:rPr/>
      </w:pPr>
      <w:r w:rsidDel="00000000" w:rsidR="00000000" w:rsidRPr="00000000">
        <w:rPr>
          <w:rFonts w:ascii="Times New Roman" w:cs="Times New Roman" w:eastAsia="Times New Roman" w:hAnsi="Times New Roman"/>
          <w:rtl w:val="0"/>
        </w:rPr>
        <w:t xml:space="preserve">Profundizando en esta idea el entrevistado refiere a que este movimiento implica un descentramiento de la institución, algo inédito: “lo que no venía sucediendo es que la universidad vaya al barrio. Ese descentramiento fue bien recibido, por inédito también” (E2). De este modo, hallamos que para este docente la posibilidad de construir procesos de inclusión educativa en la universidad estarían en relación a que la institución se descentre, esto es, se corra del centro, simbólicamente. Pero, también,  geográficamente, que vaya a los márgenes de la ciudad, que no se quede en el centro de la ciudad. </w:t>
      </w:r>
      <w:r w:rsidDel="00000000" w:rsidR="00000000" w:rsidRPr="00000000">
        <w:rPr>
          <w:rtl w:val="0"/>
        </w:rPr>
      </w:r>
    </w:p>
    <w:p w:rsidR="00000000" w:rsidDel="00000000" w:rsidP="00000000" w:rsidRDefault="00000000" w:rsidRPr="00000000" w14:paraId="00000035">
      <w:pPr>
        <w:spacing w:after="0" w:line="240" w:lineRule="auto"/>
        <w:ind w:firstLine="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 sentido complementario otra docente refiere a una mayor presencia de la universidad en los barrios populares de la ciudad y particularmente destaca este Programa (E3). Para esta docente, es en la medida en que los/as trabajadores/as del programa van a la escuela, hablan con el estudiantado y le dan a conocer lo que ofrece la universidad que los/as mismos/as empiezan a pensarse como posibles destinatarios/as de la misma. Es en ese desplazamiento </w:t>
      </w:r>
      <w:r w:rsidDel="00000000" w:rsidR="00000000" w:rsidRPr="00000000">
        <w:rPr>
          <w:rFonts w:ascii="Times New Roman" w:cs="Times New Roman" w:eastAsia="Times New Roman" w:hAnsi="Times New Roman"/>
          <w:i w:val="1"/>
          <w:iCs w:val="1"/>
          <w:rtl w:val="0"/>
        </w:rPr>
        <w:t xml:space="preserve">de la universidad al barrio</w:t>
      </w:r>
      <w:r w:rsidDel="00000000" w:rsidR="00000000" w:rsidRPr="00000000">
        <w:rPr>
          <w:rFonts w:ascii="Times New Roman" w:cs="Times New Roman" w:eastAsia="Times New Roman" w:hAnsi="Times New Roman"/>
          <w:rtl w:val="0"/>
        </w:rPr>
        <w:t xml:space="preserve"> que se construye la demanda, que los/as estudiantes empiezan a pensar como una posibilidad estudiar en ella. Coincidentemente, el docente entrevistado sostiene que es en la medida en que los/as trabajadores/as del programa van a la escuela, que les comentan de esta posibilidad y que les ofrecen un acompañamiento que los/as estudiantes visualizan que es una posibilidad </w:t>
      </w:r>
      <w:r w:rsidDel="00000000" w:rsidR="00000000" w:rsidRPr="00000000">
        <w:rPr>
          <w:rFonts w:ascii="Times New Roman" w:cs="Times New Roman" w:eastAsia="Times New Roman" w:hAnsi="Times New Roman"/>
          <w:rtl w:val="0"/>
        </w:rPr>
        <w:t xml:space="preserve">real: </w:t>
      </w:r>
      <w:r w:rsidDel="00000000" w:rsidR="00000000" w:rsidRPr="00000000">
        <w:rPr>
          <w:rFonts w:ascii="Times New Roman" w:cs="Times New Roman" w:eastAsia="Times New Roman" w:hAnsi="Times New Roman"/>
          <w:rtl w:val="0"/>
        </w:rPr>
        <w:t xml:space="preserve"> “me venís  a contar algo que está bueno, me venís a invitar a algo que está bueno, que no es </w:t>
      </w:r>
      <w:r w:rsidDel="00000000" w:rsidR="00000000" w:rsidRPr="00000000">
        <w:rPr>
          <w:rFonts w:ascii="Times New Roman" w:cs="Times New Roman" w:eastAsia="Times New Roman" w:hAnsi="Times New Roman"/>
          <w:i w:val="1"/>
          <w:iCs w:val="1"/>
          <w:rtl w:val="0"/>
        </w:rPr>
        <w:t xml:space="preserve">careta</w:t>
      </w:r>
      <w:r w:rsidDel="00000000" w:rsidR="00000000" w:rsidRPr="00000000">
        <w:rPr>
          <w:rFonts w:ascii="Times New Roman" w:cs="Times New Roman" w:eastAsia="Times New Roman" w:hAnsi="Times New Roman"/>
          <w:i w:val="1"/>
          <w:iCs w:val="1"/>
          <w:vertAlign w:val="superscript"/>
        </w:rPr>
        <w:footnoteReference w:customMarkFollows="0" w:id="1"/>
      </w:r>
      <w:r w:rsidDel="00000000" w:rsidR="00000000" w:rsidRPr="00000000">
        <w:rPr>
          <w:rFonts w:ascii="Times New Roman" w:cs="Times New Roman" w:eastAsia="Times New Roman" w:hAnsi="Times New Roman"/>
          <w:rtl w:val="0"/>
        </w:rPr>
        <w:t xml:space="preserve">, que es serio, me está diciendo que yo puedo hacer esto, que me van a acompañar” (E2)</w:t>
      </w:r>
    </w:p>
    <w:p w:rsidR="00000000" w:rsidDel="00000000" w:rsidP="00000000" w:rsidRDefault="00000000" w:rsidRPr="00000000" w14:paraId="00000036">
      <w:pPr>
        <w:spacing w:after="0" w:line="240" w:lineRule="auto"/>
        <w:ind w:firstLine="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Es en ese desplazamiento y en la apuesta por el acompañamiento, que se hace verdadera en la medida en que se materializa la presencia de un trabajadora/a de la universidad en la escuela, que estos/as docentes entienden que la inclusión educativa se hace posible. Es en este juego de desplazamiento y presencia que los/as estudiantes se construyen como posibles demandantes de la beca, que construyen un horizonte de posibilidad de estudiar en la universidad. </w:t>
      </w:r>
    </w:p>
    <w:p w:rsidR="00000000" w:rsidDel="00000000" w:rsidP="00000000" w:rsidRDefault="00000000" w:rsidRPr="00000000" w14:paraId="00000037">
      <w:pPr>
        <w:spacing w:after="0" w:line="240" w:lineRule="auto"/>
        <w:ind w:firstLine="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tal sentido, cabe destacar que </w:t>
      </w:r>
      <w:r w:rsidDel="00000000" w:rsidR="00000000" w:rsidRPr="00000000">
        <w:rPr>
          <w:rFonts w:ascii="Times New Roman" w:cs="Times New Roman" w:eastAsia="Times New Roman" w:hAnsi="Times New Roman"/>
          <w:rtl w:val="0"/>
        </w:rPr>
        <w:t xml:space="preserve">el cambio</w:t>
      </w:r>
      <w:r w:rsidDel="00000000" w:rsidR="00000000" w:rsidRPr="00000000">
        <w:rPr>
          <w:rFonts w:ascii="Times New Roman" w:cs="Times New Roman" w:eastAsia="Times New Roman" w:hAnsi="Times New Roman"/>
          <w:rtl w:val="0"/>
        </w:rPr>
        <w:t xml:space="preserve"> en la implementación del Programa, al que aludimos anteriormente, es leído como negativo por parte de ambos/as docentes, en la medida en que alteraba esta dinámica. </w:t>
      </w:r>
      <w:r w:rsidDel="00000000" w:rsidR="00000000" w:rsidRPr="00000000">
        <w:rPr>
          <w:rFonts w:ascii="Times New Roman" w:cs="Times New Roman" w:eastAsia="Times New Roman" w:hAnsi="Times New Roman"/>
          <w:rtl w:val="0"/>
        </w:rPr>
        <w:t xml:space="preserve">Con esta transformación, </w:t>
      </w:r>
      <w:r w:rsidDel="00000000" w:rsidR="00000000" w:rsidRPr="00000000">
        <w:rPr>
          <w:rFonts w:ascii="Times New Roman" w:cs="Times New Roman" w:eastAsia="Times New Roman" w:hAnsi="Times New Roman"/>
          <w:rtl w:val="0"/>
        </w:rPr>
        <w:t xml:space="preserve">eran las escuelas las que deberían ir a las charlas organizadas por la universidad en los distritos. Si bien, podemos entender que el descentramiento al que aludía el docente seguía estando presente, en la medida en que la universidad continuaba yendo al barrio, para los/as docentes este </w:t>
      </w:r>
      <w:r w:rsidDel="00000000" w:rsidR="00000000" w:rsidRPr="00000000">
        <w:rPr>
          <w:rFonts w:ascii="Times New Roman" w:cs="Times New Roman" w:eastAsia="Times New Roman" w:hAnsi="Times New Roman"/>
          <w:rtl w:val="0"/>
        </w:rPr>
        <w:t xml:space="preserve">cambio</w:t>
      </w:r>
      <w:r w:rsidDel="00000000" w:rsidR="00000000" w:rsidRPr="00000000">
        <w:rPr>
          <w:rFonts w:ascii="Times New Roman" w:cs="Times New Roman" w:eastAsia="Times New Roman" w:hAnsi="Times New Roman"/>
          <w:rtl w:val="0"/>
        </w:rPr>
        <w:t xml:space="preserve"> implicaba mayores dificultades. Por un lado, debido a lo difícil de organizar salidas fuera de la institución.  Pero, por el otro, destacan que se perdía el contacto más personalizado que era posible de lograr en el aula y la continuidad que suponía trabajar en varios encuentros.</w:t>
      </w:r>
    </w:p>
    <w:p w:rsidR="00000000" w:rsidDel="00000000" w:rsidP="00000000" w:rsidRDefault="00000000" w:rsidRPr="00000000" w14:paraId="00000038">
      <w:pPr>
        <w:spacing w:after="0" w:line="240" w:lineRule="auto"/>
        <w:ind w:firstLine="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tal como se mencionó anteriormente, la modalidad de implementación del Programa continuó siendo la que imperaba en el comienzo, es decir, se trabaja con 13 escuelas a las que se les brinda una serie de encuentros en formato taller. De este modo, se vuelve a la forma de trabajo que los/as docentes entrevistados/as valoraban como sumamente positiva y que construía, desde su perspectiva, procesos de inclusión educativa.</w:t>
      </w:r>
    </w:p>
    <w:p w:rsidR="00000000" w:rsidDel="00000000" w:rsidP="00000000" w:rsidRDefault="00000000" w:rsidRPr="00000000" w14:paraId="00000039">
      <w:pPr>
        <w:spacing w:after="0" w:line="240" w:lineRule="auto"/>
        <w:ind w:firstLine="283.464566929133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after="0" w:line="240" w:lineRule="auto"/>
        <w:ind w:firstLine="283.464566929133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artículo analizamos que las políticas de becas en las universidades emergieron con el objetivo de favorecer el ingreso a la educación superior de sectores históricamente ausentes del nivel. Asimismo, establecimos que en Argentina comenzaron a implementarse de la mano de las políticas desarrollistas y que en los años 90 </w:t>
      </w:r>
      <w:r w:rsidDel="00000000" w:rsidR="00000000" w:rsidRPr="00000000">
        <w:rPr>
          <w:rFonts w:ascii="Times New Roman" w:cs="Times New Roman" w:eastAsia="Times New Roman" w:hAnsi="Times New Roman"/>
          <w:highlight w:val="white"/>
          <w:rtl w:val="0"/>
        </w:rPr>
        <w:t xml:space="preserve">formó parte de las recomendaciones del Banco Mundial, a modo de políticas focalizadas orientadas a la búsqueda de e</w:t>
      </w:r>
      <w:r w:rsidDel="00000000" w:rsidR="00000000" w:rsidRPr="00000000">
        <w:rPr>
          <w:rFonts w:ascii="Times New Roman" w:cs="Times New Roman" w:eastAsia="Times New Roman" w:hAnsi="Times New Roman"/>
          <w:rtl w:val="0"/>
        </w:rPr>
        <w:t xml:space="preserve">quidad. </w:t>
      </w:r>
      <w:r w:rsidDel="00000000" w:rsidR="00000000" w:rsidRPr="00000000">
        <w:rPr>
          <w:rFonts w:ascii="Times New Roman" w:cs="Times New Roman" w:eastAsia="Times New Roman" w:hAnsi="Times New Roman"/>
          <w:rtl w:val="0"/>
        </w:rPr>
        <w:t xml:space="preserve">A comienzo</w:t>
      </w:r>
      <w:r w:rsidDel="00000000" w:rsidR="00000000" w:rsidRPr="00000000">
        <w:rPr>
          <w:rFonts w:ascii="Times New Roman" w:cs="Times New Roman" w:eastAsia="Times New Roman" w:hAnsi="Times New Roman"/>
          <w:rtl w:val="0"/>
        </w:rPr>
        <w:t xml:space="preserve"> de</w:t>
      </w:r>
      <w:r w:rsidDel="00000000" w:rsidR="00000000" w:rsidRPr="00000000">
        <w:rPr>
          <w:rFonts w:ascii="Times New Roman" w:cs="Times New Roman" w:eastAsia="Times New Roman" w:hAnsi="Times New Roman"/>
          <w:highlight w:val="white"/>
          <w:rtl w:val="0"/>
        </w:rPr>
        <w:t xml:space="preserve">l siglo XXI los programas de becas se multiplicaron y continuaron con la impronta de favorecer el acceso de estudiantes que no contaran con medios económicos.</w:t>
      </w:r>
      <w:r w:rsidDel="00000000" w:rsidR="00000000" w:rsidRPr="00000000">
        <w:rPr>
          <w:rtl w:val="0"/>
        </w:rPr>
      </w:r>
    </w:p>
    <w:p w:rsidR="00000000" w:rsidDel="00000000" w:rsidP="00000000" w:rsidRDefault="00000000" w:rsidRPr="00000000" w14:paraId="0000003D">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 este marco, en 2019 la Universidad Nacional de Rosario (Santa Fe, Argentina) implementó la “Beca de Acceso a la Universidad Pública”. El objetivo de la misma es poner a disposición de estudiantes de escuelas medias de barrios populares de la ciudad información, acompañamiento, contención y recursos materiales para que continúen sus estudios en la UNR. De este modo, afirmamos que el Programa se inscribe dentro de las políticas universitarias que promueven la “democratización externa” (Chiroleu, 2016) de la universidad promoviendo el acceso de sectores históricamente ausentes en ella. </w:t>
      </w:r>
    </w:p>
    <w:p w:rsidR="00000000" w:rsidDel="00000000" w:rsidP="00000000" w:rsidRDefault="00000000" w:rsidRPr="00000000" w14:paraId="0000003E">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articulaciones gestadas previamente se comenzó a trabajar con 13 escuelas ubicadas en barrios populares de la ciudad de Rosario. De las escuelas participantes 2 de ellas brindan formación técnica y 11 son escuelas orientadas, perteneciendo 5 de ellas a la gestión pública, 7 a la gestión privada y 1 de gestión social.  También, se halló  que durante los años  2024 y 2025 se decidió modificar la forma de implementación llegando a unas 40 escuelas y alcanzando a 694 estudiantes. Si bien se pudo relevar que en 2026 se volvió a la forma de implementación anterior. Respecto de la población participante se pudo afirmar  que presenta una gran fluctuación. En el año 2020 se registraron unos/as 120 inscriptos/as y en 2025 se alcanzó a casi 700 estudiantes. Estas variaciones se debieron a las diferencias en que la convocatoria fue realizada, tal como mencionamos anteriormente. Asimismo, cabe destacar que la mayoría de la población participante está compuesta por mujeres.</w:t>
      </w:r>
    </w:p>
    <w:p w:rsidR="00000000" w:rsidDel="00000000" w:rsidP="00000000" w:rsidRDefault="00000000" w:rsidRPr="00000000" w14:paraId="0000003F">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las carreras elegidas encontramos que la Licenciatura en Enfermería es la más seleccionada por el estudiantado y se analizó la vinculación entre esta decisión de carrera y la posición social y genérica de la población participante. Otras carreras elegidas para el estudiantado son: Arquitectura, Psicología y Contador Público. En menor medida hay estudiantes que eligen carreras como Medicina, Licenciatura en Diseño Gráfico, Licenciatura en Administración de Empresas y Abogacía.</w:t>
      </w:r>
    </w:p>
    <w:p w:rsidR="00000000" w:rsidDel="00000000" w:rsidP="00000000" w:rsidRDefault="00000000" w:rsidRPr="00000000" w14:paraId="00000040">
      <w:pPr>
        <w:spacing w:after="0" w:line="240" w:lineRule="auto"/>
        <w:ind w:firstLine="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en cuanto a los sentidos respecto de la inclusión que presentan docentes de las escuelas participantes del programa, encontramos que habría modos </w:t>
      </w:r>
      <w:r w:rsidDel="00000000" w:rsidR="00000000" w:rsidRPr="00000000">
        <w:rPr>
          <w:rFonts w:ascii="Times New Roman" w:cs="Times New Roman" w:eastAsia="Times New Roman" w:hAnsi="Times New Roman"/>
          <w:rtl w:val="0"/>
        </w:rPr>
        <w:t xml:space="preserve">serios </w:t>
      </w:r>
      <w:r w:rsidDel="00000000" w:rsidR="00000000" w:rsidRPr="00000000">
        <w:rPr>
          <w:rFonts w:ascii="Times New Roman" w:cs="Times New Roman" w:eastAsia="Times New Roman" w:hAnsi="Times New Roman"/>
          <w:rtl w:val="0"/>
        </w:rPr>
        <w:t xml:space="preserve">y ficticios. Así, uno de los/as entrevistados/as destaca que este programa promueve un intento más “serio”  de inclusión</w:t>
      </w:r>
      <w:r w:rsidDel="00000000" w:rsidR="00000000" w:rsidRPr="00000000">
        <w:rPr>
          <w:rFonts w:ascii="Times New Roman" w:cs="Times New Roman" w:eastAsia="Times New Roman" w:hAnsi="Times New Roman"/>
          <w:rtl w:val="0"/>
        </w:rPr>
        <w:t xml:space="preserve"> educativa</w:t>
      </w:r>
      <w:r w:rsidDel="00000000" w:rsidR="00000000" w:rsidRPr="00000000">
        <w:rPr>
          <w:rFonts w:ascii="Times New Roman" w:cs="Times New Roman" w:eastAsia="Times New Roman" w:hAnsi="Times New Roman"/>
          <w:rtl w:val="0"/>
        </w:rPr>
        <w:t xml:space="preserve"> en la medida en que implica un descentramiento de la universidad al “ir al barrio”. En la medida en que la universidad se descentra, se corre del centro simbólicamente, pero, también,  geográficamente, es decir, que vaya a los márgenes de la ciudad, es que se promueven verdaderos procesos de inclusión educativa. Asimismo, la presencia de los/as trabajadores de la universidad en la escuela, el sostenimiento de la continuidad de los talleres, la presentación de una propuesta que le hace sentir al estudiantado que es posible estudiar en la universidad, y la promesa de acompañar esa transición aparecen como las claves que los/as docentes ponderan como condición de inclusión educativa. Es en este interjuego entre “desplazamiento hacia” y “presencia en” los barrios populares de la ciudad que parecería que la universidad puede construir un nuevo contrato social para promover procesos de inclusión educativa. </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43">
      <w:pPr>
        <w:spacing w:after="0" w:line="240" w:lineRule="auto"/>
        <w:ind w:left="285"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Chiarino, N; </w:t>
      </w:r>
      <w:r w:rsidDel="00000000" w:rsidR="00000000" w:rsidRPr="00000000">
        <w:rPr>
          <w:rFonts w:ascii="Times New Roman" w:cs="Times New Roman" w:eastAsia="Times New Roman" w:hAnsi="Times New Roman"/>
          <w:highlight w:val="white"/>
          <w:rtl w:val="0"/>
        </w:rPr>
        <w:t xml:space="preserve">Rodríguez Enríquez</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C.; Curione, K.; Machado, A.; Bonilla, M.; Aspirot, L.; Garófalo, L. y Olveira, B. (2024). Abandono y permanencia estudiantil en universidades de Latinoamérica y el Caribe: Una revisión sistemática mixta. </w:t>
      </w:r>
      <w:r w:rsidDel="00000000" w:rsidR="00000000" w:rsidRPr="00000000">
        <w:rPr>
          <w:rFonts w:ascii="Times New Roman" w:cs="Times New Roman" w:eastAsia="Times New Roman" w:hAnsi="Times New Roman"/>
          <w:i w:val="1"/>
          <w:iCs w:val="1"/>
          <w:highlight w:val="white"/>
          <w:rtl w:val="0"/>
        </w:rPr>
        <w:t xml:space="preserve">Actualidades Investigativas en Educación, 24</w:t>
      </w:r>
      <w:r w:rsidDel="00000000" w:rsidR="00000000" w:rsidRPr="00000000">
        <w:rPr>
          <w:rFonts w:ascii="Times New Roman" w:cs="Times New Roman" w:eastAsia="Times New Roman" w:hAnsi="Times New Roman"/>
          <w:highlight w:val="white"/>
          <w:rtl w:val="0"/>
        </w:rPr>
        <w:t xml:space="preserve">(2), 1-37. </w:t>
      </w:r>
      <w:hyperlink r:id="rId9">
        <w:r w:rsidDel="00000000" w:rsidR="00000000" w:rsidRPr="00000000">
          <w:rPr>
            <w:rFonts w:ascii="Times New Roman" w:cs="Times New Roman" w:eastAsia="Times New Roman" w:hAnsi="Times New Roman"/>
            <w:color w:val="1155cc"/>
            <w:highlight w:val="white"/>
            <w:u w:val="single"/>
            <w:rtl w:val="0"/>
          </w:rPr>
          <w:t xml:space="preserve">https://www.scielo.sa.cr/scielo.php?script=sci_arttext&amp;pid=S1409-47032024000200123</w:t>
        </w:r>
      </w:hyperlink>
      <w:r w:rsidDel="00000000" w:rsidR="00000000" w:rsidRPr="00000000">
        <w:rPr>
          <w:rtl w:val="0"/>
        </w:rPr>
      </w:r>
    </w:p>
    <w:p w:rsidR="00000000" w:rsidDel="00000000" w:rsidP="00000000" w:rsidRDefault="00000000" w:rsidRPr="00000000" w14:paraId="00000044">
      <w:pPr>
        <w:spacing w:after="0" w:line="240" w:lineRule="auto"/>
        <w:ind w:left="285"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(2018). Democratización e inclusión en la universidad argentina: sus alcances durante los gobiernos Kirchner (2003-2015). </w:t>
      </w:r>
      <w:r w:rsidDel="00000000" w:rsidR="00000000" w:rsidRPr="00000000">
        <w:rPr>
          <w:rFonts w:ascii="Times New Roman" w:cs="Times New Roman" w:eastAsia="Times New Roman" w:hAnsi="Times New Roman"/>
          <w:i w:val="1"/>
          <w:iCs w:val="1"/>
          <w:rtl w:val="0"/>
        </w:rPr>
        <w:t xml:space="preserve">Educação em Revista</w:t>
      </w:r>
      <w:r w:rsidDel="00000000" w:rsidR="00000000" w:rsidRPr="00000000">
        <w:rPr>
          <w:rFonts w:ascii="Times New Roman" w:cs="Times New Roman" w:eastAsia="Times New Roman" w:hAnsi="Times New Roman"/>
          <w:rtl w:val="0"/>
        </w:rPr>
        <w:t xml:space="preserve">, (34), 1-26. </w:t>
      </w:r>
      <w:hyperlink r:id="rId10">
        <w:r w:rsidDel="00000000" w:rsidR="00000000" w:rsidRPr="00000000">
          <w:rPr>
            <w:rFonts w:ascii="Times New Roman" w:cs="Times New Roman" w:eastAsia="Times New Roman" w:hAnsi="Times New Roman"/>
            <w:highlight w:val="white"/>
            <w:rtl w:val="0"/>
          </w:rPr>
          <w:t xml:space="preserve">https://doi.org/10.1590/0102-469817600</w:t>
        </w:r>
      </w:hyperlink>
      <w:r w:rsidDel="00000000" w:rsidR="00000000" w:rsidRPr="00000000">
        <w:rPr>
          <w:rtl w:val="0"/>
        </w:rPr>
      </w:r>
    </w:p>
    <w:p w:rsidR="00000000" w:rsidDel="00000000" w:rsidP="00000000" w:rsidRDefault="00000000" w:rsidRPr="00000000" w14:paraId="00000045">
      <w:pPr>
        <w:spacing w:after="0" w:line="240" w:lineRule="auto"/>
        <w:ind w:left="285"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Ezcurra, A. M. (2013). </w:t>
      </w:r>
      <w:r w:rsidDel="00000000" w:rsidR="00000000" w:rsidRPr="00000000">
        <w:rPr>
          <w:rFonts w:ascii="Times New Roman" w:cs="Times New Roman" w:eastAsia="Times New Roman" w:hAnsi="Times New Roman"/>
          <w:i w:val="1"/>
          <w:iCs w:val="1"/>
          <w:rtl w:val="0"/>
        </w:rPr>
        <w:t xml:space="preserve">Igualdad en Educación Superior. Un desafío Mundial</w:t>
      </w:r>
      <w:r w:rsidDel="00000000" w:rsidR="00000000" w:rsidRPr="00000000">
        <w:rPr>
          <w:rFonts w:ascii="Times New Roman" w:cs="Times New Roman" w:eastAsia="Times New Roman" w:hAnsi="Times New Roman"/>
          <w:rtl w:val="0"/>
        </w:rPr>
        <w:t xml:space="preserve">. UNGS Ediciones.</w:t>
      </w:r>
    </w:p>
    <w:p w:rsidR="00000000" w:rsidDel="00000000" w:rsidP="00000000" w:rsidRDefault="00000000" w:rsidRPr="00000000" w14:paraId="00000046">
      <w:pPr>
        <w:spacing w:after="0" w:line="240" w:lineRule="auto"/>
        <w:ind w:left="285" w:right="17.952755905512845"/>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Ezcurra, A. M. (2022). Abandono estudiantil y clase social. Hipótesis diagnósticas y conceptos. </w:t>
      </w:r>
      <w:r w:rsidDel="00000000" w:rsidR="00000000" w:rsidRPr="00000000">
        <w:rPr>
          <w:rFonts w:ascii="Times New Roman" w:cs="Times New Roman" w:eastAsia="Times New Roman" w:hAnsi="Times New Roman"/>
          <w:i w:val="1"/>
          <w:iCs w:val="1"/>
          <w:rtl w:val="0"/>
        </w:rPr>
        <w:t xml:space="preserve">Revista RAES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(25), 176-194. </w:t>
      </w:r>
      <w:hyperlink r:id="rId11">
        <w:r w:rsidDel="00000000" w:rsidR="00000000" w:rsidRPr="00000000">
          <w:rPr>
            <w:rFonts w:ascii="Times New Roman" w:cs="Times New Roman" w:eastAsia="Times New Roman" w:hAnsi="Times New Roman"/>
            <w:color w:val="1155cc"/>
            <w:highlight w:val="white"/>
            <w:u w:val="single"/>
            <w:rtl w:val="0"/>
          </w:rPr>
          <w:t xml:space="preserve">http://revistas.untref.edu.ar/index.php/raes/article/view/1533</w:t>
        </w:r>
      </w:hyperlink>
      <w:r w:rsidDel="00000000" w:rsidR="00000000" w:rsidRPr="00000000">
        <w:rPr>
          <w:rtl w:val="0"/>
        </w:rPr>
      </w:r>
    </w:p>
    <w:p w:rsidR="00000000" w:rsidDel="00000000" w:rsidP="00000000" w:rsidRDefault="00000000" w:rsidRPr="00000000" w14:paraId="00000047">
      <w:pPr>
        <w:pStyle w:val="Heading1"/>
        <w:keepNext w:val="0"/>
        <w:keepLines w:val="0"/>
        <w:spacing w:after="0" w:before="0" w:line="240" w:lineRule="auto"/>
        <w:ind w:left="285" w:right="17.952755905512845"/>
        <w:jc w:val="both"/>
        <w:rPr>
          <w:rFonts w:ascii="Times New Roman" w:cs="Times New Roman" w:eastAsia="Times New Roman" w:hAnsi="Times New Roman"/>
        </w:rPr>
      </w:pPr>
      <w:bookmarkStart w:colFirst="0" w:colLast="0" w:name="_heading=h.jcdce4g6v8a7" w:id="0"/>
      <w:bookmarkEnd w:id="0"/>
      <w:r w:rsidDel="00000000" w:rsidR="00000000" w:rsidRPr="00000000">
        <w:rPr>
          <w:rFonts w:ascii="Times New Roman" w:cs="Times New Roman" w:eastAsia="Times New Roman" w:hAnsi="Times New Roman"/>
          <w:color w:val="000000"/>
          <w:sz w:val="24"/>
          <w:szCs w:val="24"/>
          <w:rtl w:val="0"/>
        </w:rPr>
        <w:t xml:space="preserve">García de Fanelli, A. M. (2014). Rendimiento académico y abandono universitario: Modelos, resultados y alcances de la producción académica en la Argentina. </w:t>
      </w:r>
      <w:r w:rsidDel="00000000" w:rsidR="00000000" w:rsidRPr="00000000">
        <w:rPr>
          <w:rFonts w:ascii="Times New Roman" w:cs="Times New Roman" w:eastAsia="Times New Roman" w:hAnsi="Times New Roman"/>
          <w:i w:val="1"/>
          <w:iCs w:val="1"/>
          <w:color w:val="000000"/>
          <w:sz w:val="24"/>
          <w:szCs w:val="24"/>
          <w:rtl w:val="0"/>
        </w:rPr>
        <w:t xml:space="preserve">Revista Argentina de Educación Superior</w:t>
      </w:r>
      <w:r w:rsidDel="00000000" w:rsidR="00000000" w:rsidRPr="00000000">
        <w:rPr>
          <w:rFonts w:ascii="Times New Roman" w:cs="Times New Roman" w:eastAsia="Times New Roman" w:hAnsi="Times New Roman"/>
          <w:color w:val="000000"/>
          <w:sz w:val="24"/>
          <w:szCs w:val="24"/>
          <w:rtl w:val="0"/>
        </w:rPr>
        <w:t xml:space="preserve">, (8),  9-38. </w:t>
      </w:r>
      <w:hyperlink r:id="rId12">
        <w:r w:rsidDel="00000000" w:rsidR="00000000" w:rsidRPr="00000000">
          <w:rPr>
            <w:rFonts w:ascii="Times New Roman" w:cs="Times New Roman" w:eastAsia="Times New Roman" w:hAnsi="Times New Roman"/>
            <w:color w:val="1155cc"/>
            <w:sz w:val="24"/>
            <w:szCs w:val="24"/>
            <w:u w:val="single"/>
            <w:rtl w:val="0"/>
          </w:rPr>
          <w:t xml:space="preserve">http://www.revistaraes.net/revistas/raes8_art1.pdf</w:t>
        </w:r>
      </w:hyperlink>
      <w:r w:rsidDel="00000000" w:rsidR="00000000" w:rsidRPr="00000000">
        <w:rPr>
          <w:rtl w:val="0"/>
        </w:rPr>
      </w:r>
    </w:p>
    <w:p w:rsidR="00000000" w:rsidDel="00000000" w:rsidP="00000000" w:rsidRDefault="00000000" w:rsidRPr="00000000" w14:paraId="00000048">
      <w:pPr>
        <w:spacing w:after="0" w:line="240" w:lineRule="auto"/>
        <w:ind w:left="285"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García, P. (2024). La importancia de acompañar los inicios de la universidad: Dispositivos institucionales diseñados en clave de derecho.  </w:t>
      </w:r>
      <w:r w:rsidDel="00000000" w:rsidR="00000000" w:rsidRPr="00000000">
        <w:rPr>
          <w:rFonts w:ascii="Times New Roman" w:cs="Times New Roman" w:eastAsia="Times New Roman" w:hAnsi="Times New Roman"/>
          <w:i w:val="1"/>
          <w:iCs w:val="1"/>
          <w:highlight w:val="white"/>
          <w:rtl w:val="0"/>
        </w:rPr>
        <w:t xml:space="preserve">Entramados: educación y sociedad, 11</w:t>
      </w:r>
      <w:r w:rsidDel="00000000" w:rsidR="00000000" w:rsidRPr="00000000">
        <w:rPr>
          <w:rFonts w:ascii="Times New Roman" w:cs="Times New Roman" w:eastAsia="Times New Roman" w:hAnsi="Times New Roman"/>
          <w:highlight w:val="white"/>
          <w:rtl w:val="0"/>
        </w:rPr>
        <w:t xml:space="preserve">(16), 269-287. </w:t>
      </w:r>
      <w:hyperlink r:id="rId13">
        <w:r w:rsidDel="00000000" w:rsidR="00000000" w:rsidRPr="00000000">
          <w:rPr>
            <w:rFonts w:ascii="Times New Roman" w:cs="Times New Roman" w:eastAsia="Times New Roman" w:hAnsi="Times New Roman"/>
            <w:color w:val="1155cc"/>
            <w:highlight w:val="white"/>
            <w:u w:val="single"/>
            <w:rtl w:val="0"/>
          </w:rPr>
          <w:t xml:space="preserve">https://dialnet.unirioja.es/servlet/articulo?codigo=9978663</w:t>
        </w:r>
      </w:hyperlink>
      <w:r w:rsidDel="00000000" w:rsidR="00000000" w:rsidRPr="00000000">
        <w:rPr>
          <w:rtl w:val="0"/>
        </w:rPr>
      </w:r>
    </w:p>
    <w:p w:rsidR="00000000" w:rsidDel="00000000" w:rsidP="00000000" w:rsidRDefault="00000000" w:rsidRPr="00000000" w14:paraId="00000049">
      <w:pPr>
        <w:spacing w:after="0" w:line="240" w:lineRule="auto"/>
        <w:ind w:left="285"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Gluz, N. (2011). </w:t>
      </w:r>
      <w:r w:rsidDel="00000000" w:rsidR="00000000" w:rsidRPr="00000000">
        <w:rPr>
          <w:rFonts w:ascii="Times New Roman" w:cs="Times New Roman" w:eastAsia="Times New Roman" w:hAnsi="Times New Roman"/>
          <w:i w:val="1"/>
          <w:iCs w:val="1"/>
          <w:rtl w:val="0"/>
        </w:rPr>
        <w:t xml:space="preserve">Admisión a la universidad y selectividad social. Cuando la democratización es más que un problema de “ingresos”.</w:t>
      </w:r>
      <w:r w:rsidDel="00000000" w:rsidR="00000000" w:rsidRPr="00000000">
        <w:rPr>
          <w:rFonts w:ascii="Times New Roman" w:cs="Times New Roman" w:eastAsia="Times New Roman" w:hAnsi="Times New Roman"/>
          <w:rtl w:val="0"/>
        </w:rPr>
        <w:t xml:space="preserve"> Los Polvorines. </w:t>
      </w:r>
    </w:p>
    <w:p w:rsidR="00000000" w:rsidDel="00000000" w:rsidP="00000000" w:rsidRDefault="00000000" w:rsidRPr="00000000" w14:paraId="0000004A">
      <w:pPr>
        <w:spacing w:after="0" w:line="240" w:lineRule="auto"/>
        <w:ind w:left="285"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Grandoli, María Eugenia. (2009). </w:t>
      </w:r>
      <w:r w:rsidDel="00000000" w:rsidR="00000000" w:rsidRPr="00000000">
        <w:rPr>
          <w:rFonts w:ascii="Times New Roman" w:cs="Times New Roman" w:eastAsia="Times New Roman" w:hAnsi="Times New Roman"/>
          <w:i w:val="1"/>
          <w:iCs w:val="1"/>
          <w:rtl w:val="0"/>
        </w:rPr>
        <w:t xml:space="preserve">Políticas de admisión a la universidad: entre la democratización del acceso y el ingreso socialmente condicionado. Un estudio de caso</w:t>
      </w:r>
      <w:r w:rsidDel="00000000" w:rsidR="00000000" w:rsidRPr="00000000">
        <w:rPr>
          <w:rFonts w:ascii="Times New Roman" w:cs="Times New Roman" w:eastAsia="Times New Roman" w:hAnsi="Times New Roman"/>
          <w:rtl w:val="0"/>
        </w:rPr>
        <w:t xml:space="preserve">. www.anpae.org. </w:t>
      </w:r>
      <w:hyperlink r:id="rId14">
        <w:r w:rsidDel="00000000" w:rsidR="00000000" w:rsidRPr="00000000">
          <w:rPr>
            <w:rFonts w:ascii="Times New Roman" w:cs="Times New Roman" w:eastAsia="Times New Roman" w:hAnsi="Times New Roman"/>
            <w:color w:val="1155cc"/>
            <w:u w:val="single"/>
            <w:rtl w:val="0"/>
          </w:rPr>
          <w:t xml:space="preserve">http://www.anpae.org.br/congressos_antigos/simposio2009/228.pdf</w:t>
        </w:r>
      </w:hyperlink>
      <w:r w:rsidDel="00000000" w:rsidR="00000000" w:rsidRPr="00000000">
        <w:rPr>
          <w:rtl w:val="0"/>
        </w:rPr>
      </w:r>
    </w:p>
    <w:p w:rsidR="00000000" w:rsidDel="00000000" w:rsidP="00000000" w:rsidRDefault="00000000" w:rsidRPr="00000000" w14:paraId="0000004B">
      <w:pPr>
        <w:spacing w:after="0" w:line="240" w:lineRule="auto"/>
        <w:ind w:left="285"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Internacional de Educación Superior en América Latina y el Caribe (IESALC-UNESCO). (2026-11 de febrero). </w:t>
      </w:r>
      <w:r w:rsidDel="00000000" w:rsidR="00000000" w:rsidRPr="00000000">
        <w:rPr>
          <w:rFonts w:ascii="Times New Roman" w:cs="Times New Roman" w:eastAsia="Times New Roman" w:hAnsi="Times New Roman"/>
          <w:i w:val="1"/>
          <w:iCs w:val="1"/>
          <w:rtl w:val="0"/>
        </w:rPr>
        <w:t xml:space="preserve">Día Internacional de la Mujer y la Niña en la Ciencia: UNESCO IESALC advierte sobre la persistente brecha de género en los campos STEM en América Latina. </w:t>
      </w:r>
      <w:hyperlink r:id="rId15">
        <w:r w:rsidDel="00000000" w:rsidR="00000000" w:rsidRPr="00000000">
          <w:rPr>
            <w:rFonts w:ascii="Times New Roman" w:cs="Times New Roman" w:eastAsia="Times New Roman" w:hAnsi="Times New Roman"/>
            <w:color w:val="1155cc"/>
            <w:u w:val="single"/>
            <w:rtl w:val="0"/>
          </w:rPr>
          <w:t xml:space="preserve">https://www.iesalc.unesco.org/es/articles/dia-internacional-de-la-mujer-y-la-nina-en-la-ciencia-unesco-iesalc-advierte-sobre-la-persistente</w:t>
        </w:r>
      </w:hyperlink>
      <w:r w:rsidDel="00000000" w:rsidR="00000000" w:rsidRPr="00000000">
        <w:rPr>
          <w:rtl w:val="0"/>
        </w:rPr>
      </w:r>
    </w:p>
    <w:p w:rsidR="00000000" w:rsidDel="00000000" w:rsidP="00000000" w:rsidRDefault="00000000" w:rsidRPr="00000000" w14:paraId="0000004C">
      <w:pPr>
        <w:spacing w:after="0" w:line="240" w:lineRule="auto"/>
        <w:ind w:left="285" w:right="17.95275590551284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Melendez, C. E.; Torres, M. A. y Yuni, J. A. (2020). Análisis del Programa de Respaldo al Estudiante Argentino (Progresar) para la Educación Superior (2014-2020). </w:t>
      </w:r>
      <w:r w:rsidDel="00000000" w:rsidR="00000000" w:rsidRPr="00000000">
        <w:rPr>
          <w:rFonts w:ascii="Times New Roman" w:cs="Times New Roman" w:eastAsia="Times New Roman" w:hAnsi="Times New Roman"/>
          <w:i w:val="1"/>
          <w:iCs w:val="1"/>
          <w:rtl w:val="0"/>
        </w:rPr>
        <w:t xml:space="preserve">Revista Latinoamericana de Estudios Educativos, L</w:t>
      </w:r>
      <w:r w:rsidDel="00000000" w:rsidR="00000000" w:rsidRPr="00000000">
        <w:rPr>
          <w:rFonts w:ascii="Times New Roman" w:cs="Times New Roman" w:eastAsia="Times New Roman" w:hAnsi="Times New Roman"/>
          <w:rtl w:val="0"/>
        </w:rPr>
        <w:t xml:space="preserve">(3), 69-94. </w:t>
      </w:r>
    </w:p>
    <w:p w:rsidR="00000000" w:rsidDel="00000000" w:rsidP="00000000" w:rsidRDefault="00000000" w:rsidRPr="00000000" w14:paraId="0000004D">
      <w:pPr>
        <w:spacing w:after="0" w:line="240" w:lineRule="auto"/>
        <w:ind w:left="566.929133858267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Pierella, María Paula y Santos Sharpe, Andrés (2019). El ingreso a la universidad pública. Disputas en torno a los principios de justicia e igualdad en la prensa gráfica argentina”. </w:t>
      </w:r>
      <w:r w:rsidDel="00000000" w:rsidR="00000000" w:rsidRPr="00000000">
        <w:rPr>
          <w:rFonts w:ascii="Times New Roman" w:cs="Times New Roman" w:eastAsia="Times New Roman" w:hAnsi="Times New Roman"/>
          <w:i w:val="1"/>
          <w:iCs w:val="1"/>
          <w:rtl w:val="0"/>
        </w:rPr>
        <w:t xml:space="preserve">Propuesta Educativa</w:t>
      </w:r>
      <w:r w:rsidDel="00000000" w:rsidR="00000000" w:rsidRPr="00000000">
        <w:rPr>
          <w:rFonts w:ascii="Times New Roman" w:cs="Times New Roman" w:eastAsia="Times New Roman" w:hAnsi="Times New Roman"/>
          <w:rtl w:val="0"/>
        </w:rPr>
        <w:t xml:space="preserve">,  (51), 93-107. </w:t>
      </w:r>
      <w:hyperlink r:id="rId16">
        <w:r w:rsidDel="00000000" w:rsidR="00000000" w:rsidRPr="00000000">
          <w:rPr>
            <w:rFonts w:ascii="Times New Roman" w:cs="Times New Roman" w:eastAsia="Times New Roman" w:hAnsi="Times New Roman"/>
            <w:color w:val="1155cc"/>
            <w:u w:val="single"/>
            <w:rtl w:val="0"/>
          </w:rPr>
          <w:t xml:space="preserve">http://www.scielo.org.ar/scielo.php?script=sci_arttext&amp;pid=S1995-77852019000100009&amp;lng=es&amp;nrm=iso</w:t>
        </w:r>
      </w:hyperlink>
      <w:r w:rsidDel="00000000" w:rsidR="00000000" w:rsidRPr="00000000">
        <w:rPr>
          <w:rtl w:val="0"/>
        </w:rPr>
      </w:r>
    </w:p>
    <w:p w:rsidR="00000000" w:rsidDel="00000000" w:rsidP="00000000" w:rsidRDefault="00000000" w:rsidRPr="00000000" w14:paraId="0000004E">
      <w:pPr>
        <w:spacing w:after="0" w:line="240" w:lineRule="auto"/>
        <w:ind w:left="566.929133858267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Silva Laya, M. (2015). </w:t>
      </w:r>
      <w:r w:rsidDel="00000000" w:rsidR="00000000" w:rsidRPr="00000000">
        <w:rPr>
          <w:rFonts w:ascii="Times New Roman" w:cs="Times New Roman" w:eastAsia="Times New Roman" w:hAnsi="Times New Roman"/>
          <w:i w:val="1"/>
          <w:iCs w:val="1"/>
          <w:rtl w:val="0"/>
        </w:rPr>
        <w:t xml:space="preserve">La importancia del primer año universitario: de la teoría a la práctica</w:t>
      </w:r>
      <w:r w:rsidDel="00000000" w:rsidR="00000000" w:rsidRPr="00000000">
        <w:rPr>
          <w:rFonts w:ascii="Times New Roman" w:cs="Times New Roman" w:eastAsia="Times New Roman" w:hAnsi="Times New Roman"/>
          <w:rtl w:val="0"/>
        </w:rPr>
        <w:t xml:space="preserve">. Universidad Iberoamericana. </w:t>
      </w:r>
    </w:p>
    <w:p w:rsidR="00000000" w:rsidDel="00000000" w:rsidP="00000000" w:rsidRDefault="00000000" w:rsidRPr="00000000" w14:paraId="0000004F">
      <w:pPr>
        <w:spacing w:after="0" w:line="240" w:lineRule="auto"/>
        <w:ind w:left="285" w:right="17.952755905512845"/>
        <w:jc w:val="both"/>
        <w:rPr>
          <w:rFonts w:ascii="Times New Roman" w:cs="Times New Roman" w:eastAsia="Times New Roman" w:hAnsi="Times New Roman"/>
          <w:highlight w:val="white"/>
        </w:rPr>
      </w:pPr>
      <w:r w:rsidDel="00000000" w:rsidR="00000000" w:rsidRPr="00000000">
        <w:rPr>
          <w:rtl w:val="0"/>
        </w:rPr>
      </w:r>
    </w:p>
    <w:sectPr>
      <w:headerReference r:id="rId17" w:type="default"/>
      <w:footerReference r:id="rId1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3">
      <w:pPr>
        <w:spacing w:after="0" w:line="240" w:lineRule="auto"/>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Expresión del habla coloquial que alude al dinero</w:t>
      </w:r>
      <w:r w:rsidDel="00000000" w:rsidR="00000000" w:rsidRPr="00000000">
        <w:rPr>
          <w:rtl w:val="0"/>
        </w:rPr>
      </w:r>
    </w:p>
  </w:footnote>
  <w:footnote w:id="1">
    <w:p w:rsidR="00000000" w:rsidDel="00000000" w:rsidP="00000000" w:rsidRDefault="00000000" w:rsidRPr="00000000" w14:paraId="00000054">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Expresión del habla coloquial para referir a una discrepancia entre lo que una persona muestra públicamente y sus prácticas o creencias reales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A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revistas.untref.edu.ar/index.php/raes/article/view/1533" TargetMode="External"/><Relationship Id="rId10" Type="http://schemas.openxmlformats.org/officeDocument/2006/relationships/hyperlink" Target="https://doi.org/10.1590/0102-4698176003" TargetMode="External"/><Relationship Id="rId13" Type="http://schemas.openxmlformats.org/officeDocument/2006/relationships/hyperlink" Target="https://dialnet.unirioja.es/servlet/articulo?codigo=9978663" TargetMode="External"/><Relationship Id="rId12" Type="http://schemas.openxmlformats.org/officeDocument/2006/relationships/hyperlink" Target="http://www.revistaraes.net/revistas/raes8_art1.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cielo.sa.cr/scielo.php?script=sci_arttext&amp;pid=S1409-47032024000200123" TargetMode="External"/><Relationship Id="rId15" Type="http://schemas.openxmlformats.org/officeDocument/2006/relationships/hyperlink" Target="https://www.iesalc.unesco.org/es/articles/dia-internacional-de-la-mujer-y-la-nina-en-la-ciencia-unesco-iesalc-advierte-sobre-la-persistente" TargetMode="External"/><Relationship Id="rId14" Type="http://schemas.openxmlformats.org/officeDocument/2006/relationships/hyperlink" Target="http://www.anpae.org.br/congressos_antigos/simposio2009/228.pdf" TargetMode="External"/><Relationship Id="rId17" Type="http://schemas.openxmlformats.org/officeDocument/2006/relationships/header" Target="header1.xml"/><Relationship Id="rId16" Type="http://schemas.openxmlformats.org/officeDocument/2006/relationships/hyperlink" Target="http://www.scielo.org.ar/scielo.php?script=sci_arttext&amp;pid=S1995-77852019000100009&amp;lng=es&amp;nrm=iso"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HhVW07VSIXuW0VOr34ShDiWmcg==">CgMxLjAyDmguamNkY2U0ZzZ2OGE3OAByITFRWHZCcjRJVkREcWtLN2hlSkRBSFd2MUpYcHRRNldyUQ==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