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DB3483" w14:textId="77777777" w:rsidR="00C802F5" w:rsidRPr="00BA642E" w:rsidRDefault="00C802F5" w:rsidP="001923DC">
      <w:pPr>
        <w:jc w:val="center"/>
        <w:rPr>
          <w:rFonts w:ascii="Times New Roman" w:hAnsi="Times New Roman" w:cs="Times New Roman"/>
        </w:rPr>
      </w:pPr>
    </w:p>
    <w:p w14:paraId="43C49479" w14:textId="05D98A50" w:rsidR="005F3B2E" w:rsidRPr="00BA642E" w:rsidRDefault="00F84B60" w:rsidP="001923DC">
      <w:pPr>
        <w:jc w:val="center"/>
        <w:rPr>
          <w:rFonts w:ascii="Times New Roman" w:hAnsi="Times New Roman" w:cs="Times New Roman"/>
        </w:rPr>
      </w:pPr>
      <w:r w:rsidRPr="00F84B60">
        <w:rPr>
          <w:rFonts w:ascii="Times New Roman" w:hAnsi="Times New Roman" w:cs="Times New Roman"/>
          <w:b/>
          <w:bCs/>
        </w:rPr>
        <w:t>Trayectos discontinuos: análisis de los motivos por los que estudiantes dejaron materias del Ciclo Inicial de UNAJ en 2025</w:t>
      </w:r>
    </w:p>
    <w:p w14:paraId="6C2AECCA" w14:textId="044BB5EF" w:rsidR="005F3B2E" w:rsidRDefault="00F84B60" w:rsidP="00F84B60">
      <w:pPr>
        <w:spacing w:after="0" w:line="240" w:lineRule="auto"/>
        <w:jc w:val="right"/>
        <w:rPr>
          <w:rFonts w:ascii="Times New Roman" w:hAnsi="Times New Roman" w:cs="Times New Roman"/>
        </w:rPr>
      </w:pPr>
      <w:r>
        <w:rPr>
          <w:rFonts w:ascii="Times New Roman" w:hAnsi="Times New Roman" w:cs="Times New Roman"/>
        </w:rPr>
        <w:t xml:space="preserve">Cerezo, Leticia </w:t>
      </w:r>
    </w:p>
    <w:p w14:paraId="678F472C" w14:textId="09C305BC" w:rsidR="00F84B60" w:rsidRDefault="00F84B60" w:rsidP="00F84B60">
      <w:pPr>
        <w:spacing w:after="0" w:line="240" w:lineRule="auto"/>
        <w:jc w:val="right"/>
        <w:rPr>
          <w:rFonts w:ascii="Times New Roman" w:hAnsi="Times New Roman" w:cs="Times New Roman"/>
        </w:rPr>
      </w:pPr>
      <w:r>
        <w:rPr>
          <w:rFonts w:ascii="Times New Roman" w:hAnsi="Times New Roman" w:cs="Times New Roman"/>
        </w:rPr>
        <w:t>UNAJ</w:t>
      </w:r>
    </w:p>
    <w:p w14:paraId="19BFC11C" w14:textId="78E12E24" w:rsidR="00F84B60" w:rsidRPr="00BA642E" w:rsidRDefault="00F84B60" w:rsidP="00F84B60">
      <w:pPr>
        <w:spacing w:after="0" w:line="240" w:lineRule="auto"/>
        <w:jc w:val="right"/>
        <w:rPr>
          <w:rFonts w:ascii="Times New Roman" w:hAnsi="Times New Roman" w:cs="Times New Roman"/>
        </w:rPr>
      </w:pPr>
      <w:r>
        <w:rPr>
          <w:rFonts w:ascii="Times New Roman" w:hAnsi="Times New Roman" w:cs="Times New Roman"/>
        </w:rPr>
        <w:t>lcerezo@unaj.edu.ar</w:t>
      </w:r>
    </w:p>
    <w:p w14:paraId="3D73DB11" w14:textId="2E092C54" w:rsidR="005F3B2E" w:rsidRPr="00BA642E" w:rsidRDefault="005F3B2E" w:rsidP="005F3B2E">
      <w:pPr>
        <w:spacing w:after="0" w:line="240" w:lineRule="auto"/>
        <w:jc w:val="right"/>
        <w:rPr>
          <w:rFonts w:ascii="Times New Roman" w:hAnsi="Times New Roman" w:cs="Times New Roman"/>
        </w:rPr>
      </w:pPr>
    </w:p>
    <w:p w14:paraId="35A6682C" w14:textId="7CFD2404" w:rsidR="00BA642E" w:rsidRPr="00FE6132" w:rsidRDefault="00BA642E" w:rsidP="001E2FAE">
      <w:pPr>
        <w:spacing w:line="240" w:lineRule="auto"/>
        <w:jc w:val="both"/>
        <w:rPr>
          <w:rFonts w:ascii="Times New Roman" w:hAnsi="Times New Roman" w:cs="Times New Roman"/>
          <w:b/>
          <w:bCs/>
          <w:lang w:val="es-AR"/>
        </w:rPr>
      </w:pPr>
      <w:r w:rsidRPr="00FE6132">
        <w:rPr>
          <w:rFonts w:ascii="Times New Roman" w:hAnsi="Times New Roman" w:cs="Times New Roman"/>
          <w:b/>
          <w:bCs/>
          <w:lang w:val="es-AR"/>
        </w:rPr>
        <w:t>R</w:t>
      </w:r>
      <w:r w:rsidR="00424D16">
        <w:rPr>
          <w:rFonts w:ascii="Times New Roman" w:hAnsi="Times New Roman" w:cs="Times New Roman"/>
          <w:b/>
          <w:bCs/>
          <w:lang w:val="es-AR"/>
        </w:rPr>
        <w:t>ESUMEN</w:t>
      </w:r>
    </w:p>
    <w:p w14:paraId="239C4373" w14:textId="77777777" w:rsidR="00F84B60" w:rsidRPr="001E2FAE" w:rsidRDefault="00F84B60" w:rsidP="001E2FAE">
      <w:pPr>
        <w:spacing w:line="240" w:lineRule="auto"/>
        <w:jc w:val="both"/>
        <w:rPr>
          <w:rFonts w:ascii="Times New Roman" w:hAnsi="Times New Roman" w:cs="Times New Roman"/>
        </w:rPr>
      </w:pPr>
      <w:r w:rsidRPr="001E2FAE">
        <w:rPr>
          <w:rFonts w:ascii="Times New Roman" w:hAnsi="Times New Roman" w:cs="Times New Roman"/>
        </w:rPr>
        <w:t>Los inicios a la vida universitaria constituyen una etapa decisiva en los trayectos universitarios. Con el objetivo de acompañar y sostener estos recorridos, la Universidad Nacional Arturo Jauretche (UNAJ), emplazada en Florencio Varela (PBA, Argentina), ha desarrollado múltiples dispositivos orientados a garantizar el ingreso, la permanencia y la continuidad. No obstante, como en la mayoría de las instituciones de educación superior, es en el primer año donde la discontinuidad se manifiesta con mayor intensidad.</w:t>
      </w:r>
    </w:p>
    <w:p w14:paraId="3CD45850" w14:textId="77777777" w:rsidR="00F84B60" w:rsidRPr="001E2FAE" w:rsidRDefault="00F84B60" w:rsidP="001E2FAE">
      <w:pPr>
        <w:spacing w:line="240" w:lineRule="auto"/>
        <w:jc w:val="both"/>
        <w:rPr>
          <w:rFonts w:ascii="Times New Roman" w:hAnsi="Times New Roman" w:cs="Times New Roman"/>
        </w:rPr>
      </w:pPr>
      <w:r w:rsidRPr="001E2FAE">
        <w:rPr>
          <w:rFonts w:ascii="Times New Roman" w:hAnsi="Times New Roman" w:cs="Times New Roman"/>
        </w:rPr>
        <w:t>La discontinuidad, ya sea en cursadas o trayectorias, responde a múltiples causas, lo que motiva su análisis. Este trabajo tiene como objetivo estudiar la discontinuidad en la cursada de materias del Ciclo Inicial de la UNAJ durante el primer cuatrimestre de 2025.</w:t>
      </w:r>
    </w:p>
    <w:p w14:paraId="394CBE1E" w14:textId="77777777" w:rsidR="00F84B60" w:rsidRPr="001E2FAE" w:rsidRDefault="00F84B60" w:rsidP="001E2FAE">
      <w:pPr>
        <w:spacing w:line="240" w:lineRule="auto"/>
        <w:jc w:val="both"/>
        <w:rPr>
          <w:rFonts w:ascii="Times New Roman" w:hAnsi="Times New Roman" w:cs="Times New Roman"/>
        </w:rPr>
      </w:pPr>
      <w:r w:rsidRPr="001E2FAE">
        <w:rPr>
          <w:rFonts w:ascii="Times New Roman" w:hAnsi="Times New Roman" w:cs="Times New Roman"/>
        </w:rPr>
        <w:t xml:space="preserve">Para ello, retomamos la distinción de García de </w:t>
      </w:r>
      <w:proofErr w:type="spellStart"/>
      <w:r w:rsidRPr="001E2FAE">
        <w:rPr>
          <w:rFonts w:ascii="Times New Roman" w:hAnsi="Times New Roman" w:cs="Times New Roman"/>
        </w:rPr>
        <w:t>Fanelli</w:t>
      </w:r>
      <w:proofErr w:type="spellEnd"/>
      <w:r w:rsidRPr="001E2FAE">
        <w:rPr>
          <w:rFonts w:ascii="Times New Roman" w:hAnsi="Times New Roman" w:cs="Times New Roman"/>
        </w:rPr>
        <w:t xml:space="preserve"> (2005, 2012) entre factores exógenos (entre los que se incluye trabajo, economía del hogar y tareas de cuidado) y endógenos (vinculados a contenidos, prácticas de enseñanza y de evaluación, organización académica y modalidad integrada). </w:t>
      </w:r>
    </w:p>
    <w:p w14:paraId="5026628F" w14:textId="4E382B5E" w:rsidR="00F84B60" w:rsidRPr="001E2FAE" w:rsidRDefault="00F84B60" w:rsidP="001E2FAE">
      <w:pPr>
        <w:spacing w:line="240" w:lineRule="auto"/>
        <w:jc w:val="both"/>
        <w:rPr>
          <w:rFonts w:ascii="Times New Roman" w:eastAsia="Times New Roman" w:hAnsi="Times New Roman" w:cs="Times New Roman"/>
        </w:rPr>
      </w:pPr>
      <w:r w:rsidRPr="001E2FAE">
        <w:rPr>
          <w:rFonts w:ascii="Times New Roman" w:hAnsi="Times New Roman" w:cs="Times New Roman"/>
        </w:rPr>
        <w:t>La investigación se desarrolló mediante una estrategia cuantitativa basada en una encuesta online, que retoma un estudio previo realizado en 2023, ajustando el cuestionario y garantizando la comparabilidad. Fue dirigida a estudiantes que no completaron la cursada al menos una de las c</w:t>
      </w:r>
      <w:r w:rsidR="00AE1643" w:rsidRPr="001E2FAE">
        <w:rPr>
          <w:rFonts w:ascii="Times New Roman" w:hAnsi="Times New Roman" w:cs="Times New Roman"/>
        </w:rPr>
        <w:t xml:space="preserve">inco </w:t>
      </w:r>
      <w:r w:rsidRPr="001E2FAE">
        <w:rPr>
          <w:rFonts w:ascii="Times New Roman" w:hAnsi="Times New Roman" w:cs="Times New Roman"/>
        </w:rPr>
        <w:t xml:space="preserve">materias del Ciclo Inicial (Matemática, </w:t>
      </w:r>
      <w:r w:rsidR="00B375F2" w:rsidRPr="001E2FAE">
        <w:rPr>
          <w:rFonts w:ascii="Times New Roman" w:hAnsi="Times New Roman" w:cs="Times New Roman"/>
        </w:rPr>
        <w:t xml:space="preserve">Introducción a la Matemática, </w:t>
      </w:r>
      <w:r w:rsidRPr="001E2FAE">
        <w:rPr>
          <w:rFonts w:ascii="Times New Roman" w:hAnsi="Times New Roman" w:cs="Times New Roman"/>
        </w:rPr>
        <w:t>Taller de Lectura y Escritura, Problemas de la Historia Argentina y Prácticas Culturales) durante el primer cuatrimestre de 2025. Se obtuvieron 1530 respuestas.</w:t>
      </w:r>
    </w:p>
    <w:p w14:paraId="6B9FE3BC" w14:textId="77777777" w:rsidR="00F84B60" w:rsidRPr="001E2FAE" w:rsidRDefault="00F84B60" w:rsidP="001E2FAE">
      <w:pPr>
        <w:spacing w:line="240" w:lineRule="auto"/>
        <w:jc w:val="both"/>
        <w:rPr>
          <w:rFonts w:ascii="Times New Roman" w:hAnsi="Times New Roman" w:cs="Times New Roman"/>
        </w:rPr>
      </w:pPr>
      <w:r w:rsidRPr="001E2FAE">
        <w:rPr>
          <w:rFonts w:ascii="Times New Roman" w:hAnsi="Times New Roman" w:cs="Times New Roman"/>
        </w:rPr>
        <w:t xml:space="preserve">El cuestionario permitió caracterizar a los/as estudiantes y relevar los motivos de discontinuidad, construidos a partir de aportes teóricos y de la experiencia del equipo. Nos proponemos aquí compartir los resultados del relevamiento, permitiéndonos dimensionar y comprender el fenómeno desde su diversidad y multiplicidad. </w:t>
      </w:r>
    </w:p>
    <w:p w14:paraId="26B983B2" w14:textId="77777777" w:rsidR="00F84B60" w:rsidRPr="001E2FAE" w:rsidRDefault="00F84B60" w:rsidP="001E2FAE">
      <w:pPr>
        <w:spacing w:line="240" w:lineRule="auto"/>
        <w:jc w:val="both"/>
        <w:rPr>
          <w:rFonts w:ascii="Times New Roman" w:hAnsi="Times New Roman" w:cs="Times New Roman"/>
          <w:b/>
          <w:bCs/>
          <w:lang w:val="es-AR"/>
        </w:rPr>
      </w:pPr>
    </w:p>
    <w:p w14:paraId="2994BAB3" w14:textId="63A3CD82" w:rsidR="00BA642E" w:rsidRPr="001E2FAE" w:rsidRDefault="00BA642E" w:rsidP="001E2FAE">
      <w:pPr>
        <w:spacing w:line="240" w:lineRule="auto"/>
        <w:jc w:val="both"/>
        <w:rPr>
          <w:rFonts w:ascii="Times New Roman" w:hAnsi="Times New Roman" w:cs="Times New Roman"/>
          <w:b/>
          <w:bCs/>
          <w:lang w:val="es-AR"/>
        </w:rPr>
      </w:pPr>
      <w:r w:rsidRPr="001E2FAE">
        <w:rPr>
          <w:rFonts w:ascii="Times New Roman" w:hAnsi="Times New Roman" w:cs="Times New Roman"/>
          <w:b/>
          <w:bCs/>
          <w:lang w:val="es-AR"/>
        </w:rPr>
        <w:t xml:space="preserve">Palabras clave: </w:t>
      </w:r>
      <w:r w:rsidR="00FE6132" w:rsidRPr="00FE6132">
        <w:rPr>
          <w:rFonts w:ascii="Times New Roman" w:hAnsi="Times New Roman" w:cs="Times New Roman"/>
          <w:bCs/>
          <w:lang w:val="es-AR"/>
        </w:rPr>
        <w:t>trayectorias educativas, universidad, discontinuidad de cursadas</w:t>
      </w:r>
    </w:p>
    <w:p w14:paraId="3E622432" w14:textId="77777777" w:rsidR="006B44A3" w:rsidRDefault="006B44A3" w:rsidP="001E2FAE">
      <w:pPr>
        <w:spacing w:line="240" w:lineRule="auto"/>
        <w:jc w:val="both"/>
        <w:rPr>
          <w:rFonts w:ascii="Times New Roman" w:hAnsi="Times New Roman" w:cs="Times New Roman"/>
          <w:b/>
          <w:bCs/>
          <w:caps/>
          <w:lang w:val="es-AR"/>
        </w:rPr>
      </w:pPr>
    </w:p>
    <w:p w14:paraId="42D28C25" w14:textId="77777777" w:rsidR="006B44A3" w:rsidRDefault="006B44A3" w:rsidP="001E2FAE">
      <w:pPr>
        <w:spacing w:line="240" w:lineRule="auto"/>
        <w:jc w:val="both"/>
        <w:rPr>
          <w:rFonts w:ascii="Times New Roman" w:hAnsi="Times New Roman" w:cs="Times New Roman"/>
          <w:b/>
          <w:bCs/>
          <w:caps/>
          <w:lang w:val="es-AR"/>
        </w:rPr>
      </w:pPr>
    </w:p>
    <w:p w14:paraId="0AF13BFE" w14:textId="77777777" w:rsidR="006B44A3" w:rsidRDefault="006B44A3" w:rsidP="001E2FAE">
      <w:pPr>
        <w:spacing w:line="240" w:lineRule="auto"/>
        <w:jc w:val="both"/>
        <w:rPr>
          <w:rFonts w:ascii="Times New Roman" w:hAnsi="Times New Roman" w:cs="Times New Roman"/>
          <w:b/>
          <w:bCs/>
          <w:caps/>
          <w:lang w:val="es-AR"/>
        </w:rPr>
      </w:pPr>
    </w:p>
    <w:p w14:paraId="6A5547A1" w14:textId="225751FE" w:rsidR="00BA642E" w:rsidRPr="006B44A3" w:rsidRDefault="00BA642E" w:rsidP="001E2FAE">
      <w:pPr>
        <w:spacing w:line="240" w:lineRule="auto"/>
        <w:jc w:val="both"/>
        <w:rPr>
          <w:rFonts w:ascii="Times New Roman" w:hAnsi="Times New Roman" w:cs="Times New Roman"/>
          <w:b/>
          <w:bCs/>
          <w:caps/>
          <w:lang w:val="es-AR"/>
        </w:rPr>
      </w:pPr>
      <w:r w:rsidRPr="006B44A3">
        <w:rPr>
          <w:rFonts w:ascii="Times New Roman" w:hAnsi="Times New Roman" w:cs="Times New Roman"/>
          <w:b/>
          <w:bCs/>
          <w:caps/>
          <w:lang w:val="es-AR"/>
        </w:rPr>
        <w:lastRenderedPageBreak/>
        <w:t>Introducción</w:t>
      </w:r>
    </w:p>
    <w:p w14:paraId="1E4826F2" w14:textId="718AE561" w:rsidR="00B375F2" w:rsidRPr="00B375F2" w:rsidRDefault="00B375F2" w:rsidP="001E2FAE">
      <w:pPr>
        <w:spacing w:before="100" w:beforeAutospacing="1" w:after="100" w:afterAutospacing="1" w:line="240" w:lineRule="auto"/>
        <w:jc w:val="both"/>
        <w:rPr>
          <w:rFonts w:ascii="Times New Roman" w:eastAsia="Times New Roman" w:hAnsi="Times New Roman" w:cs="Times New Roman"/>
          <w:kern w:val="0"/>
          <w:lang w:val="es-AR" w:eastAsia="es-AR"/>
          <w14:ligatures w14:val="none"/>
        </w:rPr>
      </w:pPr>
      <w:r w:rsidRPr="00B375F2">
        <w:rPr>
          <w:rFonts w:ascii="Times New Roman" w:eastAsia="Times New Roman" w:hAnsi="Times New Roman" w:cs="Times New Roman"/>
          <w:kern w:val="0"/>
          <w:lang w:val="es-AR" w:eastAsia="es-AR"/>
          <w14:ligatures w14:val="none"/>
        </w:rPr>
        <w:t xml:space="preserve">Los primeros tramos de </w:t>
      </w:r>
      <w:r w:rsidRPr="001E2FAE">
        <w:rPr>
          <w:rFonts w:ascii="Times New Roman" w:eastAsia="Times New Roman" w:hAnsi="Times New Roman" w:cs="Times New Roman"/>
          <w:kern w:val="0"/>
          <w:lang w:val="es-AR" w:eastAsia="es-AR"/>
          <w14:ligatures w14:val="none"/>
        </w:rPr>
        <w:t xml:space="preserve">las carreras universitarias </w:t>
      </w:r>
      <w:r w:rsidRPr="00B375F2">
        <w:rPr>
          <w:rFonts w:ascii="Times New Roman" w:eastAsia="Times New Roman" w:hAnsi="Times New Roman" w:cs="Times New Roman"/>
          <w:kern w:val="0"/>
          <w:lang w:val="es-AR" w:eastAsia="es-AR"/>
          <w14:ligatures w14:val="none"/>
        </w:rPr>
        <w:t>resultan decisivos para las trayectorias estudiantiles. En esta etapa, quienes ingresan a la universidad inician un proceso de construcción de su “oficio de estudiante” (</w:t>
      </w:r>
      <w:proofErr w:type="spellStart"/>
      <w:r w:rsidRPr="00B375F2">
        <w:rPr>
          <w:rFonts w:ascii="Times New Roman" w:eastAsia="Times New Roman" w:hAnsi="Times New Roman" w:cs="Times New Roman"/>
          <w:kern w:val="0"/>
          <w:lang w:val="es-AR" w:eastAsia="es-AR"/>
          <w14:ligatures w14:val="none"/>
        </w:rPr>
        <w:t>Coulon</w:t>
      </w:r>
      <w:proofErr w:type="spellEnd"/>
      <w:r w:rsidRPr="00B375F2">
        <w:rPr>
          <w:rFonts w:ascii="Times New Roman" w:eastAsia="Times New Roman" w:hAnsi="Times New Roman" w:cs="Times New Roman"/>
          <w:kern w:val="0"/>
          <w:lang w:val="es-AR" w:eastAsia="es-AR"/>
          <w14:ligatures w14:val="none"/>
        </w:rPr>
        <w:t xml:space="preserve">, 1997), el cual implica el desarrollo de múltiples y diversos aprendizajes. Entre ellos se incluyen las formas de transitar </w:t>
      </w:r>
      <w:r w:rsidRPr="001E2FAE">
        <w:rPr>
          <w:rFonts w:ascii="Times New Roman" w:eastAsia="Times New Roman" w:hAnsi="Times New Roman" w:cs="Times New Roman"/>
          <w:kern w:val="0"/>
          <w:lang w:val="es-AR" w:eastAsia="es-AR"/>
          <w14:ligatures w14:val="none"/>
        </w:rPr>
        <w:t xml:space="preserve">el </w:t>
      </w:r>
      <w:r w:rsidRPr="00B375F2">
        <w:rPr>
          <w:rFonts w:ascii="Times New Roman" w:eastAsia="Times New Roman" w:hAnsi="Times New Roman" w:cs="Times New Roman"/>
          <w:kern w:val="0"/>
          <w:lang w:val="es-AR" w:eastAsia="es-AR"/>
          <w14:ligatures w14:val="none"/>
        </w:rPr>
        <w:t>pasaje desde la escuela secundaria hacia la universidad, la reconfiguración de los usos del tiempo y su articulación con nuevos espacios de estudio, así como la apropiación de prácticas académicas específicas, que no se reducen a la incorporación de contenidos, sino que involucran saberes como las metodologías de estudio, la toma de apuntes y la organización del tiempo de trabajo académico, entre otros.</w:t>
      </w:r>
    </w:p>
    <w:p w14:paraId="510AD5E0" w14:textId="41FB93EF" w:rsidR="00B375F2" w:rsidRPr="00B375F2" w:rsidRDefault="00B375F2" w:rsidP="001E2FAE">
      <w:pPr>
        <w:spacing w:before="100" w:beforeAutospacing="1" w:after="100" w:afterAutospacing="1" w:line="240" w:lineRule="auto"/>
        <w:jc w:val="both"/>
        <w:rPr>
          <w:rFonts w:ascii="Times New Roman" w:eastAsia="Times New Roman" w:hAnsi="Times New Roman" w:cs="Times New Roman"/>
          <w:kern w:val="0"/>
          <w:lang w:val="es-AR" w:eastAsia="es-AR"/>
          <w14:ligatures w14:val="none"/>
        </w:rPr>
      </w:pPr>
      <w:r w:rsidRPr="00B375F2">
        <w:rPr>
          <w:rFonts w:ascii="Times New Roman" w:eastAsia="Times New Roman" w:hAnsi="Times New Roman" w:cs="Times New Roman"/>
          <w:kern w:val="0"/>
          <w:lang w:val="es-AR" w:eastAsia="es-AR"/>
          <w14:ligatures w14:val="none"/>
        </w:rPr>
        <w:t xml:space="preserve">En este proceso, </w:t>
      </w:r>
      <w:r w:rsidR="00BD3D81">
        <w:rPr>
          <w:rFonts w:ascii="Times New Roman" w:eastAsia="Times New Roman" w:hAnsi="Times New Roman" w:cs="Times New Roman"/>
          <w:kern w:val="0"/>
          <w:lang w:val="es-AR" w:eastAsia="es-AR"/>
          <w14:ligatures w14:val="none"/>
        </w:rPr>
        <w:t xml:space="preserve">tal como sostiene Ezcurra </w:t>
      </w:r>
      <w:r w:rsidR="00BD3D81">
        <w:rPr>
          <w:rFonts w:ascii="Times New Roman" w:eastAsia="Times New Roman" w:hAnsi="Times New Roman" w:cs="Times New Roman"/>
          <w:kern w:val="0"/>
          <w:lang w:val="es-AR" w:eastAsia="es-AR"/>
          <w14:ligatures w14:val="none"/>
        </w:rPr>
        <w:fldChar w:fldCharType="begin"/>
      </w:r>
      <w:r w:rsidR="00BD3D81">
        <w:rPr>
          <w:rFonts w:ascii="Times New Roman" w:eastAsia="Times New Roman" w:hAnsi="Times New Roman" w:cs="Times New Roman"/>
          <w:kern w:val="0"/>
          <w:lang w:val="es-AR" w:eastAsia="es-AR"/>
          <w14:ligatures w14:val="none"/>
        </w:rPr>
        <w:instrText xml:space="preserve"> ADDIN ZOTERO_ITEM CSL_CITATION {"citationID":"CqqOi8gw","properties":{"unsorted":false,"formattedCitation":"(2011)","plainCitation":"(2011)","noteIndex":0},"citationItems":[{"id":74,"uris":["http://zotero.org/users/3485131/items/NFQFTLNR"],"itemData":{"id":74,"type":"book","publisher":"Los Polvorines-Argentina: Universidad Nacional de General Sarmiento","source":"Google Scholar","title":"Igualdad en educación superior: un desafío mundial","title-short":"Igualdad en educación superior","author":[{"family":"Ezcurra","given":"Ana María"}],"issued":{"date-parts":[["2011"]]}},"suppress-author":true}],"schema":"https://github.com/citation-style-language/schema/raw/master/csl-citation.json"} </w:instrText>
      </w:r>
      <w:r w:rsidR="00BD3D81">
        <w:rPr>
          <w:rFonts w:ascii="Times New Roman" w:eastAsia="Times New Roman" w:hAnsi="Times New Roman" w:cs="Times New Roman"/>
          <w:kern w:val="0"/>
          <w:lang w:val="es-AR" w:eastAsia="es-AR"/>
          <w14:ligatures w14:val="none"/>
        </w:rPr>
        <w:fldChar w:fldCharType="separate"/>
      </w:r>
      <w:r w:rsidR="00BD3D81" w:rsidRPr="00BD3D81">
        <w:rPr>
          <w:rFonts w:ascii="Times New Roman" w:hAnsi="Times New Roman" w:cs="Times New Roman"/>
        </w:rPr>
        <w:t>(2011)</w:t>
      </w:r>
      <w:r w:rsidR="00BD3D81">
        <w:rPr>
          <w:rFonts w:ascii="Times New Roman" w:eastAsia="Times New Roman" w:hAnsi="Times New Roman" w:cs="Times New Roman"/>
          <w:kern w:val="0"/>
          <w:lang w:val="es-AR" w:eastAsia="es-AR"/>
          <w14:ligatures w14:val="none"/>
        </w:rPr>
        <w:fldChar w:fldCharType="end"/>
      </w:r>
      <w:r w:rsidR="00BD3D81">
        <w:rPr>
          <w:rFonts w:ascii="Times New Roman" w:eastAsia="Times New Roman" w:hAnsi="Times New Roman" w:cs="Times New Roman"/>
          <w:kern w:val="0"/>
          <w:lang w:val="es-AR" w:eastAsia="es-AR"/>
          <w14:ligatures w14:val="none"/>
        </w:rPr>
        <w:t xml:space="preserve">, </w:t>
      </w:r>
      <w:r w:rsidRPr="00B375F2">
        <w:rPr>
          <w:rFonts w:ascii="Times New Roman" w:eastAsia="Times New Roman" w:hAnsi="Times New Roman" w:cs="Times New Roman"/>
          <w:kern w:val="0"/>
          <w:lang w:val="es-AR" w:eastAsia="es-AR"/>
          <w14:ligatures w14:val="none"/>
        </w:rPr>
        <w:t>las instituciones adquieren un papel central como condicionantes de las trayectorias, en la medida en que pueden contribuir a desnaturaliz</w:t>
      </w:r>
      <w:bookmarkStart w:id="0" w:name="_GoBack"/>
      <w:bookmarkEnd w:id="0"/>
      <w:r w:rsidRPr="00B375F2">
        <w:rPr>
          <w:rFonts w:ascii="Times New Roman" w:eastAsia="Times New Roman" w:hAnsi="Times New Roman" w:cs="Times New Roman"/>
          <w:kern w:val="0"/>
          <w:lang w:val="es-AR" w:eastAsia="es-AR"/>
          <w14:ligatures w14:val="none"/>
        </w:rPr>
        <w:t xml:space="preserve">ar sus propias reglas y prácticas, explicitarlas y convertirlas en objeto de enseñanza. </w:t>
      </w:r>
      <w:r w:rsidR="00BD3D81">
        <w:rPr>
          <w:rFonts w:ascii="Times New Roman" w:eastAsia="Times New Roman" w:hAnsi="Times New Roman" w:cs="Times New Roman"/>
          <w:kern w:val="0"/>
          <w:lang w:val="es-AR" w:eastAsia="es-AR"/>
          <w14:ligatures w14:val="none"/>
        </w:rPr>
        <w:t xml:space="preserve">Asimismo, tienen el </w:t>
      </w:r>
      <w:r w:rsidRPr="00B375F2">
        <w:rPr>
          <w:rFonts w:ascii="Times New Roman" w:eastAsia="Times New Roman" w:hAnsi="Times New Roman" w:cs="Times New Roman"/>
          <w:kern w:val="0"/>
          <w:lang w:val="es-AR" w:eastAsia="es-AR"/>
          <w14:ligatures w14:val="none"/>
        </w:rPr>
        <w:t xml:space="preserve">rol fundamental </w:t>
      </w:r>
      <w:r w:rsidR="00BD3D81">
        <w:rPr>
          <w:rFonts w:ascii="Times New Roman" w:eastAsia="Times New Roman" w:hAnsi="Times New Roman" w:cs="Times New Roman"/>
          <w:kern w:val="0"/>
          <w:lang w:val="es-AR" w:eastAsia="es-AR"/>
          <w14:ligatures w14:val="none"/>
        </w:rPr>
        <w:t>de</w:t>
      </w:r>
      <w:r w:rsidRPr="00B375F2">
        <w:rPr>
          <w:rFonts w:ascii="Times New Roman" w:eastAsia="Times New Roman" w:hAnsi="Times New Roman" w:cs="Times New Roman"/>
          <w:kern w:val="0"/>
          <w:lang w:val="es-AR" w:eastAsia="es-AR"/>
          <w14:ligatures w14:val="none"/>
        </w:rPr>
        <w:t xml:space="preserve"> “enseñar la institución” (González Velasco, 2019). En </w:t>
      </w:r>
      <w:r w:rsidR="00BD3D81">
        <w:rPr>
          <w:rFonts w:ascii="Times New Roman" w:eastAsia="Times New Roman" w:hAnsi="Times New Roman" w:cs="Times New Roman"/>
          <w:kern w:val="0"/>
          <w:lang w:val="es-AR" w:eastAsia="es-AR"/>
          <w14:ligatures w14:val="none"/>
        </w:rPr>
        <w:t>suma</w:t>
      </w:r>
      <w:r w:rsidRPr="00B375F2">
        <w:rPr>
          <w:rFonts w:ascii="Times New Roman" w:eastAsia="Times New Roman" w:hAnsi="Times New Roman" w:cs="Times New Roman"/>
          <w:kern w:val="0"/>
          <w:lang w:val="es-AR" w:eastAsia="es-AR"/>
          <w14:ligatures w14:val="none"/>
        </w:rPr>
        <w:t xml:space="preserve">, </w:t>
      </w:r>
      <w:r w:rsidR="00BD3D81">
        <w:rPr>
          <w:rFonts w:ascii="Times New Roman" w:eastAsia="Times New Roman" w:hAnsi="Times New Roman" w:cs="Times New Roman"/>
          <w:kern w:val="0"/>
          <w:lang w:val="es-AR" w:eastAsia="es-AR"/>
          <w14:ligatures w14:val="none"/>
        </w:rPr>
        <w:t>las</w:t>
      </w:r>
      <w:r w:rsidRPr="00B375F2">
        <w:rPr>
          <w:rFonts w:ascii="Times New Roman" w:eastAsia="Times New Roman" w:hAnsi="Times New Roman" w:cs="Times New Roman"/>
          <w:kern w:val="0"/>
          <w:lang w:val="es-AR" w:eastAsia="es-AR"/>
          <w14:ligatures w14:val="none"/>
        </w:rPr>
        <w:t xml:space="preserve"> dimensiones institucionales</w:t>
      </w:r>
      <w:r w:rsidR="00BD3D81">
        <w:rPr>
          <w:rFonts w:ascii="Times New Roman" w:eastAsia="Times New Roman" w:hAnsi="Times New Roman" w:cs="Times New Roman"/>
          <w:kern w:val="0"/>
          <w:lang w:val="es-AR" w:eastAsia="es-AR"/>
          <w14:ligatures w14:val="none"/>
        </w:rPr>
        <w:t xml:space="preserve">, entre ellas el </w:t>
      </w:r>
      <w:r w:rsidR="00BD3D81">
        <w:rPr>
          <w:rFonts w:ascii="Times New Roman" w:eastAsia="Times New Roman" w:hAnsi="Times New Roman" w:cs="Times New Roman"/>
          <w:kern w:val="0"/>
          <w:lang w:val="es-AR" w:eastAsia="es-AR"/>
          <w14:ligatures w14:val="none"/>
        </w:rPr>
        <w:t>modo en el que se abordan los inicios a la vida universitaria</w:t>
      </w:r>
      <w:r w:rsidR="00BD3D81">
        <w:rPr>
          <w:rFonts w:ascii="Times New Roman" w:eastAsia="Times New Roman" w:hAnsi="Times New Roman" w:cs="Times New Roman"/>
          <w:kern w:val="0"/>
          <w:lang w:val="es-AR" w:eastAsia="es-AR"/>
          <w14:ligatures w14:val="none"/>
        </w:rPr>
        <w:t xml:space="preserve">, </w:t>
      </w:r>
      <w:r w:rsidRPr="00B375F2">
        <w:rPr>
          <w:rFonts w:ascii="Times New Roman" w:eastAsia="Times New Roman" w:hAnsi="Times New Roman" w:cs="Times New Roman"/>
          <w:kern w:val="0"/>
          <w:lang w:val="es-AR" w:eastAsia="es-AR"/>
          <w14:ligatures w14:val="none"/>
        </w:rPr>
        <w:t>configuran condiciones que inciden en la posibilidad de favorecer la permanencia y el avance en los trayectos universitarios.</w:t>
      </w:r>
    </w:p>
    <w:p w14:paraId="2D4F7937" w14:textId="19F47D67" w:rsidR="00B375F2" w:rsidRPr="001E2FAE" w:rsidRDefault="00B375F2" w:rsidP="001E2FAE">
      <w:pPr>
        <w:pStyle w:val="LO-normal"/>
        <w:spacing w:line="240" w:lineRule="auto"/>
        <w:jc w:val="both"/>
        <w:rPr>
          <w:rFonts w:ascii="Times New Roman" w:hAnsi="Times New Roman" w:cs="Times New Roman"/>
          <w:sz w:val="24"/>
          <w:szCs w:val="24"/>
        </w:rPr>
      </w:pPr>
      <w:r w:rsidRPr="001E2FAE">
        <w:rPr>
          <w:rFonts w:ascii="Times New Roman" w:hAnsi="Times New Roman" w:cs="Times New Roman"/>
          <w:sz w:val="24"/>
          <w:szCs w:val="24"/>
        </w:rPr>
        <w:t xml:space="preserve">En este marco, la Universidad Nacional Arturo Jauretche (UNAJ), creada en 2011, ha desarrollado diversas estrategias institucionales orientadas a acompañar y sostener la continuidad de las trayectorias estudiantiles </w:t>
      </w:r>
      <w:r w:rsidRPr="001E2FAE">
        <w:rPr>
          <w:rFonts w:ascii="Times New Roman" w:eastAsia="Times New Roman" w:hAnsi="Times New Roman" w:cs="Times New Roman"/>
          <w:sz w:val="24"/>
          <w:szCs w:val="24"/>
        </w:rPr>
        <w:fldChar w:fldCharType="begin"/>
      </w:r>
      <w:r w:rsidRPr="001E2FAE">
        <w:rPr>
          <w:rFonts w:ascii="Times New Roman" w:eastAsia="Times New Roman" w:hAnsi="Times New Roman" w:cs="Times New Roman"/>
          <w:sz w:val="24"/>
          <w:szCs w:val="24"/>
        </w:rPr>
        <w:instrText xml:space="preserve"> ADDIN ZOTERO_ITEM CSL_CITATION {"citationID":"M4kBRrwe","properties":{"formattedCitation":"(Cerezo, 2024)","plainCitation":"(Cerezo, 2024)","noteIndex":0},"citationItems":[{"id":1678,"uris":["http://zotero.org/users/3485131/items/G4Q35VWE"],"itemData":{"id":1678,"type":"book","abstract":"Este libro analiza los sentidos que adquiere la inclusión educativa en la Universidad Nacional Arturo Jauretche (UNAJ), institución que se emplaza en la ciudad de Florencio Varela, en el Gran Buenos Aires, Argentina. El periodo temporal considerado se inicia en 2011, año de su fundación, extendiéndose hasta 2018.\n\nNuestra hipótesis de trabajo sostiene que la categoría inclusión educativa es la que permite organizar las relaciones sociales en la UNAJ, en tanto que, quienes la conforman (autoridades, nodocentes, docentes y estudiantes), consideran que esta universidad tiene como propósito favorecer la inclusión educativa en el nivel superior. Esta noción, aunque de carácter polisémico, tiene implicancias en la puesta en marcha de las prácticas institucionales, en las experiencias singulares de los sujetos, al mismo tiempo que establece ciertos límites acerca de aquello que se considera justo y posible dentro de dicha institución, de allí que tomamos como referencia teórica el concepto de “comunidad de valor” desarrollado por Ricoeur (2006) y utilizado por Cross (2008).\n\nLa investigación sobre la que se sustenta esta tesis es un estudio de caso único (Yin, 1984). Dentro de esta estrategia teórico-metodológica, utilizamos distintas técnicas de recolección y análisis de los datos que nos permitieron reconstruir los soportes sobre los que se construyen los discursos (personales e institucionales, hablados y escritos) acerca de la singularidad de la Universidad como proyecto educativo y las prácticas que allí se despliegan, así como también de las experiencias de autoridades, nodocentes, docentes y estudiantes.\n\nYin (2018) sostiene que el estudio de caso debe llevarse a cabo considerándolo inmerso dentro de su contexto en la vida real, especialmente cuando los límites entre el fenómeno y su contexto no son claramente evidentes. Por otra parte, una comunidad de valor no se comprende únicamente analizando los discursos de quiénes la integran y sus experiencias compartidas, sino que es necesario atender los distintos sentidos que circulan en un determinado ámbito sociocultural. Conforme a estos lineamientos teórico-metodológicos, comenzamos situando el debate acerca del concepto de inclusión educativa y relevando los sentidos políticos y académicos que se le atribuyen, sobre todo los relacionados con la llamada “tercera ola” de creación de universidades, entre las que se encuentra la UNAJ.\n\nLuego, presentamos y analizamos las justificaciones de una serie de prácticas institucionales que son las que, desde el punto de vista de autoridades y no docentes, docentes y estudiantes, le confieren su singularidad: prácticas de acompañamiento al estudiantado, que tienen lugar por fuera de las aulas, de acompañamiento al ingreso, las prácticas docentes referidas a la enseñanza y evaluación, y las características del régimen académico universitario.\n\nEl trabajo realizado en esta tesis nos permite comprender que, en esta universidad, la inclusión educativa, en sus distintas connotaciones, organiza la vida cotidiana, así como posibilita la justificación de las prácticas, las tensiones y las resistencias que allí se expresan. La noción de inclusión implica que hay quienes están por fuera, a diferencia de quienes realizan la acción de incluir, que se sitúan por dentro. Entonces, el dilema se expresa en términos de quiénes deben moverse, en qué sentido y de qué modo, para poder sortear esa exterioridad/exclusión. Asimismo, esta disyuntiva es recuperada permanentemente para dar sentido a las expectativas institucionales acerca de ser docentes y estudiantes, pero también nodocentes y autoridades, a la vez que les permite diferenciarse de otras instituciones de nivel superior.\n\nPor otra parte, la trayectoria universitaria, es pensada como un momento particular en la vida de las/os estudiantes en tránsito hacia la inserción en diferentes campos. Así, la tensión entre la otredad de origen de las/os ingresantes que están “afuera” y deben convertirse en estudiantes y la heterogeneidad de inserciones profesionales y disciplinares para las que se preparan, con mayor fuerza hacia el final de sus carreras, son procesos que atraviesan las reflexiones y dan sentido a los modos en que se gestiona cotidianamente el proyecto institucional y los pequeños desafíos personales.\n\nComo veremos, en esa dialéctica entre el adentro y el afuera, se construye y se sostiene una universidad masiva y cercana, dinámica y reflexiva que, en su enorme riqueza, ofrece claves interpretativas muy novedosas para pensar la educación superior en Argentina.","edition":"TeseoPress","ISBN":"978-631-00-3497-3","language":"Español","publisher":"Teseo","title":"La inclusión educativa en el nivel superior universitario argentino : un estudio de caso de la UNAJ","URL":"https://www.teseopress.com/inclusioneducativaniveluniversitarioargentino/","author":[{"family":"Cerezo","given":"Leticia"}],"issued":{"date-parts":[["2024"]]}}}],"schema":"https://github.com/citation-style-language/schema/raw/master/csl-citation.json"} </w:instrText>
      </w:r>
      <w:r w:rsidRPr="001E2FAE">
        <w:rPr>
          <w:rFonts w:ascii="Times New Roman" w:eastAsia="Times New Roman" w:hAnsi="Times New Roman" w:cs="Times New Roman"/>
          <w:sz w:val="24"/>
          <w:szCs w:val="24"/>
        </w:rPr>
        <w:fldChar w:fldCharType="separate"/>
      </w:r>
      <w:r w:rsidRPr="001E2FAE">
        <w:rPr>
          <w:rFonts w:ascii="Times New Roman" w:hAnsi="Times New Roman" w:cs="Times New Roman"/>
          <w:sz w:val="24"/>
          <w:szCs w:val="24"/>
        </w:rPr>
        <w:t>(Cerezo, 2024)</w:t>
      </w:r>
      <w:r w:rsidRPr="001E2FAE">
        <w:rPr>
          <w:rFonts w:ascii="Times New Roman" w:eastAsia="Times New Roman" w:hAnsi="Times New Roman" w:cs="Times New Roman"/>
          <w:sz w:val="24"/>
          <w:szCs w:val="24"/>
        </w:rPr>
        <w:fldChar w:fldCharType="end"/>
      </w:r>
      <w:r w:rsidRPr="001E2FAE">
        <w:rPr>
          <w:rFonts w:ascii="Times New Roman" w:hAnsi="Times New Roman" w:cs="Times New Roman"/>
          <w:sz w:val="24"/>
          <w:szCs w:val="24"/>
        </w:rPr>
        <w:t>. Entre ellas se destacan las iniciativas impulsadas por el Instituto de Estudios Iniciales de Humanidades y Educación (</w:t>
      </w:r>
      <w:proofErr w:type="spellStart"/>
      <w:r w:rsidRPr="001E2FAE">
        <w:rPr>
          <w:rFonts w:ascii="Times New Roman" w:hAnsi="Times New Roman" w:cs="Times New Roman"/>
          <w:sz w:val="24"/>
          <w:szCs w:val="24"/>
        </w:rPr>
        <w:t>IEIHyE</w:t>
      </w:r>
      <w:proofErr w:type="spellEnd"/>
      <w:r w:rsidRPr="001E2FAE">
        <w:rPr>
          <w:rFonts w:ascii="Times New Roman" w:hAnsi="Times New Roman" w:cs="Times New Roman"/>
          <w:sz w:val="24"/>
          <w:szCs w:val="24"/>
        </w:rPr>
        <w:t>), constituido en 2012 a partir de la identificación de problemáticas y desafíos asociados a los inicios a la vida universitaria. Esta unidad de gestión académica y administrativa concentra su acción en el primer año de las trayectorias teóricas (Terigi, 2007), con el propósito de diseñar y promover propuestas institucionales que atiendan las necesidades específicas de la etapa inicial de la formación.</w:t>
      </w:r>
    </w:p>
    <w:p w14:paraId="67A4C4A3" w14:textId="1BC8BBFE" w:rsidR="00F84B60" w:rsidRPr="001E2FAE" w:rsidRDefault="00F84B60" w:rsidP="001E2FAE">
      <w:pPr>
        <w:pStyle w:val="LO-normal"/>
        <w:spacing w:line="240" w:lineRule="auto"/>
        <w:jc w:val="both"/>
        <w:rPr>
          <w:rFonts w:ascii="Times New Roman" w:eastAsia="Times New Roman" w:hAnsi="Times New Roman" w:cs="Times New Roman"/>
          <w:sz w:val="24"/>
          <w:szCs w:val="24"/>
        </w:rPr>
      </w:pPr>
      <w:r w:rsidRPr="001E2FAE">
        <w:rPr>
          <w:rFonts w:ascii="Times New Roman" w:eastAsia="Times New Roman" w:hAnsi="Times New Roman" w:cs="Times New Roman"/>
          <w:sz w:val="24"/>
          <w:szCs w:val="24"/>
        </w:rPr>
        <w:t xml:space="preserve">Dentro del IEI se crearon dos </w:t>
      </w:r>
      <w:r w:rsidR="00BD3D81">
        <w:rPr>
          <w:rFonts w:ascii="Times New Roman" w:eastAsia="Times New Roman" w:hAnsi="Times New Roman" w:cs="Times New Roman"/>
          <w:sz w:val="24"/>
          <w:szCs w:val="24"/>
        </w:rPr>
        <w:t xml:space="preserve">tramos formativos: el </w:t>
      </w:r>
      <w:r w:rsidRPr="001E2FAE">
        <w:rPr>
          <w:rFonts w:ascii="Times New Roman" w:eastAsia="Times New Roman" w:hAnsi="Times New Roman" w:cs="Times New Roman"/>
          <w:sz w:val="24"/>
          <w:szCs w:val="24"/>
        </w:rPr>
        <w:t>C</w:t>
      </w:r>
      <w:r w:rsidR="00764657" w:rsidRPr="001E2FAE">
        <w:rPr>
          <w:rFonts w:ascii="Times New Roman" w:eastAsia="Times New Roman" w:hAnsi="Times New Roman" w:cs="Times New Roman"/>
          <w:sz w:val="24"/>
          <w:szCs w:val="24"/>
        </w:rPr>
        <w:t xml:space="preserve">iclo </w:t>
      </w:r>
      <w:r w:rsidRPr="001E2FAE">
        <w:rPr>
          <w:rFonts w:ascii="Times New Roman" w:eastAsia="Times New Roman" w:hAnsi="Times New Roman" w:cs="Times New Roman"/>
          <w:sz w:val="24"/>
          <w:szCs w:val="24"/>
        </w:rPr>
        <w:t xml:space="preserve">de Preparación Universitaria (CPU), enfocado en facilitar la transición e incorporación de estudiantes a instituciones de nivel superior y el Ciclo Inicial (CI), orientado a facilitar el comienzo de las trayectorias universitarias, fomentando el desarrollo de las bases disciplinares y </w:t>
      </w:r>
      <w:r w:rsidR="00763284">
        <w:rPr>
          <w:rFonts w:ascii="Times New Roman" w:eastAsia="Times New Roman" w:hAnsi="Times New Roman" w:cs="Times New Roman"/>
          <w:sz w:val="24"/>
          <w:szCs w:val="24"/>
        </w:rPr>
        <w:t xml:space="preserve">la </w:t>
      </w:r>
      <w:r w:rsidR="00BD3D81">
        <w:rPr>
          <w:rFonts w:ascii="Times New Roman" w:eastAsia="Times New Roman" w:hAnsi="Times New Roman" w:cs="Times New Roman"/>
          <w:sz w:val="24"/>
          <w:szCs w:val="24"/>
        </w:rPr>
        <w:t>adquisici</w:t>
      </w:r>
      <w:r w:rsidR="00763284">
        <w:rPr>
          <w:rFonts w:ascii="Times New Roman" w:eastAsia="Times New Roman" w:hAnsi="Times New Roman" w:cs="Times New Roman"/>
          <w:sz w:val="24"/>
          <w:szCs w:val="24"/>
        </w:rPr>
        <w:t xml:space="preserve">ón </w:t>
      </w:r>
      <w:r w:rsidR="00BD3D81">
        <w:rPr>
          <w:rFonts w:ascii="Times New Roman" w:eastAsia="Times New Roman" w:hAnsi="Times New Roman" w:cs="Times New Roman"/>
          <w:sz w:val="24"/>
          <w:szCs w:val="24"/>
        </w:rPr>
        <w:t>de saberes acerca del “oficio del estudiante”</w:t>
      </w:r>
      <w:r w:rsidR="00763284">
        <w:rPr>
          <w:rFonts w:ascii="Times New Roman" w:eastAsia="Times New Roman" w:hAnsi="Times New Roman" w:cs="Times New Roman"/>
          <w:sz w:val="24"/>
          <w:szCs w:val="24"/>
        </w:rPr>
        <w:t xml:space="preserve">. </w:t>
      </w:r>
    </w:p>
    <w:p w14:paraId="3718865E" w14:textId="0CDC9AA1" w:rsidR="00F84B60" w:rsidRPr="001E2FAE" w:rsidRDefault="00B375F2" w:rsidP="001E2FAE">
      <w:pPr>
        <w:pStyle w:val="LO-normal"/>
        <w:spacing w:line="240" w:lineRule="auto"/>
        <w:jc w:val="both"/>
        <w:rPr>
          <w:rFonts w:ascii="Times New Roman" w:hAnsi="Times New Roman" w:cs="Times New Roman"/>
          <w:sz w:val="24"/>
          <w:szCs w:val="24"/>
        </w:rPr>
      </w:pPr>
      <w:r w:rsidRPr="001E2FAE">
        <w:rPr>
          <w:rFonts w:ascii="Times New Roman" w:hAnsi="Times New Roman" w:cs="Times New Roman"/>
          <w:sz w:val="24"/>
          <w:szCs w:val="24"/>
        </w:rPr>
        <w:t>El Ciclo Inicial está compuesto por cinco asignaturas incluidas en los planes de estudio de todas las carreras de la UNAJ y previstas como parte del primer año de formación. Cada carrera ha realizado las adecuaciones correspondientes para su incorporación, atendiendo a las particularidades disciplinares. De este modo, no constituye una oferta paralela ni un trayecto aislado, sino que se integra orgánicamente a los planes de estudio, incluso en aquellos programas en proceso de acreditación. Estas asignaturas pueden cursarse en simultáneo con otras materias específicas de cada carrera.</w:t>
      </w:r>
      <w:r w:rsidR="00E66AC0" w:rsidRPr="001E2FAE">
        <w:rPr>
          <w:rFonts w:ascii="Times New Roman" w:hAnsi="Times New Roman" w:cs="Times New Roman"/>
          <w:sz w:val="24"/>
          <w:szCs w:val="24"/>
        </w:rPr>
        <w:t xml:space="preserve"> </w:t>
      </w:r>
      <w:r w:rsidR="003A5088" w:rsidRPr="001E2FAE">
        <w:rPr>
          <w:rFonts w:ascii="Times New Roman" w:hAnsi="Times New Roman" w:cs="Times New Roman"/>
          <w:sz w:val="24"/>
          <w:szCs w:val="24"/>
        </w:rPr>
        <w:t xml:space="preserve">Por su parte la propuesta es transversal a todas las personas que ingresan, sin presentar variaciones por instituto de pertenencia. </w:t>
      </w:r>
      <w:r w:rsidR="00F84B60" w:rsidRPr="001E2FAE">
        <w:rPr>
          <w:rFonts w:ascii="Times New Roman" w:eastAsia="Times New Roman" w:hAnsi="Times New Roman" w:cs="Times New Roman"/>
          <w:sz w:val="24"/>
          <w:szCs w:val="24"/>
        </w:rPr>
        <w:t>Las propuestas pedagógicas de las materias de este ciclo se estructuran en torno a favorecer la inserción de las</w:t>
      </w:r>
      <w:r w:rsidR="00763284">
        <w:rPr>
          <w:rFonts w:ascii="Times New Roman" w:eastAsia="Times New Roman" w:hAnsi="Times New Roman" w:cs="Times New Roman"/>
          <w:sz w:val="24"/>
          <w:szCs w:val="24"/>
        </w:rPr>
        <w:t xml:space="preserve">/os </w:t>
      </w:r>
      <w:r w:rsidR="00F84B60" w:rsidRPr="001E2FAE">
        <w:rPr>
          <w:rFonts w:ascii="Times New Roman" w:eastAsia="Times New Roman" w:hAnsi="Times New Roman" w:cs="Times New Roman"/>
          <w:sz w:val="24"/>
          <w:szCs w:val="24"/>
        </w:rPr>
        <w:t xml:space="preserve">estudiantes en el ámbito </w:t>
      </w:r>
      <w:r w:rsidR="00F84B60" w:rsidRPr="001E2FAE">
        <w:rPr>
          <w:rFonts w:ascii="Times New Roman" w:eastAsia="Times New Roman" w:hAnsi="Times New Roman" w:cs="Times New Roman"/>
          <w:sz w:val="24"/>
          <w:szCs w:val="24"/>
        </w:rPr>
        <w:lastRenderedPageBreak/>
        <w:t>universitario, reconociendo no sólo el aporte de especificidades disciplinares, vinculadas a la lecto escritura, el pensamiento lógico matemático, la historicidad y la contextualización cultural; sino también que en este ciclo se centra en que el inicio del trayecto universitario supone para las</w:t>
      </w:r>
      <w:r w:rsidR="00763284">
        <w:rPr>
          <w:rFonts w:ascii="Times New Roman" w:eastAsia="Times New Roman" w:hAnsi="Times New Roman" w:cs="Times New Roman"/>
          <w:sz w:val="24"/>
          <w:szCs w:val="24"/>
        </w:rPr>
        <w:t xml:space="preserve">/os </w:t>
      </w:r>
      <w:r w:rsidR="00F84B60" w:rsidRPr="001E2FAE">
        <w:rPr>
          <w:rFonts w:ascii="Times New Roman" w:eastAsia="Times New Roman" w:hAnsi="Times New Roman" w:cs="Times New Roman"/>
          <w:sz w:val="24"/>
          <w:szCs w:val="24"/>
        </w:rPr>
        <w:t>estudiantes una experiencia transicional, en el que la formación de nuevos hábitos y prácticas requiere apoyo y que se van consolidando en proceso.</w:t>
      </w:r>
    </w:p>
    <w:p w14:paraId="42E7A63B" w14:textId="40E489E8" w:rsidR="00F84B60" w:rsidRPr="001E2FAE" w:rsidRDefault="00F84B60" w:rsidP="001E2FAE">
      <w:pPr>
        <w:spacing w:line="240" w:lineRule="auto"/>
        <w:jc w:val="both"/>
        <w:rPr>
          <w:rFonts w:ascii="Times New Roman" w:eastAsia="Times New Roman" w:hAnsi="Times New Roman" w:cs="Times New Roman"/>
        </w:rPr>
      </w:pPr>
      <w:r w:rsidRPr="001E2FAE">
        <w:rPr>
          <w:rFonts w:ascii="Times New Roman" w:eastAsia="Times New Roman" w:hAnsi="Times New Roman" w:cs="Times New Roman"/>
        </w:rPr>
        <w:t>Aun cuando desde la universidad se ponen en marcha estos ciclos y una gran diversidad de prácticas enfocadas en el ingreso (Cerezo, 2024), al igual que en el sistema universitario en general</w:t>
      </w:r>
      <w:r w:rsidRPr="001E2FAE">
        <w:rPr>
          <w:rStyle w:val="Refdenotaalpie"/>
          <w:rFonts w:ascii="Times New Roman" w:eastAsia="Times New Roman" w:hAnsi="Times New Roman" w:cs="Times New Roman"/>
        </w:rPr>
        <w:footnoteReference w:id="1"/>
      </w:r>
      <w:r w:rsidRPr="001E2FAE">
        <w:rPr>
          <w:rFonts w:ascii="Times New Roman" w:eastAsia="Times New Roman" w:hAnsi="Times New Roman" w:cs="Times New Roman"/>
        </w:rPr>
        <w:t xml:space="preserve">, el primer año de estudios en la UNAJ presenta de manera más significativa la discontinuidad como fenómeno respecto del que se identifica en el resto de los años que componen los planes de estudio de las carreras. Es este fenómeno, </w:t>
      </w:r>
      <w:proofErr w:type="gramStart"/>
      <w:r w:rsidRPr="001E2FAE">
        <w:rPr>
          <w:rFonts w:ascii="Times New Roman" w:eastAsia="Times New Roman" w:hAnsi="Times New Roman" w:cs="Times New Roman"/>
        </w:rPr>
        <w:t>que  puede</w:t>
      </w:r>
      <w:proofErr w:type="gramEnd"/>
      <w:r w:rsidRPr="001E2FAE">
        <w:rPr>
          <w:rFonts w:ascii="Times New Roman" w:eastAsia="Times New Roman" w:hAnsi="Times New Roman" w:cs="Times New Roman"/>
        </w:rPr>
        <w:t xml:space="preserve"> atribuirse a una multiplicidad de causas, y que adquiere gran complejidad, e</w:t>
      </w:r>
      <w:r w:rsidR="00764657" w:rsidRPr="001E2FAE">
        <w:rPr>
          <w:rFonts w:ascii="Times New Roman" w:eastAsia="Times New Roman" w:hAnsi="Times New Roman" w:cs="Times New Roman"/>
        </w:rPr>
        <w:t>s</w:t>
      </w:r>
      <w:r w:rsidRPr="001E2FAE">
        <w:rPr>
          <w:rFonts w:ascii="Times New Roman" w:eastAsia="Times New Roman" w:hAnsi="Times New Roman" w:cs="Times New Roman"/>
        </w:rPr>
        <w:t xml:space="preserve"> el que nos motiva a su estudio y que nos impulsó a llevar adelante el relevamiento cuyos resultados aquí se presentan. </w:t>
      </w:r>
    </w:p>
    <w:p w14:paraId="4BE0F65B" w14:textId="213D963E" w:rsidR="00F84B60" w:rsidRPr="001E2FAE" w:rsidRDefault="00F84B60" w:rsidP="001E2FAE">
      <w:pPr>
        <w:pStyle w:val="LO-normal"/>
        <w:spacing w:line="240" w:lineRule="auto"/>
        <w:jc w:val="both"/>
        <w:rPr>
          <w:rFonts w:ascii="Times New Roman" w:eastAsia="Times New Roman" w:hAnsi="Times New Roman" w:cs="Times New Roman"/>
          <w:sz w:val="24"/>
          <w:szCs w:val="24"/>
        </w:rPr>
      </w:pPr>
      <w:r w:rsidRPr="001E2FAE">
        <w:rPr>
          <w:rFonts w:ascii="Times New Roman" w:eastAsia="Times New Roman" w:hAnsi="Times New Roman" w:cs="Times New Roman"/>
          <w:sz w:val="24"/>
          <w:szCs w:val="24"/>
        </w:rPr>
        <w:t xml:space="preserve">Nos propusimos analizar los motivos de </w:t>
      </w:r>
      <w:r w:rsidR="00E66AC0" w:rsidRPr="001E2FAE">
        <w:rPr>
          <w:rFonts w:ascii="Times New Roman" w:eastAsia="Times New Roman" w:hAnsi="Times New Roman" w:cs="Times New Roman"/>
          <w:sz w:val="24"/>
          <w:szCs w:val="24"/>
        </w:rPr>
        <w:t>discontinuidad</w:t>
      </w:r>
      <w:r w:rsidR="00763284">
        <w:rPr>
          <w:rFonts w:ascii="Times New Roman" w:eastAsia="Times New Roman" w:hAnsi="Times New Roman" w:cs="Times New Roman"/>
          <w:sz w:val="24"/>
          <w:szCs w:val="24"/>
        </w:rPr>
        <w:t xml:space="preserve"> de cursadas</w:t>
      </w:r>
      <w:r w:rsidRPr="001E2FAE">
        <w:rPr>
          <w:rFonts w:ascii="Times New Roman" w:eastAsia="Times New Roman" w:hAnsi="Times New Roman" w:cs="Times New Roman"/>
          <w:sz w:val="24"/>
          <w:szCs w:val="24"/>
        </w:rPr>
        <w:t xml:space="preserve"> de estudiantes que no completaron la cursada de alguna de las c</w:t>
      </w:r>
      <w:r w:rsidR="00764657" w:rsidRPr="001E2FAE">
        <w:rPr>
          <w:rFonts w:ascii="Times New Roman" w:eastAsia="Times New Roman" w:hAnsi="Times New Roman" w:cs="Times New Roman"/>
          <w:sz w:val="24"/>
          <w:szCs w:val="24"/>
        </w:rPr>
        <w:t xml:space="preserve">inco </w:t>
      </w:r>
      <w:r w:rsidRPr="001E2FAE">
        <w:rPr>
          <w:rFonts w:ascii="Times New Roman" w:eastAsia="Times New Roman" w:hAnsi="Times New Roman" w:cs="Times New Roman"/>
          <w:sz w:val="24"/>
          <w:szCs w:val="24"/>
        </w:rPr>
        <w:t xml:space="preserve">materias del CI (Matemática, </w:t>
      </w:r>
      <w:r w:rsidR="00764657" w:rsidRPr="001E2FAE">
        <w:rPr>
          <w:rFonts w:ascii="Times New Roman" w:eastAsia="Times New Roman" w:hAnsi="Times New Roman" w:cs="Times New Roman"/>
          <w:sz w:val="24"/>
          <w:szCs w:val="24"/>
        </w:rPr>
        <w:t>Introducción a la Matemática</w:t>
      </w:r>
      <w:r w:rsidR="00764657" w:rsidRPr="001E2FAE">
        <w:rPr>
          <w:rStyle w:val="Refdenotaalpie"/>
          <w:rFonts w:ascii="Times New Roman" w:eastAsia="Times New Roman" w:hAnsi="Times New Roman" w:cs="Times New Roman"/>
          <w:sz w:val="24"/>
          <w:szCs w:val="24"/>
        </w:rPr>
        <w:footnoteReference w:id="2"/>
      </w:r>
      <w:r w:rsidR="00764657" w:rsidRPr="001E2FAE">
        <w:rPr>
          <w:rFonts w:ascii="Times New Roman" w:eastAsia="Times New Roman" w:hAnsi="Times New Roman" w:cs="Times New Roman"/>
          <w:sz w:val="24"/>
          <w:szCs w:val="24"/>
        </w:rPr>
        <w:t xml:space="preserve">, </w:t>
      </w:r>
      <w:r w:rsidRPr="001E2FAE">
        <w:rPr>
          <w:rFonts w:ascii="Times New Roman" w:eastAsia="Times New Roman" w:hAnsi="Times New Roman" w:cs="Times New Roman"/>
          <w:sz w:val="24"/>
          <w:szCs w:val="24"/>
        </w:rPr>
        <w:t xml:space="preserve">Taller de Lectura y Escritura, Problemas de la Historia Argentina y Prácticas Culturales) en el </w:t>
      </w:r>
      <w:r w:rsidR="00F4700F" w:rsidRPr="001E2FAE">
        <w:rPr>
          <w:rFonts w:ascii="Times New Roman" w:eastAsia="Times New Roman" w:hAnsi="Times New Roman" w:cs="Times New Roman"/>
          <w:sz w:val="24"/>
          <w:szCs w:val="24"/>
        </w:rPr>
        <w:t xml:space="preserve">primer </w:t>
      </w:r>
      <w:r w:rsidRPr="001E2FAE">
        <w:rPr>
          <w:rFonts w:ascii="Times New Roman" w:hAnsi="Times New Roman" w:cs="Times New Roman"/>
          <w:sz w:val="24"/>
          <w:szCs w:val="24"/>
        </w:rPr>
        <w:t>cuatrimestre de 202</w:t>
      </w:r>
      <w:r w:rsidR="00F4700F" w:rsidRPr="001E2FAE">
        <w:rPr>
          <w:rFonts w:ascii="Times New Roman" w:hAnsi="Times New Roman" w:cs="Times New Roman"/>
          <w:sz w:val="24"/>
          <w:szCs w:val="24"/>
        </w:rPr>
        <w:t>5</w:t>
      </w:r>
      <w:r w:rsidRPr="001E2FAE">
        <w:rPr>
          <w:rFonts w:ascii="Times New Roman" w:hAnsi="Times New Roman" w:cs="Times New Roman"/>
          <w:sz w:val="24"/>
          <w:szCs w:val="24"/>
        </w:rPr>
        <w:t>.</w:t>
      </w:r>
      <w:r w:rsidR="00F4700F" w:rsidRPr="001E2FAE">
        <w:rPr>
          <w:rFonts w:ascii="Times New Roman" w:hAnsi="Times New Roman" w:cs="Times New Roman"/>
          <w:sz w:val="24"/>
          <w:szCs w:val="24"/>
        </w:rPr>
        <w:t xml:space="preserve"> Cabe referir que este trabajo constituye la segunda </w:t>
      </w:r>
      <w:r w:rsidR="00E66AC0" w:rsidRPr="001E2FAE">
        <w:rPr>
          <w:rFonts w:ascii="Times New Roman" w:hAnsi="Times New Roman" w:cs="Times New Roman"/>
          <w:sz w:val="24"/>
          <w:szCs w:val="24"/>
        </w:rPr>
        <w:t>o</w:t>
      </w:r>
      <w:r w:rsidR="00F4700F" w:rsidRPr="001E2FAE">
        <w:rPr>
          <w:rFonts w:ascii="Times New Roman" w:hAnsi="Times New Roman" w:cs="Times New Roman"/>
          <w:sz w:val="24"/>
          <w:szCs w:val="24"/>
        </w:rPr>
        <w:t>nda de un relevamiento anterior</w:t>
      </w:r>
      <w:r w:rsidR="00763284">
        <w:rPr>
          <w:rFonts w:ascii="Times New Roman" w:hAnsi="Times New Roman" w:cs="Times New Roman"/>
          <w:sz w:val="24"/>
          <w:szCs w:val="24"/>
        </w:rPr>
        <w:t xml:space="preserve"> </w:t>
      </w:r>
      <w:r w:rsidR="00763284" w:rsidRPr="001E2FAE">
        <w:rPr>
          <w:rFonts w:ascii="Times New Roman" w:hAnsi="Times New Roman" w:cs="Times New Roman"/>
          <w:sz w:val="24"/>
          <w:szCs w:val="24"/>
        </w:rPr>
        <w:fldChar w:fldCharType="begin"/>
      </w:r>
      <w:r w:rsidR="00763284" w:rsidRPr="001E2FAE">
        <w:rPr>
          <w:rFonts w:ascii="Times New Roman" w:hAnsi="Times New Roman" w:cs="Times New Roman"/>
          <w:sz w:val="24"/>
          <w:szCs w:val="24"/>
        </w:rPr>
        <w:instrText xml:space="preserve"> ADDIN ZOTERO_ITEM CSL_CITATION {"citationID":"n4iTgfpE","properties":{"unsorted":false,"formattedCitation":"(Cerezo et\\uc0\\u160{}al., 2024)","plainCitation":"(Cerezo et al., 2024)","noteIndex":0},"citationItems":[{"id":1731,"uris":["http://zotero.org/users/3485131/items/SL358XKX"],"itemData":{"id":1731,"type":"article-journal","source":"Google Scholar","title":"Discontinuidad en los inicios: análisis de los motivos por los que estudiantes","title-short":"Discontinuidad en los inicios","URL":"https://congresos.fahce.unlp.edu.ar/la-universidad-como-objeto-de-investigacion/ix-encuentro/actas/ponencia-240711175900103506/@@display-file/file/Ponencia%20Discontinuidad%20FINAL%2020241013.pdf","author":[{"family":"Cerezo","given":"Leticia"},{"family":"Larison","given":"Leandro"},{"family":"Farias","given":"Ernesto Manuel"}],"accessed":{"date-parts":[["2025",4,27]]},"issued":{"date-parts":[["2024"]]}}}],"schema":"https://github.com/citation-style-language/schema/raw/master/csl-citation.json"} </w:instrText>
      </w:r>
      <w:r w:rsidR="00763284" w:rsidRPr="001E2FAE">
        <w:rPr>
          <w:rFonts w:ascii="Times New Roman" w:hAnsi="Times New Roman" w:cs="Times New Roman"/>
          <w:sz w:val="24"/>
          <w:szCs w:val="24"/>
        </w:rPr>
        <w:fldChar w:fldCharType="separate"/>
      </w:r>
      <w:r w:rsidR="00763284" w:rsidRPr="001E2FAE">
        <w:rPr>
          <w:rFonts w:ascii="Times New Roman" w:hAnsi="Times New Roman" w:cs="Times New Roman"/>
          <w:sz w:val="24"/>
          <w:szCs w:val="24"/>
        </w:rPr>
        <w:t>(Cerezo et al., 2024)</w:t>
      </w:r>
      <w:r w:rsidR="00763284" w:rsidRPr="001E2FAE">
        <w:rPr>
          <w:rFonts w:ascii="Times New Roman" w:hAnsi="Times New Roman" w:cs="Times New Roman"/>
          <w:sz w:val="24"/>
          <w:szCs w:val="24"/>
        </w:rPr>
        <w:fldChar w:fldCharType="end"/>
      </w:r>
      <w:r w:rsidR="00F4700F" w:rsidRPr="001E2FAE">
        <w:rPr>
          <w:rFonts w:ascii="Times New Roman" w:hAnsi="Times New Roman" w:cs="Times New Roman"/>
          <w:sz w:val="24"/>
          <w:szCs w:val="24"/>
        </w:rPr>
        <w:t xml:space="preserve">, </w:t>
      </w:r>
      <w:r w:rsidR="00763284">
        <w:rPr>
          <w:rFonts w:ascii="Times New Roman" w:hAnsi="Times New Roman" w:cs="Times New Roman"/>
          <w:sz w:val="24"/>
          <w:szCs w:val="24"/>
        </w:rPr>
        <w:t xml:space="preserve">realizado para analizar la discontinuidad de cursadas respecto del </w:t>
      </w:r>
      <w:r w:rsidR="00F4700F" w:rsidRPr="001E2FAE">
        <w:rPr>
          <w:rFonts w:ascii="Times New Roman" w:hAnsi="Times New Roman" w:cs="Times New Roman"/>
          <w:sz w:val="24"/>
          <w:szCs w:val="24"/>
        </w:rPr>
        <w:t xml:space="preserve">segundo cuatrimestre de 2023. </w:t>
      </w:r>
    </w:p>
    <w:p w14:paraId="2FD138AD" w14:textId="65FB0755" w:rsidR="005F3B2E" w:rsidRPr="006B44A3" w:rsidRDefault="005F3B2E" w:rsidP="001E2FAE">
      <w:pPr>
        <w:spacing w:line="240" w:lineRule="auto"/>
        <w:jc w:val="both"/>
        <w:rPr>
          <w:rFonts w:ascii="Times New Roman" w:hAnsi="Times New Roman" w:cs="Times New Roman"/>
          <w:b/>
          <w:bCs/>
          <w:caps/>
          <w:lang w:val="es-AR"/>
        </w:rPr>
      </w:pPr>
      <w:r w:rsidRPr="006B44A3">
        <w:rPr>
          <w:rFonts w:ascii="Times New Roman" w:hAnsi="Times New Roman" w:cs="Times New Roman"/>
          <w:b/>
          <w:bCs/>
          <w:caps/>
          <w:lang w:val="es-AR"/>
        </w:rPr>
        <w:t>Desarrollo</w:t>
      </w:r>
    </w:p>
    <w:p w14:paraId="4405BEAB" w14:textId="2656CA1B" w:rsidR="00946ED8" w:rsidRDefault="00946ED8" w:rsidP="00946ED8">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Para aproximarnos al análisis de los motivos de discontinuidad de cursadas realizamos una revisión de literatura </w:t>
      </w:r>
      <w:r w:rsidRPr="001E2FAE">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ZOTERO_ITEM CSL_CITATION {"citationID":"hq0HQcuo","properties":{"unsorted":false,"formattedCitation":"(Ambroggio et\\uc0\\u160{}al., 2013; Ciano et\\uc0\\u160{}al., 2011; Costamagna et\\uc0\\u160{}al., 2021; Ezcurra, 2011; Garc\\uc0\\u237{}a de Fanelli, 2012; Goldenhersh et\\uc0\\u160{}al., 2011; Mertens, 2018; Parrino, 2005; Quiles, &amp; Cha, 2012; Santos\\uc0\\u160{}Sharpe, 2020)","plainCitation":"(Ambroggio et al., 2013; Ciano et al., 2011; Costamagna et al., 2021; Ezcurra, 2011; García de Fanelli, 2012; Goldenhersh et al., 2011; Mertens, 2018; Parrino, 2005; Quiles, &amp; Cha, 2012; Santos Sharpe, 2020)","noteIndex":0},"citationItems":[{"id":706,"uris":["http://zotero.org/users/3485131/items/SZ35L5FT"],"itemData":{"id":706,"type":"article-journal","container-title":"Congresos CLABES","language":"es","license":"Derechos de autor 2016 Congresos CLABES","source":"revistas.utp.ac.pa","title":"Tipos de abandono en el primer año universitario. Orientaciones para posibles líneas de acción","URL":"https://revistas.utp.ac.pa/index.php/clabes/article/view/892","author":[{"family":"Ambroggio","given":"Gladys"},{"family":"Coria","given":"Adela"},{"family":"Saino","given":"Martín"}],"accessed":{"date-parts":[["2020",9,19]]},"issued":{"date-parts":[["2013"]]}}},{"id":713,"uris":["http://zotero.org/users/3485131/items/XUWCEULR"],"itemData":{"id":713,"type":"article-journal","language":"es","page":"8","source":"Zotero","title":"Exploracion del abandono universitario en estudiantes de las carreras de la Facultad de Psicologia de la Universidad Nacional de La Plata","author":[{"family":"Ciano","given":"Natalia"},{"family":"Castignani","given":"Maria Laura"},{"family":"García","given":"Maria Natalia"}],"issued":{"date-parts":[["2011"]]}}},{"id":1116,"uris":["http://zotero.org/users/3485131/items/IA83EGRH"],"itemData":{"id":1116,"type":"article-journal","abstract":"El presente trabajo busca exponer distintos procesos vinculados a decisiones teóricas y metodológicas de una investigación relacionada con la interrupción de los estudios universitarios en el primer o segundo año de la cursada de estudiantes de la Universidad Nacional de Rafaela, Argentina, durante el año 2020, visibilizando una problemática importante para la universidad pública en nuestro país. Los principales avances fueron construidos a partir de la consideración de los estudios universitarios en el marco de trayectorias o itinerarios personales, que pueden atravesar situaciones de interrupción de tales estudios. El marco analítico se propone desde una multicausalidad de motivos, que pueden ser vinculados a lo personal, a lo familiar, a la institución educativa, y/o a la situación socioeconómica. La estrategia metodológica responde a un modelo híbrido de investigación, que combina enfoques de la investigación tradicional y de la investigación-acción. Respecto del primer enfoque, se utilizan técnicas de recolección de información tanto cuantitativas como cualitativas, como la encuesta y las entrevistas; respecto del segundo, se priorizan los diálogos con los diferentes actores participantes del problema en cuestión, así como la co-construcción del conocimiento.  Resumo. O presente artigo procura expor os distintos processos relacionados com as decisões teóricas e metodológicas de uma pesquisa vinculada com a evasão dos estudos universitários no primeiro ou segundo ano de estudo, na Universidade Nacional de Rafaela, Argentina, durante o ano 2020, voltando visível um problema importante para a universidade pública no nosso país. Os principais avances foram construídos a partir da consideração dos estudos universitários no marco de trajetos ou itinerários pessoais, os que podem atravessar situações de interrupção dos estudos. O marco de análises se propõe a partir de uma multicausalidade de motivos, que podem estar vinculados ao pessoal, ao familiar, á instituição educativa, e/ou á situação socioeconômica. A estratégia metodológica repõe a um modelo híbrido de pesquisa, onde se observam aportes relacionados á investigação tradicional e aportes provenientes da investigação ação. Em relação à primeira abordagem, são utilizadas técnicas de coleta de informaçao quantitativas e qualitativas, como questionário e entrevistas; em relação à segunda, são priorizados os diálogos com os diferentes atores participantes do problema em questão, bem como a co-construção do conhecimento.Palavras chave: Evasão universitária – ingressantes – educação superior – estudantes.","container-title":"CONTEXTOS DE EDUCACION","ISSN":"2314-3932","issue":"31","language":"es","license":"Copyright (c) 2021 Pablo Costamagna, Eugenia De Ponti, María Laura Villalba, Lorena Culasso, Carolina Pizzi, Mauricio Vagliente","note":"number: 31","page":"10-19","source":"www2.hum.unrc.edu.ar","title":"Interrupciones de itinerarios educativos en ingresantes 2020 de la UNRaf","author":[{"family":"Costamagna","given":"Pablo"},{"family":"Ponti","given":"Eugenia De"},{"family":"Villalba","given":"María Laura"},{"family":"Culasso","given":"Lorena"},{"family":"Pizzi","given":"Carolina"},{"family":"Vagliente","given":"Mauricio"}],"issued":{"date-parts":[["2021",11,25]]}}},{"id":74,"uris":["http://zotero.org/users/3485131/items/NFQFTLNR"],"itemData":{"id":74,"type":"book","publisher":"Los Polvorines-Argentina: Universidad Nacional de General Sarmiento","source":"Google Scholar","title":"Igualdad en educación superior: un desafío mundial","title-short":"Igualdad en educación superior","author":[{"family":"Ezcurra","given":"Ana María"}],"issued":{"date-parts":[["2011"]]}}},{"id":745,"uris":["http://zotero.org/users/3485131/items/BK5SII2E"],"itemData":{"id":745,"type":"article-journal","abstract":"This paper analyzes an innovative public policy introduced in Argentina in 2004 that links public funding to the accreditation of undergraduate courses. The Ministry of Education allocated three-year non-competitive funds to public universities so that undergraduate courses that had been accredited for three years could meet their commitment to fulfill improvement plans. To study this public policy we used the case study method, selecting the most important project in terms of the amount of resources allocated and the number of courses covered: the Project for the Improvement of Teaching Engineering Programs (PROMEI). We analyzed documents and quantitative evidence, in addition to conducting in-depth interviews with key informants and semi-structured interviews with the authorities of academic units. The findings show that the majority of the total degree courses financed by PROMEI were accredited for another three-year period. Moreover, the respondents positively evaluated the impacts of this project to overcome the weaknesses of the engineering programs detected during the accreditation procedure. The positive evaluation of this public policy is related to two factors: first, diverse actors from the engineering community participated in the formulation of the policy; second, the funding items took into account the multiple factors that intervene in order to improve the teaching activity. Finally, it had an additional unexpected effect by contributing to legitimize the quality accreditation procedures.","container-title":"Education Policy Analysis Archives/Archivos Analíticos de Políticas Educativas","ISSN":"1068-2341","issue":"22","language":"es","note":"number: 22","page":"32","source":"Zotero","title":"Acreditación de la calidad y financiamiento: Potenciando el cambio universitario vía fondos no competitivos de mejora","volume":"20","author":[{"family":"García de Fanelli","given":"Ana"}],"issued":{"date-parts":[["2012"]]}}},{"id":709,"uris":["http://zotero.org/users/3485131/items/G32I4YWC"],"itemData":{"id":709,"type":"article-journal","container-title":"Revista Argentina de Educación Superior","ISSN":"1852-8171","language":"es","page":"25","source":"Zotero","title":"DESERCIÓN ESTUDIANTIL: DESAFÍOS DE LA UNIVERSIDAD PÚBLICA EN UN HORIZONTE DE INCLUSIÓN.","author":[{"family":"Goldenhersh","given":"Hebe"},{"family":"Coria","given":"Adela"},{"family":"Saino","given":"Martín"}],"issued":{"date-parts":[["2011"]]}}},{"id":715,"uris":["http://zotero.org/users/3485131/items/FPB5XCUZ"],"itemData":{"id":715,"type":"thesis","abstract":"Este escrito se presenta como Trabajo Final para la Maestría en Gestión Universitaria dictada por la Facultad de Ciencias Económicas y Sociales de la Universidad Nacional de Mar del Plata y aborda la problemática del abandono de los estudios universitarios por parte de los estudiantes de la misma institución, enfocándonos principalmente en el primer año de estudios de las carreras de grado. Abordamos el tema a través de las representaciones sociales de las personas que habitan esa institución quienes piensan, trabajan, cimientan, evalúan y también, proponen, dirigen, aprueban o desaprueban las políticas que se llevan adelante y que buscan tener impacto en distintos fenómenos que ocurren en esta unidad académica. Captamos las mencionadas representaciones a través del análisis de sus relatos, los cuales resultan completos, politizados y vastos de información. Buscamos allí distinguir las causas que inciden en la deserción de los estudiantes de primer año de la facultad en la cual se dicta la maestría. Con la información obtenida y a través de su análisis, proponemos líneas que pueden convertirse en estrategias de gestión que trabajen proactivamente en la retención de matrícula universitaria.","genre":"masters","language":"spa","number-of-pages":"161","publisher":"Universidad Nacional de Mar del Plata","source":"nulan.mdp.edu.ar","title":"Voces y desafíos institucionales. Un estudio sobre las representaciones de los actores institucionales acerca de la deserción en el primer año de las carreras de grado de la Facultad de Ciencias Económicas y Sociales de la Universidad Nacional de Mar del Plata","URL":"http://nulan.mdp.edu.ar/2903/","author":[{"family":"Mertens","given":"Violeta"}],"accessed":{"date-parts":[["2020",9,19]]},"issued":{"date-parts":[["2018",5,21]]}}},{"id":718,"uris":["http://zotero.org/users/3485131/items/MLMHG4UI"],"itemData":{"id":718,"type":"chapter","abstract":"La deserción es un flagelo que azota al sistema universitario y al sistema educativo en general. No escapan a su alcance las universidades públicas ni las privadas y en ambos casos provoca serias pérdidas tanto en lo social y humano como en lo económico. Identificar las causas que provocan la deserción permite disminuir sus índices habituales, e incrementar en forma consiguiente la retención, mediante acciones que favorezcan la contención de los estudiantes y el apoyo académico, beneficiando no sólo a los estudiantes y a la institución, sino también a todo el sistema universitario. Surgen, entonces, preguntas sobre las causas que provocan el abandono. Pero darles respuesta no siempre es sencillo. Este trabajo presenta distintos estudios donde se rescatan algunas de esas respuestas dadas incluso por los mismos estudiantes acerca de las causas que provocaron el abandono de los cursos en los que se inscribieron originalmente. El mismo analiza posibles estrategias propuestas en el marco de la universidad actual, con las dificultades y problemas que debe enfrentar en el día a día. No pretende dar soluciones mágicas sino instalar una cultura que valore la dedicación, el estudio y el esfuerzo como forma de vida. Las líneas de acción tienden a la disminución de la deserción, intentando modificar los procesos que la favorecen.","container-title":"Aportes al debate sobre la gestión universitaria II","ISBN":"978-987-564-399-4","language":"spa","note":"number-of-pages: 272","page":"76-94","publisher":"De los cuatro vientos","publisher-place":"Buenos Aires","source":"nulan.mdp.edu.ar","title":"De la reflexión a la acción. Políticas para disminuir los procesos de deserción universitaria","URL":"http://nulan.mdp.edu.ar/2890/","author":[{"family":"Parrino","given":"María del Carmen"}],"accessed":{"date-parts":[["2020",9,19]]},"issued":{"date-parts":[["2005"]]}}},{"id":724,"uris":["http://zotero.org/users/3485131/items/JQJWZ2QR"],"itemData":{"id":724,"type":"paper-conference","abstract":"DROPOUT AND PERMANENCY IN LA PLATA’S UNIVERSITY. RESEARCH ADVANCES.","event-title":"IV Congreso Internacional de Investigación y Práctica Profesional en Psicología XIX Jornadas de Investigación VIII Encuentro de Investigadores en Psicología del MERCOSUR. Facultad de Psicología - Universidad de Buenos Aires.","language":"es","page":"4","publisher-place":"Buenos Aires","source":"Zotero","title":"Abandono y permanencia en la Universidad de La Plata. Avances de investigación","URL":"https://www.aacademica.org/000-072/494.pdf","author":[{"family":"Quiles,","given":"Cristina"},{"family":"Cha","given":"Rita"}],"issued":{"date-parts":[["2012"]]}}},{"id":942,"uris":["http://zotero.org/users/3485131/items/MTWLXJYG"],"itemData":{"id":942,"type":"book","abstract":"Este libro aborda el fenómeno de la discontinuidad de los estudios universitarios en la Universidad de Buenos Aires (UBA) a partir del análisis de los relatos de jóvenes que hayan discontinuado sus estudios superiores entre los años 2005 y 2015 en cuatro carreras con alto porcentaje de abandono: Ingeniería en Informática, Ciencias Antropológicas, Ciencias Químicas y Ciencias de la Comunicación.El uso del concepto de discontinuidad por sobre otros más extendidos, como abandono o deserción, busca discutir con la mirada centrada en la responsabilización hacia el estudiante y se opone al carácter punitivista de dicha apreciación, es decir, la mirada que califica a la graduación como éxito y al abandono como fracaso.Frente a estas propuestas, se realiza un abordaje microsociológico que indaga las causas del abandono a partir del análisis de la experiencia estudiantil, el vínculo con el conocimiento disciplinar y la cultura institucional de la UBA. Se analiza qué aspectos guiaron el proceso decisional –consciente o no– que derivó en la discontinuidad de los estudios en la medida en que entendemos que los individuos administran varias lógicas de la acción, definen una situación, elaboran jerarquías de selección y construyen imágenes de sí mismos que intervienen en procesos decisionales.Considerando lo dicho, se analiza el entramado simbólico de los procesos estudiantiles que configuran ciertas formas particulares de experiencia de discontinuidad.","ISBN":"978-987-86-6243-5","language":"es-es","source":"www.teseopress.com","title":"Relatos de la discontinuidad de los estudios universitarios","URL":"https://www.teseopress.com/discontinuidadestudiosuniversitarios/","author":[{"family":"Santos Sharpe","given":"Andrés"}],"accessed":{"date-parts":[["2021",5,12]]},"issued":{"date-parts":[["2020"]]}}}],"schema":"https://github.com/citation-style-language/schema/raw/master/csl-citation.json"} </w:instrText>
      </w:r>
      <w:r w:rsidRPr="001E2FAE">
        <w:rPr>
          <w:rFonts w:ascii="Times New Roman" w:eastAsia="Times New Roman" w:hAnsi="Times New Roman" w:cs="Times New Roman"/>
        </w:rPr>
        <w:fldChar w:fldCharType="separate"/>
      </w:r>
      <w:r w:rsidRPr="00946ED8">
        <w:rPr>
          <w:rFonts w:ascii="Times New Roman" w:hAnsi="Times New Roman" w:cs="Times New Roman"/>
        </w:rPr>
        <w:t>(</w:t>
      </w:r>
      <w:proofErr w:type="spellStart"/>
      <w:r w:rsidRPr="00946ED8">
        <w:rPr>
          <w:rFonts w:ascii="Times New Roman" w:hAnsi="Times New Roman" w:cs="Times New Roman"/>
        </w:rPr>
        <w:t>Ambroggio</w:t>
      </w:r>
      <w:proofErr w:type="spellEnd"/>
      <w:r w:rsidRPr="00946ED8">
        <w:rPr>
          <w:rFonts w:ascii="Times New Roman" w:hAnsi="Times New Roman" w:cs="Times New Roman"/>
        </w:rPr>
        <w:t xml:space="preserve"> et al., 2013; Ciano et al., 2011; </w:t>
      </w:r>
      <w:proofErr w:type="spellStart"/>
      <w:r w:rsidRPr="00946ED8">
        <w:rPr>
          <w:rFonts w:ascii="Times New Roman" w:hAnsi="Times New Roman" w:cs="Times New Roman"/>
        </w:rPr>
        <w:t>Costamagna</w:t>
      </w:r>
      <w:proofErr w:type="spellEnd"/>
      <w:r w:rsidRPr="00946ED8">
        <w:rPr>
          <w:rFonts w:ascii="Times New Roman" w:hAnsi="Times New Roman" w:cs="Times New Roman"/>
        </w:rPr>
        <w:t xml:space="preserve"> et al., 2021; Ezcurra, 2011; García de </w:t>
      </w:r>
      <w:proofErr w:type="spellStart"/>
      <w:r w:rsidRPr="00946ED8">
        <w:rPr>
          <w:rFonts w:ascii="Times New Roman" w:hAnsi="Times New Roman" w:cs="Times New Roman"/>
        </w:rPr>
        <w:t>Fanelli</w:t>
      </w:r>
      <w:proofErr w:type="spellEnd"/>
      <w:r w:rsidRPr="00946ED8">
        <w:rPr>
          <w:rFonts w:ascii="Times New Roman" w:hAnsi="Times New Roman" w:cs="Times New Roman"/>
        </w:rPr>
        <w:t xml:space="preserve">, 2012; </w:t>
      </w:r>
      <w:proofErr w:type="spellStart"/>
      <w:r w:rsidRPr="00946ED8">
        <w:rPr>
          <w:rFonts w:ascii="Times New Roman" w:hAnsi="Times New Roman" w:cs="Times New Roman"/>
        </w:rPr>
        <w:t>Goldenhersh</w:t>
      </w:r>
      <w:proofErr w:type="spellEnd"/>
      <w:r w:rsidRPr="00946ED8">
        <w:rPr>
          <w:rFonts w:ascii="Times New Roman" w:hAnsi="Times New Roman" w:cs="Times New Roman"/>
        </w:rPr>
        <w:t xml:space="preserve"> et al., 2011; </w:t>
      </w:r>
      <w:proofErr w:type="spellStart"/>
      <w:r w:rsidRPr="00946ED8">
        <w:rPr>
          <w:rFonts w:ascii="Times New Roman" w:hAnsi="Times New Roman" w:cs="Times New Roman"/>
        </w:rPr>
        <w:t>Mertens</w:t>
      </w:r>
      <w:proofErr w:type="spellEnd"/>
      <w:r w:rsidRPr="00946ED8">
        <w:rPr>
          <w:rFonts w:ascii="Times New Roman" w:hAnsi="Times New Roman" w:cs="Times New Roman"/>
        </w:rPr>
        <w:t xml:space="preserve">, 2018; </w:t>
      </w:r>
      <w:proofErr w:type="spellStart"/>
      <w:r w:rsidRPr="00946ED8">
        <w:rPr>
          <w:rFonts w:ascii="Times New Roman" w:hAnsi="Times New Roman" w:cs="Times New Roman"/>
        </w:rPr>
        <w:t>Parrino</w:t>
      </w:r>
      <w:proofErr w:type="spellEnd"/>
      <w:r w:rsidRPr="00946ED8">
        <w:rPr>
          <w:rFonts w:ascii="Times New Roman" w:hAnsi="Times New Roman" w:cs="Times New Roman"/>
        </w:rPr>
        <w:t xml:space="preserve">, 2005; Quiles, &amp; </w:t>
      </w:r>
      <w:proofErr w:type="spellStart"/>
      <w:r w:rsidRPr="00946ED8">
        <w:rPr>
          <w:rFonts w:ascii="Times New Roman" w:hAnsi="Times New Roman" w:cs="Times New Roman"/>
        </w:rPr>
        <w:t>Cha</w:t>
      </w:r>
      <w:proofErr w:type="spellEnd"/>
      <w:r w:rsidRPr="00946ED8">
        <w:rPr>
          <w:rFonts w:ascii="Times New Roman" w:hAnsi="Times New Roman" w:cs="Times New Roman"/>
        </w:rPr>
        <w:t>, 2012; Santos Sharpe, 2020)</w:t>
      </w:r>
      <w:r w:rsidRPr="001E2FAE">
        <w:rPr>
          <w:rFonts w:ascii="Times New Roman" w:eastAsia="Times New Roman" w:hAnsi="Times New Roman" w:cs="Times New Roman"/>
        </w:rPr>
        <w:fldChar w:fldCharType="end"/>
      </w:r>
      <w:r>
        <w:rPr>
          <w:rFonts w:ascii="Times New Roman" w:eastAsia="Times New Roman" w:hAnsi="Times New Roman" w:cs="Times New Roman"/>
        </w:rPr>
        <w:t xml:space="preserve"> </w:t>
      </w:r>
      <w:r w:rsidRPr="00946ED8">
        <w:rPr>
          <w:rFonts w:ascii="Times New Roman" w:eastAsia="Times New Roman" w:hAnsi="Times New Roman" w:cs="Times New Roman"/>
        </w:rPr>
        <w:t>centrada en los estudios sobre la discontinuidad de las trayectorias universitarias. Si bien nuestro objeto de estudio difiere del abordado por estos trabajos, consideramos que sus aportes constituyen un antecedente relevante para comprender el fenómeno analizado. Ello se debe a que la discontinuidad de la cursada de materias</w:t>
      </w:r>
      <w:r>
        <w:rPr>
          <w:rFonts w:ascii="Times New Roman" w:eastAsia="Times New Roman" w:hAnsi="Times New Roman" w:cs="Times New Roman"/>
        </w:rPr>
        <w:t xml:space="preserve">, en </w:t>
      </w:r>
      <w:r w:rsidRPr="00946ED8">
        <w:rPr>
          <w:rFonts w:ascii="Times New Roman" w:eastAsia="Times New Roman" w:hAnsi="Times New Roman" w:cs="Times New Roman"/>
        </w:rPr>
        <w:t>particular cuando implica dejar la totalidad de las asignaturas en las que una persona se inscribió durante el cuatrimestre</w:t>
      </w:r>
      <w:r>
        <w:rPr>
          <w:rFonts w:ascii="Times New Roman" w:eastAsia="Times New Roman" w:hAnsi="Times New Roman" w:cs="Times New Roman"/>
        </w:rPr>
        <w:t xml:space="preserve">, </w:t>
      </w:r>
      <w:r w:rsidRPr="00D828DD">
        <w:rPr>
          <w:rFonts w:ascii="Times New Roman" w:eastAsia="Times New Roman" w:hAnsi="Times New Roman" w:cs="Times New Roman"/>
        </w:rPr>
        <w:t>puede constituir un antecedente o una señal de alerta respecto de procesos de discontinuidad de las trayectorias universitarias, aunque no necesariamente implique el abandono de la carrera.</w:t>
      </w:r>
    </w:p>
    <w:p w14:paraId="6873EEFC" w14:textId="149DD79F" w:rsidR="00E037BF" w:rsidRDefault="00E037BF" w:rsidP="00551C79">
      <w:pPr>
        <w:pStyle w:val="pdq2pgselectionanchorcontainer"/>
        <w:jc w:val="both"/>
      </w:pPr>
      <w:r>
        <w:t>En este trabajo retomamos la perspectiva propuesta por Santos Sharpe</w:t>
      </w:r>
      <w:r>
        <w:t xml:space="preserve"> </w:t>
      </w:r>
      <w:r>
        <w:fldChar w:fldCharType="begin"/>
      </w:r>
      <w:r>
        <w:instrText xml:space="preserve"> ADDIN ZOTERO_ITEM CSL_CITATION {"citationID":"0WMyyeAk","properties":{"unsorted":false,"formattedCitation":"(2021; 2020)","plainCitation":"(2021; 2020)","noteIndex":0},"citationItems":[{"id":1842,"uris":["http://zotero.org/users/3485131/items/6LQA5QVY"],"itemData":{"id":1842,"type":"article-journal","container-title":"Revista iberoamericana de educación superior","issue":"34","page":"21–45","publisher":"Universidad Nacional Autónoma de México, Instituto de Investigaciones sobre …","source":"Google Scholar","title":"Representaciones de cuatro carreras de la Universidad de Buenos Aires y su vínculo con el abandono de estudios","volume":"12","author":[{"family":"Santos-Sharpe","given":"Andrés"}],"issued":{"date-parts":[["2021"]]}},"suppress-author":true},{"id":942,"uris":["http://zotero.org/users/3485131/items/MTWLXJYG"],"itemData":{"id":942,"type":"book","abstract":"Este libro aborda el fenómeno de la discontinuidad de los estudios universitarios en la Universidad de Buenos Aires (UBA) a partir del análisis de los relatos de jóvenes que hayan discontinuado sus estudios superiores entre los años 2005 y 2015 en cuatro carreras con alto porcentaje de abandono: Ingeniería en Informática, Ciencias Antropológicas, Ciencias Químicas y Ciencias de la Comunicación.El uso del concepto de discontinuidad por sobre otros más extendidos, como abandono o deserción, busca discutir con la mirada centrada en la responsabilización hacia el estudiante y se opone al carácter punitivista de dicha apreciación, es decir, la mirada que califica a la graduación como éxito y al abandono como fracaso.Frente a estas propuestas, se realiza un abordaje microsociológico que indaga las causas del abandono a partir del análisis de la experiencia estudiantil, el vínculo con el conocimiento disciplinar y la cultura institucional de la UBA. Se analiza qué aspectos guiaron el proceso decisional –consciente o no– que derivó en la discontinuidad de los estudios en la medida en que entendemos que los individuos administran varias lógicas de la acción, definen una situación, elaboran jerarquías de selección y construyen imágenes de sí mismos que intervienen en procesos decisionales.Considerando lo dicho, se analiza el entramado simbólico de los procesos estudiantiles que configuran ciertas formas particulares de experiencia de discontinuidad.","ISBN":"978-987-86-6243-5","language":"es-es","source":"www.teseopress.com","title":"Relatos de la discontinuidad de los estudios universitarios","URL":"https://www.teseopress.com/discontinuidadestudiosuniversitarios/","author":[{"family":"Santos Sharpe","given":"Andrés"}],"accessed":{"date-parts":[["2021",5,12]]},"issued":{"date-parts":[["2020"]]}},"suppress-author":true}],"schema":"https://github.com/citation-style-language/schema/raw/master/csl-citation.json"} </w:instrText>
      </w:r>
      <w:r>
        <w:fldChar w:fldCharType="separate"/>
      </w:r>
      <w:r w:rsidRPr="00E037BF">
        <w:t>(2021; 2020)</w:t>
      </w:r>
      <w:r>
        <w:fldChar w:fldCharType="end"/>
      </w:r>
      <w:r>
        <w:t>, quien propone abordar la discontinuidad de los estudios recuperando los sentidos que las</w:t>
      </w:r>
      <w:r>
        <w:t xml:space="preserve">/os </w:t>
      </w:r>
      <w:r>
        <w:t xml:space="preserve">estudiantes </w:t>
      </w:r>
      <w:r>
        <w:t xml:space="preserve">le </w:t>
      </w:r>
      <w:r>
        <w:t xml:space="preserve">atribuyen a sus propias trayectorias, en lugar de partir de definiciones </w:t>
      </w:r>
      <w:r>
        <w:lastRenderedPageBreak/>
        <w:t>externas sobre el abandono. Desde esta perspectiva, la discontinuidad no constituye necesariamente una ruptura definitiva del proyecto universitario, sino que puede dar lugar a otras formas de continuidad construidas por los propios sujetos, sin que la persona investigadora las defina a priori en términos de éxito o fracaso. En este sentido, el análisis de los motivos de discontinuidad de las cursadas permite aproximarnos a la experiencia estudiantil sin presuponer que toda interrupción de la cursada implique, necesariamente, el abandono de la carrera.</w:t>
      </w:r>
    </w:p>
    <w:p w14:paraId="2AED4C4C" w14:textId="26201C06" w:rsidR="00F84B60" w:rsidRPr="001E2FAE" w:rsidRDefault="00F84B60" w:rsidP="001E2FAE">
      <w:pPr>
        <w:spacing w:line="240" w:lineRule="auto"/>
        <w:jc w:val="both"/>
        <w:rPr>
          <w:rFonts w:ascii="Times New Roman" w:eastAsia="Times New Roman" w:hAnsi="Times New Roman" w:cs="Times New Roman"/>
        </w:rPr>
      </w:pPr>
      <w:r w:rsidRPr="001E2FAE">
        <w:rPr>
          <w:rFonts w:ascii="Times New Roman" w:eastAsia="Times New Roman" w:hAnsi="Times New Roman" w:cs="Times New Roman"/>
        </w:rPr>
        <w:t xml:space="preserve">Dentro de </w:t>
      </w:r>
      <w:r w:rsidR="00D828DD">
        <w:rPr>
          <w:rFonts w:ascii="Times New Roman" w:eastAsia="Times New Roman" w:hAnsi="Times New Roman" w:cs="Times New Roman"/>
        </w:rPr>
        <w:t xml:space="preserve">la </w:t>
      </w:r>
      <w:r w:rsidRPr="001E2FAE">
        <w:rPr>
          <w:rFonts w:ascii="Times New Roman" w:eastAsia="Times New Roman" w:hAnsi="Times New Roman" w:cs="Times New Roman"/>
        </w:rPr>
        <w:t>discontinuidad</w:t>
      </w:r>
      <w:r w:rsidR="00D828DD">
        <w:rPr>
          <w:rFonts w:ascii="Times New Roman" w:eastAsia="Times New Roman" w:hAnsi="Times New Roman" w:cs="Times New Roman"/>
        </w:rPr>
        <w:t xml:space="preserve"> de los trayectos universitarios</w:t>
      </w:r>
      <w:r w:rsidRPr="001E2FAE">
        <w:rPr>
          <w:rFonts w:ascii="Times New Roman" w:eastAsia="Times New Roman" w:hAnsi="Times New Roman" w:cs="Times New Roman"/>
        </w:rPr>
        <w:t xml:space="preserve"> encontramos diversos motivos, entre ellos cuestiones referid</w:t>
      </w:r>
      <w:r w:rsidR="00D828DD">
        <w:rPr>
          <w:rFonts w:ascii="Times New Roman" w:eastAsia="Times New Roman" w:hAnsi="Times New Roman" w:cs="Times New Roman"/>
        </w:rPr>
        <w:t>a</w:t>
      </w:r>
      <w:r w:rsidRPr="001E2FAE">
        <w:rPr>
          <w:rFonts w:ascii="Times New Roman" w:eastAsia="Times New Roman" w:hAnsi="Times New Roman" w:cs="Times New Roman"/>
        </w:rPr>
        <w:t xml:space="preserve">s a cambios de carrera, </w:t>
      </w:r>
      <w:r w:rsidRPr="001E2FAE">
        <w:rPr>
          <w:rFonts w:ascii="Times New Roman" w:hAnsi="Times New Roman" w:cs="Times New Roman"/>
        </w:rPr>
        <w:t xml:space="preserve">cuestiones </w:t>
      </w:r>
      <w:r w:rsidRPr="001E2FAE">
        <w:rPr>
          <w:rFonts w:ascii="Times New Roman" w:hAnsi="Times New Roman" w:cs="Times New Roman"/>
          <w:iCs/>
        </w:rPr>
        <w:t>vocacionales, la discontinuidad en el marco de la continuidad de otros proyectos de vida, rendimiento académico como factor que interfiere en la continuidad, la alfabetización académica, entre otros. P</w:t>
      </w:r>
      <w:r w:rsidRPr="001E2FAE">
        <w:rPr>
          <w:rFonts w:ascii="Times New Roman" w:eastAsia="Times New Roman" w:hAnsi="Times New Roman" w:cs="Times New Roman"/>
        </w:rPr>
        <w:t>ara e</w:t>
      </w:r>
      <w:r w:rsidR="00D8467C" w:rsidRPr="001E2FAE">
        <w:rPr>
          <w:rFonts w:ascii="Times New Roman" w:eastAsia="Times New Roman" w:hAnsi="Times New Roman" w:cs="Times New Roman"/>
        </w:rPr>
        <w:t xml:space="preserve">l presente </w:t>
      </w:r>
      <w:r w:rsidRPr="001E2FAE">
        <w:rPr>
          <w:rFonts w:ascii="Times New Roman" w:eastAsia="Times New Roman" w:hAnsi="Times New Roman" w:cs="Times New Roman"/>
        </w:rPr>
        <w:t xml:space="preserve"> análisis, tomamos la distinción propuesta por García de </w:t>
      </w:r>
      <w:proofErr w:type="spellStart"/>
      <w:r w:rsidRPr="001E2FAE">
        <w:rPr>
          <w:rFonts w:ascii="Times New Roman" w:eastAsia="Times New Roman" w:hAnsi="Times New Roman" w:cs="Times New Roman"/>
        </w:rPr>
        <w:t>Fanelli</w:t>
      </w:r>
      <w:proofErr w:type="spellEnd"/>
      <w:r w:rsidRPr="001E2FAE">
        <w:rPr>
          <w:rFonts w:ascii="Times New Roman" w:eastAsia="Times New Roman" w:hAnsi="Times New Roman" w:cs="Times New Roman"/>
        </w:rPr>
        <w:t xml:space="preserve"> </w:t>
      </w:r>
      <w:r w:rsidRPr="001E2FAE">
        <w:rPr>
          <w:rFonts w:ascii="Times New Roman" w:eastAsia="Times New Roman" w:hAnsi="Times New Roman" w:cs="Times New Roman"/>
        </w:rPr>
        <w:fldChar w:fldCharType="begin"/>
      </w:r>
      <w:r w:rsidRPr="001E2FAE">
        <w:rPr>
          <w:rFonts w:ascii="Times New Roman" w:eastAsia="Times New Roman" w:hAnsi="Times New Roman" w:cs="Times New Roman"/>
        </w:rPr>
        <w:instrText xml:space="preserve"> ADDIN ZOTERO_ITEM CSL_CITATION {"citationID":"Zv2iJG2i","properties":{"formattedCitation":"(2005, 2012)","plainCitation":"(2005, 2012)","noteIndex":0},"citationItems":[{"id":218,"uris":["http://zotero.org/users/3485131/items/AB8RAYM4"],"itemData":{"id":218,"type":"article-journal","collection-title":"Debate 5. Educación superior. Acceso, permanencia y perfil social de los graduados comparados con los egresados de la educación media","container-title":"Sistema de información de tendencias educativas en América Latina","source":"Google Scholar","title":"Acceso, abandono y graduación en la educación superior argentina","URL":"http://sitial.iipe-oei.org/sites/default/files/siteal_debate_5_fanelli_artculo.pdf","author":[{"family":"García de Fanelli","given":"Ana"}],"accessed":{"date-parts":[["2018",2,15]]},"issued":{"date-parts":[["2005"]]}},"suppress-author":true},{"id":745,"uris":["http://zotero.org/users/3485131/items/BK5SII2E"],"itemData":{"id":745,"type":"article-journal","abstract":"This paper analyzes an innovative public policy introduced in Argentina in 2004 that links public funding to the accreditation of undergraduate courses. The Ministry of Education allocated three-year non-competitive funds to public universities so that undergraduate courses that had been accredited for three years could meet their commitment to fulfill improvement plans. To study this public policy we used the case study method, selecting the most important project in terms of the amount of resources allocated and the number of courses covered: the Project for the Improvement of Teaching Engineering Programs (PROMEI). We analyzed documents and quantitative evidence, in addition to conducting in-depth interviews with key informants and semi-structured interviews with the authorities of academic units. The findings show that the majority of the total degree courses financed by PROMEI were accredited for another three-year period. Moreover, the respondents positively evaluated the impacts of this project to overcome the weaknesses of the engineering programs detected during the accreditation procedure. The positive evaluation of this public policy is related to two factors: first, diverse actors from the engineering community participated in the formulation of the policy; second, the funding items took into account the multiple factors that intervene in order to improve the teaching activity. Finally, it had an additional unexpected effect by contributing to legitimize the quality accreditation procedures.","container-title":"Education Policy Analysis Archives/Archivos Analíticos de Políticas Educativas","ISSN":"1068-2341","issue":"22","language":"es","note":"number: 22","page":"32","source":"Zotero","title":"Acreditación de la calidad y financiamiento: Potenciando el cambio universitario vía fondos no competitivos de mejora","volume":"20","author":[{"family":"García de Fanelli","given":"Ana"}],"issued":{"date-parts":[["2012"]]}},"label":"page","suppress-author":true}],"schema":"https://github.com/citation-style-language/schema/raw/master/csl-citation.json"} </w:instrText>
      </w:r>
      <w:r w:rsidRPr="001E2FAE">
        <w:rPr>
          <w:rFonts w:ascii="Times New Roman" w:eastAsia="Times New Roman" w:hAnsi="Times New Roman" w:cs="Times New Roman"/>
        </w:rPr>
        <w:fldChar w:fldCharType="separate"/>
      </w:r>
      <w:r w:rsidRPr="001E2FAE">
        <w:rPr>
          <w:rFonts w:ascii="Times New Roman" w:hAnsi="Times New Roman" w:cs="Times New Roman"/>
        </w:rPr>
        <w:t>(2005, 2012)</w:t>
      </w:r>
      <w:r w:rsidRPr="001E2FAE">
        <w:rPr>
          <w:rFonts w:ascii="Times New Roman" w:eastAsia="Times New Roman" w:hAnsi="Times New Roman" w:cs="Times New Roman"/>
        </w:rPr>
        <w:fldChar w:fldCharType="end"/>
      </w:r>
      <w:r w:rsidRPr="001E2FAE">
        <w:rPr>
          <w:rFonts w:ascii="Times New Roman" w:eastAsia="Times New Roman" w:hAnsi="Times New Roman" w:cs="Times New Roman"/>
        </w:rPr>
        <w:t xml:space="preserve"> quien distingue factores exógenos de los endógenos del abandono educativo. </w:t>
      </w:r>
    </w:p>
    <w:p w14:paraId="5A30AFA0" w14:textId="03E73A17" w:rsidR="00D8467C" w:rsidRPr="001E2FAE" w:rsidRDefault="00D8467C" w:rsidP="001E2FAE">
      <w:pPr>
        <w:spacing w:line="240" w:lineRule="auto"/>
        <w:jc w:val="both"/>
        <w:rPr>
          <w:rFonts w:ascii="Times New Roman" w:hAnsi="Times New Roman" w:cs="Times New Roman"/>
          <w:iCs/>
        </w:rPr>
      </w:pPr>
      <w:r w:rsidRPr="001E2FAE">
        <w:rPr>
          <w:rFonts w:ascii="Times New Roman" w:hAnsi="Times New Roman" w:cs="Times New Roman"/>
        </w:rPr>
        <w:t xml:space="preserve">Los denominados </w:t>
      </w:r>
      <w:r w:rsidR="00D828DD">
        <w:rPr>
          <w:rFonts w:ascii="Times New Roman" w:hAnsi="Times New Roman" w:cs="Times New Roman"/>
        </w:rPr>
        <w:t>“</w:t>
      </w:r>
      <w:r w:rsidRPr="001E2FAE">
        <w:rPr>
          <w:rFonts w:ascii="Times New Roman" w:hAnsi="Times New Roman" w:cs="Times New Roman"/>
        </w:rPr>
        <w:t>factores exógenos</w:t>
      </w:r>
      <w:r w:rsidR="00D828DD">
        <w:rPr>
          <w:rFonts w:ascii="Times New Roman" w:hAnsi="Times New Roman" w:cs="Times New Roman"/>
        </w:rPr>
        <w:t>”</w:t>
      </w:r>
      <w:r w:rsidRPr="001E2FAE">
        <w:rPr>
          <w:rFonts w:ascii="Times New Roman" w:hAnsi="Times New Roman" w:cs="Times New Roman"/>
        </w:rPr>
        <w:t xml:space="preserve"> remiten a los condicionantes sociales asociados a la deserción universitaria (García de </w:t>
      </w:r>
      <w:proofErr w:type="spellStart"/>
      <w:r w:rsidRPr="001E2FAE">
        <w:rPr>
          <w:rFonts w:ascii="Times New Roman" w:hAnsi="Times New Roman" w:cs="Times New Roman"/>
        </w:rPr>
        <w:t>Fanelli</w:t>
      </w:r>
      <w:proofErr w:type="spellEnd"/>
      <w:r w:rsidRPr="001E2FAE">
        <w:rPr>
          <w:rFonts w:ascii="Times New Roman" w:hAnsi="Times New Roman" w:cs="Times New Roman"/>
        </w:rPr>
        <w:t>, 2005, 2012). Esta categoría alude a aquellos elementos que los</w:t>
      </w:r>
      <w:r w:rsidR="00D828DD">
        <w:rPr>
          <w:rFonts w:ascii="Times New Roman" w:hAnsi="Times New Roman" w:cs="Times New Roman"/>
        </w:rPr>
        <w:t xml:space="preserve">/as </w:t>
      </w:r>
      <w:r w:rsidRPr="001E2FAE">
        <w:rPr>
          <w:rFonts w:ascii="Times New Roman" w:hAnsi="Times New Roman" w:cs="Times New Roman"/>
        </w:rPr>
        <w:t xml:space="preserve">estudiantes traen consigo y que, en ese sentido, se ubican por fuera del ámbito estrictamente institucional. Entre ellos se incluyen el </w:t>
      </w:r>
      <w:r w:rsidR="00D828DD">
        <w:rPr>
          <w:rFonts w:ascii="Times New Roman" w:hAnsi="Times New Roman" w:cs="Times New Roman"/>
        </w:rPr>
        <w:t>género</w:t>
      </w:r>
      <w:r w:rsidRPr="001E2FAE">
        <w:rPr>
          <w:rFonts w:ascii="Times New Roman" w:hAnsi="Times New Roman" w:cs="Times New Roman"/>
        </w:rPr>
        <w:t>, la edad, el estado civil, el lugar de residencia y la condición de actividad, así como decisiones personales vinculadas a la elección de otra carrera o institución, la formación previa, el nivel socioeconómico, el nivel educativo de los padres, las aspiraciones y motivaciones individuales, y las modalidades de financiamiento de los estudios. Según la autora, estos factores tienden a tener una incidencia particularmente significativa durante los primeros años de la trayectoria universitaria.</w:t>
      </w:r>
    </w:p>
    <w:p w14:paraId="7CA5CCE3" w14:textId="59DC2F79" w:rsidR="00D8467C" w:rsidRDefault="00D8467C" w:rsidP="001E2FAE">
      <w:pPr>
        <w:spacing w:line="240" w:lineRule="auto"/>
        <w:jc w:val="both"/>
        <w:rPr>
          <w:rFonts w:ascii="Times New Roman" w:hAnsi="Times New Roman" w:cs="Times New Roman"/>
        </w:rPr>
      </w:pPr>
      <w:r w:rsidRPr="001E2FAE">
        <w:rPr>
          <w:rFonts w:ascii="Times New Roman" w:hAnsi="Times New Roman" w:cs="Times New Roman"/>
        </w:rPr>
        <w:t xml:space="preserve">Por su parte, los “factores endógenos” (García de </w:t>
      </w:r>
      <w:proofErr w:type="spellStart"/>
      <w:r w:rsidRPr="001E2FAE">
        <w:rPr>
          <w:rFonts w:ascii="Times New Roman" w:hAnsi="Times New Roman" w:cs="Times New Roman"/>
        </w:rPr>
        <w:t>Fanelli</w:t>
      </w:r>
      <w:proofErr w:type="spellEnd"/>
      <w:r w:rsidRPr="001E2FAE">
        <w:rPr>
          <w:rFonts w:ascii="Times New Roman" w:hAnsi="Times New Roman" w:cs="Times New Roman"/>
        </w:rPr>
        <w:t>, 2004, 2005a, 2012) refieren a dimensiones propias de la organización institucional que también influyen en las trayectorias estudiantiles y en las probabilidades de deserción. Entre estos se consideran las políticas de admisión, las estrategias de orientación vocacional y laboral, las tecnologías de enseñanza y aprendizaje, las instancias de integración estudiantil promovidas por la institución, la infraestructura disponible, los patrones pedagógicos y culturales de cada carrera, la duración y flexibilidad de los planes de estudio, las características del cuerpo docente, la relación pedagógica entre docentes y estudiantes, la cultura organizacional, así como la presencia de tutorías y espacios de acompañamiento académico.</w:t>
      </w:r>
    </w:p>
    <w:p w14:paraId="6EECB9D4" w14:textId="0FA8CD64" w:rsidR="00D8467C" w:rsidRPr="001E2FAE" w:rsidRDefault="00D8467C" w:rsidP="001E2FAE">
      <w:pPr>
        <w:spacing w:line="240" w:lineRule="auto"/>
        <w:jc w:val="both"/>
        <w:rPr>
          <w:rFonts w:ascii="Times New Roman" w:hAnsi="Times New Roman" w:cs="Times New Roman"/>
        </w:rPr>
      </w:pPr>
      <w:r w:rsidRPr="001E2FAE">
        <w:rPr>
          <w:rFonts w:ascii="Times New Roman" w:hAnsi="Times New Roman" w:cs="Times New Roman"/>
        </w:rPr>
        <w:t xml:space="preserve">En este marco, si bien es posible ubicar una parte importante de las desigualdades en factores externos a las instituciones educativas, </w:t>
      </w:r>
      <w:r w:rsidR="00D828DD">
        <w:rPr>
          <w:rFonts w:ascii="Times New Roman" w:hAnsi="Times New Roman" w:cs="Times New Roman"/>
        </w:rPr>
        <w:t xml:space="preserve">nos interesa particularmente identificar aquellos elementos propios de la institución que tensionan los trayectos universitarios en tanto nos aporta información relevante para pensar </w:t>
      </w:r>
      <w:r w:rsidRPr="001E2FAE">
        <w:rPr>
          <w:rFonts w:ascii="Times New Roman" w:hAnsi="Times New Roman" w:cs="Times New Roman"/>
        </w:rPr>
        <w:t xml:space="preserve">el papel </w:t>
      </w:r>
      <w:r w:rsidR="00D828DD">
        <w:rPr>
          <w:rFonts w:ascii="Times New Roman" w:hAnsi="Times New Roman" w:cs="Times New Roman"/>
        </w:rPr>
        <w:t xml:space="preserve">de la universidad </w:t>
      </w:r>
      <w:r w:rsidRPr="001E2FAE">
        <w:rPr>
          <w:rFonts w:ascii="Times New Roman" w:hAnsi="Times New Roman" w:cs="Times New Roman"/>
        </w:rPr>
        <w:t>en la reducción o reproducción de dichas desigualdades sociales.</w:t>
      </w:r>
    </w:p>
    <w:p w14:paraId="14C8AF32" w14:textId="357789BC" w:rsidR="00F84B60" w:rsidRPr="001E2FAE" w:rsidRDefault="006B44A3" w:rsidP="006B44A3">
      <w:pPr>
        <w:spacing w:line="240" w:lineRule="auto"/>
        <w:jc w:val="both"/>
        <w:rPr>
          <w:rFonts w:ascii="Times New Roman" w:hAnsi="Times New Roman" w:cs="Times New Roman"/>
          <w:b/>
        </w:rPr>
      </w:pPr>
      <w:r>
        <w:rPr>
          <w:rFonts w:ascii="Times New Roman" w:hAnsi="Times New Roman" w:cs="Times New Roman"/>
          <w:b/>
        </w:rPr>
        <w:t xml:space="preserve">Método </w:t>
      </w:r>
    </w:p>
    <w:p w14:paraId="71F5DC8A" w14:textId="77777777" w:rsidR="00F84B60" w:rsidRPr="001E2FAE" w:rsidRDefault="00F84B60" w:rsidP="001E2FAE">
      <w:pPr>
        <w:spacing w:line="240" w:lineRule="auto"/>
        <w:jc w:val="both"/>
        <w:rPr>
          <w:rFonts w:ascii="Times New Roman" w:hAnsi="Times New Roman" w:cs="Times New Roman"/>
          <w:iCs/>
        </w:rPr>
      </w:pPr>
      <w:r w:rsidRPr="001E2FAE">
        <w:rPr>
          <w:rFonts w:ascii="Times New Roman" w:hAnsi="Times New Roman" w:cs="Times New Roman"/>
          <w:iCs/>
        </w:rPr>
        <w:lastRenderedPageBreak/>
        <w:t xml:space="preserve">La técnica de investigación seleccionada para este análisis es la encuesta. Se realizó una encuesta en línea que incluyó preguntas que nos permitieron caracterizar a los/as estudiante/s (algunas de ellas fueron instituto, carrera, edad, identidad de género, condición laboral y actividades de cuidados) y conocer el/los motivos (pregunta de respuesta múltiple) a los que cada estudiante atribuyó la discontinuidad de la materia. Las opciones de motivos fueron construidas en base a los aportes teóricos antes señalados, pero también a partir de la experiencia de gestión y docente del equipo. </w:t>
      </w:r>
    </w:p>
    <w:p w14:paraId="001A9000" w14:textId="2DF3B37B" w:rsidR="00F84B60" w:rsidRPr="001E2FAE" w:rsidRDefault="00F84B60" w:rsidP="001E2FAE">
      <w:pPr>
        <w:spacing w:line="240" w:lineRule="auto"/>
        <w:jc w:val="both"/>
        <w:rPr>
          <w:rFonts w:ascii="Times New Roman" w:hAnsi="Times New Roman" w:cs="Times New Roman"/>
          <w:iCs/>
        </w:rPr>
      </w:pPr>
      <w:r w:rsidRPr="001E2FAE">
        <w:rPr>
          <w:rFonts w:ascii="Times New Roman" w:hAnsi="Times New Roman" w:cs="Times New Roman"/>
          <w:iCs/>
        </w:rPr>
        <w:t>El universo poblacional de la encuesta estuvo integrado por el total de personas que no completaron la cursada</w:t>
      </w:r>
      <w:r w:rsidRPr="001E2FAE">
        <w:rPr>
          <w:rFonts w:ascii="Times New Roman" w:hAnsi="Times New Roman" w:cs="Times New Roman"/>
          <w:iCs/>
          <w:vertAlign w:val="superscript"/>
        </w:rPr>
        <w:footnoteReference w:id="3"/>
      </w:r>
      <w:r w:rsidRPr="001E2FAE">
        <w:rPr>
          <w:rFonts w:ascii="Times New Roman" w:hAnsi="Times New Roman" w:cs="Times New Roman"/>
          <w:iCs/>
          <w:vertAlign w:val="superscript"/>
        </w:rPr>
        <w:t xml:space="preserve"> </w:t>
      </w:r>
      <w:r w:rsidRPr="001E2FAE">
        <w:rPr>
          <w:rFonts w:ascii="Times New Roman" w:hAnsi="Times New Roman" w:cs="Times New Roman"/>
          <w:iCs/>
        </w:rPr>
        <w:t xml:space="preserve">de las materias del Ciclo Inicial (CI) durante el </w:t>
      </w:r>
      <w:r w:rsidR="00D723FE" w:rsidRPr="001E2FAE">
        <w:rPr>
          <w:rFonts w:ascii="Times New Roman" w:hAnsi="Times New Roman" w:cs="Times New Roman"/>
          <w:iCs/>
        </w:rPr>
        <w:t xml:space="preserve">primer cuatrimestre de 2025. </w:t>
      </w:r>
      <w:r w:rsidRPr="001E2FAE">
        <w:rPr>
          <w:rFonts w:ascii="Times New Roman" w:hAnsi="Times New Roman" w:cs="Times New Roman"/>
          <w:iCs/>
        </w:rPr>
        <w:t>La construcción de este marco muestral fue realizada por la Dirección General de Aseguramiento de la Calidad (DGAC) de la UNAJ, quienes consolidaron los listados de</w:t>
      </w:r>
      <w:r w:rsidR="00E037BF">
        <w:rPr>
          <w:rFonts w:ascii="Times New Roman" w:hAnsi="Times New Roman" w:cs="Times New Roman"/>
          <w:iCs/>
        </w:rPr>
        <w:t xml:space="preserve"> estudiantes que al finalizar las cursadas no completaron las materias de </w:t>
      </w:r>
      <w:r w:rsidRPr="001E2FAE">
        <w:rPr>
          <w:rFonts w:ascii="Times New Roman" w:hAnsi="Times New Roman" w:cs="Times New Roman"/>
          <w:iCs/>
        </w:rPr>
        <w:t xml:space="preserve">Matemática </w:t>
      </w:r>
      <w:r w:rsidR="00D723FE" w:rsidRPr="001E2FAE">
        <w:rPr>
          <w:rFonts w:ascii="Times New Roman" w:hAnsi="Times New Roman" w:cs="Times New Roman"/>
          <w:iCs/>
        </w:rPr>
        <w:t xml:space="preserve">Inicial </w:t>
      </w:r>
      <w:r w:rsidRPr="001E2FAE">
        <w:rPr>
          <w:rFonts w:ascii="Times New Roman" w:hAnsi="Times New Roman" w:cs="Times New Roman"/>
          <w:iCs/>
        </w:rPr>
        <w:t>(MAT),</w:t>
      </w:r>
      <w:r w:rsidR="00D723FE" w:rsidRPr="001E2FAE">
        <w:rPr>
          <w:rFonts w:ascii="Times New Roman" w:hAnsi="Times New Roman" w:cs="Times New Roman"/>
          <w:iCs/>
        </w:rPr>
        <w:t xml:space="preserve"> Introducción a la Matemática (INTROM)</w:t>
      </w:r>
      <w:r w:rsidRPr="001E2FAE">
        <w:rPr>
          <w:rFonts w:ascii="Times New Roman" w:hAnsi="Times New Roman" w:cs="Times New Roman"/>
          <w:iCs/>
        </w:rPr>
        <w:t xml:space="preserve"> Taller de Lectura y Escritura (TLE), Problemas de la Historia Argentina (PHA) y Prácticas Culturales (PC) del CI. Los listados corresponden a cada materia, es decir que, si una misma persona dejó dos materias, figura en el listado de cada una de las asignaturas que dejó. A los fines de asociar los motivos a cada una de las materias en particular, se generó una versión de formulario en línea para cada una de las materias del CI. Estos cuestionarios se enviaron por correo electrónico al universo de estudiantes conformado para cada una de las materias. </w:t>
      </w:r>
    </w:p>
    <w:p w14:paraId="1612F8D7" w14:textId="5B39247F" w:rsidR="00F84B60" w:rsidRDefault="00F84B60" w:rsidP="001E2FAE">
      <w:pPr>
        <w:spacing w:line="240" w:lineRule="auto"/>
        <w:jc w:val="both"/>
        <w:rPr>
          <w:rFonts w:ascii="Times New Roman" w:hAnsi="Times New Roman" w:cs="Times New Roman"/>
          <w:iCs/>
        </w:rPr>
      </w:pPr>
      <w:r w:rsidRPr="001E2FAE">
        <w:rPr>
          <w:rFonts w:ascii="Times New Roman" w:hAnsi="Times New Roman" w:cs="Times New Roman"/>
          <w:iCs/>
        </w:rPr>
        <w:t xml:space="preserve">A partir de la implementación de las encuestas obtuvimos un total de </w:t>
      </w:r>
      <w:r w:rsidR="00A94A60" w:rsidRPr="001E2FAE">
        <w:rPr>
          <w:rFonts w:ascii="Times New Roman" w:hAnsi="Times New Roman" w:cs="Times New Roman"/>
          <w:iCs/>
        </w:rPr>
        <w:t>1558</w:t>
      </w:r>
      <w:r w:rsidRPr="001E2FAE">
        <w:rPr>
          <w:rFonts w:ascii="Times New Roman" w:hAnsi="Times New Roman" w:cs="Times New Roman"/>
          <w:iCs/>
          <w:vertAlign w:val="superscript"/>
        </w:rPr>
        <w:footnoteReference w:id="4"/>
      </w:r>
      <w:r w:rsidRPr="001E2FAE">
        <w:rPr>
          <w:rFonts w:ascii="Times New Roman" w:hAnsi="Times New Roman" w:cs="Times New Roman"/>
          <w:iCs/>
          <w:vertAlign w:val="superscript"/>
        </w:rPr>
        <w:t xml:space="preserve"> </w:t>
      </w:r>
      <w:r w:rsidRPr="001E2FAE">
        <w:rPr>
          <w:rFonts w:ascii="Times New Roman" w:hAnsi="Times New Roman" w:cs="Times New Roman"/>
          <w:iCs/>
        </w:rPr>
        <w:t>respuestas válidas, cuya distribución entre materias del CI fue la siguiente: PHA 3</w:t>
      </w:r>
      <w:r w:rsidR="00A94A60" w:rsidRPr="001E2FAE">
        <w:rPr>
          <w:rFonts w:ascii="Times New Roman" w:hAnsi="Times New Roman" w:cs="Times New Roman"/>
          <w:iCs/>
        </w:rPr>
        <w:t>45</w:t>
      </w:r>
      <w:r w:rsidRPr="001E2FAE">
        <w:rPr>
          <w:rFonts w:ascii="Times New Roman" w:hAnsi="Times New Roman" w:cs="Times New Roman"/>
          <w:iCs/>
        </w:rPr>
        <w:t xml:space="preserve"> respuestas, TLE </w:t>
      </w:r>
      <w:r w:rsidR="00A94A60" w:rsidRPr="001E2FAE">
        <w:rPr>
          <w:rFonts w:ascii="Times New Roman" w:hAnsi="Times New Roman" w:cs="Times New Roman"/>
          <w:iCs/>
        </w:rPr>
        <w:t>374</w:t>
      </w:r>
      <w:r w:rsidRPr="001E2FAE">
        <w:rPr>
          <w:rFonts w:ascii="Times New Roman" w:hAnsi="Times New Roman" w:cs="Times New Roman"/>
          <w:iCs/>
        </w:rPr>
        <w:t xml:space="preserve"> respuestas, PC </w:t>
      </w:r>
      <w:r w:rsidR="00A94A60" w:rsidRPr="001E2FAE">
        <w:rPr>
          <w:rFonts w:ascii="Times New Roman" w:hAnsi="Times New Roman" w:cs="Times New Roman"/>
          <w:iCs/>
        </w:rPr>
        <w:t>333</w:t>
      </w:r>
      <w:r w:rsidRPr="001E2FAE">
        <w:rPr>
          <w:rFonts w:ascii="Times New Roman" w:hAnsi="Times New Roman" w:cs="Times New Roman"/>
          <w:iCs/>
        </w:rPr>
        <w:t xml:space="preserve"> respuestas</w:t>
      </w:r>
      <w:r w:rsidR="00A94A60" w:rsidRPr="001E2FAE">
        <w:rPr>
          <w:rFonts w:ascii="Times New Roman" w:hAnsi="Times New Roman" w:cs="Times New Roman"/>
          <w:iCs/>
        </w:rPr>
        <w:t>,</w:t>
      </w:r>
      <w:r w:rsidRPr="001E2FAE">
        <w:rPr>
          <w:rFonts w:ascii="Times New Roman" w:hAnsi="Times New Roman" w:cs="Times New Roman"/>
          <w:iCs/>
        </w:rPr>
        <w:t xml:space="preserve"> MAT </w:t>
      </w:r>
      <w:r w:rsidR="00A94A60" w:rsidRPr="001E2FAE">
        <w:rPr>
          <w:rFonts w:ascii="Times New Roman" w:hAnsi="Times New Roman" w:cs="Times New Roman"/>
          <w:iCs/>
        </w:rPr>
        <w:t>377 e INTROM 129</w:t>
      </w:r>
      <w:r w:rsidRPr="001E2FAE">
        <w:rPr>
          <w:rFonts w:ascii="Times New Roman" w:hAnsi="Times New Roman" w:cs="Times New Roman"/>
          <w:iCs/>
        </w:rPr>
        <w:t xml:space="preserve"> respuestas. </w:t>
      </w:r>
    </w:p>
    <w:p w14:paraId="5EEB8EFB" w14:textId="77777777" w:rsidR="006B44A3" w:rsidRPr="001E2FAE" w:rsidRDefault="006B44A3" w:rsidP="006B44A3">
      <w:pPr>
        <w:spacing w:after="200" w:line="240" w:lineRule="auto"/>
        <w:jc w:val="both"/>
        <w:rPr>
          <w:rFonts w:ascii="Times New Roman" w:hAnsi="Times New Roman" w:cs="Times New Roman"/>
          <w:b/>
        </w:rPr>
      </w:pPr>
      <w:r w:rsidRPr="001E2FAE">
        <w:rPr>
          <w:rFonts w:ascii="Times New Roman" w:hAnsi="Times New Roman" w:cs="Times New Roman"/>
          <w:b/>
        </w:rPr>
        <w:t>Motivos de discontinuidad de cursada</w:t>
      </w:r>
    </w:p>
    <w:p w14:paraId="0DD90BC1" w14:textId="32D6B634" w:rsidR="006B44A3" w:rsidRPr="001E2FAE" w:rsidRDefault="006B44A3" w:rsidP="006B44A3">
      <w:pPr>
        <w:spacing w:line="240" w:lineRule="auto"/>
        <w:jc w:val="both"/>
        <w:rPr>
          <w:rFonts w:ascii="Times New Roman" w:hAnsi="Times New Roman" w:cs="Times New Roman"/>
        </w:rPr>
      </w:pPr>
      <w:r>
        <w:rPr>
          <w:rFonts w:ascii="Times New Roman" w:hAnsi="Times New Roman" w:cs="Times New Roman"/>
        </w:rPr>
        <w:t xml:space="preserve">Dentro de las encuestas consignamos una serie de posibles motivos de discontinuidad de cursadas, las cuales se </w:t>
      </w:r>
      <w:r w:rsidRPr="001E2FAE">
        <w:rPr>
          <w:rFonts w:ascii="Times New Roman" w:hAnsi="Times New Roman" w:cs="Times New Roman"/>
        </w:rPr>
        <w:t xml:space="preserve">presentan a continuación. Cabe señalar que dichas opciones se encuentran agrupadas en función de las dimensiones mencionadas previamente. </w:t>
      </w:r>
    </w:p>
    <w:p w14:paraId="5AA4930C" w14:textId="77777777" w:rsidR="006B44A3" w:rsidRPr="001E2FAE" w:rsidRDefault="006B44A3" w:rsidP="006B44A3">
      <w:pPr>
        <w:spacing w:line="240" w:lineRule="auto"/>
        <w:jc w:val="both"/>
        <w:rPr>
          <w:rFonts w:ascii="Times New Roman" w:hAnsi="Times New Roman" w:cs="Times New Roman"/>
          <w:u w:val="single"/>
        </w:rPr>
      </w:pPr>
      <w:r w:rsidRPr="001E2FAE">
        <w:rPr>
          <w:rFonts w:ascii="Times New Roman" w:hAnsi="Times New Roman" w:cs="Times New Roman"/>
          <w:u w:val="single"/>
        </w:rPr>
        <w:t xml:space="preserve">Motivos exógenos a la Universidad: </w:t>
      </w:r>
    </w:p>
    <w:p w14:paraId="76AA2C71" w14:textId="77777777" w:rsidR="006B44A3" w:rsidRPr="001E2FAE" w:rsidRDefault="006B44A3" w:rsidP="006B44A3">
      <w:pPr>
        <w:spacing w:line="240" w:lineRule="auto"/>
        <w:ind w:left="720"/>
        <w:jc w:val="both"/>
        <w:rPr>
          <w:rFonts w:ascii="Times New Roman" w:hAnsi="Times New Roman" w:cs="Times New Roman"/>
        </w:rPr>
      </w:pPr>
      <w:r w:rsidRPr="001E2FAE">
        <w:rPr>
          <w:rFonts w:ascii="Times New Roman" w:hAnsi="Times New Roman" w:cs="Times New Roman"/>
        </w:rPr>
        <w:t>Dificultades familiares (cuidado de hijos/as y/</w:t>
      </w:r>
      <w:proofErr w:type="spellStart"/>
      <w:r w:rsidRPr="001E2FAE">
        <w:rPr>
          <w:rFonts w:ascii="Times New Roman" w:hAnsi="Times New Roman" w:cs="Times New Roman"/>
        </w:rPr>
        <w:t>o</w:t>
      </w:r>
      <w:proofErr w:type="spellEnd"/>
      <w:r w:rsidRPr="001E2FAE">
        <w:rPr>
          <w:rFonts w:ascii="Times New Roman" w:hAnsi="Times New Roman" w:cs="Times New Roman"/>
        </w:rPr>
        <w:t xml:space="preserve"> otros familiares, dificultad de combinar horarios por asuntos familiares). </w:t>
      </w:r>
    </w:p>
    <w:p w14:paraId="7977D944" w14:textId="77777777" w:rsidR="006B44A3" w:rsidRPr="001E2FAE" w:rsidRDefault="006B44A3" w:rsidP="006B44A3">
      <w:pPr>
        <w:spacing w:line="240" w:lineRule="auto"/>
        <w:ind w:left="720"/>
        <w:jc w:val="both"/>
        <w:rPr>
          <w:rFonts w:ascii="Times New Roman" w:hAnsi="Times New Roman" w:cs="Times New Roman"/>
        </w:rPr>
      </w:pPr>
      <w:r w:rsidRPr="001E2FAE">
        <w:rPr>
          <w:rFonts w:ascii="Times New Roman" w:hAnsi="Times New Roman" w:cs="Times New Roman"/>
        </w:rPr>
        <w:t>Problemas de salud (tuyas o de miembros de tu familia).</w:t>
      </w:r>
    </w:p>
    <w:p w14:paraId="05D70D67" w14:textId="77777777" w:rsidR="006B44A3" w:rsidRPr="001E2FAE" w:rsidRDefault="006B44A3" w:rsidP="006B44A3">
      <w:pPr>
        <w:spacing w:line="240" w:lineRule="auto"/>
        <w:ind w:left="720"/>
        <w:jc w:val="both"/>
        <w:rPr>
          <w:rFonts w:ascii="Times New Roman" w:hAnsi="Times New Roman" w:cs="Times New Roman"/>
        </w:rPr>
      </w:pPr>
      <w:r w:rsidRPr="001E2FAE">
        <w:rPr>
          <w:rFonts w:ascii="Times New Roman" w:hAnsi="Times New Roman" w:cs="Times New Roman"/>
        </w:rPr>
        <w:t>Embarazo (tuyo o de tu pareja) / Nacimiento de hijo/a.</w:t>
      </w:r>
    </w:p>
    <w:p w14:paraId="2629DA19" w14:textId="77777777" w:rsidR="006B44A3" w:rsidRPr="001E2FAE" w:rsidRDefault="006B44A3" w:rsidP="006B44A3">
      <w:pPr>
        <w:spacing w:line="240" w:lineRule="auto"/>
        <w:ind w:left="720"/>
        <w:jc w:val="both"/>
        <w:rPr>
          <w:rFonts w:ascii="Times New Roman" w:hAnsi="Times New Roman" w:cs="Times New Roman"/>
        </w:rPr>
      </w:pPr>
      <w:r w:rsidRPr="001E2FAE">
        <w:rPr>
          <w:rFonts w:ascii="Times New Roman" w:hAnsi="Times New Roman" w:cs="Times New Roman"/>
        </w:rPr>
        <w:lastRenderedPageBreak/>
        <w:t>Complicaciones de la situación laboral (cambio de trabajo, superposición de horarios, incremento de cantidad de horas trabajadas, entre otras).</w:t>
      </w:r>
    </w:p>
    <w:p w14:paraId="2EA0B4F8" w14:textId="77777777" w:rsidR="006B44A3" w:rsidRPr="001E2FAE" w:rsidRDefault="006B44A3" w:rsidP="006B44A3">
      <w:pPr>
        <w:spacing w:line="240" w:lineRule="auto"/>
        <w:ind w:left="720"/>
        <w:jc w:val="both"/>
        <w:rPr>
          <w:rFonts w:ascii="Times New Roman" w:hAnsi="Times New Roman" w:cs="Times New Roman"/>
        </w:rPr>
      </w:pPr>
      <w:r w:rsidRPr="001E2FAE">
        <w:rPr>
          <w:rFonts w:ascii="Times New Roman" w:hAnsi="Times New Roman" w:cs="Times New Roman"/>
        </w:rPr>
        <w:t>Dificultades económicas (discontinuidad de becas, incremento de precios, falta de dinero, entre otras).</w:t>
      </w:r>
    </w:p>
    <w:p w14:paraId="664B574C" w14:textId="77777777" w:rsidR="006B44A3" w:rsidRPr="001E2FAE" w:rsidRDefault="006B44A3" w:rsidP="006B44A3">
      <w:pPr>
        <w:spacing w:line="240" w:lineRule="auto"/>
        <w:ind w:left="720"/>
        <w:jc w:val="both"/>
        <w:rPr>
          <w:rFonts w:ascii="Times New Roman" w:hAnsi="Times New Roman" w:cs="Times New Roman"/>
        </w:rPr>
      </w:pPr>
      <w:r w:rsidRPr="001E2FAE">
        <w:rPr>
          <w:rFonts w:ascii="Times New Roman" w:hAnsi="Times New Roman" w:cs="Times New Roman"/>
        </w:rPr>
        <w:t>La universidad me queda lejos / mucho viaje.</w:t>
      </w:r>
    </w:p>
    <w:p w14:paraId="7360EA34" w14:textId="77777777" w:rsidR="006B44A3" w:rsidRPr="001E2FAE" w:rsidRDefault="006B44A3" w:rsidP="006B44A3">
      <w:pPr>
        <w:spacing w:line="240" w:lineRule="auto"/>
        <w:jc w:val="both"/>
        <w:rPr>
          <w:rFonts w:ascii="Times New Roman" w:hAnsi="Times New Roman" w:cs="Times New Roman"/>
          <w:u w:val="single"/>
        </w:rPr>
      </w:pPr>
      <w:r w:rsidRPr="001E2FAE">
        <w:rPr>
          <w:rFonts w:ascii="Times New Roman" w:hAnsi="Times New Roman" w:cs="Times New Roman"/>
          <w:u w:val="single"/>
        </w:rPr>
        <w:t xml:space="preserve">Motivos endógenos a la Universidad: </w:t>
      </w:r>
    </w:p>
    <w:p w14:paraId="6805C6CC" w14:textId="77777777" w:rsidR="006B44A3" w:rsidRPr="001E2FAE" w:rsidRDefault="006B44A3" w:rsidP="006B44A3">
      <w:pPr>
        <w:pStyle w:val="Prrafodelista"/>
        <w:numPr>
          <w:ilvl w:val="0"/>
          <w:numId w:val="2"/>
        </w:numPr>
        <w:spacing w:after="200" w:line="240" w:lineRule="auto"/>
        <w:jc w:val="both"/>
        <w:rPr>
          <w:rFonts w:ascii="Times New Roman" w:hAnsi="Times New Roman" w:cs="Times New Roman"/>
        </w:rPr>
      </w:pPr>
      <w:r w:rsidRPr="001E2FAE">
        <w:rPr>
          <w:rFonts w:ascii="Times New Roman" w:hAnsi="Times New Roman" w:cs="Times New Roman"/>
        </w:rPr>
        <w:t>Vinculados a contenidos y prácticas de enseñanza:</w:t>
      </w:r>
    </w:p>
    <w:p w14:paraId="40A86E54" w14:textId="77777777" w:rsidR="006B44A3" w:rsidRPr="001E2FAE" w:rsidRDefault="006B44A3" w:rsidP="006B44A3">
      <w:pPr>
        <w:pStyle w:val="Prrafodelista"/>
        <w:spacing w:line="240" w:lineRule="auto"/>
        <w:jc w:val="both"/>
        <w:rPr>
          <w:rFonts w:ascii="Times New Roman" w:hAnsi="Times New Roman" w:cs="Times New Roman"/>
        </w:rPr>
      </w:pPr>
    </w:p>
    <w:p w14:paraId="189D6DC6" w14:textId="77777777" w:rsidR="006B44A3" w:rsidRPr="001E2FAE" w:rsidRDefault="006B44A3" w:rsidP="006B44A3">
      <w:pPr>
        <w:pStyle w:val="Prrafodelista"/>
        <w:spacing w:line="240" w:lineRule="auto"/>
        <w:jc w:val="both"/>
        <w:rPr>
          <w:rFonts w:ascii="Times New Roman" w:hAnsi="Times New Roman" w:cs="Times New Roman"/>
        </w:rPr>
      </w:pPr>
      <w:r w:rsidRPr="001E2FAE">
        <w:rPr>
          <w:rFonts w:ascii="Times New Roman" w:hAnsi="Times New Roman" w:cs="Times New Roman"/>
        </w:rPr>
        <w:t>Me había anotado a muchas materias y no llegaba con todas</w:t>
      </w:r>
    </w:p>
    <w:p w14:paraId="6A8915ED" w14:textId="77777777" w:rsidR="006B44A3" w:rsidRPr="001E2FAE" w:rsidRDefault="006B44A3" w:rsidP="006B44A3">
      <w:pPr>
        <w:pStyle w:val="Prrafodelista"/>
        <w:spacing w:line="240" w:lineRule="auto"/>
        <w:jc w:val="both"/>
        <w:rPr>
          <w:rFonts w:ascii="Times New Roman" w:hAnsi="Times New Roman" w:cs="Times New Roman"/>
        </w:rPr>
      </w:pPr>
    </w:p>
    <w:p w14:paraId="281B0C80" w14:textId="77777777" w:rsidR="006B44A3" w:rsidRPr="001E2FAE" w:rsidRDefault="006B44A3" w:rsidP="006B44A3">
      <w:pPr>
        <w:pStyle w:val="Prrafodelista"/>
        <w:spacing w:line="240" w:lineRule="auto"/>
        <w:jc w:val="both"/>
        <w:rPr>
          <w:rFonts w:ascii="Times New Roman" w:hAnsi="Times New Roman" w:cs="Times New Roman"/>
        </w:rPr>
      </w:pPr>
      <w:r w:rsidRPr="001E2FAE">
        <w:rPr>
          <w:rFonts w:ascii="Times New Roman" w:hAnsi="Times New Roman" w:cs="Times New Roman"/>
        </w:rPr>
        <w:t>Dificultades para comprender los contenidos y/o la evaluación de la materia</w:t>
      </w:r>
    </w:p>
    <w:p w14:paraId="30BB5774" w14:textId="77777777" w:rsidR="006B44A3" w:rsidRPr="001E2FAE" w:rsidRDefault="006B44A3" w:rsidP="006B44A3">
      <w:pPr>
        <w:pStyle w:val="Prrafodelista"/>
        <w:spacing w:line="240" w:lineRule="auto"/>
        <w:jc w:val="both"/>
        <w:rPr>
          <w:rFonts w:ascii="Times New Roman" w:hAnsi="Times New Roman" w:cs="Times New Roman"/>
        </w:rPr>
      </w:pPr>
    </w:p>
    <w:p w14:paraId="1E16C586" w14:textId="77777777" w:rsidR="006B44A3" w:rsidRPr="001E2FAE" w:rsidRDefault="006B44A3" w:rsidP="006B44A3">
      <w:pPr>
        <w:pStyle w:val="Prrafodelista"/>
        <w:spacing w:line="240" w:lineRule="auto"/>
        <w:jc w:val="both"/>
        <w:rPr>
          <w:rFonts w:ascii="Times New Roman" w:hAnsi="Times New Roman" w:cs="Times New Roman"/>
        </w:rPr>
      </w:pPr>
      <w:r w:rsidRPr="001E2FAE">
        <w:rPr>
          <w:rFonts w:ascii="Times New Roman" w:hAnsi="Times New Roman" w:cs="Times New Roman"/>
        </w:rPr>
        <w:t>Por cuestiones referidas a cómo enseña y/o la relación con el/la profesora</w:t>
      </w:r>
    </w:p>
    <w:p w14:paraId="6AA46AFC" w14:textId="77777777" w:rsidR="006B44A3" w:rsidRPr="001E2FAE" w:rsidRDefault="006B44A3" w:rsidP="006B44A3">
      <w:pPr>
        <w:pStyle w:val="Prrafodelista"/>
        <w:spacing w:line="240" w:lineRule="auto"/>
        <w:jc w:val="both"/>
        <w:rPr>
          <w:rFonts w:ascii="Times New Roman" w:hAnsi="Times New Roman" w:cs="Times New Roman"/>
        </w:rPr>
      </w:pPr>
    </w:p>
    <w:p w14:paraId="40A9466C" w14:textId="77777777" w:rsidR="006B44A3" w:rsidRPr="001E2FAE" w:rsidRDefault="006B44A3" w:rsidP="006B44A3">
      <w:pPr>
        <w:pStyle w:val="Prrafodelista"/>
        <w:spacing w:line="240" w:lineRule="auto"/>
        <w:jc w:val="both"/>
        <w:rPr>
          <w:rFonts w:ascii="Times New Roman" w:hAnsi="Times New Roman" w:cs="Times New Roman"/>
        </w:rPr>
      </w:pPr>
      <w:r w:rsidRPr="001E2FAE">
        <w:rPr>
          <w:rFonts w:ascii="Times New Roman" w:hAnsi="Times New Roman" w:cs="Times New Roman"/>
        </w:rPr>
        <w:t>Por requisitos de correlatividades</w:t>
      </w:r>
    </w:p>
    <w:p w14:paraId="38FF8742" w14:textId="77777777" w:rsidR="006B44A3" w:rsidRPr="001E2FAE" w:rsidRDefault="006B44A3" w:rsidP="006B44A3">
      <w:pPr>
        <w:pStyle w:val="Prrafodelista"/>
        <w:spacing w:line="240" w:lineRule="auto"/>
        <w:jc w:val="both"/>
        <w:rPr>
          <w:rFonts w:ascii="Times New Roman" w:hAnsi="Times New Roman" w:cs="Times New Roman"/>
        </w:rPr>
      </w:pPr>
    </w:p>
    <w:p w14:paraId="3DF4C9A4" w14:textId="77777777" w:rsidR="006B44A3" w:rsidRPr="001E2FAE" w:rsidRDefault="006B44A3" w:rsidP="006B44A3">
      <w:pPr>
        <w:pStyle w:val="Prrafodelista"/>
        <w:numPr>
          <w:ilvl w:val="0"/>
          <w:numId w:val="2"/>
        </w:numPr>
        <w:spacing w:after="200" w:line="240" w:lineRule="auto"/>
        <w:jc w:val="both"/>
        <w:rPr>
          <w:rFonts w:ascii="Times New Roman" w:hAnsi="Times New Roman" w:cs="Times New Roman"/>
        </w:rPr>
      </w:pPr>
      <w:r w:rsidRPr="001E2FAE">
        <w:rPr>
          <w:rFonts w:ascii="Times New Roman" w:hAnsi="Times New Roman" w:cs="Times New Roman"/>
        </w:rPr>
        <w:t>Referidos a la modalidad integrada</w:t>
      </w:r>
      <w:r w:rsidRPr="001E2FAE">
        <w:rPr>
          <w:rStyle w:val="Refdenotaalpie"/>
          <w:rFonts w:ascii="Times New Roman" w:hAnsi="Times New Roman" w:cs="Times New Roman"/>
        </w:rPr>
        <w:footnoteReference w:id="5"/>
      </w:r>
      <w:r w:rsidRPr="001E2FAE">
        <w:rPr>
          <w:rFonts w:ascii="Times New Roman" w:hAnsi="Times New Roman" w:cs="Times New Roman"/>
        </w:rPr>
        <w:t>:</w:t>
      </w:r>
    </w:p>
    <w:p w14:paraId="72E86A2C" w14:textId="77777777" w:rsidR="006B44A3" w:rsidRPr="001E2FAE" w:rsidRDefault="006B44A3" w:rsidP="006B44A3">
      <w:pPr>
        <w:spacing w:line="240" w:lineRule="auto"/>
        <w:ind w:firstLine="720"/>
        <w:jc w:val="both"/>
        <w:rPr>
          <w:rFonts w:ascii="Times New Roman" w:hAnsi="Times New Roman" w:cs="Times New Roman"/>
        </w:rPr>
      </w:pPr>
      <w:r w:rsidRPr="001E2FAE">
        <w:rPr>
          <w:rFonts w:ascii="Times New Roman" w:hAnsi="Times New Roman" w:cs="Times New Roman"/>
        </w:rPr>
        <w:t>Tuve dificultades para combinar presencialidad y virtualidad</w:t>
      </w:r>
    </w:p>
    <w:p w14:paraId="593E12C4" w14:textId="77777777" w:rsidR="006B44A3" w:rsidRPr="001E2FAE" w:rsidRDefault="006B44A3" w:rsidP="006B44A3">
      <w:pPr>
        <w:spacing w:line="240" w:lineRule="auto"/>
        <w:ind w:left="720"/>
        <w:jc w:val="both"/>
        <w:rPr>
          <w:rFonts w:ascii="Times New Roman" w:hAnsi="Times New Roman" w:cs="Times New Roman"/>
        </w:rPr>
      </w:pPr>
      <w:r w:rsidRPr="001E2FAE">
        <w:rPr>
          <w:rFonts w:ascii="Times New Roman" w:hAnsi="Times New Roman" w:cs="Times New Roman"/>
        </w:rPr>
        <w:t>Falta de herramientas tecnológicas para cursar (computadora, conexión a internet, etc.).</w:t>
      </w:r>
    </w:p>
    <w:p w14:paraId="3D62E1EA" w14:textId="77777777" w:rsidR="006B44A3" w:rsidRPr="001E2FAE" w:rsidRDefault="006B44A3" w:rsidP="006B44A3">
      <w:pPr>
        <w:spacing w:line="240" w:lineRule="auto"/>
        <w:ind w:firstLine="720"/>
        <w:jc w:val="both"/>
        <w:rPr>
          <w:rFonts w:ascii="Times New Roman" w:hAnsi="Times New Roman" w:cs="Times New Roman"/>
        </w:rPr>
      </w:pPr>
      <w:r w:rsidRPr="001E2FAE">
        <w:rPr>
          <w:rFonts w:ascii="Times New Roman" w:hAnsi="Times New Roman" w:cs="Times New Roman"/>
        </w:rPr>
        <w:t>Por problemas o inconvenientes con el campus.</w:t>
      </w:r>
    </w:p>
    <w:p w14:paraId="15819963" w14:textId="77777777" w:rsidR="006B44A3" w:rsidRPr="001E2FAE" w:rsidRDefault="006B44A3" w:rsidP="006B44A3">
      <w:pPr>
        <w:spacing w:line="240" w:lineRule="auto"/>
        <w:jc w:val="both"/>
        <w:rPr>
          <w:rFonts w:ascii="Times New Roman" w:hAnsi="Times New Roman" w:cs="Times New Roman"/>
          <w:u w:val="single"/>
        </w:rPr>
      </w:pPr>
      <w:r w:rsidRPr="001E2FAE">
        <w:rPr>
          <w:rFonts w:ascii="Times New Roman" w:hAnsi="Times New Roman" w:cs="Times New Roman"/>
          <w:u w:val="single"/>
        </w:rPr>
        <w:t>Discontinuidad carrera</w:t>
      </w:r>
    </w:p>
    <w:p w14:paraId="27E63A77" w14:textId="77777777" w:rsidR="006B44A3" w:rsidRPr="001E2FAE" w:rsidRDefault="006B44A3" w:rsidP="006B44A3">
      <w:pPr>
        <w:spacing w:line="240" w:lineRule="auto"/>
        <w:ind w:left="720"/>
        <w:jc w:val="both"/>
        <w:rPr>
          <w:rFonts w:ascii="Times New Roman" w:hAnsi="Times New Roman" w:cs="Times New Roman"/>
        </w:rPr>
      </w:pPr>
      <w:r w:rsidRPr="001E2FAE">
        <w:rPr>
          <w:rFonts w:ascii="Times New Roman" w:hAnsi="Times New Roman" w:cs="Times New Roman"/>
        </w:rPr>
        <w:t>Dejé la carrera</w:t>
      </w:r>
    </w:p>
    <w:p w14:paraId="465DB65B" w14:textId="7218B098" w:rsidR="006B44A3" w:rsidRDefault="006B44A3" w:rsidP="006B44A3">
      <w:pPr>
        <w:spacing w:line="240" w:lineRule="auto"/>
        <w:ind w:left="720"/>
        <w:jc w:val="both"/>
        <w:rPr>
          <w:rFonts w:ascii="Times New Roman" w:hAnsi="Times New Roman" w:cs="Times New Roman"/>
        </w:rPr>
      </w:pPr>
      <w:r w:rsidRPr="001E2FAE">
        <w:rPr>
          <w:rFonts w:ascii="Times New Roman" w:hAnsi="Times New Roman" w:cs="Times New Roman"/>
        </w:rPr>
        <w:t>Cambié de carrera / de Universidad</w:t>
      </w:r>
    </w:p>
    <w:p w14:paraId="383BB0E7" w14:textId="78CBCB20" w:rsidR="006B44A3" w:rsidRPr="001E2FAE" w:rsidRDefault="006B44A3" w:rsidP="006B44A3">
      <w:pPr>
        <w:spacing w:line="240" w:lineRule="auto"/>
        <w:jc w:val="both"/>
        <w:rPr>
          <w:rFonts w:ascii="Times New Roman" w:hAnsi="Times New Roman" w:cs="Times New Roman"/>
        </w:rPr>
      </w:pPr>
      <w:r>
        <w:rPr>
          <w:rFonts w:ascii="Times New Roman" w:hAnsi="Times New Roman" w:cs="Times New Roman"/>
        </w:rPr>
        <w:t>Consignamos la posibilidad que mencionen “Otros motivos” en aquellos casos que hayan dejado la cursada por motivos que excedieran las opciones provistas.</w:t>
      </w:r>
    </w:p>
    <w:p w14:paraId="142993B5" w14:textId="5EFE6592" w:rsidR="006B44A3" w:rsidRPr="001E2FAE" w:rsidRDefault="006B44A3" w:rsidP="006B44A3">
      <w:pPr>
        <w:spacing w:line="240" w:lineRule="auto"/>
        <w:jc w:val="both"/>
        <w:rPr>
          <w:rFonts w:ascii="Times New Roman" w:hAnsi="Times New Roman" w:cs="Times New Roman"/>
          <w:color w:val="9900FF"/>
        </w:rPr>
      </w:pPr>
      <w:r w:rsidRPr="001E2FAE">
        <w:rPr>
          <w:rFonts w:ascii="Times New Roman" w:hAnsi="Times New Roman" w:cs="Times New Roman"/>
        </w:rPr>
        <w:t xml:space="preserve">Previo a avanzar en el análisis de estos motivos, cabe referir </w:t>
      </w:r>
      <w:proofErr w:type="gramStart"/>
      <w:r w:rsidRPr="001E2FAE">
        <w:rPr>
          <w:rFonts w:ascii="Times New Roman" w:hAnsi="Times New Roman" w:cs="Times New Roman"/>
        </w:rPr>
        <w:t>que</w:t>
      </w:r>
      <w:proofErr w:type="gramEnd"/>
      <w:r w:rsidRPr="001E2FAE">
        <w:rPr>
          <w:rFonts w:ascii="Times New Roman" w:hAnsi="Times New Roman" w:cs="Times New Roman"/>
        </w:rPr>
        <w:t xml:space="preserve"> a partir de la experiencia realizada en 2023, la revisión de las bases de datos y análisis de los </w:t>
      </w:r>
      <w:r>
        <w:rPr>
          <w:rFonts w:ascii="Times New Roman" w:hAnsi="Times New Roman" w:cs="Times New Roman"/>
        </w:rPr>
        <w:t>“</w:t>
      </w:r>
      <w:r w:rsidRPr="001E2FAE">
        <w:rPr>
          <w:rFonts w:ascii="Times New Roman" w:hAnsi="Times New Roman" w:cs="Times New Roman"/>
        </w:rPr>
        <w:t>otros motivos”</w:t>
      </w:r>
      <w:r>
        <w:rPr>
          <w:rFonts w:ascii="Times New Roman" w:hAnsi="Times New Roman" w:cs="Times New Roman"/>
        </w:rPr>
        <w:t xml:space="preserve"> </w:t>
      </w:r>
      <w:r w:rsidRPr="001E2FAE">
        <w:rPr>
          <w:rFonts w:ascii="Times New Roman" w:hAnsi="Times New Roman" w:cs="Times New Roman"/>
        </w:rPr>
        <w:t>consignados, procedimos</w:t>
      </w:r>
      <w:r>
        <w:rPr>
          <w:rFonts w:ascii="Times New Roman" w:hAnsi="Times New Roman" w:cs="Times New Roman"/>
        </w:rPr>
        <w:t xml:space="preserve"> para el relevamiento de 2025 </w:t>
      </w:r>
      <w:r w:rsidRPr="001E2FAE">
        <w:rPr>
          <w:rFonts w:ascii="Times New Roman" w:hAnsi="Times New Roman" w:cs="Times New Roman"/>
        </w:rPr>
        <w:t xml:space="preserve">a incorporar </w:t>
      </w:r>
      <w:r>
        <w:rPr>
          <w:rFonts w:ascii="Times New Roman" w:hAnsi="Times New Roman" w:cs="Times New Roman"/>
        </w:rPr>
        <w:t xml:space="preserve">dos </w:t>
      </w:r>
      <w:r w:rsidRPr="001E2FAE">
        <w:rPr>
          <w:rFonts w:ascii="Times New Roman" w:hAnsi="Times New Roman" w:cs="Times New Roman"/>
        </w:rPr>
        <w:t xml:space="preserve">motivos. </w:t>
      </w:r>
    </w:p>
    <w:p w14:paraId="1A1447A5" w14:textId="6251D6F4" w:rsidR="006B44A3" w:rsidRPr="001E2FAE" w:rsidRDefault="006B44A3" w:rsidP="006B44A3">
      <w:pPr>
        <w:spacing w:line="240" w:lineRule="auto"/>
        <w:jc w:val="both"/>
        <w:rPr>
          <w:rFonts w:ascii="Times New Roman" w:hAnsi="Times New Roman" w:cs="Times New Roman"/>
          <w:color w:val="9900FF"/>
        </w:rPr>
      </w:pPr>
      <w:r w:rsidRPr="001E2FAE">
        <w:rPr>
          <w:rFonts w:ascii="Times New Roman" w:hAnsi="Times New Roman" w:cs="Times New Roman"/>
        </w:rPr>
        <w:t xml:space="preserve">En primer lugar, </w:t>
      </w:r>
      <w:r>
        <w:rPr>
          <w:rFonts w:ascii="Times New Roman" w:hAnsi="Times New Roman" w:cs="Times New Roman"/>
        </w:rPr>
        <w:t xml:space="preserve">agregamos </w:t>
      </w:r>
      <w:r w:rsidRPr="001E2FAE">
        <w:rPr>
          <w:rFonts w:ascii="Times New Roman" w:hAnsi="Times New Roman" w:cs="Times New Roman"/>
        </w:rPr>
        <w:t>la opción “la universidad me queda lejos / el viaje es muy largo”, resumido en los gráficos que aquí incluimos como distancia</w:t>
      </w:r>
      <w:proofErr w:type="gramStart"/>
      <w:r>
        <w:rPr>
          <w:rFonts w:ascii="Times New Roman" w:hAnsi="Times New Roman" w:cs="Times New Roman"/>
        </w:rPr>
        <w:t xml:space="preserve">. </w:t>
      </w:r>
      <w:proofErr w:type="gramEnd"/>
      <w:r>
        <w:rPr>
          <w:rFonts w:ascii="Times New Roman" w:hAnsi="Times New Roman" w:cs="Times New Roman"/>
        </w:rPr>
        <w:t>L</w:t>
      </w:r>
      <w:r w:rsidRPr="001E2FAE">
        <w:rPr>
          <w:rFonts w:ascii="Times New Roman" w:hAnsi="Times New Roman" w:cs="Times New Roman"/>
        </w:rPr>
        <w:t xml:space="preserve">a UNAJ se concibe como una oferta de proximidad y una universidad “vecina” </w:t>
      </w:r>
      <w:r w:rsidRPr="001E2FAE">
        <w:rPr>
          <w:rFonts w:ascii="Times New Roman" w:hAnsi="Times New Roman" w:cs="Times New Roman"/>
        </w:rPr>
        <w:fldChar w:fldCharType="begin"/>
      </w:r>
      <w:r w:rsidRPr="001E2FAE">
        <w:rPr>
          <w:rFonts w:ascii="Times New Roman" w:hAnsi="Times New Roman" w:cs="Times New Roman"/>
        </w:rPr>
        <w:instrText xml:space="preserve"> ADDIN ZOTERO_ITEM CSL_CITATION {"citationID":"a5MkWEaL","properties":{"unsorted":false,"formattedCitation":"(P\\uc0\\u233{}rez Rasetti, 2012)","plainCitation":"(Pérez Rasetti, 2012)","noteIndex":0},"citationItems":[{"id":327,"uris":["http://zotero.org/users/3485131/items/IFHDY2HZ"],"itemData":{"id":327,"type":"article-journal","container-title":"La política universitaria de los gobiernos Kirchner: continuidades, rupturas, complejidades. Chiroleu, A., Marquina, M. y Rinesi, E. comp., Los Polvorines, Universidad Nacional de General Sarmiento","page":"119 - 152","source":"Google Scholar","title":"Tiempos interesantes: complejidades, contradicciones e incertidumbres de la política universitaria actual","title-short":"Tiempos interesantes","author":[{"family":"Pérez Rasetti","given":"Carlos"}],"issued":{"date-parts":[["2012"]]}}}],"schema":"https://github.com/citation-style-language/schema/raw/master/csl-citation.json"} </w:instrText>
      </w:r>
      <w:r w:rsidRPr="001E2FAE">
        <w:rPr>
          <w:rFonts w:ascii="Times New Roman" w:hAnsi="Times New Roman" w:cs="Times New Roman"/>
        </w:rPr>
        <w:fldChar w:fldCharType="separate"/>
      </w:r>
      <w:r w:rsidRPr="001E2FAE">
        <w:rPr>
          <w:rFonts w:ascii="Times New Roman" w:hAnsi="Times New Roman" w:cs="Times New Roman"/>
        </w:rPr>
        <w:t xml:space="preserve">(Pérez </w:t>
      </w:r>
      <w:proofErr w:type="spellStart"/>
      <w:r w:rsidRPr="001E2FAE">
        <w:rPr>
          <w:rFonts w:ascii="Times New Roman" w:hAnsi="Times New Roman" w:cs="Times New Roman"/>
        </w:rPr>
        <w:t>Rasetti</w:t>
      </w:r>
      <w:proofErr w:type="spellEnd"/>
      <w:r w:rsidRPr="001E2FAE">
        <w:rPr>
          <w:rFonts w:ascii="Times New Roman" w:hAnsi="Times New Roman" w:cs="Times New Roman"/>
        </w:rPr>
        <w:t>, 2012)</w:t>
      </w:r>
      <w:r w:rsidRPr="001E2FAE">
        <w:rPr>
          <w:rFonts w:ascii="Times New Roman" w:hAnsi="Times New Roman" w:cs="Times New Roman"/>
        </w:rPr>
        <w:fldChar w:fldCharType="end"/>
      </w:r>
      <w:r w:rsidRPr="001E2FAE">
        <w:rPr>
          <w:rFonts w:ascii="Times New Roman" w:hAnsi="Times New Roman" w:cs="Times New Roman"/>
        </w:rPr>
        <w:t xml:space="preserve">, este </w:t>
      </w:r>
      <w:r w:rsidRPr="001E2FAE">
        <w:rPr>
          <w:rFonts w:ascii="Times New Roman" w:hAnsi="Times New Roman" w:cs="Times New Roman"/>
        </w:rPr>
        <w:lastRenderedPageBreak/>
        <w:t>aspecto no había sido considerado como una variable relevante para el análisis en 2023. Sin embargo, los datos muestran que, aun cuando la universidad se encuentra emplazada en la región, para algunos estudiantes el tiempo de traslado continúa representando una dificultad significativa.</w:t>
      </w:r>
    </w:p>
    <w:p w14:paraId="170D43F5" w14:textId="77777777" w:rsidR="006B44A3" w:rsidRPr="001E2FAE" w:rsidRDefault="006B44A3" w:rsidP="006B44A3">
      <w:pPr>
        <w:spacing w:line="240" w:lineRule="auto"/>
        <w:jc w:val="both"/>
        <w:rPr>
          <w:rFonts w:ascii="Times New Roman" w:hAnsi="Times New Roman" w:cs="Times New Roman"/>
          <w:color w:val="9900FF"/>
        </w:rPr>
      </w:pPr>
      <w:r w:rsidRPr="001E2FAE">
        <w:rPr>
          <w:rFonts w:ascii="Times New Roman" w:hAnsi="Times New Roman" w:cs="Times New Roman"/>
        </w:rPr>
        <w:t>El segundo motivo incorporado corresponde a “embarazo (propio o de la pareja) / nacimiento de hijo/a”. En el relevamiento de 2023, esta situación se encontraba subsumida dentro de la categoría de salud; sin embargo, para este análisis se optó por desagregarla y constituir una categoría específica, lo que permite una mayor precisión en la lectura de los datos.</w:t>
      </w:r>
    </w:p>
    <w:p w14:paraId="3A3A0556" w14:textId="72F4DEA0" w:rsidR="006B44A3" w:rsidRPr="001E2FAE" w:rsidRDefault="006B44A3" w:rsidP="006B44A3">
      <w:pPr>
        <w:spacing w:line="240" w:lineRule="auto"/>
        <w:jc w:val="both"/>
        <w:rPr>
          <w:rFonts w:ascii="Times New Roman" w:hAnsi="Times New Roman" w:cs="Times New Roman"/>
          <w:iCs/>
        </w:rPr>
      </w:pPr>
      <w:r w:rsidRPr="001E2FAE">
        <w:rPr>
          <w:rFonts w:ascii="Times New Roman" w:hAnsi="Times New Roman" w:cs="Times New Roman"/>
        </w:rPr>
        <w:t>En tanto la decisión de dejar una materia puede ser multicausal, se optó por dar la posibilidad de marcar más de motivo de discontinuidad, convirtiendo a esta pregunta en una variable de respuesta múltiple. A partir de esta posibilidad de marcar una opción o más relevamos un total de 2814 motivos. Al respecto, el 48,5% de las personas indicó que la decisión de dejar la materia en cuestión se debe solamente a un motivo, el 28% a dos y el 23,5% restante a tres o más.</w:t>
      </w:r>
    </w:p>
    <w:p w14:paraId="70E1035B" w14:textId="6211A440" w:rsidR="00F84B60" w:rsidRPr="001E2FAE" w:rsidRDefault="001E2FAE" w:rsidP="006B44A3">
      <w:pPr>
        <w:spacing w:line="240" w:lineRule="auto"/>
        <w:jc w:val="both"/>
        <w:rPr>
          <w:rFonts w:ascii="Times New Roman" w:hAnsi="Times New Roman" w:cs="Times New Roman"/>
          <w:b/>
          <w:bCs/>
        </w:rPr>
      </w:pPr>
      <w:r>
        <w:rPr>
          <w:rFonts w:ascii="Times New Roman" w:hAnsi="Times New Roman" w:cs="Times New Roman"/>
          <w:b/>
          <w:bCs/>
        </w:rPr>
        <w:t>Caracterización de l</w:t>
      </w:r>
      <w:r w:rsidR="001123F7" w:rsidRPr="001E2FAE">
        <w:rPr>
          <w:rFonts w:ascii="Times New Roman" w:hAnsi="Times New Roman" w:cs="Times New Roman"/>
          <w:b/>
          <w:bCs/>
        </w:rPr>
        <w:t>a muestra obtenida</w:t>
      </w:r>
    </w:p>
    <w:p w14:paraId="65C8AE1D" w14:textId="67078A98" w:rsidR="001123F7" w:rsidRPr="001E2FAE" w:rsidRDefault="001123F7" w:rsidP="001E2FAE">
      <w:pPr>
        <w:pStyle w:val="Prrafodelista"/>
        <w:numPr>
          <w:ilvl w:val="0"/>
          <w:numId w:val="1"/>
        </w:numPr>
        <w:spacing w:after="200" w:line="240" w:lineRule="auto"/>
        <w:jc w:val="both"/>
        <w:rPr>
          <w:rFonts w:ascii="Times New Roman" w:hAnsi="Times New Roman" w:cs="Times New Roman"/>
        </w:rPr>
      </w:pPr>
      <w:r w:rsidRPr="001E2FAE">
        <w:rPr>
          <w:rFonts w:ascii="Times New Roman" w:hAnsi="Times New Roman" w:cs="Times New Roman"/>
        </w:rPr>
        <w:t>El 58,3% cursa una carrera en el Instituto de Ciencias de la Salud (ICS), el 17,5% en el Instituto de Ciencias Sociales y Administración (</w:t>
      </w:r>
      <w:proofErr w:type="spellStart"/>
      <w:r w:rsidRPr="001E2FAE">
        <w:rPr>
          <w:rFonts w:ascii="Times New Roman" w:hAnsi="Times New Roman" w:cs="Times New Roman"/>
        </w:rPr>
        <w:t>ICSyA</w:t>
      </w:r>
      <w:proofErr w:type="spellEnd"/>
      <w:r w:rsidRPr="001E2FAE">
        <w:rPr>
          <w:rFonts w:ascii="Times New Roman" w:hAnsi="Times New Roman" w:cs="Times New Roman"/>
        </w:rPr>
        <w:t>) y el 24,3% en el de Ingeniería y Agronomía (</w:t>
      </w:r>
      <w:proofErr w:type="spellStart"/>
      <w:r w:rsidRPr="001E2FAE">
        <w:rPr>
          <w:rFonts w:ascii="Times New Roman" w:hAnsi="Times New Roman" w:cs="Times New Roman"/>
        </w:rPr>
        <w:t>IIyA</w:t>
      </w:r>
      <w:proofErr w:type="spellEnd"/>
      <w:r w:rsidRPr="001E2FAE">
        <w:rPr>
          <w:rFonts w:ascii="Times New Roman" w:hAnsi="Times New Roman" w:cs="Times New Roman"/>
        </w:rPr>
        <w:t xml:space="preserve">). </w:t>
      </w:r>
    </w:p>
    <w:p w14:paraId="275CE1B5" w14:textId="6E48F75D" w:rsidR="0036247D" w:rsidRPr="001E2FAE" w:rsidRDefault="0036247D" w:rsidP="001E2FAE">
      <w:pPr>
        <w:pStyle w:val="Prrafodelista"/>
        <w:numPr>
          <w:ilvl w:val="0"/>
          <w:numId w:val="1"/>
        </w:numPr>
        <w:spacing w:after="200" w:line="240" w:lineRule="auto"/>
        <w:jc w:val="both"/>
        <w:rPr>
          <w:rFonts w:ascii="Times New Roman" w:hAnsi="Times New Roman" w:cs="Times New Roman"/>
        </w:rPr>
      </w:pPr>
      <w:r w:rsidRPr="001E2FAE">
        <w:rPr>
          <w:rFonts w:ascii="Times New Roman" w:hAnsi="Times New Roman" w:cs="Times New Roman"/>
        </w:rPr>
        <w:t xml:space="preserve">Casi 1 cada 2 estudiantes de la muestra empezaron estudiar en UNAJ en 2025, luego el 21% lo hizo en 2024, 13% en 2023 y el 18,4% restante antes de 2023. </w:t>
      </w:r>
    </w:p>
    <w:p w14:paraId="5ECC7A6F" w14:textId="77777777" w:rsidR="001123F7" w:rsidRPr="001E2FAE" w:rsidRDefault="001123F7" w:rsidP="001E2FAE">
      <w:pPr>
        <w:pStyle w:val="Prrafodelista"/>
        <w:numPr>
          <w:ilvl w:val="0"/>
          <w:numId w:val="1"/>
        </w:numPr>
        <w:spacing w:after="200" w:line="240" w:lineRule="auto"/>
        <w:jc w:val="both"/>
        <w:rPr>
          <w:rFonts w:ascii="Times New Roman" w:hAnsi="Times New Roman" w:cs="Times New Roman"/>
        </w:rPr>
      </w:pPr>
      <w:r w:rsidRPr="001E2FAE">
        <w:rPr>
          <w:rFonts w:ascii="Times New Roman" w:hAnsi="Times New Roman" w:cs="Times New Roman"/>
        </w:rPr>
        <w:t>El 71,2% de las personas que respondieron la encuesta se identifican como mujeres, el 28,2% como varones y el 0,5% restante con otra identidad de género</w:t>
      </w:r>
      <w:r w:rsidRPr="001E2FAE">
        <w:rPr>
          <w:rStyle w:val="Refdenotaalpie"/>
          <w:rFonts w:ascii="Times New Roman" w:hAnsi="Times New Roman" w:cs="Times New Roman"/>
        </w:rPr>
        <w:footnoteReference w:id="6"/>
      </w:r>
      <w:r w:rsidRPr="001E2FAE">
        <w:rPr>
          <w:rFonts w:ascii="Times New Roman" w:hAnsi="Times New Roman" w:cs="Times New Roman"/>
        </w:rPr>
        <w:t xml:space="preserve">. </w:t>
      </w:r>
    </w:p>
    <w:p w14:paraId="6581D461" w14:textId="77777777" w:rsidR="001123F7" w:rsidRPr="001E2FAE" w:rsidRDefault="001123F7" w:rsidP="001E2FAE">
      <w:pPr>
        <w:pStyle w:val="Prrafodelista"/>
        <w:numPr>
          <w:ilvl w:val="0"/>
          <w:numId w:val="1"/>
        </w:numPr>
        <w:spacing w:after="200" w:line="240" w:lineRule="auto"/>
        <w:jc w:val="both"/>
        <w:rPr>
          <w:rFonts w:ascii="Times New Roman" w:hAnsi="Times New Roman" w:cs="Times New Roman"/>
        </w:rPr>
      </w:pPr>
      <w:r w:rsidRPr="001E2FAE">
        <w:rPr>
          <w:rFonts w:ascii="Times New Roman" w:hAnsi="Times New Roman" w:cs="Times New Roman"/>
        </w:rPr>
        <w:t xml:space="preserve">El 11% tenía 19 años o menos, el 30,4% entre 20 y 24 años, el 17,8% entre 25 y 29 años, el 22,6% entre 30 y 39 años y 18,2 40 años o más. </w:t>
      </w:r>
    </w:p>
    <w:p w14:paraId="40BD8832" w14:textId="77777777" w:rsidR="001123F7" w:rsidRPr="001E2FAE" w:rsidRDefault="001123F7" w:rsidP="001E2FAE">
      <w:pPr>
        <w:pStyle w:val="Prrafodelista"/>
        <w:numPr>
          <w:ilvl w:val="0"/>
          <w:numId w:val="1"/>
        </w:numPr>
        <w:spacing w:after="200" w:line="240" w:lineRule="auto"/>
        <w:jc w:val="both"/>
        <w:rPr>
          <w:rFonts w:ascii="Times New Roman" w:hAnsi="Times New Roman" w:cs="Times New Roman"/>
        </w:rPr>
      </w:pPr>
      <w:r w:rsidRPr="001E2FAE">
        <w:rPr>
          <w:rFonts w:ascii="Times New Roman" w:hAnsi="Times New Roman" w:cs="Times New Roman"/>
        </w:rPr>
        <w:t>Al consultarles por el momento del cuatrimestre en el que dejaron las respectivas materias, el 51,7% indicó que lo hizo al inicio del cuatrimestre, es decir que no rindieron el primer parcial, un 32,2% a mitad de cuatrimestre, luego del primer parcial y un 15,5% hacia el final del mismo.</w:t>
      </w:r>
    </w:p>
    <w:p w14:paraId="421EC2C7" w14:textId="77777777" w:rsidR="001123F7" w:rsidRPr="001E2FAE" w:rsidRDefault="001123F7" w:rsidP="001E2FAE">
      <w:pPr>
        <w:pStyle w:val="Prrafodelista"/>
        <w:numPr>
          <w:ilvl w:val="0"/>
          <w:numId w:val="1"/>
        </w:numPr>
        <w:spacing w:after="200" w:line="240" w:lineRule="auto"/>
        <w:jc w:val="both"/>
        <w:rPr>
          <w:rFonts w:ascii="Times New Roman" w:hAnsi="Times New Roman" w:cs="Times New Roman"/>
        </w:rPr>
      </w:pPr>
      <w:r w:rsidRPr="001E2FAE">
        <w:rPr>
          <w:rFonts w:ascii="Times New Roman" w:hAnsi="Times New Roman" w:cs="Times New Roman"/>
        </w:rPr>
        <w:t>El 60,3% de las personas trabajaba a cambio de algún ingreso, el 31,2% refirió que no tenía trabajo y se encontraba buscando trabajo y el 8,5% no trabaja ni buscaba trabajo.</w:t>
      </w:r>
    </w:p>
    <w:p w14:paraId="31231340" w14:textId="566006CD" w:rsidR="001123F7" w:rsidRPr="001E2FAE" w:rsidRDefault="001123F7" w:rsidP="001E2FAE">
      <w:pPr>
        <w:pStyle w:val="Prrafodelista"/>
        <w:numPr>
          <w:ilvl w:val="0"/>
          <w:numId w:val="1"/>
        </w:numPr>
        <w:spacing w:after="200" w:line="240" w:lineRule="auto"/>
        <w:jc w:val="both"/>
        <w:rPr>
          <w:rFonts w:ascii="Times New Roman" w:hAnsi="Times New Roman" w:cs="Times New Roman"/>
        </w:rPr>
      </w:pPr>
      <w:r w:rsidRPr="001E2FAE">
        <w:rPr>
          <w:rFonts w:ascii="Times New Roman" w:hAnsi="Times New Roman" w:cs="Times New Roman"/>
        </w:rPr>
        <w:t>Al momento de dejar la materia, el 60,7% indicó que no cuidaba</w:t>
      </w:r>
      <w:r w:rsidRPr="001E2FAE">
        <w:rPr>
          <w:rStyle w:val="Refdenotaalpie"/>
          <w:rFonts w:ascii="Times New Roman" w:hAnsi="Times New Roman" w:cs="Times New Roman"/>
        </w:rPr>
        <w:footnoteReference w:id="7"/>
      </w:r>
      <w:r w:rsidRPr="001E2FAE">
        <w:rPr>
          <w:rFonts w:ascii="Times New Roman" w:hAnsi="Times New Roman" w:cs="Times New Roman"/>
        </w:rPr>
        <w:t xml:space="preserve"> a ninguna persona, el 28,2% sostuvo que cuidaba a niños/as de 0 a 14 años y el 11,1% a personas de 15 años y más que necesitan cuidado. </w:t>
      </w:r>
    </w:p>
    <w:p w14:paraId="2A2E031C" w14:textId="5DEFFFE7" w:rsidR="00361935" w:rsidRPr="001E2FAE" w:rsidRDefault="00361935" w:rsidP="001E2FAE">
      <w:pPr>
        <w:spacing w:line="240" w:lineRule="auto"/>
        <w:jc w:val="both"/>
        <w:rPr>
          <w:rFonts w:ascii="Times New Roman" w:hAnsi="Times New Roman" w:cs="Times New Roman"/>
        </w:rPr>
      </w:pPr>
      <w:r w:rsidRPr="001E2FAE">
        <w:rPr>
          <w:rFonts w:ascii="Times New Roman" w:hAnsi="Times New Roman" w:cs="Times New Roman"/>
        </w:rPr>
        <w:t xml:space="preserve"> </w:t>
      </w:r>
    </w:p>
    <w:p w14:paraId="511F977D" w14:textId="55E7370A" w:rsidR="00736C0C" w:rsidRPr="00736C0C" w:rsidRDefault="00736C0C" w:rsidP="001E2FAE">
      <w:pPr>
        <w:spacing w:before="100" w:beforeAutospacing="1" w:after="100" w:afterAutospacing="1" w:line="240" w:lineRule="auto"/>
        <w:jc w:val="both"/>
        <w:rPr>
          <w:rFonts w:ascii="Times New Roman" w:eastAsia="Times New Roman" w:hAnsi="Times New Roman" w:cs="Times New Roman"/>
          <w:b/>
          <w:kern w:val="0"/>
          <w:lang w:val="es-AR" w:eastAsia="es-AR"/>
          <w14:ligatures w14:val="none"/>
        </w:rPr>
      </w:pPr>
      <w:r w:rsidRPr="00736C0C">
        <w:rPr>
          <w:rFonts w:ascii="Times New Roman" w:eastAsia="Times New Roman" w:hAnsi="Times New Roman" w:cs="Times New Roman"/>
          <w:b/>
          <w:kern w:val="0"/>
          <w:lang w:val="es-AR" w:eastAsia="es-AR"/>
          <w14:ligatures w14:val="none"/>
        </w:rPr>
        <w:lastRenderedPageBreak/>
        <w:t>Análisis de los motivos de discontinuidad de cursadas</w:t>
      </w:r>
    </w:p>
    <w:p w14:paraId="32FFC7F7" w14:textId="6455F833" w:rsidR="00BA2E3E" w:rsidRPr="001E2FAE" w:rsidRDefault="00BA2E3E" w:rsidP="001E2FAE">
      <w:pPr>
        <w:spacing w:before="100" w:beforeAutospacing="1" w:after="100" w:afterAutospacing="1" w:line="240" w:lineRule="auto"/>
        <w:jc w:val="both"/>
        <w:rPr>
          <w:rFonts w:ascii="Times New Roman" w:eastAsia="Times New Roman" w:hAnsi="Times New Roman" w:cs="Times New Roman"/>
          <w:kern w:val="0"/>
          <w:lang w:val="es-AR" w:eastAsia="es-AR"/>
          <w14:ligatures w14:val="none"/>
        </w:rPr>
      </w:pPr>
      <w:r w:rsidRPr="00BA2E3E">
        <w:rPr>
          <w:rFonts w:ascii="Times New Roman" w:eastAsia="Times New Roman" w:hAnsi="Times New Roman" w:cs="Times New Roman"/>
          <w:kern w:val="0"/>
          <w:lang w:val="es-AR" w:eastAsia="es-AR"/>
          <w14:ligatures w14:val="none"/>
        </w:rPr>
        <w:t>Un aspecto relevante para el análisis de las trayectorias educativas refiere al momento del cuatrimestre en que las</w:t>
      </w:r>
      <w:r w:rsidRPr="001E2FAE">
        <w:rPr>
          <w:rFonts w:ascii="Times New Roman" w:eastAsia="Times New Roman" w:hAnsi="Times New Roman" w:cs="Times New Roman"/>
          <w:kern w:val="0"/>
          <w:lang w:val="es-AR" w:eastAsia="es-AR"/>
          <w14:ligatures w14:val="none"/>
        </w:rPr>
        <w:t xml:space="preserve">/os </w:t>
      </w:r>
      <w:r w:rsidRPr="00BA2E3E">
        <w:rPr>
          <w:rFonts w:ascii="Times New Roman" w:eastAsia="Times New Roman" w:hAnsi="Times New Roman" w:cs="Times New Roman"/>
          <w:kern w:val="0"/>
          <w:lang w:val="es-AR" w:eastAsia="es-AR"/>
          <w14:ligatures w14:val="none"/>
        </w:rPr>
        <w:t>estudiantes deciden discontinuar la cursada de la materia. En este sentido, poco más de la mitad (51,7%) lo hace al inicio del cuatrimestre, es decir, antes de rendir el primer parcial. Por su parte, el 32,2% abandona la cursada a mitad del cuatrimestre, luego de haber rendido dicha instancia evaluativa, mientras que el 15,5% lo hace hacia el final del período.</w:t>
      </w:r>
    </w:p>
    <w:p w14:paraId="07C03D82" w14:textId="22374E7B" w:rsidR="00BA2E3E" w:rsidRPr="00BA2E3E" w:rsidRDefault="000B7C7F" w:rsidP="001E2FAE">
      <w:pPr>
        <w:spacing w:line="240" w:lineRule="auto"/>
        <w:jc w:val="both"/>
        <w:rPr>
          <w:rFonts w:ascii="Times New Roman" w:eastAsia="Times New Roman" w:hAnsi="Times New Roman" w:cs="Times New Roman"/>
          <w:kern w:val="0"/>
          <w:lang w:val="es-AR" w:eastAsia="es-AR"/>
          <w14:ligatures w14:val="none"/>
        </w:rPr>
      </w:pPr>
      <w:r w:rsidRPr="001E2FAE">
        <w:rPr>
          <w:rFonts w:ascii="Times New Roman" w:hAnsi="Times New Roman" w:cs="Times New Roman"/>
        </w:rPr>
        <w:t xml:space="preserve">En esta onda del relevamiento incorporamos dos preguntas que nos permitieran conocer el porcentaje de las materias que discontinuaron que proporción representa del total al que se anotaron. Así llegamos a que 1 de cada 2 dejó todas las materias a las que se anotó, el 22,1% dejó el 50% de las materias o menos y el 25,6% dejó de cursar entre el 25 y el 99%. </w:t>
      </w:r>
      <w:r w:rsidR="00BA2E3E" w:rsidRPr="00BA2E3E">
        <w:rPr>
          <w:rFonts w:ascii="Times New Roman" w:eastAsia="Times New Roman" w:hAnsi="Times New Roman" w:cs="Times New Roman"/>
          <w:kern w:val="0"/>
          <w:lang w:val="es-AR" w:eastAsia="es-AR"/>
          <w14:ligatures w14:val="none"/>
        </w:rPr>
        <w:t xml:space="preserve">Cabe señalar que el abandono en las primeras semanas es más frecuente entre quienes interrumpen la totalidad de las materias en las que se inscribieron. </w:t>
      </w:r>
      <w:bookmarkStart w:id="2" w:name="_Hlk233624170"/>
      <w:r w:rsidR="00BA2E3E" w:rsidRPr="00BA2E3E">
        <w:rPr>
          <w:rFonts w:ascii="Times New Roman" w:eastAsia="Times New Roman" w:hAnsi="Times New Roman" w:cs="Times New Roman"/>
          <w:kern w:val="0"/>
          <w:lang w:val="es-AR" w:eastAsia="es-AR"/>
          <w14:ligatures w14:val="none"/>
        </w:rPr>
        <w:t>En cambio, la discontinuidad hacia momentos más avanzados del cuatrimestre aparece asociada, en mayor medida, a situaciones de abandono parcial de la cursada.</w:t>
      </w:r>
    </w:p>
    <w:bookmarkEnd w:id="2"/>
    <w:p w14:paraId="6A2F8D93" w14:textId="77777777" w:rsidR="00701D6D" w:rsidRPr="001E2FAE" w:rsidRDefault="00701D6D" w:rsidP="001E2FAE">
      <w:pPr>
        <w:spacing w:line="240" w:lineRule="auto"/>
        <w:jc w:val="both"/>
        <w:rPr>
          <w:rFonts w:ascii="Times New Roman" w:hAnsi="Times New Roman" w:cs="Times New Roman"/>
        </w:rPr>
      </w:pPr>
      <w:r w:rsidRPr="001E2FAE">
        <w:rPr>
          <w:rFonts w:ascii="Times New Roman" w:hAnsi="Times New Roman" w:cs="Times New Roman"/>
        </w:rPr>
        <w:t xml:space="preserve">A continuación, se grafica la distribución de los motivos de discontinuidad agrupados según las categorías antes presentadas. </w:t>
      </w:r>
    </w:p>
    <w:tbl>
      <w:tblPr>
        <w:tblW w:w="8720" w:type="dxa"/>
        <w:tblInd w:w="-108" w:type="dxa"/>
        <w:tblBorders>
          <w:top w:val="single" w:sz="8" w:space="0" w:color="8064A2"/>
          <w:left w:val="single" w:sz="4" w:space="0" w:color="000000"/>
          <w:bottom w:val="single" w:sz="8" w:space="0" w:color="8064A2"/>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720"/>
      </w:tblGrid>
      <w:tr w:rsidR="00701D6D" w:rsidRPr="00736C0C" w14:paraId="52BBC101" w14:textId="77777777" w:rsidTr="0008435A">
        <w:tc>
          <w:tcPr>
            <w:tcW w:w="8720" w:type="dxa"/>
          </w:tcPr>
          <w:p w14:paraId="3D5721E2" w14:textId="77777777" w:rsidR="00701D6D" w:rsidRPr="00736C0C" w:rsidRDefault="00701D6D" w:rsidP="001E2FAE">
            <w:pPr>
              <w:spacing w:line="240" w:lineRule="auto"/>
              <w:jc w:val="both"/>
              <w:rPr>
                <w:rFonts w:ascii="Times New Roman" w:hAnsi="Times New Roman" w:cs="Times New Roman"/>
                <w:sz w:val="20"/>
                <w:szCs w:val="20"/>
              </w:rPr>
            </w:pPr>
            <w:r w:rsidRPr="00736C0C">
              <w:rPr>
                <w:rFonts w:ascii="Times New Roman" w:hAnsi="Times New Roman" w:cs="Times New Roman"/>
                <w:b/>
                <w:color w:val="000000"/>
                <w:sz w:val="20"/>
                <w:szCs w:val="20"/>
              </w:rPr>
              <w:t>Gráfico 1:</w:t>
            </w:r>
            <w:r w:rsidRPr="00736C0C">
              <w:rPr>
                <w:rFonts w:ascii="Times New Roman" w:hAnsi="Times New Roman" w:cs="Times New Roman"/>
                <w:color w:val="000000"/>
                <w:sz w:val="20"/>
                <w:szCs w:val="20"/>
              </w:rPr>
              <w:t xml:space="preserve"> Motivos de discontinuidad a materias de Ciclo Inicial. 2025 1C.</w:t>
            </w:r>
          </w:p>
        </w:tc>
      </w:tr>
      <w:tr w:rsidR="00701D6D" w:rsidRPr="001E2FAE" w14:paraId="6EE3237E" w14:textId="77777777" w:rsidTr="0008435A">
        <w:tblPrEx>
          <w:tblCellMar>
            <w:left w:w="70" w:type="dxa"/>
            <w:right w:w="70" w:type="dxa"/>
          </w:tblCellMar>
        </w:tblPrEx>
        <w:tc>
          <w:tcPr>
            <w:tcW w:w="8720" w:type="dxa"/>
          </w:tcPr>
          <w:p w14:paraId="07E81E68" w14:textId="77777777" w:rsidR="00701D6D" w:rsidRPr="001E2FAE" w:rsidRDefault="00701D6D" w:rsidP="001E2FAE">
            <w:pPr>
              <w:spacing w:line="240" w:lineRule="auto"/>
              <w:jc w:val="both"/>
              <w:rPr>
                <w:rFonts w:ascii="Times New Roman" w:hAnsi="Times New Roman" w:cs="Times New Roman"/>
              </w:rPr>
            </w:pPr>
            <w:r w:rsidRPr="001E2FAE">
              <w:rPr>
                <w:rFonts w:ascii="Times New Roman" w:hAnsi="Times New Roman" w:cs="Times New Roman"/>
                <w:noProof/>
              </w:rPr>
              <w:drawing>
                <wp:inline distT="0" distB="0" distL="0" distR="0" wp14:anchorId="032467EE" wp14:editId="26B3C68A">
                  <wp:extent cx="5511683" cy="32385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55625" cy="3264319"/>
                          </a:xfrm>
                          <a:prstGeom prst="rect">
                            <a:avLst/>
                          </a:prstGeom>
                          <a:noFill/>
                        </pic:spPr>
                      </pic:pic>
                    </a:graphicData>
                  </a:graphic>
                </wp:inline>
              </w:drawing>
            </w:r>
          </w:p>
        </w:tc>
      </w:tr>
      <w:tr w:rsidR="00701D6D" w:rsidRPr="00736C0C" w14:paraId="0B2770F0" w14:textId="77777777" w:rsidTr="0008435A">
        <w:tc>
          <w:tcPr>
            <w:tcW w:w="8720" w:type="dxa"/>
          </w:tcPr>
          <w:p w14:paraId="1AD57CF5" w14:textId="77777777" w:rsidR="00701D6D" w:rsidRPr="00736C0C" w:rsidRDefault="00701D6D" w:rsidP="001E2FAE">
            <w:pPr>
              <w:spacing w:line="240" w:lineRule="auto"/>
              <w:jc w:val="both"/>
              <w:rPr>
                <w:rFonts w:ascii="Times New Roman" w:hAnsi="Times New Roman" w:cs="Times New Roman"/>
                <w:sz w:val="20"/>
                <w:szCs w:val="20"/>
              </w:rPr>
            </w:pPr>
            <w:r w:rsidRPr="00736C0C">
              <w:rPr>
                <w:rFonts w:ascii="Times New Roman" w:hAnsi="Times New Roman" w:cs="Times New Roman"/>
                <w:color w:val="000000"/>
                <w:sz w:val="20"/>
                <w:szCs w:val="20"/>
              </w:rPr>
              <w:t>Fuente: Encuesta a estudiantes que discontinuaron alguna materia del CI. N: 2814.</w:t>
            </w:r>
          </w:p>
        </w:tc>
      </w:tr>
    </w:tbl>
    <w:p w14:paraId="4972C2D7" w14:textId="77777777" w:rsidR="000B7C7F" w:rsidRPr="001E2FAE" w:rsidRDefault="000B7C7F" w:rsidP="001E2FAE">
      <w:pPr>
        <w:spacing w:line="240" w:lineRule="auto"/>
        <w:jc w:val="both"/>
        <w:rPr>
          <w:rFonts w:ascii="Times New Roman" w:hAnsi="Times New Roman" w:cs="Times New Roman"/>
        </w:rPr>
      </w:pPr>
    </w:p>
    <w:p w14:paraId="7300AD5C" w14:textId="7F70CAC2" w:rsidR="000B7C7F" w:rsidRPr="001E2FAE" w:rsidRDefault="000B7C7F" w:rsidP="001E2FAE">
      <w:pPr>
        <w:spacing w:line="240" w:lineRule="auto"/>
        <w:jc w:val="both"/>
        <w:rPr>
          <w:rFonts w:ascii="Times New Roman" w:hAnsi="Times New Roman" w:cs="Times New Roman"/>
        </w:rPr>
      </w:pPr>
      <w:r w:rsidRPr="001E2FAE">
        <w:rPr>
          <w:rFonts w:ascii="Times New Roman" w:hAnsi="Times New Roman" w:cs="Times New Roman"/>
        </w:rPr>
        <w:lastRenderedPageBreak/>
        <w:t>Dentro de la dimensión “Discontinuidad de la carrera”, se registran como motivos específicos el haber abandonado la carrera (4,4%) y el haber realizado un cambio de carrera (2,5%). Estos datos permiten identificar que, dentro de la muestra analizada, quienes efectivamente discontinuaron sus estudios universitarios corresponden a estos grupos: 67 personas en el caso de abandono de la carrera y 38 en el caso de cambio de carrera. En contraste, el resto de las</w:t>
      </w:r>
      <w:r w:rsidR="00736C0C">
        <w:rPr>
          <w:rFonts w:ascii="Times New Roman" w:hAnsi="Times New Roman" w:cs="Times New Roman"/>
        </w:rPr>
        <w:t xml:space="preserve">/os </w:t>
      </w:r>
      <w:r w:rsidRPr="001E2FAE">
        <w:rPr>
          <w:rFonts w:ascii="Times New Roman" w:hAnsi="Times New Roman" w:cs="Times New Roman"/>
        </w:rPr>
        <w:t>estudiantes declara continuar con la misma carrera, aunque cursando una menor cantidad de materias.</w:t>
      </w:r>
    </w:p>
    <w:p w14:paraId="1398F917" w14:textId="1831800B" w:rsidR="00701D6D" w:rsidRPr="001E2FAE" w:rsidRDefault="000B7C7F" w:rsidP="001E2FAE">
      <w:pPr>
        <w:spacing w:line="240" w:lineRule="auto"/>
        <w:jc w:val="both"/>
        <w:rPr>
          <w:rFonts w:ascii="Times New Roman" w:hAnsi="Times New Roman" w:cs="Times New Roman"/>
        </w:rPr>
      </w:pPr>
      <w:r w:rsidRPr="001E2FAE">
        <w:rPr>
          <w:rFonts w:ascii="Times New Roman" w:hAnsi="Times New Roman" w:cs="Times New Roman"/>
        </w:rPr>
        <w:t>A</w:t>
      </w:r>
      <w:r w:rsidR="00701D6D" w:rsidRPr="001E2FAE">
        <w:rPr>
          <w:rFonts w:ascii="Times New Roman" w:hAnsi="Times New Roman" w:cs="Times New Roman"/>
        </w:rPr>
        <w:t xml:space="preserve">l analizar todos los motivos mencionados por los/as estudiantes encuestados/as, encontramos que el grupo de motivos definidos como exógenos a la universidad son los que presentan mayores porcentajes. Al respecto, las complicaciones en la situación laboral se ubican como el motivo que refiere mayor porcentaje de las respuestas (37,8%). Le sigue, con una diferencia de 8 puntos porcentuales (PP), las dificultades familiares (29,2%) y luego los problemas de salud (25,5%).  Dentro de este mismo grupo de motivos se encuentran los factores económicos que engloban el 13,5% de los motivos señalados. </w:t>
      </w:r>
    </w:p>
    <w:p w14:paraId="6E9899B4" w14:textId="77777777" w:rsidR="00701D6D" w:rsidRPr="001E2FAE" w:rsidRDefault="00701D6D" w:rsidP="001E2FAE">
      <w:pPr>
        <w:spacing w:line="240" w:lineRule="auto"/>
        <w:jc w:val="both"/>
        <w:rPr>
          <w:rFonts w:ascii="Times New Roman" w:hAnsi="Times New Roman" w:cs="Times New Roman"/>
        </w:rPr>
      </w:pPr>
      <w:r w:rsidRPr="001E2FAE">
        <w:rPr>
          <w:rFonts w:ascii="Times New Roman" w:hAnsi="Times New Roman" w:cs="Times New Roman"/>
        </w:rPr>
        <w:t xml:space="preserve">En lo que refiere a los motivos endógenos de la universidad, en particular a los contenidos y prácticas de enseñanza, el que refiere una mayor cantidad de menciones es “’dificultades para comprender los contenidos y/o la evaluación de la materia” (20,2%). Los otros dos motivos endógenos pertenecientes a esta categoría agruparon un 12,2% “Por cuestiones referidas a cómo enseña y/o la relación con el/la profesora” y un 10,7% “Me había anotado a muchas materias y no llegaba con todas”. </w:t>
      </w:r>
    </w:p>
    <w:p w14:paraId="6F4D90FD" w14:textId="77777777" w:rsidR="00701D6D" w:rsidRPr="001E2FAE" w:rsidRDefault="00701D6D" w:rsidP="001E2FAE">
      <w:pPr>
        <w:spacing w:line="240" w:lineRule="auto"/>
        <w:jc w:val="both"/>
        <w:rPr>
          <w:rFonts w:ascii="Times New Roman" w:hAnsi="Times New Roman" w:cs="Times New Roman"/>
        </w:rPr>
      </w:pPr>
      <w:r w:rsidRPr="001E2FAE">
        <w:rPr>
          <w:rFonts w:ascii="Times New Roman" w:hAnsi="Times New Roman" w:cs="Times New Roman"/>
        </w:rPr>
        <w:t xml:space="preserve">Entre los motivos identificados como endógenos referidos a la modalidad integrada las dificultades para combinar presencialidad y virtualidad es el que obtuvo un mayor porcentaje de menciones (10,1%). Cabe destacar que solamente el 5,7% de las respuestas de los/as estudiantes encuestados/as mencionaron a la falta de herramientas tecnológicas para cursar como motivo de discontinuidad de las materias del CI. </w:t>
      </w:r>
    </w:p>
    <w:p w14:paraId="23FC7D17" w14:textId="77777777" w:rsidR="000B7C7F" w:rsidRPr="001E2FAE" w:rsidRDefault="000B7C7F" w:rsidP="001E2FAE">
      <w:pPr>
        <w:spacing w:line="240" w:lineRule="auto"/>
        <w:jc w:val="both"/>
        <w:rPr>
          <w:rFonts w:ascii="Times New Roman" w:hAnsi="Times New Roman" w:cs="Times New Roman"/>
        </w:rPr>
      </w:pPr>
      <w:r w:rsidRPr="001E2FAE">
        <w:rPr>
          <w:rFonts w:ascii="Times New Roman" w:hAnsi="Times New Roman" w:cs="Times New Roman"/>
        </w:rPr>
        <w:t>Con el objetivo de analizar posibles diferencias en los motivos de discontinuidad de la cursada entre quienes se ajustan en mayor medida a las trayectorias teóricas y las trayectorias reales (Terigi, 2007), se realizó una comparación según tramos de edad de las personas encuestadas. Para ello, se establecieron dos grupos: uno integrado por estudiantes de 24 años o menos y otro por quienes tienen 25 años o más. Del total de respuestas obtenidas (n=1558), el 41,4% (645 casos) corresponde al primer grupo, mientras que el 58,6% (913 casos) se ubica en el segundo.</w:t>
      </w:r>
    </w:p>
    <w:p w14:paraId="2037D6AB" w14:textId="25CF7D09" w:rsidR="00701D6D" w:rsidRPr="001E2FAE" w:rsidRDefault="006C2BFF" w:rsidP="001E2FAE">
      <w:pPr>
        <w:spacing w:line="240" w:lineRule="auto"/>
        <w:jc w:val="both"/>
        <w:rPr>
          <w:rFonts w:ascii="Times New Roman" w:hAnsi="Times New Roman" w:cs="Times New Roman"/>
        </w:rPr>
      </w:pPr>
      <w:r w:rsidRPr="001E2FAE">
        <w:rPr>
          <w:rFonts w:ascii="Times New Roman" w:hAnsi="Times New Roman" w:cs="Times New Roman"/>
        </w:rPr>
        <w:t xml:space="preserve">En el gráfico que se incluye a continuación se da cuenta de esa distribución. </w:t>
      </w:r>
    </w:p>
    <w:tbl>
      <w:tblPr>
        <w:tblW w:w="8720" w:type="dxa"/>
        <w:tblInd w:w="-108" w:type="dxa"/>
        <w:tblBorders>
          <w:top w:val="single" w:sz="8" w:space="0" w:color="8064A2"/>
          <w:left w:val="single" w:sz="4" w:space="0" w:color="000000"/>
          <w:bottom w:val="single" w:sz="8" w:space="0" w:color="8064A2"/>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720"/>
      </w:tblGrid>
      <w:tr w:rsidR="001E2FAE" w:rsidRPr="00736C0C" w14:paraId="092CBF52" w14:textId="77777777" w:rsidTr="0008435A">
        <w:tc>
          <w:tcPr>
            <w:tcW w:w="8720" w:type="dxa"/>
          </w:tcPr>
          <w:p w14:paraId="43B81C91" w14:textId="4C56D5CD" w:rsidR="005D57BA" w:rsidRPr="00736C0C" w:rsidRDefault="005D57BA" w:rsidP="001E2FAE">
            <w:pPr>
              <w:spacing w:line="240" w:lineRule="auto"/>
              <w:jc w:val="both"/>
              <w:rPr>
                <w:rFonts w:ascii="Times New Roman" w:hAnsi="Times New Roman" w:cs="Times New Roman"/>
                <w:sz w:val="20"/>
                <w:szCs w:val="20"/>
              </w:rPr>
            </w:pPr>
            <w:r w:rsidRPr="00736C0C">
              <w:rPr>
                <w:rFonts w:ascii="Times New Roman" w:hAnsi="Times New Roman" w:cs="Times New Roman"/>
                <w:b/>
                <w:sz w:val="20"/>
                <w:szCs w:val="20"/>
              </w:rPr>
              <w:t xml:space="preserve">Gráfico 2: </w:t>
            </w:r>
            <w:r w:rsidRPr="00736C0C">
              <w:rPr>
                <w:rFonts w:ascii="Times New Roman" w:hAnsi="Times New Roman" w:cs="Times New Roman"/>
                <w:sz w:val="20"/>
                <w:szCs w:val="20"/>
              </w:rPr>
              <w:t>Motivos de discontinuidad a materias de Ciclo Inicial según edad. 2025 1C.</w:t>
            </w:r>
          </w:p>
        </w:tc>
      </w:tr>
      <w:tr w:rsidR="001E2FAE" w:rsidRPr="001E2FAE" w14:paraId="662E8A43" w14:textId="77777777" w:rsidTr="005D57BA">
        <w:tblPrEx>
          <w:tblCellMar>
            <w:left w:w="70" w:type="dxa"/>
            <w:right w:w="70" w:type="dxa"/>
          </w:tblCellMar>
        </w:tblPrEx>
        <w:tc>
          <w:tcPr>
            <w:tcW w:w="8720" w:type="dxa"/>
          </w:tcPr>
          <w:p w14:paraId="14B45BB2" w14:textId="7A874859" w:rsidR="005D57BA" w:rsidRPr="001E2FAE" w:rsidRDefault="005D57BA" w:rsidP="001E2FAE">
            <w:pPr>
              <w:spacing w:line="240" w:lineRule="auto"/>
              <w:jc w:val="both"/>
              <w:rPr>
                <w:rFonts w:ascii="Times New Roman" w:hAnsi="Times New Roman" w:cs="Times New Roman"/>
              </w:rPr>
            </w:pPr>
            <w:r w:rsidRPr="001E2FAE">
              <w:rPr>
                <w:rFonts w:ascii="Times New Roman" w:hAnsi="Times New Roman" w:cs="Times New Roman"/>
                <w:noProof/>
              </w:rPr>
              <w:lastRenderedPageBreak/>
              <w:drawing>
                <wp:inline distT="0" distB="0" distL="0" distR="0" wp14:anchorId="32EF6AE7" wp14:editId="25E50167">
                  <wp:extent cx="5448300" cy="3274695"/>
                  <wp:effectExtent l="0" t="0" r="0" b="1905"/>
                  <wp:docPr id="1" name="Gráfico 1">
                    <a:extLst xmlns:a="http://schemas.openxmlformats.org/drawingml/2006/main">
                      <a:ext uri="{FF2B5EF4-FFF2-40B4-BE49-F238E27FC236}">
                        <a16:creationId xmlns:a16="http://schemas.microsoft.com/office/drawing/2014/main" id="{B2BC7A63-AE16-4698-A741-18382F9FC3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r>
      <w:tr w:rsidR="001E2FAE" w:rsidRPr="00736C0C" w14:paraId="67C5208F" w14:textId="77777777" w:rsidTr="0008435A">
        <w:tc>
          <w:tcPr>
            <w:tcW w:w="8720" w:type="dxa"/>
          </w:tcPr>
          <w:p w14:paraId="227B1AF0" w14:textId="77777777" w:rsidR="005D57BA" w:rsidRPr="00736C0C" w:rsidRDefault="005D57BA" w:rsidP="001E2FAE">
            <w:pPr>
              <w:spacing w:line="240" w:lineRule="auto"/>
              <w:jc w:val="both"/>
              <w:rPr>
                <w:rFonts w:ascii="Times New Roman" w:hAnsi="Times New Roman" w:cs="Times New Roman"/>
                <w:sz w:val="20"/>
                <w:szCs w:val="20"/>
              </w:rPr>
            </w:pPr>
            <w:r w:rsidRPr="00736C0C">
              <w:rPr>
                <w:rFonts w:ascii="Times New Roman" w:hAnsi="Times New Roman" w:cs="Times New Roman"/>
                <w:sz w:val="20"/>
                <w:szCs w:val="20"/>
              </w:rPr>
              <w:t>Fuente: Encuesta a estudiantes que discontinuaron alguna materia del CI. N: 2814.</w:t>
            </w:r>
          </w:p>
        </w:tc>
      </w:tr>
    </w:tbl>
    <w:p w14:paraId="7AAA3A6F" w14:textId="14A59827" w:rsidR="00441C63" w:rsidRPr="00441C63" w:rsidRDefault="00441C63" w:rsidP="001E2FAE">
      <w:pPr>
        <w:spacing w:before="100" w:beforeAutospacing="1" w:after="100" w:afterAutospacing="1" w:line="240" w:lineRule="auto"/>
        <w:jc w:val="both"/>
        <w:rPr>
          <w:rFonts w:ascii="Times New Roman" w:eastAsia="Times New Roman" w:hAnsi="Times New Roman" w:cs="Times New Roman"/>
          <w:kern w:val="0"/>
          <w:lang w:val="es-AR" w:eastAsia="es-AR"/>
          <w14:ligatures w14:val="none"/>
        </w:rPr>
      </w:pPr>
      <w:r w:rsidRPr="00441C63">
        <w:rPr>
          <w:rFonts w:ascii="Times New Roman" w:eastAsia="Times New Roman" w:hAnsi="Times New Roman" w:cs="Times New Roman"/>
          <w:kern w:val="0"/>
          <w:lang w:val="es-AR" w:eastAsia="es-AR"/>
          <w14:ligatures w14:val="none"/>
        </w:rPr>
        <w:t xml:space="preserve">Tal como referimos, las discontinuidades en las materias del CI responden principalmente a factores exógenos asociados a las condiciones de vida de las y los estudiantes. Al realizar la comparación por los grupos de edad seleccionados, se observa que estos factores presentan una incidencia más elevada entre quienes tienen 25 años o más, lo que sugiere un mayor peso de determinadas responsabilidades y condicionamientos materiales en este grupo. Al analizar al interior de las categorías, se advierte que la diferencia es especialmente significativa en los motivos vinculados a las tareas de cuidado, con una brecha de casi 15 puntos porcentuales, mientras que en los motivos laborales la diferencia es menor (4,7 </w:t>
      </w:r>
      <w:proofErr w:type="spellStart"/>
      <w:r w:rsidRPr="00441C63">
        <w:rPr>
          <w:rFonts w:ascii="Times New Roman" w:eastAsia="Times New Roman" w:hAnsi="Times New Roman" w:cs="Times New Roman"/>
          <w:kern w:val="0"/>
          <w:lang w:val="es-AR" w:eastAsia="es-AR"/>
          <w14:ligatures w14:val="none"/>
        </w:rPr>
        <w:t>pp</w:t>
      </w:r>
      <w:proofErr w:type="spellEnd"/>
      <w:r w:rsidRPr="00441C63">
        <w:rPr>
          <w:rFonts w:ascii="Times New Roman" w:eastAsia="Times New Roman" w:hAnsi="Times New Roman" w:cs="Times New Roman"/>
          <w:kern w:val="0"/>
          <w:lang w:val="es-AR" w:eastAsia="es-AR"/>
          <w14:ligatures w14:val="none"/>
        </w:rPr>
        <w:t>).</w:t>
      </w:r>
      <w:r w:rsidR="00736C0C">
        <w:rPr>
          <w:rFonts w:ascii="Times New Roman" w:eastAsia="Times New Roman" w:hAnsi="Times New Roman" w:cs="Times New Roman"/>
          <w:kern w:val="0"/>
          <w:lang w:val="es-AR" w:eastAsia="es-AR"/>
          <w14:ligatures w14:val="none"/>
        </w:rPr>
        <w:t xml:space="preserve"> </w:t>
      </w:r>
      <w:r w:rsidRPr="00441C63">
        <w:rPr>
          <w:rFonts w:ascii="Times New Roman" w:eastAsia="Times New Roman" w:hAnsi="Times New Roman" w:cs="Times New Roman"/>
          <w:kern w:val="0"/>
          <w:lang w:val="es-AR" w:eastAsia="es-AR"/>
          <w14:ligatures w14:val="none"/>
        </w:rPr>
        <w:t>En cambio, entre las</w:t>
      </w:r>
      <w:r w:rsidR="00736C0C">
        <w:rPr>
          <w:rFonts w:ascii="Times New Roman" w:eastAsia="Times New Roman" w:hAnsi="Times New Roman" w:cs="Times New Roman"/>
          <w:kern w:val="0"/>
          <w:lang w:val="es-AR" w:eastAsia="es-AR"/>
          <w14:ligatures w14:val="none"/>
        </w:rPr>
        <w:t xml:space="preserve">/os </w:t>
      </w:r>
      <w:r w:rsidRPr="00441C63">
        <w:rPr>
          <w:rFonts w:ascii="Times New Roman" w:eastAsia="Times New Roman" w:hAnsi="Times New Roman" w:cs="Times New Roman"/>
          <w:kern w:val="0"/>
          <w:lang w:val="es-AR" w:eastAsia="es-AR"/>
          <w14:ligatures w14:val="none"/>
        </w:rPr>
        <w:t>estudiantes de 24 años o menos, estos condicionamientos aparecen con menor incidencia relativa, lo que podría asociarse a una menor acumulación de responsabilidades de cuidado y laborales en esta etapa del curso de vida, y por ende a una mayor disponibilidad relativa para sostener la cursada.</w:t>
      </w:r>
    </w:p>
    <w:p w14:paraId="4E178A18" w14:textId="3D39F6D7" w:rsidR="00441C63" w:rsidRPr="006C2BFF" w:rsidRDefault="00441C63" w:rsidP="00736C0C">
      <w:pPr>
        <w:spacing w:before="100" w:beforeAutospacing="1" w:after="100" w:afterAutospacing="1" w:line="240" w:lineRule="auto"/>
        <w:jc w:val="both"/>
        <w:rPr>
          <w:rFonts w:ascii="Times New Roman" w:eastAsia="Times New Roman" w:hAnsi="Times New Roman" w:cs="Times New Roman"/>
          <w:kern w:val="0"/>
          <w:lang w:val="es-AR" w:eastAsia="es-AR"/>
          <w14:ligatures w14:val="none"/>
        </w:rPr>
      </w:pPr>
      <w:r w:rsidRPr="00441C63">
        <w:rPr>
          <w:rFonts w:ascii="Times New Roman" w:eastAsia="Times New Roman" w:hAnsi="Times New Roman" w:cs="Times New Roman"/>
          <w:kern w:val="0"/>
          <w:lang w:val="es-AR" w:eastAsia="es-AR"/>
          <w14:ligatures w14:val="none"/>
        </w:rPr>
        <w:t xml:space="preserve">En este marco, los datos sugieren que </w:t>
      </w:r>
      <w:r w:rsidR="00736C0C">
        <w:rPr>
          <w:rFonts w:ascii="Times New Roman" w:eastAsia="Times New Roman" w:hAnsi="Times New Roman" w:cs="Times New Roman"/>
          <w:kern w:val="0"/>
          <w:lang w:val="es-AR" w:eastAsia="es-AR"/>
          <w14:ligatures w14:val="none"/>
        </w:rPr>
        <w:t xml:space="preserve">la edad </w:t>
      </w:r>
      <w:r w:rsidRPr="00441C63">
        <w:rPr>
          <w:rFonts w:ascii="Times New Roman" w:eastAsia="Times New Roman" w:hAnsi="Times New Roman" w:cs="Times New Roman"/>
          <w:kern w:val="0"/>
          <w:lang w:val="es-AR" w:eastAsia="es-AR"/>
          <w14:ligatures w14:val="none"/>
        </w:rPr>
        <w:t>opera</w:t>
      </w:r>
      <w:r w:rsidR="00736C0C">
        <w:rPr>
          <w:rFonts w:ascii="Times New Roman" w:eastAsia="Times New Roman" w:hAnsi="Times New Roman" w:cs="Times New Roman"/>
          <w:kern w:val="0"/>
          <w:lang w:val="es-AR" w:eastAsia="es-AR"/>
          <w14:ligatures w14:val="none"/>
        </w:rPr>
        <w:t xml:space="preserve"> aquí</w:t>
      </w:r>
      <w:r w:rsidRPr="00441C63">
        <w:rPr>
          <w:rFonts w:ascii="Times New Roman" w:eastAsia="Times New Roman" w:hAnsi="Times New Roman" w:cs="Times New Roman"/>
          <w:kern w:val="0"/>
          <w:lang w:val="es-AR" w:eastAsia="es-AR"/>
          <w14:ligatures w14:val="none"/>
        </w:rPr>
        <w:t xml:space="preserve"> como una variable proxy de distintas posiciones en el ciclo de vida, asociadas a la progresiva asunción de responsabilidades que inciden en la continuidad de las trayectorias educativas.</w:t>
      </w:r>
      <w:r w:rsidR="00736C0C">
        <w:rPr>
          <w:rFonts w:ascii="Times New Roman" w:eastAsia="Times New Roman" w:hAnsi="Times New Roman" w:cs="Times New Roman"/>
          <w:kern w:val="0"/>
          <w:lang w:val="es-AR" w:eastAsia="es-AR"/>
          <w14:ligatures w14:val="none"/>
        </w:rPr>
        <w:t xml:space="preserve"> </w:t>
      </w:r>
      <w:r w:rsidRPr="001E2FAE">
        <w:rPr>
          <w:rFonts w:ascii="Times New Roman" w:hAnsi="Times New Roman" w:cs="Times New Roman"/>
        </w:rPr>
        <w:t>En este marco, la evidencia sugiere que los estudiantes de mayor edad se encuentran más expuestos a este tipo de condicionamientos estructurales, lo que incide en la posibilidad de sostener la continuidad de sus trayectorias educativas.</w:t>
      </w:r>
    </w:p>
    <w:p w14:paraId="6E58B16F" w14:textId="51384520" w:rsidR="006C2BFF" w:rsidRPr="001E2FAE" w:rsidRDefault="006C2BFF" w:rsidP="001E2FAE">
      <w:pPr>
        <w:spacing w:before="240" w:after="240" w:line="240" w:lineRule="auto"/>
        <w:jc w:val="both"/>
        <w:rPr>
          <w:rFonts w:ascii="Times New Roman" w:eastAsia="Times New Roman" w:hAnsi="Times New Roman" w:cs="Times New Roman"/>
          <w:kern w:val="0"/>
          <w:lang w:val="es-AR" w:eastAsia="es-AR"/>
          <w14:ligatures w14:val="none"/>
        </w:rPr>
      </w:pPr>
      <w:r w:rsidRPr="006C2BFF">
        <w:rPr>
          <w:rFonts w:ascii="Times New Roman" w:eastAsia="Times New Roman" w:hAnsi="Times New Roman" w:cs="Times New Roman"/>
          <w:kern w:val="0"/>
          <w:lang w:val="es-AR" w:eastAsia="es-AR"/>
          <w14:ligatures w14:val="none"/>
        </w:rPr>
        <w:t xml:space="preserve">Por su parte, al analizar los motivos endógenos </w:t>
      </w:r>
      <w:r w:rsidR="001E2FAE" w:rsidRPr="006C2BFF">
        <w:rPr>
          <w:rFonts w:ascii="Times New Roman" w:eastAsia="Times New Roman" w:hAnsi="Times New Roman" w:cs="Times New Roman"/>
          <w:kern w:val="0"/>
          <w:lang w:val="es-AR" w:eastAsia="es-AR"/>
          <w14:ligatures w14:val="none"/>
        </w:rPr>
        <w:t xml:space="preserve">según edad aparece algo interesante: los estudiantes de hasta 24 años mencionan en todos los casos más menciones que los de </w:t>
      </w:r>
      <w:r w:rsidR="001E2FAE" w:rsidRPr="006C2BFF">
        <w:rPr>
          <w:rFonts w:ascii="Times New Roman" w:eastAsia="Times New Roman" w:hAnsi="Times New Roman" w:cs="Times New Roman"/>
          <w:kern w:val="0"/>
          <w:lang w:val="es-AR" w:eastAsia="es-AR"/>
          <w14:ligatures w14:val="none"/>
        </w:rPr>
        <w:lastRenderedPageBreak/>
        <w:t>mayor edad. </w:t>
      </w:r>
      <w:r w:rsidR="00736C0C">
        <w:rPr>
          <w:rFonts w:ascii="Times New Roman" w:eastAsia="Times New Roman" w:hAnsi="Times New Roman" w:cs="Times New Roman"/>
          <w:kern w:val="0"/>
          <w:lang w:val="es-AR" w:eastAsia="es-AR"/>
          <w14:ligatures w14:val="none"/>
        </w:rPr>
        <w:t xml:space="preserve">Podríamos pensar entonces que en una </w:t>
      </w:r>
      <w:r w:rsidRPr="006C2BFF">
        <w:rPr>
          <w:rFonts w:ascii="Times New Roman" w:eastAsia="Times New Roman" w:hAnsi="Times New Roman" w:cs="Times New Roman"/>
          <w:kern w:val="0"/>
          <w:lang w:val="es-AR" w:eastAsia="es-AR"/>
          <w14:ligatures w14:val="none"/>
        </w:rPr>
        <w:t xml:space="preserve">etapa equivalente </w:t>
      </w:r>
      <w:r w:rsidR="00736C0C">
        <w:rPr>
          <w:rFonts w:ascii="Times New Roman" w:eastAsia="Times New Roman" w:hAnsi="Times New Roman" w:cs="Times New Roman"/>
          <w:kern w:val="0"/>
          <w:lang w:val="es-AR" w:eastAsia="es-AR"/>
          <w14:ligatures w14:val="none"/>
        </w:rPr>
        <w:t xml:space="preserve">como es el inicio de </w:t>
      </w:r>
      <w:proofErr w:type="gramStart"/>
      <w:r w:rsidR="00736C0C">
        <w:rPr>
          <w:rFonts w:ascii="Times New Roman" w:eastAsia="Times New Roman" w:hAnsi="Times New Roman" w:cs="Times New Roman"/>
          <w:kern w:val="0"/>
          <w:lang w:val="es-AR" w:eastAsia="es-AR"/>
          <w14:ligatures w14:val="none"/>
        </w:rPr>
        <w:t xml:space="preserve">las </w:t>
      </w:r>
      <w:r w:rsidRPr="006C2BFF">
        <w:rPr>
          <w:rFonts w:ascii="Times New Roman" w:eastAsia="Times New Roman" w:hAnsi="Times New Roman" w:cs="Times New Roman"/>
          <w:kern w:val="0"/>
          <w:lang w:val="es-AR" w:eastAsia="es-AR"/>
          <w14:ligatures w14:val="none"/>
        </w:rPr>
        <w:t xml:space="preserve"> trayectorias</w:t>
      </w:r>
      <w:proofErr w:type="gramEnd"/>
      <w:r w:rsidRPr="006C2BFF">
        <w:rPr>
          <w:rFonts w:ascii="Times New Roman" w:eastAsia="Times New Roman" w:hAnsi="Times New Roman" w:cs="Times New Roman"/>
          <w:kern w:val="0"/>
          <w:lang w:val="es-AR" w:eastAsia="es-AR"/>
          <w14:ligatures w14:val="none"/>
        </w:rPr>
        <w:t xml:space="preserve"> </w:t>
      </w:r>
      <w:r w:rsidR="001F2282">
        <w:rPr>
          <w:rFonts w:ascii="Times New Roman" w:eastAsia="Times New Roman" w:hAnsi="Times New Roman" w:cs="Times New Roman"/>
          <w:kern w:val="0"/>
          <w:lang w:val="es-AR" w:eastAsia="es-AR"/>
          <w14:ligatures w14:val="none"/>
        </w:rPr>
        <w:t>universitarias</w:t>
      </w:r>
      <w:r w:rsidRPr="006C2BFF">
        <w:rPr>
          <w:rFonts w:ascii="Times New Roman" w:eastAsia="Times New Roman" w:hAnsi="Times New Roman" w:cs="Times New Roman"/>
          <w:kern w:val="0"/>
          <w:lang w:val="es-AR" w:eastAsia="es-AR"/>
          <w14:ligatures w14:val="none"/>
        </w:rPr>
        <w:t>, la edad y las experiencias asociadas a ellas, se presenta como un elemento clave para otorgarle heterogeneidad a esos recorridos y a esas experiencias. </w:t>
      </w:r>
    </w:p>
    <w:p w14:paraId="36A84A4F" w14:textId="0E10012D" w:rsidR="007C774B" w:rsidRPr="006C2BFF" w:rsidRDefault="001F2282" w:rsidP="001E2FAE">
      <w:pPr>
        <w:spacing w:before="240" w:after="240" w:line="240" w:lineRule="auto"/>
        <w:jc w:val="both"/>
        <w:rPr>
          <w:rFonts w:ascii="Times New Roman" w:eastAsia="Times New Roman" w:hAnsi="Times New Roman" w:cs="Times New Roman"/>
          <w:kern w:val="0"/>
          <w:lang w:val="es-AR" w:eastAsia="es-AR"/>
          <w14:ligatures w14:val="none"/>
        </w:rPr>
      </w:pPr>
      <w:r>
        <w:rPr>
          <w:rFonts w:ascii="Times New Roman" w:eastAsia="Times New Roman" w:hAnsi="Times New Roman" w:cs="Times New Roman"/>
          <w:kern w:val="0"/>
          <w:lang w:val="es-AR" w:eastAsia="es-AR"/>
          <w14:ligatures w14:val="none"/>
        </w:rPr>
        <w:t xml:space="preserve">Continuando con la comparación entre grupos de edad, otro </w:t>
      </w:r>
      <w:r w:rsidR="007C774B" w:rsidRPr="006C2BFF">
        <w:rPr>
          <w:rFonts w:ascii="Times New Roman" w:eastAsia="Times New Roman" w:hAnsi="Times New Roman" w:cs="Times New Roman"/>
          <w:kern w:val="0"/>
          <w:lang w:val="es-AR" w:eastAsia="es-AR"/>
          <w14:ligatures w14:val="none"/>
        </w:rPr>
        <w:t xml:space="preserve">punto a mencionar </w:t>
      </w:r>
      <w:r>
        <w:rPr>
          <w:rFonts w:ascii="Times New Roman" w:eastAsia="Times New Roman" w:hAnsi="Times New Roman" w:cs="Times New Roman"/>
          <w:kern w:val="0"/>
          <w:lang w:val="es-AR" w:eastAsia="es-AR"/>
          <w14:ligatures w14:val="none"/>
        </w:rPr>
        <w:t xml:space="preserve">es </w:t>
      </w:r>
      <w:r w:rsidR="007C774B" w:rsidRPr="006C2BFF">
        <w:rPr>
          <w:rFonts w:ascii="Times New Roman" w:eastAsia="Times New Roman" w:hAnsi="Times New Roman" w:cs="Times New Roman"/>
          <w:kern w:val="0"/>
          <w:lang w:val="es-AR" w:eastAsia="es-AR"/>
          <w14:ligatures w14:val="none"/>
        </w:rPr>
        <w:t>el momento del cuatrimestre en el que dejan las materias</w:t>
      </w:r>
      <w:r>
        <w:rPr>
          <w:rFonts w:ascii="Times New Roman" w:eastAsia="Times New Roman" w:hAnsi="Times New Roman" w:cs="Times New Roman"/>
          <w:kern w:val="0"/>
          <w:lang w:val="es-AR" w:eastAsia="es-AR"/>
          <w14:ligatures w14:val="none"/>
        </w:rPr>
        <w:t>. A</w:t>
      </w:r>
      <w:r w:rsidR="007C774B" w:rsidRPr="006C2BFF">
        <w:rPr>
          <w:rFonts w:ascii="Times New Roman" w:eastAsia="Times New Roman" w:hAnsi="Times New Roman" w:cs="Times New Roman"/>
          <w:kern w:val="0"/>
          <w:lang w:val="es-AR" w:eastAsia="es-AR"/>
          <w14:ligatures w14:val="none"/>
        </w:rPr>
        <w:t>l respecto si bien en ambos grupos el momento predominante de abandono se ubica al inicio del cuatrimestre (antes del primer parcial), entre quienes tienen mayor edad ese porcentaje es mayor (55,7% versus 46,7%). En cambio, los estudiantes más jóvenes presentan una mayor proporción de discontinuidades hacia la mitad (35,2% versus 30,4%) y hacia el final del cuatrimestre (18,1% versus 13,9%). </w:t>
      </w:r>
    </w:p>
    <w:p w14:paraId="3B4CBFF2" w14:textId="77777777" w:rsidR="006C2BFF" w:rsidRPr="006C2BFF" w:rsidRDefault="006C2BFF" w:rsidP="001E2FAE">
      <w:pPr>
        <w:spacing w:before="240" w:after="240" w:line="240" w:lineRule="auto"/>
        <w:jc w:val="both"/>
        <w:rPr>
          <w:rFonts w:ascii="Times New Roman" w:eastAsia="Times New Roman" w:hAnsi="Times New Roman" w:cs="Times New Roman"/>
          <w:kern w:val="0"/>
          <w:lang w:val="es-AR" w:eastAsia="es-AR"/>
          <w14:ligatures w14:val="none"/>
        </w:rPr>
      </w:pPr>
      <w:r w:rsidRPr="006C2BFF">
        <w:rPr>
          <w:rFonts w:ascii="Times New Roman" w:eastAsia="Times New Roman" w:hAnsi="Times New Roman" w:cs="Times New Roman"/>
          <w:kern w:val="0"/>
          <w:lang w:val="es-AR" w:eastAsia="es-AR"/>
          <w14:ligatures w14:val="none"/>
        </w:rPr>
        <w:t>Se observan diferencias en la intensidad de la discontinuidad según la edad. Entre los estudiantes de 25 años y más, es más frecuente haber discontinuado el 100% de las materias cursadas (55,5%) que entre quienes tienen 24 años o menos (45,5%). Por el contrario, los estudiantes más jóvenes presentan una mayor proporción de discontinuidades parciales, tanto de menos del 50% de las materias (26,8% frente a 19,5%) como de entre el 50% y el 99% (27,6% frente a 25,0%). En ambos grupos, sin embargo, la categoría predominante corresponde a quienes discontinuaron el total de las materias cursadas. </w:t>
      </w:r>
    </w:p>
    <w:p w14:paraId="20D4E9FD" w14:textId="0C841EC4" w:rsidR="005D57BA" w:rsidRPr="006C2BFF" w:rsidRDefault="005D57BA" w:rsidP="001E2FAE">
      <w:pPr>
        <w:spacing w:before="240" w:after="240" w:line="240" w:lineRule="auto"/>
        <w:jc w:val="both"/>
        <w:rPr>
          <w:rFonts w:ascii="Times New Roman" w:eastAsia="Times New Roman" w:hAnsi="Times New Roman" w:cs="Times New Roman"/>
          <w:kern w:val="0"/>
          <w:lang w:val="es-AR" w:eastAsia="es-AR"/>
          <w14:ligatures w14:val="none"/>
        </w:rPr>
      </w:pPr>
      <w:r w:rsidRPr="001E2FAE">
        <w:rPr>
          <w:rFonts w:ascii="Times New Roman" w:eastAsia="Times New Roman" w:hAnsi="Times New Roman" w:cs="Times New Roman"/>
          <w:kern w:val="0"/>
          <w:lang w:val="es-AR" w:eastAsia="es-AR"/>
          <w14:ligatures w14:val="none"/>
        </w:rPr>
        <w:t>Los factores exógenos se presentan con mayor fuera al inicio, en esta necesidad de generar un tiempo y espacio que se reserve para la universidad. Entonces es esperable que suceden al inicio. Luego aquellos factores que tienen que ver con el hacer de la universidad propiamente dicho, conocer la dinámica, las propuestas de enseñanza etc</w:t>
      </w:r>
      <w:r w:rsidR="001F2282">
        <w:rPr>
          <w:rFonts w:ascii="Times New Roman" w:eastAsia="Times New Roman" w:hAnsi="Times New Roman" w:cs="Times New Roman"/>
          <w:kern w:val="0"/>
          <w:lang w:val="es-AR" w:eastAsia="es-AR"/>
          <w14:ligatures w14:val="none"/>
        </w:rPr>
        <w:t>.</w:t>
      </w:r>
      <w:r w:rsidRPr="001E2FAE">
        <w:rPr>
          <w:rFonts w:ascii="Times New Roman" w:eastAsia="Times New Roman" w:hAnsi="Times New Roman" w:cs="Times New Roman"/>
          <w:kern w:val="0"/>
          <w:lang w:val="es-AR" w:eastAsia="es-AR"/>
          <w14:ligatures w14:val="none"/>
        </w:rPr>
        <w:t xml:space="preserve"> requiere </w:t>
      </w:r>
      <w:r w:rsidR="001F2282" w:rsidRPr="001E2FAE">
        <w:rPr>
          <w:rFonts w:ascii="Times New Roman" w:eastAsia="Times New Roman" w:hAnsi="Times New Roman" w:cs="Times New Roman"/>
          <w:kern w:val="0"/>
          <w:lang w:val="es-AR" w:eastAsia="es-AR"/>
          <w14:ligatures w14:val="none"/>
        </w:rPr>
        <w:t>más</w:t>
      </w:r>
      <w:r w:rsidRPr="001E2FAE">
        <w:rPr>
          <w:rFonts w:ascii="Times New Roman" w:eastAsia="Times New Roman" w:hAnsi="Times New Roman" w:cs="Times New Roman"/>
          <w:kern w:val="0"/>
          <w:lang w:val="es-AR" w:eastAsia="es-AR"/>
          <w14:ligatures w14:val="none"/>
        </w:rPr>
        <w:t xml:space="preserve"> tiempo por lo cual es probable que este tipo de motivos tengan </w:t>
      </w:r>
      <w:r w:rsidR="001F2282" w:rsidRPr="001E2FAE">
        <w:rPr>
          <w:rFonts w:ascii="Times New Roman" w:eastAsia="Times New Roman" w:hAnsi="Times New Roman" w:cs="Times New Roman"/>
          <w:kern w:val="0"/>
          <w:lang w:val="es-AR" w:eastAsia="es-AR"/>
          <w14:ligatures w14:val="none"/>
        </w:rPr>
        <w:t>más</w:t>
      </w:r>
      <w:r w:rsidRPr="001E2FAE">
        <w:rPr>
          <w:rFonts w:ascii="Times New Roman" w:eastAsia="Times New Roman" w:hAnsi="Times New Roman" w:cs="Times New Roman"/>
          <w:kern w:val="0"/>
          <w:lang w:val="es-AR" w:eastAsia="es-AR"/>
          <w14:ligatures w14:val="none"/>
        </w:rPr>
        <w:t xml:space="preserve"> adelante del cuatrimestre. </w:t>
      </w:r>
    </w:p>
    <w:p w14:paraId="12CE0BCB" w14:textId="14A29A8D" w:rsidR="005F3B2E" w:rsidRPr="009D4F41" w:rsidRDefault="005F3B2E" w:rsidP="009D4F41">
      <w:pPr>
        <w:spacing w:line="240" w:lineRule="auto"/>
        <w:jc w:val="both"/>
        <w:rPr>
          <w:rFonts w:ascii="Times New Roman" w:hAnsi="Times New Roman" w:cs="Times New Roman"/>
          <w:bCs/>
          <w:caps/>
          <w:lang w:val="es-AR"/>
        </w:rPr>
      </w:pPr>
      <w:r w:rsidRPr="001F2282">
        <w:rPr>
          <w:rFonts w:ascii="Times New Roman" w:hAnsi="Times New Roman" w:cs="Times New Roman"/>
          <w:b/>
          <w:bCs/>
          <w:caps/>
          <w:lang w:val="es-AR"/>
        </w:rPr>
        <w:t>Conclusiones</w:t>
      </w:r>
    </w:p>
    <w:p w14:paraId="09DDF7F0" w14:textId="256DE59B" w:rsidR="0082383A" w:rsidRPr="009D4F41" w:rsidRDefault="004C6193" w:rsidP="009D4F41">
      <w:pPr>
        <w:spacing w:line="240" w:lineRule="auto"/>
        <w:jc w:val="both"/>
        <w:rPr>
          <w:rFonts w:ascii="Times New Roman" w:hAnsi="Times New Roman" w:cs="Times New Roman"/>
        </w:rPr>
      </w:pPr>
      <w:r w:rsidRPr="009D4F41">
        <w:rPr>
          <w:rFonts w:ascii="Times New Roman" w:hAnsi="Times New Roman" w:cs="Times New Roman"/>
        </w:rPr>
        <w:t>El estudio muestra que las discontinuidades en las materias del Ciclo Inicial responden predominantemente a factores exógenos, especialmente aquellos vinculados al trabajo, las responsabilidades de cuidado y la salud. Esto permite reafirmar que la permanencia en la universidad no depende exclusivamente de las condiciones académicas, sino que se encuentra profundamente atravesada por las condiciones materiales de vida de las y los estudiantes.</w:t>
      </w:r>
      <w:r w:rsidR="001F2282" w:rsidRPr="009D4F41">
        <w:rPr>
          <w:rFonts w:ascii="Times New Roman" w:hAnsi="Times New Roman" w:cs="Times New Roman"/>
        </w:rPr>
        <w:t xml:space="preserve"> Sostenemos</w:t>
      </w:r>
      <w:r w:rsidR="009D4F41">
        <w:rPr>
          <w:rFonts w:ascii="Times New Roman" w:hAnsi="Times New Roman" w:cs="Times New Roman"/>
        </w:rPr>
        <w:t>,</w:t>
      </w:r>
      <w:r w:rsidR="001F2282" w:rsidRPr="009D4F41">
        <w:rPr>
          <w:rFonts w:ascii="Times New Roman" w:hAnsi="Times New Roman" w:cs="Times New Roman"/>
        </w:rPr>
        <w:t xml:space="preserve"> entonces</w:t>
      </w:r>
      <w:r w:rsidR="009D4F41">
        <w:rPr>
          <w:rFonts w:ascii="Times New Roman" w:hAnsi="Times New Roman" w:cs="Times New Roman"/>
        </w:rPr>
        <w:t>,</w:t>
      </w:r>
      <w:r w:rsidR="001F2282" w:rsidRPr="009D4F41">
        <w:rPr>
          <w:rFonts w:ascii="Times New Roman" w:hAnsi="Times New Roman" w:cs="Times New Roman"/>
        </w:rPr>
        <w:t xml:space="preserve"> que </w:t>
      </w:r>
      <w:r w:rsidR="001F2282" w:rsidRPr="009D4F41">
        <w:rPr>
          <w:rStyle w:val="Textoennegrita"/>
          <w:rFonts w:ascii="Times New Roman" w:hAnsi="Times New Roman" w:cs="Times New Roman"/>
          <w:b w:val="0"/>
        </w:rPr>
        <w:t xml:space="preserve">la discontinuidad </w:t>
      </w:r>
      <w:r w:rsidR="001F2282" w:rsidRPr="009D4F41">
        <w:rPr>
          <w:rStyle w:val="Textoennegrita"/>
          <w:rFonts w:ascii="Times New Roman" w:hAnsi="Times New Roman" w:cs="Times New Roman"/>
          <w:b w:val="0"/>
        </w:rPr>
        <w:t xml:space="preserve">de </w:t>
      </w:r>
      <w:r w:rsidR="009D4F41">
        <w:rPr>
          <w:rStyle w:val="Textoennegrita"/>
          <w:rFonts w:ascii="Times New Roman" w:hAnsi="Times New Roman" w:cs="Times New Roman"/>
          <w:b w:val="0"/>
        </w:rPr>
        <w:t xml:space="preserve">las </w:t>
      </w:r>
      <w:r w:rsidR="001F2282" w:rsidRPr="009D4F41">
        <w:rPr>
          <w:rStyle w:val="Textoennegrita"/>
          <w:rFonts w:ascii="Times New Roman" w:hAnsi="Times New Roman" w:cs="Times New Roman"/>
          <w:b w:val="0"/>
        </w:rPr>
        <w:t xml:space="preserve">cursadas debe leerse no solamente </w:t>
      </w:r>
      <w:r w:rsidR="001F2282" w:rsidRPr="009D4F41">
        <w:rPr>
          <w:rStyle w:val="Textoennegrita"/>
          <w:rFonts w:ascii="Times New Roman" w:hAnsi="Times New Roman" w:cs="Times New Roman"/>
          <w:b w:val="0"/>
        </w:rPr>
        <w:t>desde la universidad, sino</w:t>
      </w:r>
      <w:r w:rsidR="001F2282" w:rsidRPr="009D4F41">
        <w:rPr>
          <w:rStyle w:val="Textoennegrita"/>
          <w:rFonts w:ascii="Times New Roman" w:hAnsi="Times New Roman" w:cs="Times New Roman"/>
          <w:b w:val="0"/>
        </w:rPr>
        <w:t xml:space="preserve"> que requiere detener la mirada en </w:t>
      </w:r>
      <w:r w:rsidR="001F2282" w:rsidRPr="009D4F41">
        <w:rPr>
          <w:rStyle w:val="Textoennegrita"/>
          <w:rFonts w:ascii="Times New Roman" w:hAnsi="Times New Roman" w:cs="Times New Roman"/>
          <w:b w:val="0"/>
        </w:rPr>
        <w:t>las condiciones de vida</w:t>
      </w:r>
      <w:r w:rsidR="0082383A" w:rsidRPr="009D4F41">
        <w:rPr>
          <w:rStyle w:val="Textoennegrita"/>
          <w:rFonts w:ascii="Times New Roman" w:hAnsi="Times New Roman" w:cs="Times New Roman"/>
          <w:b w:val="0"/>
        </w:rPr>
        <w:t xml:space="preserve"> del estudiantado.</w:t>
      </w:r>
      <w:r w:rsidR="0082383A" w:rsidRPr="009D4F41">
        <w:rPr>
          <w:rStyle w:val="Textoennegrita"/>
          <w:rFonts w:ascii="Times New Roman" w:hAnsi="Times New Roman" w:cs="Times New Roman"/>
        </w:rPr>
        <w:t xml:space="preserve"> </w:t>
      </w:r>
    </w:p>
    <w:p w14:paraId="1E7DE7BD" w14:textId="35D8C3FE" w:rsidR="0082383A" w:rsidRPr="009D4F41" w:rsidRDefault="0082383A" w:rsidP="009D4F41">
      <w:pPr>
        <w:spacing w:line="240" w:lineRule="auto"/>
        <w:jc w:val="both"/>
        <w:rPr>
          <w:rFonts w:ascii="Times New Roman" w:hAnsi="Times New Roman" w:cs="Times New Roman"/>
        </w:rPr>
      </w:pPr>
      <w:r w:rsidRPr="009D4F41">
        <w:rPr>
          <w:rFonts w:ascii="Times New Roman" w:hAnsi="Times New Roman" w:cs="Times New Roman"/>
        </w:rPr>
        <w:t xml:space="preserve">Luego, el análisis por grupos de edad permitió complejizar esta lectura. Mientras entre los estudiantes de 25 años o más predominan los condicionamientos vinculados al trabajo y, especialmente, a las tareas de cuidado, entre quienes tienen hasta 24 años adquieren mayor relevancia las dificultades asociadas a la experiencia universitaria propiamente dicha, como la comprensión de los contenidos, las modalidades de enseñanza o la organización de la cursada. En este sentido, la edad no opera como un factor explicativo </w:t>
      </w:r>
      <w:r w:rsidRPr="009D4F41">
        <w:rPr>
          <w:rFonts w:ascii="Times New Roman" w:hAnsi="Times New Roman" w:cs="Times New Roman"/>
        </w:rPr>
        <w:lastRenderedPageBreak/>
        <w:t>en sí mismo, sino como un indicador de distintas posiciones en el ciclo de vida que configuran experiencias diferenciadas de ingreso y permanencia.</w:t>
      </w:r>
    </w:p>
    <w:p w14:paraId="74DEE00C" w14:textId="562C0D6F" w:rsidR="004C6193" w:rsidRPr="009D4F41" w:rsidRDefault="0082383A" w:rsidP="009D4F41">
      <w:pPr>
        <w:spacing w:line="240" w:lineRule="auto"/>
        <w:jc w:val="both"/>
        <w:rPr>
          <w:rFonts w:ascii="Times New Roman" w:hAnsi="Times New Roman" w:cs="Times New Roman"/>
        </w:rPr>
      </w:pPr>
      <w:r w:rsidRPr="009D4F41">
        <w:rPr>
          <w:rFonts w:ascii="Times New Roman" w:hAnsi="Times New Roman" w:cs="Times New Roman"/>
        </w:rPr>
        <w:t>Estos resultados abren, sin embargo, nuevos interrogantes. Por un lado, cabe indagar si la menor incidencia de los factores exógenos entre los estudiantes más jóvenes responde a una menor exposición a responsabilidades laborales y de cuidado propias de esta etapa del ciclo de vida. Por otro, resulta pertinente preguntarse si el peso que adquieren estos factores entre los</w:t>
      </w:r>
      <w:r w:rsidR="009D4F41">
        <w:rPr>
          <w:rFonts w:ascii="Times New Roman" w:hAnsi="Times New Roman" w:cs="Times New Roman"/>
        </w:rPr>
        <w:t>/as</w:t>
      </w:r>
      <w:r w:rsidRPr="009D4F41">
        <w:rPr>
          <w:rFonts w:ascii="Times New Roman" w:hAnsi="Times New Roman" w:cs="Times New Roman"/>
        </w:rPr>
        <w:t xml:space="preserve"> estudiantes de mayor edad y el hecho de que concentren en mayor medida las discontinuidades en las primeras semanas del cuatrimestre no limita la emergencia de otros motivos vinculados a la propia experiencia académica, que podrían hacerse visibles si la cursada se sostuviera durante un período más prolongado. Ambas hipótesis constituyen líneas de indagación que podrán profundizarse mediante un estudio de carácter cualitativo.</w:t>
      </w:r>
      <w:r w:rsidR="001F2282" w:rsidRPr="009D4F41">
        <w:rPr>
          <w:rFonts w:ascii="Times New Roman" w:hAnsi="Times New Roman" w:cs="Times New Roman"/>
        </w:rPr>
        <w:t xml:space="preserve"> </w:t>
      </w:r>
    </w:p>
    <w:p w14:paraId="20ADF77B" w14:textId="1246FC47" w:rsidR="004C6193" w:rsidRPr="009D4F41" w:rsidRDefault="004C6193" w:rsidP="009D4F41">
      <w:pPr>
        <w:spacing w:line="240" w:lineRule="auto"/>
        <w:jc w:val="both"/>
        <w:rPr>
          <w:rFonts w:ascii="Times New Roman" w:hAnsi="Times New Roman" w:cs="Times New Roman"/>
        </w:rPr>
      </w:pPr>
      <w:r w:rsidRPr="009D4F41">
        <w:rPr>
          <w:rFonts w:ascii="Times New Roman" w:hAnsi="Times New Roman" w:cs="Times New Roman"/>
        </w:rPr>
        <w:t xml:space="preserve">Asimismo, los resultados muestran que la discontinuidad de las cursadas no supone necesariamente una discontinuidad de las trayectorias universitarias. La gran mayoría de quienes interrumpieron una o más materias manifestaron continuar estudiando la misma carrera, aunque </w:t>
      </w:r>
      <w:r w:rsidR="009D4F41">
        <w:rPr>
          <w:rFonts w:ascii="Times New Roman" w:hAnsi="Times New Roman" w:cs="Times New Roman"/>
        </w:rPr>
        <w:t>cursando una menor cantidad de materias</w:t>
      </w:r>
      <w:r w:rsidRPr="009D4F41">
        <w:rPr>
          <w:rFonts w:ascii="Times New Roman" w:hAnsi="Times New Roman" w:cs="Times New Roman"/>
        </w:rPr>
        <w:t>. Este hallazgo invita a distinguir entre abandono de cursadas y abandono de trayectorias, evitando interpretar automáticamente toda discontinuidad como deserción definitiva.</w:t>
      </w:r>
    </w:p>
    <w:p w14:paraId="7834027D" w14:textId="325A1C2D" w:rsidR="00EA2959" w:rsidRPr="009D4F41" w:rsidRDefault="00EA2959" w:rsidP="009D4F41">
      <w:pPr>
        <w:spacing w:line="240" w:lineRule="auto"/>
        <w:jc w:val="both"/>
        <w:rPr>
          <w:rFonts w:ascii="Times New Roman" w:hAnsi="Times New Roman" w:cs="Times New Roman"/>
        </w:rPr>
      </w:pPr>
      <w:r w:rsidRPr="009D4F41">
        <w:rPr>
          <w:rFonts w:ascii="Times New Roman" w:hAnsi="Times New Roman" w:cs="Times New Roman"/>
        </w:rPr>
        <w:t xml:space="preserve">El hecho de que más de la mitad de las discontinuidades se produzcan antes del primer parcial indica que una parte importante de las dificultades se configura en las primeras semanas de cursada. Esto sugiere la necesidad de fortalecer las estrategias institucionales de acompañamiento </w:t>
      </w:r>
      <w:r w:rsidR="0082383A" w:rsidRPr="009D4F41">
        <w:rPr>
          <w:rFonts w:ascii="Times New Roman" w:hAnsi="Times New Roman" w:cs="Times New Roman"/>
        </w:rPr>
        <w:t>y pr</w:t>
      </w:r>
      <w:r w:rsidR="009D4F41">
        <w:rPr>
          <w:rFonts w:ascii="Times New Roman" w:hAnsi="Times New Roman" w:cs="Times New Roman"/>
        </w:rPr>
        <w:t>á</w:t>
      </w:r>
      <w:r w:rsidR="0082383A" w:rsidRPr="009D4F41">
        <w:rPr>
          <w:rFonts w:ascii="Times New Roman" w:hAnsi="Times New Roman" w:cs="Times New Roman"/>
        </w:rPr>
        <w:t xml:space="preserve">cticas docentes </w:t>
      </w:r>
      <w:r w:rsidRPr="009D4F41">
        <w:rPr>
          <w:rFonts w:ascii="Times New Roman" w:hAnsi="Times New Roman" w:cs="Times New Roman"/>
        </w:rPr>
        <w:t>desde el inicio del cuatrimestre, momento en que las</w:t>
      </w:r>
      <w:r w:rsidR="0082383A" w:rsidRPr="009D4F41">
        <w:rPr>
          <w:rFonts w:ascii="Times New Roman" w:hAnsi="Times New Roman" w:cs="Times New Roman"/>
        </w:rPr>
        <w:t xml:space="preserve">/os </w:t>
      </w:r>
      <w:r w:rsidRPr="009D4F41">
        <w:rPr>
          <w:rFonts w:ascii="Times New Roman" w:hAnsi="Times New Roman" w:cs="Times New Roman"/>
        </w:rPr>
        <w:t xml:space="preserve">estudiantes ponen en tensión las exigencias universitarias con </w:t>
      </w:r>
      <w:r w:rsidR="0082383A" w:rsidRPr="009D4F41">
        <w:rPr>
          <w:rFonts w:ascii="Times New Roman" w:hAnsi="Times New Roman" w:cs="Times New Roman"/>
        </w:rPr>
        <w:t xml:space="preserve">sus </w:t>
      </w:r>
      <w:r w:rsidRPr="009D4F41">
        <w:rPr>
          <w:rFonts w:ascii="Times New Roman" w:hAnsi="Times New Roman" w:cs="Times New Roman"/>
        </w:rPr>
        <w:t>condiciones materiales</w:t>
      </w:r>
      <w:r w:rsidR="0082383A" w:rsidRPr="009D4F41">
        <w:rPr>
          <w:rFonts w:ascii="Times New Roman" w:hAnsi="Times New Roman" w:cs="Times New Roman"/>
        </w:rPr>
        <w:t xml:space="preserve"> y temporales. </w:t>
      </w:r>
    </w:p>
    <w:p w14:paraId="544B704F" w14:textId="56576B71" w:rsidR="00BC236F" w:rsidRPr="009D4F41" w:rsidRDefault="009D4F41" w:rsidP="009D4F41">
      <w:pPr>
        <w:spacing w:line="240" w:lineRule="auto"/>
        <w:jc w:val="both"/>
        <w:rPr>
          <w:rFonts w:ascii="Times New Roman" w:hAnsi="Times New Roman" w:cs="Times New Roman"/>
          <w:lang w:val="es-AR"/>
        </w:rPr>
      </w:pPr>
      <w:r>
        <w:rPr>
          <w:rFonts w:ascii="Times New Roman" w:hAnsi="Times New Roman" w:cs="Times New Roman"/>
        </w:rPr>
        <w:t xml:space="preserve">Por </w:t>
      </w:r>
      <w:r w:rsidR="00F57CB9">
        <w:rPr>
          <w:rFonts w:ascii="Times New Roman" w:hAnsi="Times New Roman" w:cs="Times New Roman"/>
        </w:rPr>
        <w:t>último</w:t>
      </w:r>
      <w:r>
        <w:rPr>
          <w:rFonts w:ascii="Times New Roman" w:hAnsi="Times New Roman" w:cs="Times New Roman"/>
        </w:rPr>
        <w:t xml:space="preserve">, entendemos que resulta necesario </w:t>
      </w:r>
      <w:r w:rsidR="00EA2959" w:rsidRPr="009D4F41">
        <w:rPr>
          <w:rFonts w:ascii="Times New Roman" w:hAnsi="Times New Roman" w:cs="Times New Roman"/>
        </w:rPr>
        <w:t>relativizar una lectura dicotómica entre factores exógenos y endógenos</w:t>
      </w:r>
      <w:r>
        <w:rPr>
          <w:rFonts w:ascii="Times New Roman" w:hAnsi="Times New Roman" w:cs="Times New Roman"/>
        </w:rPr>
        <w:t>. S</w:t>
      </w:r>
      <w:r w:rsidR="001F2282" w:rsidRPr="009D4F41">
        <w:rPr>
          <w:rFonts w:ascii="Times New Roman" w:hAnsi="Times New Roman" w:cs="Times New Roman"/>
        </w:rPr>
        <w:t xml:space="preserve">i bien </w:t>
      </w:r>
      <w:r>
        <w:rPr>
          <w:rFonts w:ascii="Times New Roman" w:hAnsi="Times New Roman" w:cs="Times New Roman"/>
        </w:rPr>
        <w:t xml:space="preserve">esta distinción resulta de gran utilidad para </w:t>
      </w:r>
      <w:r w:rsidR="001F2282" w:rsidRPr="009D4F41">
        <w:rPr>
          <w:rFonts w:ascii="Times New Roman" w:hAnsi="Times New Roman" w:cs="Times New Roman"/>
        </w:rPr>
        <w:t>organiza</w:t>
      </w:r>
      <w:r>
        <w:rPr>
          <w:rFonts w:ascii="Times New Roman" w:hAnsi="Times New Roman" w:cs="Times New Roman"/>
        </w:rPr>
        <w:t>r</w:t>
      </w:r>
      <w:r w:rsidR="001F2282" w:rsidRPr="009D4F41">
        <w:rPr>
          <w:rFonts w:ascii="Times New Roman" w:hAnsi="Times New Roman" w:cs="Times New Roman"/>
        </w:rPr>
        <w:t xml:space="preserve"> el análisis, </w:t>
      </w:r>
      <w:r>
        <w:rPr>
          <w:rFonts w:ascii="Times New Roman" w:hAnsi="Times New Roman" w:cs="Times New Roman"/>
        </w:rPr>
        <w:t xml:space="preserve">también puede invisibilizar las articulaciones existentes entre ambos tipos de factores. Al respecto, </w:t>
      </w:r>
      <w:r w:rsidR="001F2282" w:rsidRPr="009D4F41">
        <w:rPr>
          <w:rFonts w:ascii="Times New Roman" w:hAnsi="Times New Roman" w:cs="Times New Roman"/>
        </w:rPr>
        <w:t>s</w:t>
      </w:r>
      <w:r w:rsidR="00EA2959" w:rsidRPr="009D4F41">
        <w:rPr>
          <w:rFonts w:ascii="Times New Roman" w:hAnsi="Times New Roman" w:cs="Times New Roman"/>
        </w:rPr>
        <w:t xml:space="preserve">i bien los primeros concentran la mayor parte de las menciones, la experiencia de discontinuidad parece configurarse a partir de la interacción entre las condiciones de vida </w:t>
      </w:r>
      <w:r w:rsidR="001F2282" w:rsidRPr="009D4F41">
        <w:rPr>
          <w:rFonts w:ascii="Times New Roman" w:hAnsi="Times New Roman" w:cs="Times New Roman"/>
        </w:rPr>
        <w:t xml:space="preserve">estudiantiles </w:t>
      </w:r>
      <w:r w:rsidR="00EA2959" w:rsidRPr="009D4F41">
        <w:rPr>
          <w:rFonts w:ascii="Times New Roman" w:hAnsi="Times New Roman" w:cs="Times New Roman"/>
        </w:rPr>
        <w:t>y las formas concretas que asume la experiencia universitaria. En este sentido, comprender las trayectorias</w:t>
      </w:r>
      <w:r w:rsidR="00F57CB9">
        <w:rPr>
          <w:rFonts w:ascii="Times New Roman" w:hAnsi="Times New Roman" w:cs="Times New Roman"/>
        </w:rPr>
        <w:t xml:space="preserve"> y su heterogeneidad</w:t>
      </w:r>
      <w:r w:rsidR="00EA2959" w:rsidRPr="009D4F41">
        <w:rPr>
          <w:rFonts w:ascii="Times New Roman" w:hAnsi="Times New Roman" w:cs="Times New Roman"/>
        </w:rPr>
        <w:t xml:space="preserve"> requiere analizar </w:t>
      </w:r>
      <w:r w:rsidR="00F57CB9">
        <w:rPr>
          <w:rFonts w:ascii="Times New Roman" w:hAnsi="Times New Roman" w:cs="Times New Roman"/>
        </w:rPr>
        <w:t xml:space="preserve">los modos en los que </w:t>
      </w:r>
      <w:r w:rsidR="00EA2959" w:rsidRPr="009D4F41">
        <w:rPr>
          <w:rFonts w:ascii="Times New Roman" w:hAnsi="Times New Roman" w:cs="Times New Roman"/>
        </w:rPr>
        <w:t>ambos conjuntos de factores se articulan y potencian mutuamente, antes que concebirlos como dimensiones independientes.</w:t>
      </w:r>
    </w:p>
    <w:p w14:paraId="7E83515B" w14:textId="013A626C" w:rsidR="001923DC" w:rsidRDefault="005F3B2E" w:rsidP="001408B8">
      <w:pPr>
        <w:spacing w:line="240" w:lineRule="auto"/>
        <w:rPr>
          <w:rFonts w:ascii="Times New Roman" w:hAnsi="Times New Roman" w:cs="Times New Roman"/>
          <w:b/>
          <w:bCs/>
        </w:rPr>
      </w:pPr>
      <w:r w:rsidRPr="00BA642E">
        <w:rPr>
          <w:rFonts w:ascii="Times New Roman" w:hAnsi="Times New Roman" w:cs="Times New Roman"/>
          <w:b/>
          <w:bCs/>
        </w:rPr>
        <w:t xml:space="preserve">Referencias Bibliográficas </w:t>
      </w:r>
    </w:p>
    <w:p w14:paraId="6262C574" w14:textId="77777777" w:rsidR="00E037BF" w:rsidRPr="00F57CB9" w:rsidRDefault="001408B8" w:rsidP="00F57CB9">
      <w:pPr>
        <w:pStyle w:val="Bibliografa"/>
        <w:spacing w:line="240" w:lineRule="auto"/>
        <w:rPr>
          <w:rFonts w:ascii="Times New Roman" w:hAnsi="Times New Roman" w:cs="Times New Roman"/>
          <w:sz w:val="22"/>
          <w:szCs w:val="22"/>
        </w:rPr>
      </w:pPr>
      <w:r w:rsidRPr="00F57CB9">
        <w:rPr>
          <w:rFonts w:ascii="Times New Roman" w:hAnsi="Times New Roman" w:cs="Times New Roman"/>
          <w:sz w:val="22"/>
          <w:szCs w:val="22"/>
          <w:lang w:val="pt-BR"/>
        </w:rPr>
        <w:fldChar w:fldCharType="begin"/>
      </w:r>
      <w:r w:rsidRPr="00F57CB9">
        <w:rPr>
          <w:rFonts w:ascii="Times New Roman" w:hAnsi="Times New Roman" w:cs="Times New Roman"/>
          <w:sz w:val="22"/>
          <w:szCs w:val="22"/>
          <w:lang w:val="pt-BR"/>
        </w:rPr>
        <w:instrText xml:space="preserve"> ADDIN ZOTERO_BIBL {"uncited":[],"omitted":[],"custom":[]} CSL_BIBLIOGRAPHY </w:instrText>
      </w:r>
      <w:r w:rsidRPr="00F57CB9">
        <w:rPr>
          <w:rFonts w:ascii="Times New Roman" w:hAnsi="Times New Roman" w:cs="Times New Roman"/>
          <w:sz w:val="22"/>
          <w:szCs w:val="22"/>
          <w:lang w:val="pt-BR"/>
        </w:rPr>
        <w:fldChar w:fldCharType="separate"/>
      </w:r>
      <w:proofErr w:type="spellStart"/>
      <w:r w:rsidR="00E037BF" w:rsidRPr="00F57CB9">
        <w:rPr>
          <w:rFonts w:ascii="Times New Roman" w:hAnsi="Times New Roman" w:cs="Times New Roman"/>
          <w:sz w:val="22"/>
          <w:szCs w:val="22"/>
        </w:rPr>
        <w:t>Ambroggio</w:t>
      </w:r>
      <w:proofErr w:type="spellEnd"/>
      <w:r w:rsidR="00E037BF" w:rsidRPr="00F57CB9">
        <w:rPr>
          <w:rFonts w:ascii="Times New Roman" w:hAnsi="Times New Roman" w:cs="Times New Roman"/>
          <w:sz w:val="22"/>
          <w:szCs w:val="22"/>
        </w:rPr>
        <w:t xml:space="preserve">, G., Coria, A., &amp; </w:t>
      </w:r>
      <w:proofErr w:type="spellStart"/>
      <w:r w:rsidR="00E037BF" w:rsidRPr="00F57CB9">
        <w:rPr>
          <w:rFonts w:ascii="Times New Roman" w:hAnsi="Times New Roman" w:cs="Times New Roman"/>
          <w:sz w:val="22"/>
          <w:szCs w:val="22"/>
        </w:rPr>
        <w:t>Saino</w:t>
      </w:r>
      <w:proofErr w:type="spellEnd"/>
      <w:r w:rsidR="00E037BF" w:rsidRPr="00F57CB9">
        <w:rPr>
          <w:rFonts w:ascii="Times New Roman" w:hAnsi="Times New Roman" w:cs="Times New Roman"/>
          <w:sz w:val="22"/>
          <w:szCs w:val="22"/>
        </w:rPr>
        <w:t xml:space="preserve">, M. (2013). Tipos de abandono en el primer año universitario. Orientaciones para posibles líneas de acción. </w:t>
      </w:r>
      <w:r w:rsidR="00E037BF" w:rsidRPr="00F57CB9">
        <w:rPr>
          <w:rFonts w:ascii="Times New Roman" w:hAnsi="Times New Roman" w:cs="Times New Roman"/>
          <w:i/>
          <w:iCs/>
          <w:sz w:val="22"/>
          <w:szCs w:val="22"/>
        </w:rPr>
        <w:t>Congresos CLABES</w:t>
      </w:r>
      <w:r w:rsidR="00E037BF" w:rsidRPr="00F57CB9">
        <w:rPr>
          <w:rFonts w:ascii="Times New Roman" w:hAnsi="Times New Roman" w:cs="Times New Roman"/>
          <w:sz w:val="22"/>
          <w:szCs w:val="22"/>
        </w:rPr>
        <w:t>. https://revistas.utp.ac.pa/index.php/clabes/article/view/892</w:t>
      </w:r>
    </w:p>
    <w:p w14:paraId="023DEA0E" w14:textId="77777777" w:rsidR="00E037BF" w:rsidRPr="00F57CB9" w:rsidRDefault="00E037BF" w:rsidP="00F57CB9">
      <w:pPr>
        <w:pStyle w:val="Bibliografa"/>
        <w:spacing w:line="240" w:lineRule="auto"/>
        <w:rPr>
          <w:rFonts w:ascii="Times New Roman" w:hAnsi="Times New Roman" w:cs="Times New Roman"/>
          <w:sz w:val="22"/>
          <w:szCs w:val="22"/>
        </w:rPr>
      </w:pPr>
      <w:r w:rsidRPr="00F57CB9">
        <w:rPr>
          <w:rFonts w:ascii="Times New Roman" w:hAnsi="Times New Roman" w:cs="Times New Roman"/>
          <w:sz w:val="22"/>
          <w:szCs w:val="22"/>
        </w:rPr>
        <w:t xml:space="preserve">Cerezo, L. (2024). </w:t>
      </w:r>
      <w:r w:rsidRPr="00F57CB9">
        <w:rPr>
          <w:rFonts w:ascii="Times New Roman" w:hAnsi="Times New Roman" w:cs="Times New Roman"/>
          <w:i/>
          <w:iCs/>
          <w:sz w:val="22"/>
          <w:szCs w:val="22"/>
        </w:rPr>
        <w:t>La inclusión educativa en el nivel superior universitario argentino: Un estudio de caso de la UNAJ</w:t>
      </w:r>
      <w:r w:rsidRPr="00F57CB9">
        <w:rPr>
          <w:rFonts w:ascii="Times New Roman" w:hAnsi="Times New Roman" w:cs="Times New Roman"/>
          <w:sz w:val="22"/>
          <w:szCs w:val="22"/>
        </w:rPr>
        <w:t xml:space="preserve"> (</w:t>
      </w:r>
      <w:proofErr w:type="spellStart"/>
      <w:r w:rsidRPr="00F57CB9">
        <w:rPr>
          <w:rFonts w:ascii="Times New Roman" w:hAnsi="Times New Roman" w:cs="Times New Roman"/>
          <w:sz w:val="22"/>
          <w:szCs w:val="22"/>
        </w:rPr>
        <w:t>TeseoPress</w:t>
      </w:r>
      <w:proofErr w:type="spellEnd"/>
      <w:r w:rsidRPr="00F57CB9">
        <w:rPr>
          <w:rFonts w:ascii="Times New Roman" w:hAnsi="Times New Roman" w:cs="Times New Roman"/>
          <w:sz w:val="22"/>
          <w:szCs w:val="22"/>
        </w:rPr>
        <w:t>). Teseo. https://www.teseopress.com/inclusioneducativaniveluniversitarioargentino/</w:t>
      </w:r>
    </w:p>
    <w:p w14:paraId="1C48D8AE" w14:textId="77777777" w:rsidR="00E037BF" w:rsidRPr="00F57CB9" w:rsidRDefault="00E037BF" w:rsidP="00F57CB9">
      <w:pPr>
        <w:pStyle w:val="Bibliografa"/>
        <w:spacing w:line="240" w:lineRule="auto"/>
        <w:rPr>
          <w:rFonts w:ascii="Times New Roman" w:hAnsi="Times New Roman" w:cs="Times New Roman"/>
          <w:sz w:val="22"/>
          <w:szCs w:val="22"/>
        </w:rPr>
      </w:pPr>
      <w:r w:rsidRPr="00F57CB9">
        <w:rPr>
          <w:rFonts w:ascii="Times New Roman" w:hAnsi="Times New Roman" w:cs="Times New Roman"/>
          <w:sz w:val="22"/>
          <w:szCs w:val="22"/>
        </w:rPr>
        <w:lastRenderedPageBreak/>
        <w:t xml:space="preserve">Cerezo, L., </w:t>
      </w:r>
      <w:proofErr w:type="spellStart"/>
      <w:r w:rsidRPr="00F57CB9">
        <w:rPr>
          <w:rFonts w:ascii="Times New Roman" w:hAnsi="Times New Roman" w:cs="Times New Roman"/>
          <w:sz w:val="22"/>
          <w:szCs w:val="22"/>
        </w:rPr>
        <w:t>Almiron</w:t>
      </w:r>
      <w:proofErr w:type="spellEnd"/>
      <w:r w:rsidRPr="00F57CB9">
        <w:rPr>
          <w:rFonts w:ascii="Times New Roman" w:hAnsi="Times New Roman" w:cs="Times New Roman"/>
          <w:sz w:val="22"/>
          <w:szCs w:val="22"/>
        </w:rPr>
        <w:t xml:space="preserve">, A., </w:t>
      </w:r>
      <w:proofErr w:type="spellStart"/>
      <w:r w:rsidRPr="00F57CB9">
        <w:rPr>
          <w:rFonts w:ascii="Times New Roman" w:hAnsi="Times New Roman" w:cs="Times New Roman"/>
          <w:sz w:val="22"/>
          <w:szCs w:val="22"/>
        </w:rPr>
        <w:t>Larison</w:t>
      </w:r>
      <w:proofErr w:type="spellEnd"/>
      <w:r w:rsidRPr="00F57CB9">
        <w:rPr>
          <w:rFonts w:ascii="Times New Roman" w:hAnsi="Times New Roman" w:cs="Times New Roman"/>
          <w:sz w:val="22"/>
          <w:szCs w:val="22"/>
        </w:rPr>
        <w:t xml:space="preserve">, L., &amp; </w:t>
      </w:r>
      <w:proofErr w:type="spellStart"/>
      <w:r w:rsidRPr="00F57CB9">
        <w:rPr>
          <w:rFonts w:ascii="Times New Roman" w:hAnsi="Times New Roman" w:cs="Times New Roman"/>
          <w:sz w:val="22"/>
          <w:szCs w:val="22"/>
        </w:rPr>
        <w:t>Farias</w:t>
      </w:r>
      <w:proofErr w:type="spellEnd"/>
      <w:r w:rsidRPr="00F57CB9">
        <w:rPr>
          <w:rFonts w:ascii="Times New Roman" w:hAnsi="Times New Roman" w:cs="Times New Roman"/>
          <w:sz w:val="22"/>
          <w:szCs w:val="22"/>
        </w:rPr>
        <w:t xml:space="preserve">, E. M. (2023). </w:t>
      </w:r>
      <w:r w:rsidRPr="00F57CB9">
        <w:rPr>
          <w:rFonts w:ascii="Times New Roman" w:hAnsi="Times New Roman" w:cs="Times New Roman"/>
          <w:i/>
          <w:iCs/>
          <w:sz w:val="22"/>
          <w:szCs w:val="22"/>
        </w:rPr>
        <w:t>Los inicios en la modalidad integrada: Experiencias de estudiantes ingresantes 2023 en la UNAJ.</w:t>
      </w:r>
      <w:r w:rsidRPr="00F57CB9">
        <w:rPr>
          <w:rFonts w:ascii="Times New Roman" w:hAnsi="Times New Roman" w:cs="Times New Roman"/>
          <w:sz w:val="22"/>
          <w:szCs w:val="22"/>
        </w:rPr>
        <w:t xml:space="preserve"> Jornadas Sociología UBA. https://jornadasdesociologia.sociales.uba.ar/wp-content/uploads/sites/295/advanced-cf7-upload/Jornadas-UBA-Ponencia-Cerezo-Mesa-57-FINAL.pdf</w:t>
      </w:r>
    </w:p>
    <w:p w14:paraId="31AD4A87" w14:textId="77777777" w:rsidR="00E037BF" w:rsidRPr="00F57CB9" w:rsidRDefault="00E037BF" w:rsidP="00F57CB9">
      <w:pPr>
        <w:pStyle w:val="Bibliografa"/>
        <w:spacing w:line="240" w:lineRule="auto"/>
        <w:rPr>
          <w:rFonts w:ascii="Times New Roman" w:hAnsi="Times New Roman" w:cs="Times New Roman"/>
          <w:sz w:val="22"/>
          <w:szCs w:val="22"/>
        </w:rPr>
      </w:pPr>
      <w:r w:rsidRPr="00F57CB9">
        <w:rPr>
          <w:rFonts w:ascii="Times New Roman" w:hAnsi="Times New Roman" w:cs="Times New Roman"/>
          <w:sz w:val="22"/>
          <w:szCs w:val="22"/>
        </w:rPr>
        <w:t xml:space="preserve">Cerezo, L., </w:t>
      </w:r>
      <w:proofErr w:type="spellStart"/>
      <w:r w:rsidRPr="00F57CB9">
        <w:rPr>
          <w:rFonts w:ascii="Times New Roman" w:hAnsi="Times New Roman" w:cs="Times New Roman"/>
          <w:sz w:val="22"/>
          <w:szCs w:val="22"/>
        </w:rPr>
        <w:t>Larison</w:t>
      </w:r>
      <w:proofErr w:type="spellEnd"/>
      <w:r w:rsidRPr="00F57CB9">
        <w:rPr>
          <w:rFonts w:ascii="Times New Roman" w:hAnsi="Times New Roman" w:cs="Times New Roman"/>
          <w:sz w:val="22"/>
          <w:szCs w:val="22"/>
        </w:rPr>
        <w:t xml:space="preserve">, L., &amp; </w:t>
      </w:r>
      <w:proofErr w:type="spellStart"/>
      <w:r w:rsidRPr="00F57CB9">
        <w:rPr>
          <w:rFonts w:ascii="Times New Roman" w:hAnsi="Times New Roman" w:cs="Times New Roman"/>
          <w:sz w:val="22"/>
          <w:szCs w:val="22"/>
        </w:rPr>
        <w:t>Farias</w:t>
      </w:r>
      <w:proofErr w:type="spellEnd"/>
      <w:r w:rsidRPr="00F57CB9">
        <w:rPr>
          <w:rFonts w:ascii="Times New Roman" w:hAnsi="Times New Roman" w:cs="Times New Roman"/>
          <w:sz w:val="22"/>
          <w:szCs w:val="22"/>
        </w:rPr>
        <w:t xml:space="preserve">, E. M. (2024). </w:t>
      </w:r>
      <w:r w:rsidRPr="00F57CB9">
        <w:rPr>
          <w:rFonts w:ascii="Times New Roman" w:hAnsi="Times New Roman" w:cs="Times New Roman"/>
          <w:i/>
          <w:iCs/>
          <w:sz w:val="22"/>
          <w:szCs w:val="22"/>
        </w:rPr>
        <w:t>Discontinuidad en los inicios: Análisis de los motivos por los que estudiantes</w:t>
      </w:r>
      <w:r w:rsidRPr="00F57CB9">
        <w:rPr>
          <w:rFonts w:ascii="Times New Roman" w:hAnsi="Times New Roman" w:cs="Times New Roman"/>
          <w:sz w:val="22"/>
          <w:szCs w:val="22"/>
        </w:rPr>
        <w:t>. https://congresos.fahce.unlp.edu.ar/la-universidad-como-objeto-de-investigacion/ix-encuentro/actas/ponencia-240711175900103506/@@display-file/file/Ponencia%20Discontinuidad%20FINAL%2020241013.pdf</w:t>
      </w:r>
    </w:p>
    <w:p w14:paraId="6010FA2D" w14:textId="77777777" w:rsidR="00E037BF" w:rsidRPr="00F57CB9" w:rsidRDefault="00E037BF" w:rsidP="00F57CB9">
      <w:pPr>
        <w:pStyle w:val="Bibliografa"/>
        <w:spacing w:line="240" w:lineRule="auto"/>
        <w:rPr>
          <w:rFonts w:ascii="Times New Roman" w:hAnsi="Times New Roman" w:cs="Times New Roman"/>
          <w:sz w:val="22"/>
          <w:szCs w:val="22"/>
        </w:rPr>
      </w:pPr>
      <w:r w:rsidRPr="00F57CB9">
        <w:rPr>
          <w:rFonts w:ascii="Times New Roman" w:hAnsi="Times New Roman" w:cs="Times New Roman"/>
          <w:sz w:val="22"/>
          <w:szCs w:val="22"/>
        </w:rPr>
        <w:t xml:space="preserve">Ciano, N., </w:t>
      </w:r>
      <w:proofErr w:type="spellStart"/>
      <w:r w:rsidRPr="00F57CB9">
        <w:rPr>
          <w:rFonts w:ascii="Times New Roman" w:hAnsi="Times New Roman" w:cs="Times New Roman"/>
          <w:sz w:val="22"/>
          <w:szCs w:val="22"/>
        </w:rPr>
        <w:t>Castignani</w:t>
      </w:r>
      <w:proofErr w:type="spellEnd"/>
      <w:r w:rsidRPr="00F57CB9">
        <w:rPr>
          <w:rFonts w:ascii="Times New Roman" w:hAnsi="Times New Roman" w:cs="Times New Roman"/>
          <w:sz w:val="22"/>
          <w:szCs w:val="22"/>
        </w:rPr>
        <w:t xml:space="preserve">, M. L., &amp; García, M. N. (2011). </w:t>
      </w:r>
      <w:proofErr w:type="spellStart"/>
      <w:r w:rsidRPr="00F57CB9">
        <w:rPr>
          <w:rFonts w:ascii="Times New Roman" w:hAnsi="Times New Roman" w:cs="Times New Roman"/>
          <w:i/>
          <w:iCs/>
          <w:sz w:val="22"/>
          <w:szCs w:val="22"/>
        </w:rPr>
        <w:t>Exploracion</w:t>
      </w:r>
      <w:proofErr w:type="spellEnd"/>
      <w:r w:rsidRPr="00F57CB9">
        <w:rPr>
          <w:rFonts w:ascii="Times New Roman" w:hAnsi="Times New Roman" w:cs="Times New Roman"/>
          <w:i/>
          <w:iCs/>
          <w:sz w:val="22"/>
          <w:szCs w:val="22"/>
        </w:rPr>
        <w:t xml:space="preserve"> del abandono universitario en estudiantes de las carreras de la Facultad de </w:t>
      </w:r>
      <w:proofErr w:type="spellStart"/>
      <w:r w:rsidRPr="00F57CB9">
        <w:rPr>
          <w:rFonts w:ascii="Times New Roman" w:hAnsi="Times New Roman" w:cs="Times New Roman"/>
          <w:i/>
          <w:iCs/>
          <w:sz w:val="22"/>
          <w:szCs w:val="22"/>
        </w:rPr>
        <w:t>Psicologia</w:t>
      </w:r>
      <w:proofErr w:type="spellEnd"/>
      <w:r w:rsidRPr="00F57CB9">
        <w:rPr>
          <w:rFonts w:ascii="Times New Roman" w:hAnsi="Times New Roman" w:cs="Times New Roman"/>
          <w:i/>
          <w:iCs/>
          <w:sz w:val="22"/>
          <w:szCs w:val="22"/>
        </w:rPr>
        <w:t xml:space="preserve"> de la Universidad Nacional de La Plata</w:t>
      </w:r>
      <w:r w:rsidRPr="00F57CB9">
        <w:rPr>
          <w:rFonts w:ascii="Times New Roman" w:hAnsi="Times New Roman" w:cs="Times New Roman"/>
          <w:sz w:val="22"/>
          <w:szCs w:val="22"/>
        </w:rPr>
        <w:t>. 8.</w:t>
      </w:r>
    </w:p>
    <w:p w14:paraId="065A8816" w14:textId="77777777" w:rsidR="00E037BF" w:rsidRPr="00F57CB9" w:rsidRDefault="00E037BF" w:rsidP="00F57CB9">
      <w:pPr>
        <w:pStyle w:val="Bibliografa"/>
        <w:spacing w:line="240" w:lineRule="auto"/>
        <w:rPr>
          <w:rFonts w:ascii="Times New Roman" w:hAnsi="Times New Roman" w:cs="Times New Roman"/>
          <w:sz w:val="22"/>
          <w:szCs w:val="22"/>
        </w:rPr>
      </w:pPr>
      <w:proofErr w:type="spellStart"/>
      <w:r w:rsidRPr="00F57CB9">
        <w:rPr>
          <w:rFonts w:ascii="Times New Roman" w:hAnsi="Times New Roman" w:cs="Times New Roman"/>
          <w:sz w:val="22"/>
          <w:szCs w:val="22"/>
        </w:rPr>
        <w:t>Costamagna</w:t>
      </w:r>
      <w:proofErr w:type="spellEnd"/>
      <w:r w:rsidRPr="00F57CB9">
        <w:rPr>
          <w:rFonts w:ascii="Times New Roman" w:hAnsi="Times New Roman" w:cs="Times New Roman"/>
          <w:sz w:val="22"/>
          <w:szCs w:val="22"/>
        </w:rPr>
        <w:t xml:space="preserve">, P., Ponti, E. D., Villalba, M. L., </w:t>
      </w:r>
      <w:proofErr w:type="spellStart"/>
      <w:r w:rsidRPr="00F57CB9">
        <w:rPr>
          <w:rFonts w:ascii="Times New Roman" w:hAnsi="Times New Roman" w:cs="Times New Roman"/>
          <w:sz w:val="22"/>
          <w:szCs w:val="22"/>
        </w:rPr>
        <w:t>Culasso</w:t>
      </w:r>
      <w:proofErr w:type="spellEnd"/>
      <w:r w:rsidRPr="00F57CB9">
        <w:rPr>
          <w:rFonts w:ascii="Times New Roman" w:hAnsi="Times New Roman" w:cs="Times New Roman"/>
          <w:sz w:val="22"/>
          <w:szCs w:val="22"/>
        </w:rPr>
        <w:t xml:space="preserve">, L., </w:t>
      </w:r>
      <w:proofErr w:type="spellStart"/>
      <w:r w:rsidRPr="00F57CB9">
        <w:rPr>
          <w:rFonts w:ascii="Times New Roman" w:hAnsi="Times New Roman" w:cs="Times New Roman"/>
          <w:sz w:val="22"/>
          <w:szCs w:val="22"/>
        </w:rPr>
        <w:t>Pizzi</w:t>
      </w:r>
      <w:proofErr w:type="spellEnd"/>
      <w:r w:rsidRPr="00F57CB9">
        <w:rPr>
          <w:rFonts w:ascii="Times New Roman" w:hAnsi="Times New Roman" w:cs="Times New Roman"/>
          <w:sz w:val="22"/>
          <w:szCs w:val="22"/>
        </w:rPr>
        <w:t xml:space="preserve">, C., &amp; </w:t>
      </w:r>
      <w:proofErr w:type="spellStart"/>
      <w:r w:rsidRPr="00F57CB9">
        <w:rPr>
          <w:rFonts w:ascii="Times New Roman" w:hAnsi="Times New Roman" w:cs="Times New Roman"/>
          <w:sz w:val="22"/>
          <w:szCs w:val="22"/>
        </w:rPr>
        <w:t>Vagliente</w:t>
      </w:r>
      <w:proofErr w:type="spellEnd"/>
      <w:r w:rsidRPr="00F57CB9">
        <w:rPr>
          <w:rFonts w:ascii="Times New Roman" w:hAnsi="Times New Roman" w:cs="Times New Roman"/>
          <w:sz w:val="22"/>
          <w:szCs w:val="22"/>
        </w:rPr>
        <w:t xml:space="preserve">, M. (2021). Interrupciones de itinerarios educativos en ingresantes 2020 de la </w:t>
      </w:r>
      <w:proofErr w:type="spellStart"/>
      <w:r w:rsidRPr="00F57CB9">
        <w:rPr>
          <w:rFonts w:ascii="Times New Roman" w:hAnsi="Times New Roman" w:cs="Times New Roman"/>
          <w:sz w:val="22"/>
          <w:szCs w:val="22"/>
        </w:rPr>
        <w:t>UNRaf</w:t>
      </w:r>
      <w:proofErr w:type="spellEnd"/>
      <w:r w:rsidRPr="00F57CB9">
        <w:rPr>
          <w:rFonts w:ascii="Times New Roman" w:hAnsi="Times New Roman" w:cs="Times New Roman"/>
          <w:sz w:val="22"/>
          <w:szCs w:val="22"/>
        </w:rPr>
        <w:t xml:space="preserve">. </w:t>
      </w:r>
      <w:r w:rsidRPr="00F57CB9">
        <w:rPr>
          <w:rFonts w:ascii="Times New Roman" w:hAnsi="Times New Roman" w:cs="Times New Roman"/>
          <w:i/>
          <w:iCs/>
          <w:sz w:val="22"/>
          <w:szCs w:val="22"/>
        </w:rPr>
        <w:t>CONTEXTOS DE EDUCACION</w:t>
      </w:r>
      <w:r w:rsidRPr="00F57CB9">
        <w:rPr>
          <w:rFonts w:ascii="Times New Roman" w:hAnsi="Times New Roman" w:cs="Times New Roman"/>
          <w:sz w:val="22"/>
          <w:szCs w:val="22"/>
        </w:rPr>
        <w:t xml:space="preserve">, (31), </w:t>
      </w:r>
      <w:proofErr w:type="spellStart"/>
      <w:r w:rsidRPr="00F57CB9">
        <w:rPr>
          <w:rFonts w:ascii="Times New Roman" w:hAnsi="Times New Roman" w:cs="Times New Roman"/>
          <w:sz w:val="22"/>
          <w:szCs w:val="22"/>
        </w:rPr>
        <w:t>Article</w:t>
      </w:r>
      <w:proofErr w:type="spellEnd"/>
      <w:r w:rsidRPr="00F57CB9">
        <w:rPr>
          <w:rFonts w:ascii="Times New Roman" w:hAnsi="Times New Roman" w:cs="Times New Roman"/>
          <w:sz w:val="22"/>
          <w:szCs w:val="22"/>
        </w:rPr>
        <w:t xml:space="preserve"> 31.</w:t>
      </w:r>
    </w:p>
    <w:p w14:paraId="5A237182" w14:textId="77777777" w:rsidR="00E037BF" w:rsidRPr="00F57CB9" w:rsidRDefault="00E037BF" w:rsidP="00F57CB9">
      <w:pPr>
        <w:pStyle w:val="Bibliografa"/>
        <w:spacing w:line="240" w:lineRule="auto"/>
        <w:rPr>
          <w:rFonts w:ascii="Times New Roman" w:hAnsi="Times New Roman" w:cs="Times New Roman"/>
          <w:sz w:val="22"/>
          <w:szCs w:val="22"/>
        </w:rPr>
      </w:pPr>
      <w:r w:rsidRPr="00F57CB9">
        <w:rPr>
          <w:rFonts w:ascii="Times New Roman" w:hAnsi="Times New Roman" w:cs="Times New Roman"/>
          <w:sz w:val="22"/>
          <w:szCs w:val="22"/>
        </w:rPr>
        <w:t xml:space="preserve">Ezcurra, A. M. (2011). </w:t>
      </w:r>
      <w:r w:rsidRPr="00F57CB9">
        <w:rPr>
          <w:rFonts w:ascii="Times New Roman" w:hAnsi="Times New Roman" w:cs="Times New Roman"/>
          <w:i/>
          <w:iCs/>
          <w:sz w:val="22"/>
          <w:szCs w:val="22"/>
        </w:rPr>
        <w:t>Igualdad en educación superior: Un desafío mundial</w:t>
      </w:r>
      <w:r w:rsidRPr="00F57CB9">
        <w:rPr>
          <w:rFonts w:ascii="Times New Roman" w:hAnsi="Times New Roman" w:cs="Times New Roman"/>
          <w:sz w:val="22"/>
          <w:szCs w:val="22"/>
        </w:rPr>
        <w:t>. Los Polvorines-Argentina: Universidad Nacional de General Sarmiento.</w:t>
      </w:r>
    </w:p>
    <w:p w14:paraId="1CC666F0" w14:textId="77777777" w:rsidR="00E037BF" w:rsidRPr="00F57CB9" w:rsidRDefault="00E037BF" w:rsidP="00F57CB9">
      <w:pPr>
        <w:pStyle w:val="Bibliografa"/>
        <w:spacing w:line="240" w:lineRule="auto"/>
        <w:rPr>
          <w:rFonts w:ascii="Times New Roman" w:hAnsi="Times New Roman" w:cs="Times New Roman"/>
          <w:sz w:val="22"/>
          <w:szCs w:val="22"/>
        </w:rPr>
      </w:pPr>
      <w:r w:rsidRPr="00F57CB9">
        <w:rPr>
          <w:rFonts w:ascii="Times New Roman" w:hAnsi="Times New Roman" w:cs="Times New Roman"/>
          <w:sz w:val="22"/>
          <w:szCs w:val="22"/>
        </w:rPr>
        <w:t xml:space="preserve">García de </w:t>
      </w:r>
      <w:proofErr w:type="spellStart"/>
      <w:r w:rsidRPr="00F57CB9">
        <w:rPr>
          <w:rFonts w:ascii="Times New Roman" w:hAnsi="Times New Roman" w:cs="Times New Roman"/>
          <w:sz w:val="22"/>
          <w:szCs w:val="22"/>
        </w:rPr>
        <w:t>Fanelli</w:t>
      </w:r>
      <w:proofErr w:type="spellEnd"/>
      <w:r w:rsidRPr="00F57CB9">
        <w:rPr>
          <w:rFonts w:ascii="Times New Roman" w:hAnsi="Times New Roman" w:cs="Times New Roman"/>
          <w:sz w:val="22"/>
          <w:szCs w:val="22"/>
        </w:rPr>
        <w:t xml:space="preserve">, A. (2005). Acceso, abandono y graduación en la educación superior argentina. </w:t>
      </w:r>
      <w:r w:rsidRPr="00F57CB9">
        <w:rPr>
          <w:rFonts w:ascii="Times New Roman" w:hAnsi="Times New Roman" w:cs="Times New Roman"/>
          <w:i/>
          <w:iCs/>
          <w:sz w:val="22"/>
          <w:szCs w:val="22"/>
        </w:rPr>
        <w:t>Sistema de información de tendencias educativas en América Latina, Debate 5. Educación superior. Acceso, permanencia y perfil social de los graduados comparados con los egresados de la educación media</w:t>
      </w:r>
      <w:r w:rsidRPr="00F57CB9">
        <w:rPr>
          <w:rFonts w:ascii="Times New Roman" w:hAnsi="Times New Roman" w:cs="Times New Roman"/>
          <w:sz w:val="22"/>
          <w:szCs w:val="22"/>
        </w:rPr>
        <w:t>. http://sitial.iipe-oei.org/sites/default/files/siteal_debate_5_fanelli_artculo.pdf</w:t>
      </w:r>
    </w:p>
    <w:p w14:paraId="0267CF72" w14:textId="77777777" w:rsidR="00E037BF" w:rsidRPr="00F57CB9" w:rsidRDefault="00E037BF" w:rsidP="00F57CB9">
      <w:pPr>
        <w:pStyle w:val="Bibliografa"/>
        <w:spacing w:line="240" w:lineRule="auto"/>
        <w:rPr>
          <w:rFonts w:ascii="Times New Roman" w:hAnsi="Times New Roman" w:cs="Times New Roman"/>
          <w:sz w:val="22"/>
          <w:szCs w:val="22"/>
        </w:rPr>
      </w:pPr>
      <w:r w:rsidRPr="00F57CB9">
        <w:rPr>
          <w:rFonts w:ascii="Times New Roman" w:hAnsi="Times New Roman" w:cs="Times New Roman"/>
          <w:sz w:val="22"/>
          <w:szCs w:val="22"/>
        </w:rPr>
        <w:t xml:space="preserve">García de </w:t>
      </w:r>
      <w:proofErr w:type="spellStart"/>
      <w:r w:rsidRPr="00F57CB9">
        <w:rPr>
          <w:rFonts w:ascii="Times New Roman" w:hAnsi="Times New Roman" w:cs="Times New Roman"/>
          <w:sz w:val="22"/>
          <w:szCs w:val="22"/>
        </w:rPr>
        <w:t>Fanelli</w:t>
      </w:r>
      <w:proofErr w:type="spellEnd"/>
      <w:r w:rsidRPr="00F57CB9">
        <w:rPr>
          <w:rFonts w:ascii="Times New Roman" w:hAnsi="Times New Roman" w:cs="Times New Roman"/>
          <w:sz w:val="22"/>
          <w:szCs w:val="22"/>
        </w:rPr>
        <w:t xml:space="preserve">, A. (2012). Acreditación de la calidad y financiamiento: Potenciando el cambio universitario vía fondos no competitivos de mejora. </w:t>
      </w:r>
      <w:proofErr w:type="spellStart"/>
      <w:r w:rsidRPr="00F57CB9">
        <w:rPr>
          <w:rFonts w:ascii="Times New Roman" w:hAnsi="Times New Roman" w:cs="Times New Roman"/>
          <w:i/>
          <w:iCs/>
          <w:sz w:val="22"/>
          <w:szCs w:val="22"/>
        </w:rPr>
        <w:t>Education</w:t>
      </w:r>
      <w:proofErr w:type="spellEnd"/>
      <w:r w:rsidRPr="00F57CB9">
        <w:rPr>
          <w:rFonts w:ascii="Times New Roman" w:hAnsi="Times New Roman" w:cs="Times New Roman"/>
          <w:i/>
          <w:iCs/>
          <w:sz w:val="22"/>
          <w:szCs w:val="22"/>
        </w:rPr>
        <w:t xml:space="preserve"> </w:t>
      </w:r>
      <w:proofErr w:type="spellStart"/>
      <w:r w:rsidRPr="00F57CB9">
        <w:rPr>
          <w:rFonts w:ascii="Times New Roman" w:hAnsi="Times New Roman" w:cs="Times New Roman"/>
          <w:i/>
          <w:iCs/>
          <w:sz w:val="22"/>
          <w:szCs w:val="22"/>
        </w:rPr>
        <w:t>Policy</w:t>
      </w:r>
      <w:proofErr w:type="spellEnd"/>
      <w:r w:rsidRPr="00F57CB9">
        <w:rPr>
          <w:rFonts w:ascii="Times New Roman" w:hAnsi="Times New Roman" w:cs="Times New Roman"/>
          <w:i/>
          <w:iCs/>
          <w:sz w:val="22"/>
          <w:szCs w:val="22"/>
        </w:rPr>
        <w:t xml:space="preserve"> </w:t>
      </w:r>
      <w:proofErr w:type="spellStart"/>
      <w:r w:rsidRPr="00F57CB9">
        <w:rPr>
          <w:rFonts w:ascii="Times New Roman" w:hAnsi="Times New Roman" w:cs="Times New Roman"/>
          <w:i/>
          <w:iCs/>
          <w:sz w:val="22"/>
          <w:szCs w:val="22"/>
        </w:rPr>
        <w:t>Analysis</w:t>
      </w:r>
      <w:proofErr w:type="spellEnd"/>
      <w:r w:rsidRPr="00F57CB9">
        <w:rPr>
          <w:rFonts w:ascii="Times New Roman" w:hAnsi="Times New Roman" w:cs="Times New Roman"/>
          <w:i/>
          <w:iCs/>
          <w:sz w:val="22"/>
          <w:szCs w:val="22"/>
        </w:rPr>
        <w:t xml:space="preserve"> Archives/Archivos Analíticos de Políticas Educativas</w:t>
      </w:r>
      <w:r w:rsidRPr="00F57CB9">
        <w:rPr>
          <w:rFonts w:ascii="Times New Roman" w:hAnsi="Times New Roman" w:cs="Times New Roman"/>
          <w:sz w:val="22"/>
          <w:szCs w:val="22"/>
        </w:rPr>
        <w:t xml:space="preserve">, </w:t>
      </w:r>
      <w:r w:rsidRPr="00F57CB9">
        <w:rPr>
          <w:rFonts w:ascii="Times New Roman" w:hAnsi="Times New Roman" w:cs="Times New Roman"/>
          <w:i/>
          <w:iCs/>
          <w:sz w:val="22"/>
          <w:szCs w:val="22"/>
        </w:rPr>
        <w:t>20</w:t>
      </w:r>
      <w:r w:rsidRPr="00F57CB9">
        <w:rPr>
          <w:rFonts w:ascii="Times New Roman" w:hAnsi="Times New Roman" w:cs="Times New Roman"/>
          <w:sz w:val="22"/>
          <w:szCs w:val="22"/>
        </w:rPr>
        <w:t xml:space="preserve">(22), </w:t>
      </w:r>
      <w:proofErr w:type="spellStart"/>
      <w:r w:rsidRPr="00F57CB9">
        <w:rPr>
          <w:rFonts w:ascii="Times New Roman" w:hAnsi="Times New Roman" w:cs="Times New Roman"/>
          <w:sz w:val="22"/>
          <w:szCs w:val="22"/>
        </w:rPr>
        <w:t>Article</w:t>
      </w:r>
      <w:proofErr w:type="spellEnd"/>
      <w:r w:rsidRPr="00F57CB9">
        <w:rPr>
          <w:rFonts w:ascii="Times New Roman" w:hAnsi="Times New Roman" w:cs="Times New Roman"/>
          <w:sz w:val="22"/>
          <w:szCs w:val="22"/>
        </w:rPr>
        <w:t xml:space="preserve"> 22.</w:t>
      </w:r>
    </w:p>
    <w:p w14:paraId="638DFC1D" w14:textId="77777777" w:rsidR="00E037BF" w:rsidRPr="00F57CB9" w:rsidRDefault="00E037BF" w:rsidP="00F57CB9">
      <w:pPr>
        <w:pStyle w:val="Bibliografa"/>
        <w:spacing w:line="240" w:lineRule="auto"/>
        <w:rPr>
          <w:rFonts w:ascii="Times New Roman" w:hAnsi="Times New Roman" w:cs="Times New Roman"/>
          <w:sz w:val="22"/>
          <w:szCs w:val="22"/>
        </w:rPr>
      </w:pPr>
      <w:proofErr w:type="spellStart"/>
      <w:r w:rsidRPr="00F57CB9">
        <w:rPr>
          <w:rFonts w:ascii="Times New Roman" w:hAnsi="Times New Roman" w:cs="Times New Roman"/>
          <w:sz w:val="22"/>
          <w:szCs w:val="22"/>
          <w:lang w:val="en-GB"/>
        </w:rPr>
        <w:t>Goldenhersh</w:t>
      </w:r>
      <w:proofErr w:type="spellEnd"/>
      <w:r w:rsidRPr="00F57CB9">
        <w:rPr>
          <w:rFonts w:ascii="Times New Roman" w:hAnsi="Times New Roman" w:cs="Times New Roman"/>
          <w:sz w:val="22"/>
          <w:szCs w:val="22"/>
          <w:lang w:val="en-GB"/>
        </w:rPr>
        <w:t xml:space="preserve">, H., Coria, A., &amp; </w:t>
      </w:r>
      <w:proofErr w:type="spellStart"/>
      <w:r w:rsidRPr="00F57CB9">
        <w:rPr>
          <w:rFonts w:ascii="Times New Roman" w:hAnsi="Times New Roman" w:cs="Times New Roman"/>
          <w:sz w:val="22"/>
          <w:szCs w:val="22"/>
          <w:lang w:val="en-GB"/>
        </w:rPr>
        <w:t>Saino</w:t>
      </w:r>
      <w:proofErr w:type="spellEnd"/>
      <w:r w:rsidRPr="00F57CB9">
        <w:rPr>
          <w:rFonts w:ascii="Times New Roman" w:hAnsi="Times New Roman" w:cs="Times New Roman"/>
          <w:sz w:val="22"/>
          <w:szCs w:val="22"/>
          <w:lang w:val="en-GB"/>
        </w:rPr>
        <w:t xml:space="preserve">, M. (2011). </w:t>
      </w:r>
      <w:r w:rsidRPr="00F57CB9">
        <w:rPr>
          <w:rFonts w:ascii="Times New Roman" w:hAnsi="Times New Roman" w:cs="Times New Roman"/>
          <w:sz w:val="22"/>
          <w:szCs w:val="22"/>
        </w:rPr>
        <w:t xml:space="preserve">DESERCIÓN ESTUDIANTIL: DESAFÍOS DE LA UNIVERSIDAD PÚBLICA EN UN HORIZONTE DE INCLUSIÓN. </w:t>
      </w:r>
      <w:r w:rsidRPr="00F57CB9">
        <w:rPr>
          <w:rFonts w:ascii="Times New Roman" w:hAnsi="Times New Roman" w:cs="Times New Roman"/>
          <w:i/>
          <w:iCs/>
          <w:sz w:val="22"/>
          <w:szCs w:val="22"/>
        </w:rPr>
        <w:t>Revista Argentina de Educación Superior</w:t>
      </w:r>
      <w:r w:rsidRPr="00F57CB9">
        <w:rPr>
          <w:rFonts w:ascii="Times New Roman" w:hAnsi="Times New Roman" w:cs="Times New Roman"/>
          <w:sz w:val="22"/>
          <w:szCs w:val="22"/>
        </w:rPr>
        <w:t>, 25.</w:t>
      </w:r>
    </w:p>
    <w:p w14:paraId="590DCB1D" w14:textId="77777777" w:rsidR="00E037BF" w:rsidRPr="00F57CB9" w:rsidRDefault="00E037BF" w:rsidP="00F57CB9">
      <w:pPr>
        <w:pStyle w:val="Bibliografa"/>
        <w:spacing w:line="240" w:lineRule="auto"/>
        <w:rPr>
          <w:rFonts w:ascii="Times New Roman" w:hAnsi="Times New Roman" w:cs="Times New Roman"/>
          <w:sz w:val="22"/>
          <w:szCs w:val="22"/>
        </w:rPr>
      </w:pPr>
      <w:proofErr w:type="spellStart"/>
      <w:r w:rsidRPr="00F57CB9">
        <w:rPr>
          <w:rFonts w:ascii="Times New Roman" w:hAnsi="Times New Roman" w:cs="Times New Roman"/>
          <w:sz w:val="22"/>
          <w:szCs w:val="22"/>
        </w:rPr>
        <w:t>Mertens</w:t>
      </w:r>
      <w:proofErr w:type="spellEnd"/>
      <w:r w:rsidRPr="00F57CB9">
        <w:rPr>
          <w:rFonts w:ascii="Times New Roman" w:hAnsi="Times New Roman" w:cs="Times New Roman"/>
          <w:sz w:val="22"/>
          <w:szCs w:val="22"/>
        </w:rPr>
        <w:t xml:space="preserve">, V. (2018). </w:t>
      </w:r>
      <w:r w:rsidRPr="00F57CB9">
        <w:rPr>
          <w:rFonts w:ascii="Times New Roman" w:hAnsi="Times New Roman" w:cs="Times New Roman"/>
          <w:i/>
          <w:iCs/>
          <w:sz w:val="22"/>
          <w:szCs w:val="22"/>
        </w:rPr>
        <w:t>Voces y desafíos institucionales. Un estudio sobre las representaciones de los actores institucionales acerca de la deserción en el primer año de las carreras de grado de la Facultad de Ciencias Económicas y Sociales de la Universidad Nacional de Mar del Plata</w:t>
      </w:r>
      <w:r w:rsidRPr="00F57CB9">
        <w:rPr>
          <w:rFonts w:ascii="Times New Roman" w:hAnsi="Times New Roman" w:cs="Times New Roman"/>
          <w:sz w:val="22"/>
          <w:szCs w:val="22"/>
        </w:rPr>
        <w:t xml:space="preserve"> [Masters, Universidad Nacional de Mar del Plata]. http://nulan.mdp.edu.ar/2903/</w:t>
      </w:r>
    </w:p>
    <w:p w14:paraId="0135FB92" w14:textId="77777777" w:rsidR="00E037BF" w:rsidRPr="00F57CB9" w:rsidRDefault="00E037BF" w:rsidP="00F57CB9">
      <w:pPr>
        <w:pStyle w:val="Bibliografa"/>
        <w:spacing w:line="240" w:lineRule="auto"/>
        <w:rPr>
          <w:rFonts w:ascii="Times New Roman" w:hAnsi="Times New Roman" w:cs="Times New Roman"/>
          <w:sz w:val="22"/>
          <w:szCs w:val="22"/>
        </w:rPr>
      </w:pPr>
      <w:proofErr w:type="spellStart"/>
      <w:r w:rsidRPr="00F57CB9">
        <w:rPr>
          <w:rFonts w:ascii="Times New Roman" w:hAnsi="Times New Roman" w:cs="Times New Roman"/>
          <w:sz w:val="22"/>
          <w:szCs w:val="22"/>
        </w:rPr>
        <w:t>Parrino</w:t>
      </w:r>
      <w:proofErr w:type="spellEnd"/>
      <w:r w:rsidRPr="00F57CB9">
        <w:rPr>
          <w:rFonts w:ascii="Times New Roman" w:hAnsi="Times New Roman" w:cs="Times New Roman"/>
          <w:sz w:val="22"/>
          <w:szCs w:val="22"/>
        </w:rPr>
        <w:t xml:space="preserve">, M. del C. (2005). De la reflexión a la acción. Políticas para disminuir los procesos de deserción universitaria. En </w:t>
      </w:r>
      <w:r w:rsidRPr="00F57CB9">
        <w:rPr>
          <w:rFonts w:ascii="Times New Roman" w:hAnsi="Times New Roman" w:cs="Times New Roman"/>
          <w:i/>
          <w:iCs/>
          <w:sz w:val="22"/>
          <w:szCs w:val="22"/>
        </w:rPr>
        <w:t>Aportes al debate sobre la gestión universitaria II</w:t>
      </w:r>
      <w:r w:rsidRPr="00F57CB9">
        <w:rPr>
          <w:rFonts w:ascii="Times New Roman" w:hAnsi="Times New Roman" w:cs="Times New Roman"/>
          <w:sz w:val="22"/>
          <w:szCs w:val="22"/>
        </w:rPr>
        <w:t xml:space="preserve"> (pp. 76-94). De los cuatro vientos. http://nulan.mdp.edu.ar/2890/</w:t>
      </w:r>
    </w:p>
    <w:p w14:paraId="0F00AFF6" w14:textId="77777777" w:rsidR="00E037BF" w:rsidRPr="00F57CB9" w:rsidRDefault="00E037BF" w:rsidP="00F57CB9">
      <w:pPr>
        <w:pStyle w:val="Bibliografa"/>
        <w:spacing w:line="240" w:lineRule="auto"/>
        <w:rPr>
          <w:rFonts w:ascii="Times New Roman" w:hAnsi="Times New Roman" w:cs="Times New Roman"/>
          <w:sz w:val="22"/>
          <w:szCs w:val="22"/>
        </w:rPr>
      </w:pPr>
      <w:r w:rsidRPr="00F57CB9">
        <w:rPr>
          <w:rFonts w:ascii="Times New Roman" w:hAnsi="Times New Roman" w:cs="Times New Roman"/>
          <w:sz w:val="22"/>
          <w:szCs w:val="22"/>
        </w:rPr>
        <w:t xml:space="preserve">Pérez </w:t>
      </w:r>
      <w:proofErr w:type="spellStart"/>
      <w:r w:rsidRPr="00F57CB9">
        <w:rPr>
          <w:rFonts w:ascii="Times New Roman" w:hAnsi="Times New Roman" w:cs="Times New Roman"/>
          <w:sz w:val="22"/>
          <w:szCs w:val="22"/>
        </w:rPr>
        <w:t>Rasetti</w:t>
      </w:r>
      <w:proofErr w:type="spellEnd"/>
      <w:r w:rsidRPr="00F57CB9">
        <w:rPr>
          <w:rFonts w:ascii="Times New Roman" w:hAnsi="Times New Roman" w:cs="Times New Roman"/>
          <w:sz w:val="22"/>
          <w:szCs w:val="22"/>
        </w:rPr>
        <w:t xml:space="preserve">, C. (2012). Tiempos interesantes: Complejidades, contradicciones e incertidumbres de la política universitaria actual. </w:t>
      </w:r>
      <w:r w:rsidRPr="00F57CB9">
        <w:rPr>
          <w:rFonts w:ascii="Times New Roman" w:hAnsi="Times New Roman" w:cs="Times New Roman"/>
          <w:i/>
          <w:iCs/>
          <w:sz w:val="22"/>
          <w:szCs w:val="22"/>
        </w:rPr>
        <w:t xml:space="preserve">La política universitaria de los gobiernos Kirchner: continuidades, rupturas, complejidades. </w:t>
      </w:r>
      <w:proofErr w:type="spellStart"/>
      <w:r w:rsidRPr="00F57CB9">
        <w:rPr>
          <w:rFonts w:ascii="Times New Roman" w:hAnsi="Times New Roman" w:cs="Times New Roman"/>
          <w:i/>
          <w:iCs/>
          <w:sz w:val="22"/>
          <w:szCs w:val="22"/>
        </w:rPr>
        <w:t>Chiroleu</w:t>
      </w:r>
      <w:proofErr w:type="spellEnd"/>
      <w:r w:rsidRPr="00F57CB9">
        <w:rPr>
          <w:rFonts w:ascii="Times New Roman" w:hAnsi="Times New Roman" w:cs="Times New Roman"/>
          <w:i/>
          <w:iCs/>
          <w:sz w:val="22"/>
          <w:szCs w:val="22"/>
        </w:rPr>
        <w:t xml:space="preserve">, A., Marquina, M. y </w:t>
      </w:r>
      <w:proofErr w:type="spellStart"/>
      <w:r w:rsidRPr="00F57CB9">
        <w:rPr>
          <w:rFonts w:ascii="Times New Roman" w:hAnsi="Times New Roman" w:cs="Times New Roman"/>
          <w:i/>
          <w:iCs/>
          <w:sz w:val="22"/>
          <w:szCs w:val="22"/>
        </w:rPr>
        <w:t>Rinesi</w:t>
      </w:r>
      <w:proofErr w:type="spellEnd"/>
      <w:r w:rsidRPr="00F57CB9">
        <w:rPr>
          <w:rFonts w:ascii="Times New Roman" w:hAnsi="Times New Roman" w:cs="Times New Roman"/>
          <w:i/>
          <w:iCs/>
          <w:sz w:val="22"/>
          <w:szCs w:val="22"/>
        </w:rPr>
        <w:t xml:space="preserve">, E. </w:t>
      </w:r>
      <w:proofErr w:type="spellStart"/>
      <w:r w:rsidRPr="00F57CB9">
        <w:rPr>
          <w:rFonts w:ascii="Times New Roman" w:hAnsi="Times New Roman" w:cs="Times New Roman"/>
          <w:i/>
          <w:iCs/>
          <w:sz w:val="22"/>
          <w:szCs w:val="22"/>
        </w:rPr>
        <w:t>comp.</w:t>
      </w:r>
      <w:proofErr w:type="spellEnd"/>
      <w:r w:rsidRPr="00F57CB9">
        <w:rPr>
          <w:rFonts w:ascii="Times New Roman" w:hAnsi="Times New Roman" w:cs="Times New Roman"/>
          <w:i/>
          <w:iCs/>
          <w:sz w:val="22"/>
          <w:szCs w:val="22"/>
        </w:rPr>
        <w:t>, Los Polvorines, Universidad Nacional de General Sarmiento</w:t>
      </w:r>
      <w:r w:rsidRPr="00F57CB9">
        <w:rPr>
          <w:rFonts w:ascii="Times New Roman" w:hAnsi="Times New Roman" w:cs="Times New Roman"/>
          <w:sz w:val="22"/>
          <w:szCs w:val="22"/>
        </w:rPr>
        <w:t>, 119-152.</w:t>
      </w:r>
    </w:p>
    <w:p w14:paraId="286B3262" w14:textId="77777777" w:rsidR="00E037BF" w:rsidRPr="00F57CB9" w:rsidRDefault="00E037BF" w:rsidP="00F57CB9">
      <w:pPr>
        <w:pStyle w:val="Bibliografa"/>
        <w:spacing w:line="240" w:lineRule="auto"/>
        <w:rPr>
          <w:rFonts w:ascii="Times New Roman" w:hAnsi="Times New Roman" w:cs="Times New Roman"/>
          <w:sz w:val="22"/>
          <w:szCs w:val="22"/>
        </w:rPr>
      </w:pPr>
      <w:r w:rsidRPr="00F57CB9">
        <w:rPr>
          <w:rFonts w:ascii="Times New Roman" w:hAnsi="Times New Roman" w:cs="Times New Roman"/>
          <w:sz w:val="22"/>
          <w:szCs w:val="22"/>
        </w:rPr>
        <w:t xml:space="preserve">Quiles, C., &amp; </w:t>
      </w:r>
      <w:proofErr w:type="spellStart"/>
      <w:r w:rsidRPr="00F57CB9">
        <w:rPr>
          <w:rFonts w:ascii="Times New Roman" w:hAnsi="Times New Roman" w:cs="Times New Roman"/>
          <w:sz w:val="22"/>
          <w:szCs w:val="22"/>
        </w:rPr>
        <w:t>Cha</w:t>
      </w:r>
      <w:proofErr w:type="spellEnd"/>
      <w:r w:rsidRPr="00F57CB9">
        <w:rPr>
          <w:rFonts w:ascii="Times New Roman" w:hAnsi="Times New Roman" w:cs="Times New Roman"/>
          <w:sz w:val="22"/>
          <w:szCs w:val="22"/>
        </w:rPr>
        <w:t xml:space="preserve">, R. (2012). </w:t>
      </w:r>
      <w:r w:rsidRPr="00F57CB9">
        <w:rPr>
          <w:rFonts w:ascii="Times New Roman" w:hAnsi="Times New Roman" w:cs="Times New Roman"/>
          <w:i/>
          <w:iCs/>
          <w:sz w:val="22"/>
          <w:szCs w:val="22"/>
        </w:rPr>
        <w:t>Abandono y permanencia en la Universidad de La Plata. Avances de investigación</w:t>
      </w:r>
      <w:r w:rsidRPr="00F57CB9">
        <w:rPr>
          <w:rFonts w:ascii="Times New Roman" w:hAnsi="Times New Roman" w:cs="Times New Roman"/>
          <w:sz w:val="22"/>
          <w:szCs w:val="22"/>
        </w:rPr>
        <w:t>. 4. https://www.aacademica.org/000-072/494.pdf</w:t>
      </w:r>
    </w:p>
    <w:p w14:paraId="3378998E" w14:textId="77777777" w:rsidR="00E037BF" w:rsidRPr="00F57CB9" w:rsidRDefault="00E037BF" w:rsidP="00F57CB9">
      <w:pPr>
        <w:pStyle w:val="Bibliografa"/>
        <w:spacing w:line="240" w:lineRule="auto"/>
        <w:rPr>
          <w:rFonts w:ascii="Times New Roman" w:hAnsi="Times New Roman" w:cs="Times New Roman"/>
          <w:sz w:val="22"/>
          <w:szCs w:val="22"/>
        </w:rPr>
      </w:pPr>
      <w:r w:rsidRPr="00F57CB9">
        <w:rPr>
          <w:rFonts w:ascii="Times New Roman" w:hAnsi="Times New Roman" w:cs="Times New Roman"/>
          <w:sz w:val="22"/>
          <w:szCs w:val="22"/>
        </w:rPr>
        <w:t xml:space="preserve">Santos Sharpe, A. (2020). </w:t>
      </w:r>
      <w:r w:rsidRPr="00F57CB9">
        <w:rPr>
          <w:rFonts w:ascii="Times New Roman" w:hAnsi="Times New Roman" w:cs="Times New Roman"/>
          <w:i/>
          <w:iCs/>
          <w:sz w:val="22"/>
          <w:szCs w:val="22"/>
        </w:rPr>
        <w:t>Relatos de la discontinuidad de los estudios universitarios</w:t>
      </w:r>
      <w:r w:rsidRPr="00F57CB9">
        <w:rPr>
          <w:rFonts w:ascii="Times New Roman" w:hAnsi="Times New Roman" w:cs="Times New Roman"/>
          <w:sz w:val="22"/>
          <w:szCs w:val="22"/>
        </w:rPr>
        <w:t>. https://www.teseopress.com/discontinuidadestudiosuniversitarios/</w:t>
      </w:r>
    </w:p>
    <w:p w14:paraId="37DE7106" w14:textId="1B16FFC6" w:rsidR="001408B8" w:rsidRPr="00F57CB9" w:rsidRDefault="00E037BF" w:rsidP="00F57CB9">
      <w:pPr>
        <w:pStyle w:val="Bibliografa"/>
        <w:spacing w:line="240" w:lineRule="auto"/>
        <w:rPr>
          <w:rFonts w:ascii="Times New Roman" w:hAnsi="Times New Roman" w:cs="Times New Roman"/>
          <w:sz w:val="22"/>
          <w:szCs w:val="22"/>
          <w:lang w:val="pt-BR"/>
        </w:rPr>
      </w:pPr>
      <w:r w:rsidRPr="00F57CB9">
        <w:rPr>
          <w:rFonts w:ascii="Times New Roman" w:hAnsi="Times New Roman" w:cs="Times New Roman"/>
          <w:sz w:val="22"/>
          <w:szCs w:val="22"/>
        </w:rPr>
        <w:t xml:space="preserve">Santos-Sharpe, A. (2021). Representaciones de cuatro carreras de la Universidad de Buenos Aires y su vínculo con el abandono de estudios. </w:t>
      </w:r>
      <w:r w:rsidRPr="00F57CB9">
        <w:rPr>
          <w:rFonts w:ascii="Times New Roman" w:hAnsi="Times New Roman" w:cs="Times New Roman"/>
          <w:i/>
          <w:iCs/>
          <w:sz w:val="22"/>
          <w:szCs w:val="22"/>
        </w:rPr>
        <w:t>Revista iberoamericana de educación superior</w:t>
      </w:r>
      <w:r w:rsidRPr="00F57CB9">
        <w:rPr>
          <w:rFonts w:ascii="Times New Roman" w:hAnsi="Times New Roman" w:cs="Times New Roman"/>
          <w:sz w:val="22"/>
          <w:szCs w:val="22"/>
        </w:rPr>
        <w:t xml:space="preserve">, </w:t>
      </w:r>
      <w:r w:rsidRPr="00F57CB9">
        <w:rPr>
          <w:rFonts w:ascii="Times New Roman" w:hAnsi="Times New Roman" w:cs="Times New Roman"/>
          <w:i/>
          <w:iCs/>
          <w:sz w:val="22"/>
          <w:szCs w:val="22"/>
        </w:rPr>
        <w:t>12</w:t>
      </w:r>
      <w:r w:rsidRPr="00F57CB9">
        <w:rPr>
          <w:rFonts w:ascii="Times New Roman" w:hAnsi="Times New Roman" w:cs="Times New Roman"/>
          <w:sz w:val="22"/>
          <w:szCs w:val="22"/>
        </w:rPr>
        <w:t>(34), 21-45.</w:t>
      </w:r>
      <w:r w:rsidR="001408B8" w:rsidRPr="00F57CB9">
        <w:rPr>
          <w:rFonts w:ascii="Times New Roman" w:hAnsi="Times New Roman" w:cs="Times New Roman"/>
          <w:sz w:val="22"/>
          <w:szCs w:val="22"/>
          <w:lang w:val="pt-BR"/>
        </w:rPr>
        <w:fldChar w:fldCharType="end"/>
      </w:r>
    </w:p>
    <w:sectPr w:rsidR="001408B8" w:rsidRPr="00F57CB9" w:rsidSect="00701F64">
      <w:headerReference w:type="default" r:id="rId10"/>
      <w:footerReference w:type="default" r:id="rId11"/>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AE4F28" w14:textId="77777777" w:rsidR="000E4694" w:rsidRPr="00BA642E" w:rsidRDefault="000E4694" w:rsidP="00C802F5">
      <w:pPr>
        <w:spacing w:after="0" w:line="240" w:lineRule="auto"/>
      </w:pPr>
      <w:r w:rsidRPr="00BA642E">
        <w:separator/>
      </w:r>
    </w:p>
  </w:endnote>
  <w:endnote w:type="continuationSeparator" w:id="0">
    <w:p w14:paraId="6CF60463" w14:textId="77777777" w:rsidR="000E4694" w:rsidRPr="00BA642E" w:rsidRDefault="000E4694"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BE3F03" w14:textId="77777777" w:rsidR="000E4694" w:rsidRPr="00BA642E" w:rsidRDefault="000E4694" w:rsidP="00C802F5">
      <w:pPr>
        <w:spacing w:after="0" w:line="240" w:lineRule="auto"/>
      </w:pPr>
      <w:r w:rsidRPr="00BA642E">
        <w:separator/>
      </w:r>
    </w:p>
  </w:footnote>
  <w:footnote w:type="continuationSeparator" w:id="0">
    <w:p w14:paraId="670F6E06" w14:textId="77777777" w:rsidR="000E4694" w:rsidRPr="00BA642E" w:rsidRDefault="000E4694" w:rsidP="00C802F5">
      <w:pPr>
        <w:spacing w:after="0" w:line="240" w:lineRule="auto"/>
      </w:pPr>
      <w:r w:rsidRPr="00BA642E">
        <w:continuationSeparator/>
      </w:r>
    </w:p>
  </w:footnote>
  <w:footnote w:id="1">
    <w:p w14:paraId="3B79803C" w14:textId="77777777" w:rsidR="00F84B60" w:rsidRPr="005F3B52" w:rsidRDefault="00F84B60" w:rsidP="00D723FE">
      <w:pPr>
        <w:pStyle w:val="Textonotapie"/>
        <w:jc w:val="both"/>
        <w:rPr>
          <w:rFonts w:ascii="Times New Roman" w:hAnsi="Times New Roman" w:cs="Times New Roman"/>
        </w:rPr>
      </w:pPr>
      <w:r w:rsidRPr="005F3B52">
        <w:rPr>
          <w:rStyle w:val="Refdenotaalpie"/>
          <w:rFonts w:ascii="Times New Roman" w:hAnsi="Times New Roman" w:cs="Times New Roman"/>
        </w:rPr>
        <w:footnoteRef/>
      </w:r>
      <w:r w:rsidRPr="005F3B52">
        <w:rPr>
          <w:rFonts w:ascii="Times New Roman" w:hAnsi="Times New Roman" w:cs="Times New Roman"/>
        </w:rPr>
        <w:t xml:space="preserve"> </w:t>
      </w:r>
      <w:r w:rsidRPr="005F3B52">
        <w:rPr>
          <w:rFonts w:ascii="Times New Roman" w:eastAsia="Times New Roman" w:hAnsi="Times New Roman" w:cs="Times New Roman"/>
        </w:rPr>
        <w:t>Al respecto, datos de la Secretaría de Políticas Universitarias indicaban que la tasa de retención en el primer año era de 56% (2022).</w:t>
      </w:r>
    </w:p>
  </w:footnote>
  <w:footnote w:id="2">
    <w:p w14:paraId="6A52259D" w14:textId="4D40D45F" w:rsidR="00764657" w:rsidRDefault="00764657" w:rsidP="00D723FE">
      <w:pPr>
        <w:pStyle w:val="Textonotapie"/>
        <w:jc w:val="both"/>
      </w:pPr>
      <w:r w:rsidRPr="00D723FE">
        <w:rPr>
          <w:rStyle w:val="Refdenotaalpie"/>
          <w:rFonts w:ascii="Times New Roman" w:hAnsi="Times New Roman" w:cs="Times New Roman"/>
        </w:rPr>
        <w:footnoteRef/>
      </w:r>
      <w:r w:rsidRPr="00D723FE">
        <w:rPr>
          <w:rFonts w:ascii="Times New Roman" w:hAnsi="Times New Roman" w:cs="Times New Roman"/>
        </w:rPr>
        <w:t xml:space="preserve"> Esta materia, incorporada a partir del primer cuatrimestre de 2025 en el CI de UNAJ, se encuentra destinada a estudiantes de todas las carreras del Instituto de Ingeniería y de la carrera de Economía del Instituto de Sociales y Administración, personas que tienen que cursar esta materia y no Matemática Inicial.</w:t>
      </w:r>
    </w:p>
  </w:footnote>
  <w:footnote w:id="3">
    <w:p w14:paraId="034AAB8F" w14:textId="77777777" w:rsidR="00F84B60" w:rsidRPr="003E6947" w:rsidRDefault="00F84B60" w:rsidP="00F84B60">
      <w:pPr>
        <w:pStyle w:val="Textonotapie"/>
        <w:jc w:val="both"/>
        <w:rPr>
          <w:rFonts w:ascii="Times New Roman" w:hAnsi="Times New Roman" w:cs="Times New Roman"/>
        </w:rPr>
      </w:pPr>
      <w:r w:rsidRPr="003E6947">
        <w:rPr>
          <w:rStyle w:val="Refdenotaalpie"/>
          <w:rFonts w:ascii="Times New Roman" w:hAnsi="Times New Roman" w:cs="Times New Roman"/>
        </w:rPr>
        <w:footnoteRef/>
      </w:r>
      <w:r w:rsidRPr="003E6947">
        <w:rPr>
          <w:rFonts w:ascii="Times New Roman" w:hAnsi="Times New Roman" w:cs="Times New Roman"/>
        </w:rPr>
        <w:t xml:space="preserve"> Este universo corresponde a aquellas personas a las que se les asignó "Ausente" como resultado de cursada en las actas del SIU, es decir que se incluyen tanto a quienes al finalizar la cursada quedaron en condición de "Abandono” como en condición de “Libres”.</w:t>
      </w:r>
    </w:p>
  </w:footnote>
  <w:footnote w:id="4">
    <w:p w14:paraId="62A44F69" w14:textId="77777777" w:rsidR="00F84B60" w:rsidRPr="00766F98" w:rsidRDefault="00F84B60" w:rsidP="00F84B60">
      <w:pPr>
        <w:pStyle w:val="Textonotapie"/>
        <w:jc w:val="both"/>
      </w:pPr>
      <w:r w:rsidRPr="003E6947">
        <w:rPr>
          <w:rStyle w:val="Refdenotaalpie"/>
          <w:rFonts w:ascii="Times New Roman" w:hAnsi="Times New Roman" w:cs="Times New Roman"/>
        </w:rPr>
        <w:footnoteRef/>
      </w:r>
      <w:r w:rsidRPr="003E6947">
        <w:rPr>
          <w:rFonts w:ascii="Times New Roman" w:hAnsi="Times New Roman" w:cs="Times New Roman"/>
        </w:rPr>
        <w:t xml:space="preserve"> Cabe señalar que esta cantidad de respuestas no coinciden necesariamente con personas, en tanto, tal como referimos anteriormente, es plausible que una misma persona discontinúe la cursada de más de una materia. En tanto era una encuesta anónima no hay forma de dar cuenta de ello y en el presente análisis se toma cada respuesta individualmente.</w:t>
      </w:r>
    </w:p>
  </w:footnote>
  <w:footnote w:id="5">
    <w:p w14:paraId="370D8B0C" w14:textId="77777777" w:rsidR="006B44A3" w:rsidRDefault="006B44A3" w:rsidP="006B44A3">
      <w:pPr>
        <w:pStyle w:val="Textonotapie"/>
        <w:jc w:val="both"/>
      </w:pPr>
      <w:r w:rsidRPr="001E2FAE">
        <w:rPr>
          <w:rStyle w:val="Refdenotaalpie"/>
          <w:rFonts w:ascii="Times New Roman" w:hAnsi="Times New Roman" w:cs="Times New Roman"/>
        </w:rPr>
        <w:footnoteRef/>
      </w:r>
      <w:r w:rsidRPr="001E2FAE">
        <w:rPr>
          <w:rFonts w:ascii="Times New Roman" w:hAnsi="Times New Roman" w:cs="Times New Roman"/>
        </w:rPr>
        <w:t xml:space="preserve"> La modalidad integrada se puso en marcha para las materias del CI en 2022. </w:t>
      </w:r>
      <w:r w:rsidRPr="001E2FAE">
        <w:rPr>
          <w:rFonts w:ascii="Times New Roman" w:hAnsi="Times New Roman" w:cs="Times New Roman"/>
          <w:color w:val="000000"/>
        </w:rPr>
        <w:t xml:space="preserve">Esta combina </w:t>
      </w:r>
      <w:bookmarkStart w:id="1" w:name="_Hlk229564576"/>
      <w:r w:rsidRPr="001E2FAE">
        <w:rPr>
          <w:rFonts w:ascii="Times New Roman" w:hAnsi="Times New Roman" w:cs="Times New Roman"/>
          <w:color w:val="000000"/>
        </w:rPr>
        <w:t>dos modalidades dentro de cada materia: un día a la semana se asiste presencialmente y otro tiene lugar en la modalidad virtual.</w:t>
      </w:r>
      <w:bookmarkEnd w:id="1"/>
      <w:r w:rsidRPr="001E2FAE">
        <w:rPr>
          <w:rFonts w:ascii="Times New Roman" w:hAnsi="Times New Roman" w:cs="Times New Roman"/>
          <w:color w:val="000000"/>
        </w:rPr>
        <w:t xml:space="preserve"> Propone la complementariedad entre la virtualidad y la presencialidad, sin que suponga un reemplazo de una por la otra. En distintos trabajos indagamos acerca de las implicancias de esta modalidad en las trayectorias estudiantiles </w:t>
      </w:r>
      <w:r w:rsidRPr="001E2FAE">
        <w:rPr>
          <w:rFonts w:ascii="Times New Roman" w:hAnsi="Times New Roman" w:cs="Times New Roman"/>
          <w:color w:val="000000"/>
        </w:rPr>
        <w:fldChar w:fldCharType="begin"/>
      </w:r>
      <w:r w:rsidRPr="001E2FAE">
        <w:rPr>
          <w:rFonts w:ascii="Times New Roman" w:hAnsi="Times New Roman" w:cs="Times New Roman"/>
          <w:color w:val="000000"/>
        </w:rPr>
        <w:instrText xml:space="preserve"> ADDIN ZOTERO_ITEM CSL_CITATION {"citationID":"V4JeIvVB","properties":{"unsorted":false,"formattedCitation":"(Cerezo et\\uc0\\u160{}al., 2023)","plainCitation":"(Cerezo et al., 2023)","noteIndex":8},"citationItems":[{"id":1793,"uris":["http://zotero.org/users/3485131/items/VUD82RJG"],"itemData":{"id":1793,"type":"paper-conference","event-title":"Jornadas Sociología UBA","publisher-place":"CABA, Argentina","source":"Google Scholar","title":"Los inicios en la modalidad integrada: experiencias de estudiantes ingresantes 2023 en la UNAJ.","title-short":"Los inicios en la modalidad integrada","URL":"https://jornadasdesociologia.sociales.uba.ar/wp-content/uploads/sites/295/advanced-cf7-upload/Jornadas-UBA-Ponencia-Cerezo-Mesa-57-FINAL.pdf","author":[{"family":"Cerezo","given":"Leticia"},{"family":"Almiron","given":"Alejandra"},{"family":"Larison","given":"Leandro"},{"family":"Farias","given":"Ernesto Manuel"}],"accessed":{"date-parts":[["2026",4,13]]},"issued":{"date-parts":[["2023"]]}}}],"schema":"https://github.com/citation-style-language/schema/raw/master/csl-citation.json"} </w:instrText>
      </w:r>
      <w:r w:rsidRPr="001E2FAE">
        <w:rPr>
          <w:rFonts w:ascii="Times New Roman" w:hAnsi="Times New Roman" w:cs="Times New Roman"/>
          <w:color w:val="000000"/>
        </w:rPr>
        <w:fldChar w:fldCharType="separate"/>
      </w:r>
      <w:r w:rsidRPr="001E2FAE">
        <w:rPr>
          <w:rFonts w:ascii="Times New Roman" w:hAnsi="Times New Roman" w:cs="Times New Roman"/>
          <w:szCs w:val="24"/>
        </w:rPr>
        <w:t>(Cerezo et al., 2023)</w:t>
      </w:r>
      <w:r w:rsidRPr="001E2FAE">
        <w:rPr>
          <w:rFonts w:ascii="Times New Roman" w:hAnsi="Times New Roman" w:cs="Times New Roman"/>
          <w:color w:val="000000"/>
        </w:rPr>
        <w:fldChar w:fldCharType="end"/>
      </w:r>
      <w:r w:rsidRPr="001E2FAE">
        <w:rPr>
          <w:rFonts w:ascii="Times New Roman" w:hAnsi="Times New Roman" w:cs="Times New Roman"/>
          <w:color w:val="000000"/>
        </w:rPr>
        <w:t>.</w:t>
      </w:r>
    </w:p>
  </w:footnote>
  <w:footnote w:id="6">
    <w:p w14:paraId="29A6589D" w14:textId="77777777" w:rsidR="001123F7" w:rsidRPr="00477994" w:rsidRDefault="001123F7" w:rsidP="001123F7">
      <w:pPr>
        <w:pStyle w:val="Textonotapie"/>
        <w:jc w:val="both"/>
        <w:rPr>
          <w:rFonts w:ascii="Arial" w:hAnsi="Arial" w:cs="Arial"/>
        </w:rPr>
      </w:pPr>
      <w:r w:rsidRPr="00D537F5">
        <w:rPr>
          <w:vertAlign w:val="superscript"/>
        </w:rPr>
        <w:footnoteRef/>
      </w:r>
      <w:r>
        <w:t xml:space="preserve"> </w:t>
      </w:r>
      <w:r w:rsidRPr="001E2FAE">
        <w:rPr>
          <w:rFonts w:ascii="Times New Roman" w:hAnsi="Times New Roman" w:cs="Times New Roman"/>
        </w:rPr>
        <w:t xml:space="preserve">Las categorías de identidad de género que se incluyen en este 0,5% corresponden a mujer trans, varón trans, </w:t>
      </w:r>
      <w:proofErr w:type="spellStart"/>
      <w:r w:rsidRPr="001E2FAE">
        <w:rPr>
          <w:rFonts w:ascii="Times New Roman" w:hAnsi="Times New Roman" w:cs="Times New Roman"/>
        </w:rPr>
        <w:t>binarie</w:t>
      </w:r>
      <w:proofErr w:type="spellEnd"/>
      <w:r w:rsidRPr="001E2FAE">
        <w:rPr>
          <w:rFonts w:ascii="Times New Roman" w:hAnsi="Times New Roman" w:cs="Times New Roman"/>
        </w:rPr>
        <w:t xml:space="preserve"> u otra. Esta categoría no será incluida en el análisis procedente dada la pequeña cantidad de casos que registra.</w:t>
      </w:r>
      <w:r>
        <w:t xml:space="preserve"> </w:t>
      </w:r>
    </w:p>
  </w:footnote>
  <w:footnote w:id="7">
    <w:p w14:paraId="6DA25B1F" w14:textId="77777777" w:rsidR="001123F7" w:rsidRPr="001E2FAE" w:rsidRDefault="001123F7" w:rsidP="001123F7">
      <w:pPr>
        <w:pStyle w:val="Textonotapie"/>
        <w:jc w:val="both"/>
        <w:rPr>
          <w:rFonts w:ascii="Times New Roman" w:hAnsi="Times New Roman" w:cs="Times New Roman"/>
        </w:rPr>
      </w:pPr>
      <w:r w:rsidRPr="001E2FAE">
        <w:rPr>
          <w:rStyle w:val="Refdenotaalpie"/>
          <w:rFonts w:ascii="Times New Roman" w:hAnsi="Times New Roman" w:cs="Times New Roman"/>
        </w:rPr>
        <w:footnoteRef/>
      </w:r>
      <w:r w:rsidRPr="001E2FAE">
        <w:rPr>
          <w:rFonts w:ascii="Times New Roman" w:hAnsi="Times New Roman" w:cs="Times New Roman"/>
        </w:rPr>
        <w:t xml:space="preserve"> En el cuestionario se definía cuidar de la siguiente forma: “Cuidar sería: darle de comer, bañarlo/a, vestirlo/a; acompañarlo a dormir, jugar; acompañarlo a revisiones de salud, entre otras.”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8067B7"/>
    <w:multiLevelType w:val="hybridMultilevel"/>
    <w:tmpl w:val="AA32F1A2"/>
    <w:lvl w:ilvl="0" w:tplc="2C0A0019">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4F8B5BE0"/>
    <w:multiLevelType w:val="hybridMultilevel"/>
    <w:tmpl w:val="F004806C"/>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0229E"/>
    <w:rsid w:val="000B7C7F"/>
    <w:rsid w:val="000E4694"/>
    <w:rsid w:val="001123F7"/>
    <w:rsid w:val="001408B8"/>
    <w:rsid w:val="001816D6"/>
    <w:rsid w:val="00185F5E"/>
    <w:rsid w:val="001923DC"/>
    <w:rsid w:val="001B7D6E"/>
    <w:rsid w:val="001E2FAE"/>
    <w:rsid w:val="001F2282"/>
    <w:rsid w:val="00216024"/>
    <w:rsid w:val="002327C3"/>
    <w:rsid w:val="0027159B"/>
    <w:rsid w:val="002D137D"/>
    <w:rsid w:val="00312392"/>
    <w:rsid w:val="00361935"/>
    <w:rsid w:val="0036247D"/>
    <w:rsid w:val="003A5088"/>
    <w:rsid w:val="004040C0"/>
    <w:rsid w:val="00424D16"/>
    <w:rsid w:val="00437E9C"/>
    <w:rsid w:val="00441C63"/>
    <w:rsid w:val="004C6193"/>
    <w:rsid w:val="00550766"/>
    <w:rsid w:val="00551C79"/>
    <w:rsid w:val="00574D03"/>
    <w:rsid w:val="005D57BA"/>
    <w:rsid w:val="005F3B2E"/>
    <w:rsid w:val="006B44A3"/>
    <w:rsid w:val="006C2BFF"/>
    <w:rsid w:val="00701D6D"/>
    <w:rsid w:val="00701F64"/>
    <w:rsid w:val="00736C0C"/>
    <w:rsid w:val="00763284"/>
    <w:rsid w:val="00764657"/>
    <w:rsid w:val="0076516B"/>
    <w:rsid w:val="007B5B5F"/>
    <w:rsid w:val="007C774B"/>
    <w:rsid w:val="007D233B"/>
    <w:rsid w:val="0082383A"/>
    <w:rsid w:val="0085070B"/>
    <w:rsid w:val="00946ED8"/>
    <w:rsid w:val="009D4F41"/>
    <w:rsid w:val="00A17247"/>
    <w:rsid w:val="00A94A60"/>
    <w:rsid w:val="00AB1921"/>
    <w:rsid w:val="00AE1643"/>
    <w:rsid w:val="00B375F2"/>
    <w:rsid w:val="00BA2E3E"/>
    <w:rsid w:val="00BA642E"/>
    <w:rsid w:val="00BC236F"/>
    <w:rsid w:val="00BD3D81"/>
    <w:rsid w:val="00C802F5"/>
    <w:rsid w:val="00C96B2C"/>
    <w:rsid w:val="00CC04C1"/>
    <w:rsid w:val="00D723FE"/>
    <w:rsid w:val="00D738AC"/>
    <w:rsid w:val="00D828DD"/>
    <w:rsid w:val="00D843EC"/>
    <w:rsid w:val="00D8467C"/>
    <w:rsid w:val="00E037BF"/>
    <w:rsid w:val="00E66AC0"/>
    <w:rsid w:val="00EA2959"/>
    <w:rsid w:val="00F4700F"/>
    <w:rsid w:val="00F57CB9"/>
    <w:rsid w:val="00F84B60"/>
    <w:rsid w:val="00FE613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 w:type="paragraph" w:styleId="NormalWeb">
    <w:name w:val="Normal (Web)"/>
    <w:basedOn w:val="Normal"/>
    <w:uiPriority w:val="99"/>
    <w:unhideWhenUsed/>
    <w:rsid w:val="00F84B60"/>
    <w:pPr>
      <w:spacing w:before="100" w:beforeAutospacing="1" w:after="100" w:afterAutospacing="1" w:line="240" w:lineRule="auto"/>
    </w:pPr>
    <w:rPr>
      <w:rFonts w:ascii="Times New Roman" w:eastAsia="Times New Roman" w:hAnsi="Times New Roman" w:cs="Times New Roman"/>
      <w:kern w:val="0"/>
      <w:lang w:val="es-AR" w:eastAsia="es-AR"/>
      <w14:ligatures w14:val="none"/>
    </w:rPr>
  </w:style>
  <w:style w:type="paragraph" w:styleId="Textonotapie">
    <w:name w:val="footnote text"/>
    <w:basedOn w:val="Normal"/>
    <w:link w:val="TextonotapieCar"/>
    <w:uiPriority w:val="99"/>
    <w:semiHidden/>
    <w:unhideWhenUsed/>
    <w:rsid w:val="00F84B60"/>
    <w:pPr>
      <w:spacing w:after="0" w:line="240" w:lineRule="auto"/>
    </w:pPr>
    <w:rPr>
      <w:rFonts w:ascii="Calibri" w:eastAsia="Calibri" w:hAnsi="Calibri" w:cs="Calibri"/>
      <w:kern w:val="0"/>
      <w:sz w:val="20"/>
      <w:szCs w:val="20"/>
      <w:lang w:val="es-AR" w:eastAsia="es-AR"/>
      <w14:ligatures w14:val="none"/>
    </w:rPr>
  </w:style>
  <w:style w:type="character" w:customStyle="1" w:styleId="TextonotapieCar">
    <w:name w:val="Texto nota pie Car"/>
    <w:basedOn w:val="Fuentedeprrafopredeter"/>
    <w:link w:val="Textonotapie"/>
    <w:uiPriority w:val="99"/>
    <w:semiHidden/>
    <w:rsid w:val="00F84B60"/>
    <w:rPr>
      <w:rFonts w:ascii="Calibri" w:eastAsia="Calibri" w:hAnsi="Calibri" w:cs="Calibri"/>
      <w:kern w:val="0"/>
      <w:sz w:val="20"/>
      <w:szCs w:val="20"/>
      <w:lang w:eastAsia="es-AR"/>
      <w14:ligatures w14:val="none"/>
    </w:rPr>
  </w:style>
  <w:style w:type="character" w:styleId="Refdenotaalpie">
    <w:name w:val="footnote reference"/>
    <w:basedOn w:val="Fuentedeprrafopredeter"/>
    <w:uiPriority w:val="99"/>
    <w:semiHidden/>
    <w:unhideWhenUsed/>
    <w:rsid w:val="00F84B60"/>
    <w:rPr>
      <w:vertAlign w:val="superscript"/>
    </w:rPr>
  </w:style>
  <w:style w:type="paragraph" w:customStyle="1" w:styleId="LO-normal">
    <w:name w:val="LO-normal"/>
    <w:qFormat/>
    <w:rsid w:val="00F84B60"/>
    <w:pPr>
      <w:suppressAutoHyphens/>
      <w:spacing w:line="252" w:lineRule="auto"/>
    </w:pPr>
    <w:rPr>
      <w:rFonts w:ascii="Calibri" w:eastAsia="Calibri" w:hAnsi="Calibri" w:cs="Calibri"/>
      <w:kern w:val="0"/>
      <w:sz w:val="22"/>
      <w:szCs w:val="22"/>
      <w:lang w:eastAsia="zh-CN" w:bidi="hi-IN"/>
      <w14:ligatures w14:val="none"/>
    </w:rPr>
  </w:style>
  <w:style w:type="paragraph" w:customStyle="1" w:styleId="pdq2pgselectionanchorcontainer">
    <w:name w:val="pdq2pg_selectionanchorcontainer"/>
    <w:basedOn w:val="Normal"/>
    <w:rsid w:val="00B375F2"/>
    <w:pPr>
      <w:spacing w:before="100" w:beforeAutospacing="1" w:after="100" w:afterAutospacing="1" w:line="240" w:lineRule="auto"/>
    </w:pPr>
    <w:rPr>
      <w:rFonts w:ascii="Times New Roman" w:eastAsia="Times New Roman" w:hAnsi="Times New Roman" w:cs="Times New Roman"/>
      <w:kern w:val="0"/>
      <w:lang w:val="es-AR" w:eastAsia="es-AR"/>
      <w14:ligatures w14:val="none"/>
    </w:rPr>
  </w:style>
  <w:style w:type="paragraph" w:styleId="Bibliografa">
    <w:name w:val="Bibliography"/>
    <w:basedOn w:val="Normal"/>
    <w:next w:val="Normal"/>
    <w:uiPriority w:val="37"/>
    <w:unhideWhenUsed/>
    <w:rsid w:val="001408B8"/>
    <w:pPr>
      <w:spacing w:after="0" w:line="480" w:lineRule="auto"/>
      <w:ind w:left="720" w:hanging="720"/>
    </w:pPr>
  </w:style>
  <w:style w:type="character" w:styleId="Textoennegrita">
    <w:name w:val="Strong"/>
    <w:basedOn w:val="Fuentedeprrafopredeter"/>
    <w:uiPriority w:val="22"/>
    <w:qFormat/>
    <w:rsid w:val="004C619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1009682">
      <w:bodyDiv w:val="1"/>
      <w:marLeft w:val="0"/>
      <w:marRight w:val="0"/>
      <w:marTop w:val="0"/>
      <w:marBottom w:val="0"/>
      <w:divBdr>
        <w:top w:val="none" w:sz="0" w:space="0" w:color="auto"/>
        <w:left w:val="none" w:sz="0" w:space="0" w:color="auto"/>
        <w:bottom w:val="none" w:sz="0" w:space="0" w:color="auto"/>
        <w:right w:val="none" w:sz="0" w:space="0" w:color="auto"/>
      </w:divBdr>
    </w:div>
    <w:div w:id="702943301">
      <w:bodyDiv w:val="1"/>
      <w:marLeft w:val="0"/>
      <w:marRight w:val="0"/>
      <w:marTop w:val="0"/>
      <w:marBottom w:val="0"/>
      <w:divBdr>
        <w:top w:val="none" w:sz="0" w:space="0" w:color="auto"/>
        <w:left w:val="none" w:sz="0" w:space="0" w:color="auto"/>
        <w:bottom w:val="none" w:sz="0" w:space="0" w:color="auto"/>
        <w:right w:val="none" w:sz="0" w:space="0" w:color="auto"/>
      </w:divBdr>
    </w:div>
    <w:div w:id="767700983">
      <w:bodyDiv w:val="1"/>
      <w:marLeft w:val="0"/>
      <w:marRight w:val="0"/>
      <w:marTop w:val="0"/>
      <w:marBottom w:val="0"/>
      <w:divBdr>
        <w:top w:val="none" w:sz="0" w:space="0" w:color="auto"/>
        <w:left w:val="none" w:sz="0" w:space="0" w:color="auto"/>
        <w:bottom w:val="none" w:sz="0" w:space="0" w:color="auto"/>
        <w:right w:val="none" w:sz="0" w:space="0" w:color="auto"/>
      </w:divBdr>
      <w:divsChild>
        <w:div w:id="2786864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46279011">
      <w:bodyDiv w:val="1"/>
      <w:marLeft w:val="0"/>
      <w:marRight w:val="0"/>
      <w:marTop w:val="0"/>
      <w:marBottom w:val="0"/>
      <w:divBdr>
        <w:top w:val="none" w:sz="0" w:space="0" w:color="auto"/>
        <w:left w:val="none" w:sz="0" w:space="0" w:color="auto"/>
        <w:bottom w:val="none" w:sz="0" w:space="0" w:color="auto"/>
        <w:right w:val="none" w:sz="0" w:space="0" w:color="auto"/>
      </w:divBdr>
    </w:div>
    <w:div w:id="1384519638">
      <w:bodyDiv w:val="1"/>
      <w:marLeft w:val="0"/>
      <w:marRight w:val="0"/>
      <w:marTop w:val="0"/>
      <w:marBottom w:val="0"/>
      <w:divBdr>
        <w:top w:val="none" w:sz="0" w:space="0" w:color="auto"/>
        <w:left w:val="none" w:sz="0" w:space="0" w:color="auto"/>
        <w:bottom w:val="none" w:sz="0" w:space="0" w:color="auto"/>
        <w:right w:val="none" w:sz="0" w:space="0" w:color="auto"/>
      </w:divBdr>
    </w:div>
    <w:div w:id="1532262400">
      <w:bodyDiv w:val="1"/>
      <w:marLeft w:val="0"/>
      <w:marRight w:val="0"/>
      <w:marTop w:val="0"/>
      <w:marBottom w:val="0"/>
      <w:divBdr>
        <w:top w:val="none" w:sz="0" w:space="0" w:color="auto"/>
        <w:left w:val="none" w:sz="0" w:space="0" w:color="auto"/>
        <w:bottom w:val="none" w:sz="0" w:space="0" w:color="auto"/>
        <w:right w:val="none" w:sz="0" w:space="0" w:color="auto"/>
      </w:divBdr>
    </w:div>
    <w:div w:id="197239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Usuario\Documents\UNAJ\Discontinuidad\Analisis%202025.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Juventudes!$N$10</c:f>
              <c:strCache>
                <c:ptCount val="1"/>
                <c:pt idx="0">
                  <c:v>24 años o menos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Juventudes!$L$11:$M$26</c:f>
              <c:multiLvlStrCache>
                <c:ptCount val="16"/>
                <c:lvl>
                  <c:pt idx="0">
                    <c:v>Complicaciones laborales</c:v>
                  </c:pt>
                  <c:pt idx="1">
                    <c:v>Problemas de salud (míos o de familia)</c:v>
                  </c:pt>
                  <c:pt idx="2">
                    <c:v>Dificultades familiares y/o cuidado</c:v>
                  </c:pt>
                  <c:pt idx="3">
                    <c:v>Dificultades económicas</c:v>
                  </c:pt>
                  <c:pt idx="4">
                    <c:v>Distancia</c:v>
                  </c:pt>
                  <c:pt idx="5">
                    <c:v>Embarazo / Nacimiento</c:v>
                  </c:pt>
                  <c:pt idx="6">
                    <c:v>Dificultades con contenidos y/o evaluación</c:v>
                  </c:pt>
                  <c:pt idx="7">
                    <c:v>Cuestiones referidas a enseñanza y/o vínculo docente</c:v>
                  </c:pt>
                  <c:pt idx="8">
                    <c:v>Me había anotado a muchas materias y no llegaba con todas</c:v>
                  </c:pt>
                  <c:pt idx="9">
                    <c:v>Correlatividades</c:v>
                  </c:pt>
                  <c:pt idx="10">
                    <c:v>Dificultades para combinar presencialidad y virtualidad</c:v>
                  </c:pt>
                  <c:pt idx="11">
                    <c:v>Falta de herramientas tecnológicas</c:v>
                  </c:pt>
                  <c:pt idx="12">
                    <c:v>Inconvenientes con el campus</c:v>
                  </c:pt>
                  <c:pt idx="13">
                    <c:v>Dejé la carrera</c:v>
                  </c:pt>
                  <c:pt idx="14">
                    <c:v>Cambié de carrera</c:v>
                  </c:pt>
                  <c:pt idx="15">
                    <c:v>Otro</c:v>
                  </c:pt>
                </c:lvl>
                <c:lvl>
                  <c:pt idx="0">
                    <c:v>Exógenos</c:v>
                  </c:pt>
                  <c:pt idx="6">
                    <c:v>Endógenos 
Contenidos y prácticas</c:v>
                  </c:pt>
                  <c:pt idx="10">
                    <c:v>Endógenos
Modalidad integrada</c:v>
                  </c:pt>
                  <c:pt idx="13">
                    <c:v>Discontinuidad carrera</c:v>
                  </c:pt>
                  <c:pt idx="15">
                    <c:v>Otro</c:v>
                  </c:pt>
                </c:lvl>
              </c:multiLvlStrCache>
            </c:multiLvlStrRef>
          </c:cat>
          <c:val>
            <c:numRef>
              <c:f>Juventudes!$N$11:$N$26</c:f>
              <c:numCache>
                <c:formatCode>###0.0%</c:formatCode>
                <c:ptCount val="16"/>
                <c:pt idx="0">
                  <c:v>0.3496835443037975</c:v>
                </c:pt>
                <c:pt idx="1">
                  <c:v>0.22784810126582278</c:v>
                </c:pt>
                <c:pt idx="2">
                  <c:v>0.20411392405063292</c:v>
                </c:pt>
                <c:pt idx="3">
                  <c:v>0.10917721518987342</c:v>
                </c:pt>
                <c:pt idx="4">
                  <c:v>3.3227848101265819E-2</c:v>
                </c:pt>
                <c:pt idx="5">
                  <c:v>2.5316455696202535E-2</c:v>
                </c:pt>
                <c:pt idx="6">
                  <c:v>0.25</c:v>
                </c:pt>
                <c:pt idx="7">
                  <c:v>0.16613924050632911</c:v>
                </c:pt>
                <c:pt idx="8">
                  <c:v>0.14556962025316456</c:v>
                </c:pt>
                <c:pt idx="9">
                  <c:v>1.5822784810126583E-2</c:v>
                </c:pt>
                <c:pt idx="10">
                  <c:v>0.11234177215189874</c:v>
                </c:pt>
                <c:pt idx="11">
                  <c:v>5.3797468354430382E-2</c:v>
                </c:pt>
                <c:pt idx="12">
                  <c:v>4.9050632911392403E-2</c:v>
                </c:pt>
                <c:pt idx="13">
                  <c:v>6.4873417721518986E-2</c:v>
                </c:pt>
                <c:pt idx="14">
                  <c:v>4.2721518987341771E-2</c:v>
                </c:pt>
                <c:pt idx="15">
                  <c:v>6.3291139240506337E-3</c:v>
                </c:pt>
              </c:numCache>
            </c:numRef>
          </c:val>
          <c:extLst>
            <c:ext xmlns:c16="http://schemas.microsoft.com/office/drawing/2014/chart" uri="{C3380CC4-5D6E-409C-BE32-E72D297353CC}">
              <c16:uniqueId val="{00000000-10B0-4A58-A5DA-7403006EAE4E}"/>
            </c:ext>
          </c:extLst>
        </c:ser>
        <c:ser>
          <c:idx val="1"/>
          <c:order val="1"/>
          <c:tx>
            <c:strRef>
              <c:f>Juventudes!$O$10</c:f>
              <c:strCache>
                <c:ptCount val="1"/>
                <c:pt idx="0">
                  <c:v>25 o más</c:v>
                </c:pt>
              </c:strCache>
            </c:strRef>
          </c:tx>
          <c:spPr>
            <a:solidFill>
              <a:srgbClr val="CC99FF"/>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Juventudes!$L$11:$M$26</c:f>
              <c:multiLvlStrCache>
                <c:ptCount val="16"/>
                <c:lvl>
                  <c:pt idx="0">
                    <c:v>Complicaciones laborales</c:v>
                  </c:pt>
                  <c:pt idx="1">
                    <c:v>Problemas de salud (míos o de familia)</c:v>
                  </c:pt>
                  <c:pt idx="2">
                    <c:v>Dificultades familiares y/o cuidado</c:v>
                  </c:pt>
                  <c:pt idx="3">
                    <c:v>Dificultades económicas</c:v>
                  </c:pt>
                  <c:pt idx="4">
                    <c:v>Distancia</c:v>
                  </c:pt>
                  <c:pt idx="5">
                    <c:v>Embarazo / Nacimiento</c:v>
                  </c:pt>
                  <c:pt idx="6">
                    <c:v>Dificultades con contenidos y/o evaluación</c:v>
                  </c:pt>
                  <c:pt idx="7">
                    <c:v>Cuestiones referidas a enseñanza y/o vínculo docente</c:v>
                  </c:pt>
                  <c:pt idx="8">
                    <c:v>Me había anotado a muchas materias y no llegaba con todas</c:v>
                  </c:pt>
                  <c:pt idx="9">
                    <c:v>Correlatividades</c:v>
                  </c:pt>
                  <c:pt idx="10">
                    <c:v>Dificultades para combinar presencialidad y virtualidad</c:v>
                  </c:pt>
                  <c:pt idx="11">
                    <c:v>Falta de herramientas tecnológicas</c:v>
                  </c:pt>
                  <c:pt idx="12">
                    <c:v>Inconvenientes con el campus</c:v>
                  </c:pt>
                  <c:pt idx="13">
                    <c:v>Dejé la carrera</c:v>
                  </c:pt>
                  <c:pt idx="14">
                    <c:v>Cambié de carrera</c:v>
                  </c:pt>
                  <c:pt idx="15">
                    <c:v>Otro</c:v>
                  </c:pt>
                </c:lvl>
                <c:lvl>
                  <c:pt idx="0">
                    <c:v>Exógenos</c:v>
                  </c:pt>
                  <c:pt idx="6">
                    <c:v>Endógenos 
Contenidos y prácticas</c:v>
                  </c:pt>
                  <c:pt idx="10">
                    <c:v>Endógenos
Modalidad integrada</c:v>
                  </c:pt>
                  <c:pt idx="13">
                    <c:v>Discontinuidad carrera</c:v>
                  </c:pt>
                  <c:pt idx="15">
                    <c:v>Otro</c:v>
                  </c:pt>
                </c:lvl>
              </c:multiLvlStrCache>
            </c:multiLvlStrRef>
          </c:cat>
          <c:val>
            <c:numRef>
              <c:f>Juventudes!$O$11:$O$26</c:f>
              <c:numCache>
                <c:formatCode>###0.0%</c:formatCode>
                <c:ptCount val="16"/>
                <c:pt idx="0">
                  <c:v>0.39712389380530971</c:v>
                </c:pt>
                <c:pt idx="1">
                  <c:v>0.27323008849557523</c:v>
                </c:pt>
                <c:pt idx="2">
                  <c:v>0.35287610619469029</c:v>
                </c:pt>
                <c:pt idx="3">
                  <c:v>0.15265486725663716</c:v>
                </c:pt>
                <c:pt idx="4">
                  <c:v>2.8761061946902654E-2</c:v>
                </c:pt>
                <c:pt idx="5">
                  <c:v>3.4292035398230086E-2</c:v>
                </c:pt>
                <c:pt idx="6">
                  <c:v>0.16814159292035399</c:v>
                </c:pt>
                <c:pt idx="7">
                  <c:v>9.1814159292035402E-2</c:v>
                </c:pt>
                <c:pt idx="8">
                  <c:v>7.9646017699115043E-2</c:v>
                </c:pt>
                <c:pt idx="9">
                  <c:v>8.8495575221238937E-3</c:v>
                </c:pt>
                <c:pt idx="10">
                  <c:v>9.2920353982300891E-2</c:v>
                </c:pt>
                <c:pt idx="11">
                  <c:v>5.9734513274336286E-2</c:v>
                </c:pt>
                <c:pt idx="12">
                  <c:v>2.4336283185840708E-2</c:v>
                </c:pt>
                <c:pt idx="13">
                  <c:v>2.8761061946902654E-2</c:v>
                </c:pt>
                <c:pt idx="14">
                  <c:v>1.2168141592920354E-2</c:v>
                </c:pt>
                <c:pt idx="15">
                  <c:v>9.9557522123893804E-3</c:v>
                </c:pt>
              </c:numCache>
            </c:numRef>
          </c:val>
          <c:extLst>
            <c:ext xmlns:c16="http://schemas.microsoft.com/office/drawing/2014/chart" uri="{C3380CC4-5D6E-409C-BE32-E72D297353CC}">
              <c16:uniqueId val="{00000001-10B0-4A58-A5DA-7403006EAE4E}"/>
            </c:ext>
          </c:extLst>
        </c:ser>
        <c:dLbls>
          <c:showLegendKey val="0"/>
          <c:showVal val="0"/>
          <c:showCatName val="0"/>
          <c:showSerName val="0"/>
          <c:showPercent val="0"/>
          <c:showBubbleSize val="0"/>
        </c:dLbls>
        <c:gapWidth val="219"/>
        <c:overlap val="-27"/>
        <c:axId val="536351832"/>
        <c:axId val="536349208"/>
      </c:barChart>
      <c:catAx>
        <c:axId val="536351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AR"/>
          </a:p>
        </c:txPr>
        <c:crossAx val="536349208"/>
        <c:crosses val="autoZero"/>
        <c:auto val="1"/>
        <c:lblAlgn val="ctr"/>
        <c:lblOffset val="100"/>
        <c:noMultiLvlLbl val="0"/>
      </c:catAx>
      <c:valAx>
        <c:axId val="536349208"/>
        <c:scaling>
          <c:orientation val="minMax"/>
          <c:max val="0.4"/>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5363518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A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A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650D11-5C72-4F75-86A3-29AA724C9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13</Pages>
  <Words>9638</Words>
  <Characters>53010</Characters>
  <Application>Microsoft Office Word</Application>
  <DocSecurity>0</DocSecurity>
  <Lines>441</Lines>
  <Paragraphs>125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Revisor</cp:lastModifiedBy>
  <cp:revision>6</cp:revision>
  <dcterms:created xsi:type="dcterms:W3CDTF">2026-06-30T02:21:00Z</dcterms:created>
  <dcterms:modified xsi:type="dcterms:W3CDTF">2026-07-01T14:04:00Z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zotero-version="9.0.5"&gt;&lt;session id="hVXv1U5w"/&gt;&lt;style id="http://www.zotero.org/styles/apa" locale="es-ES" hasBibliography="1" bibliographyStyleHasBeenSet="1"/&gt;&lt;prefs&gt;&lt;pref name="fieldType" value="Field"/&gt;&lt;pref name="automaticJourna</vt:lpwstr>
  </property>
  <property fmtid="{D5CDD505-2E9C-101B-9397-08002B2CF9AE}" pid="3" name="ZOTERO_PREF_2">
    <vt:lpwstr>lAbbreviations" value="true"/&gt;&lt;/prefs&gt;&lt;/data&gt;</vt:lpwstr>
  </property>
</Properties>
</file>