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DFBE9" w14:textId="77777777" w:rsidR="00354487" w:rsidRPr="00354487" w:rsidRDefault="00354487" w:rsidP="00354487">
      <w:pPr>
        <w:jc w:val="center"/>
        <w:rPr>
          <w:rFonts w:ascii="Times New Roman" w:hAnsi="Times New Roman" w:cs="Times New Roman"/>
          <w:b/>
          <w:bCs/>
        </w:rPr>
      </w:pPr>
      <w:r w:rsidRPr="00354487">
        <w:rPr>
          <w:rFonts w:ascii="Times New Roman" w:hAnsi="Times New Roman" w:cs="Times New Roman"/>
          <w:b/>
          <w:bCs/>
        </w:rPr>
        <w:t>Más allá de las políticas públicas: una mirada sociológica acerca del rol del Sistema de Aseguramiento de la Calidad en la producción de confianza en las universidades argentinas</w:t>
      </w:r>
    </w:p>
    <w:p w14:paraId="43C49479" w14:textId="77777777" w:rsidR="005F3B2E" w:rsidRPr="00BA642E" w:rsidRDefault="005F3B2E" w:rsidP="001923DC">
      <w:pPr>
        <w:jc w:val="center"/>
        <w:rPr>
          <w:rFonts w:ascii="Times New Roman" w:hAnsi="Times New Roman" w:cs="Times New Roman"/>
        </w:rPr>
      </w:pPr>
    </w:p>
    <w:p w14:paraId="10B150CE" w14:textId="77777777" w:rsidR="00354487" w:rsidRPr="00A847DE" w:rsidRDefault="00354487" w:rsidP="00354487">
      <w:pPr>
        <w:spacing w:after="0" w:line="240" w:lineRule="auto"/>
        <w:jc w:val="right"/>
        <w:rPr>
          <w:rFonts w:ascii="Times New Roman" w:hAnsi="Times New Roman" w:cs="Times New Roman"/>
          <w:color w:val="000000" w:themeColor="text1"/>
        </w:rPr>
      </w:pPr>
      <w:r w:rsidRPr="00A847DE">
        <w:rPr>
          <w:rFonts w:ascii="Times New Roman" w:hAnsi="Times New Roman" w:cs="Times New Roman"/>
          <w:color w:val="000000" w:themeColor="text1"/>
        </w:rPr>
        <w:t>Lic. Wenceslao Gomez Rodriguez</w:t>
      </w:r>
    </w:p>
    <w:p w14:paraId="7D75BB56" w14:textId="77777777" w:rsidR="00354487" w:rsidRPr="00A847DE" w:rsidRDefault="00354487" w:rsidP="00354487">
      <w:pPr>
        <w:spacing w:after="0" w:line="240" w:lineRule="auto"/>
        <w:jc w:val="right"/>
        <w:rPr>
          <w:rFonts w:ascii="Times New Roman" w:hAnsi="Times New Roman" w:cs="Times New Roman"/>
          <w:color w:val="000000" w:themeColor="text1"/>
        </w:rPr>
      </w:pPr>
      <w:r w:rsidRPr="00A847DE">
        <w:rPr>
          <w:rFonts w:ascii="Times New Roman" w:hAnsi="Times New Roman" w:cs="Times New Roman"/>
          <w:color w:val="000000" w:themeColor="text1"/>
        </w:rPr>
        <w:t>Universidad Nacional de Río Negro</w:t>
      </w:r>
    </w:p>
    <w:p w14:paraId="28A0BD8B" w14:textId="77777777" w:rsidR="00354487" w:rsidRDefault="00354487" w:rsidP="00354487">
      <w:pPr>
        <w:spacing w:after="0" w:line="240" w:lineRule="auto"/>
        <w:jc w:val="right"/>
        <w:rPr>
          <w:rFonts w:ascii="Times New Roman" w:hAnsi="Times New Roman" w:cs="Times New Roman"/>
          <w:color w:val="000000" w:themeColor="text1"/>
        </w:rPr>
      </w:pPr>
      <w:r w:rsidRPr="00A847DE">
        <w:rPr>
          <w:rFonts w:ascii="Times New Roman" w:hAnsi="Times New Roman" w:cs="Times New Roman"/>
          <w:color w:val="000000" w:themeColor="text1"/>
        </w:rPr>
        <w:t>wegomezrodriguez@unrn.edu.ar</w:t>
      </w:r>
    </w:p>
    <w:p w14:paraId="23ED8603" w14:textId="77777777" w:rsidR="00816151" w:rsidRDefault="00816151" w:rsidP="007B5B5F">
      <w:pPr>
        <w:spacing w:line="240" w:lineRule="auto"/>
        <w:jc w:val="both"/>
        <w:rPr>
          <w:rFonts w:ascii="Times New Roman" w:hAnsi="Times New Roman" w:cs="Times New Roman"/>
          <w:b/>
          <w:bCs/>
          <w:lang w:val="en-US"/>
        </w:rPr>
      </w:pPr>
    </w:p>
    <w:p w14:paraId="14E01A2B" w14:textId="0B252C7C" w:rsidR="00354487" w:rsidRDefault="00BA642E" w:rsidP="007B5B5F">
      <w:pPr>
        <w:spacing w:line="240" w:lineRule="auto"/>
        <w:jc w:val="both"/>
        <w:rPr>
          <w:rFonts w:ascii="Times New Roman" w:eastAsia="Aptos" w:hAnsi="Times New Roman" w:cs="Times New Roman"/>
          <w:lang w:val="es-AR"/>
        </w:rPr>
      </w:pPr>
      <w:r w:rsidRPr="007B5B5F">
        <w:rPr>
          <w:rFonts w:ascii="Times New Roman" w:hAnsi="Times New Roman" w:cs="Times New Roman"/>
          <w:b/>
          <w:bCs/>
          <w:lang w:val="en-US"/>
        </w:rPr>
        <w:t>Resumen:</w:t>
      </w:r>
      <w:r w:rsidR="007B5B5F" w:rsidRPr="007B5B5F">
        <w:rPr>
          <w:rFonts w:ascii="Times New Roman" w:hAnsi="Times New Roman" w:cs="Times New Roman"/>
          <w:b/>
          <w:bCs/>
          <w:lang w:val="en-US"/>
        </w:rPr>
        <w:t xml:space="preserve"> </w:t>
      </w:r>
      <w:r w:rsidR="00354487" w:rsidRPr="00354487">
        <w:rPr>
          <w:rFonts w:ascii="Times New Roman" w:eastAsia="Aptos" w:hAnsi="Times New Roman" w:cs="Times New Roman"/>
          <w:lang w:val="es-AR"/>
        </w:rPr>
        <w:t xml:space="preserve">Este artículo analiza el Sistema de Aseguramiento de la Calidad (SAC) desde la perspectiva de la Teoría de Sistemas Sociales de Niklas Luhmann. El enfoque de políticas públicas predominante en el campo de estudios ha aportado conocimiento significativo sobre el funcionamiento y la evolución histórica del SAC, pero presenta tres limitaciones: </w:t>
      </w:r>
      <w:r w:rsidR="0045334C">
        <w:rPr>
          <w:rFonts w:ascii="Times New Roman" w:eastAsia="Aptos" w:hAnsi="Times New Roman" w:cs="Times New Roman"/>
          <w:lang w:val="es-AR"/>
        </w:rPr>
        <w:t>desconecta</w:t>
      </w:r>
      <w:r w:rsidR="00354487" w:rsidRPr="00354487">
        <w:rPr>
          <w:rFonts w:ascii="Times New Roman" w:eastAsia="Aptos" w:hAnsi="Times New Roman" w:cs="Times New Roman"/>
          <w:lang w:val="es-AR"/>
        </w:rPr>
        <w:t xml:space="preserve"> la investigación aplicada </w:t>
      </w:r>
      <w:r w:rsidR="00DD4E59">
        <w:rPr>
          <w:rFonts w:ascii="Times New Roman" w:eastAsia="Aptos" w:hAnsi="Times New Roman" w:cs="Times New Roman"/>
          <w:lang w:val="es-AR"/>
        </w:rPr>
        <w:t>de una</w:t>
      </w:r>
      <w:r w:rsidR="00354487" w:rsidRPr="00354487">
        <w:rPr>
          <w:rFonts w:ascii="Times New Roman" w:eastAsia="Aptos" w:hAnsi="Times New Roman" w:cs="Times New Roman"/>
          <w:lang w:val="es-AR"/>
        </w:rPr>
        <w:t xml:space="preserve"> teoría </w:t>
      </w:r>
      <w:r w:rsidR="00692777">
        <w:rPr>
          <w:rFonts w:ascii="Times New Roman" w:eastAsia="Aptos" w:hAnsi="Times New Roman" w:cs="Times New Roman"/>
          <w:lang w:val="es-AR"/>
        </w:rPr>
        <w:t>general de la socieda</w:t>
      </w:r>
      <w:r w:rsidR="00DD4E59">
        <w:rPr>
          <w:rFonts w:ascii="Times New Roman" w:eastAsia="Aptos" w:hAnsi="Times New Roman" w:cs="Times New Roman"/>
          <w:lang w:val="es-AR"/>
        </w:rPr>
        <w:t>d</w:t>
      </w:r>
      <w:r w:rsidR="00CC3F9B">
        <w:rPr>
          <w:rFonts w:ascii="Times New Roman" w:eastAsia="Aptos" w:hAnsi="Times New Roman" w:cs="Times New Roman"/>
          <w:lang w:val="es-AR"/>
        </w:rPr>
        <w:t xml:space="preserve"> que le d</w:t>
      </w:r>
      <w:r w:rsidR="003751C3">
        <w:rPr>
          <w:rFonts w:ascii="Times New Roman" w:eastAsia="Aptos" w:hAnsi="Times New Roman" w:cs="Times New Roman"/>
          <w:lang w:val="es-AR"/>
        </w:rPr>
        <w:t>é</w:t>
      </w:r>
      <w:r w:rsidR="00CC3F9B">
        <w:rPr>
          <w:rFonts w:ascii="Times New Roman" w:eastAsia="Aptos" w:hAnsi="Times New Roman" w:cs="Times New Roman"/>
          <w:lang w:val="es-AR"/>
        </w:rPr>
        <w:t xml:space="preserve"> sustento</w:t>
      </w:r>
      <w:r w:rsidR="00354487" w:rsidRPr="00354487">
        <w:rPr>
          <w:rFonts w:ascii="Times New Roman" w:eastAsia="Aptos" w:hAnsi="Times New Roman" w:cs="Times New Roman"/>
          <w:lang w:val="es-AR"/>
        </w:rPr>
        <w:t>, establece vínculos causales directos entre los cambios político-económicos y las transformaciones educativas</w:t>
      </w:r>
      <w:r w:rsidR="00CC3F9B">
        <w:rPr>
          <w:rFonts w:ascii="Times New Roman" w:eastAsia="Aptos" w:hAnsi="Times New Roman" w:cs="Times New Roman"/>
          <w:lang w:val="es-AR"/>
        </w:rPr>
        <w:t xml:space="preserve"> y</w:t>
      </w:r>
      <w:r w:rsidR="00354487" w:rsidRPr="00354487">
        <w:rPr>
          <w:rFonts w:ascii="Times New Roman" w:eastAsia="Aptos" w:hAnsi="Times New Roman" w:cs="Times New Roman"/>
          <w:lang w:val="es-AR"/>
        </w:rPr>
        <w:t xml:space="preserve"> naturaliza la calidad como un atributo objetivo susceptible de ser medido. Frente a estas limitaciones, postulamos que</w:t>
      </w:r>
      <w:r w:rsidR="0033331D">
        <w:rPr>
          <w:rFonts w:ascii="Times New Roman" w:eastAsia="Aptos" w:hAnsi="Times New Roman" w:cs="Times New Roman"/>
          <w:lang w:val="es-AR"/>
        </w:rPr>
        <w:t>,</w:t>
      </w:r>
      <w:r w:rsidR="00423879">
        <w:rPr>
          <w:rFonts w:ascii="Times New Roman" w:eastAsia="Aptos" w:hAnsi="Times New Roman" w:cs="Times New Roman"/>
          <w:lang w:val="es-AR"/>
        </w:rPr>
        <w:t xml:space="preserve"> en las</w:t>
      </w:r>
      <w:r w:rsidR="00423879" w:rsidRPr="00423879">
        <w:rPr>
          <w:rFonts w:ascii="Times New Roman" w:eastAsia="Aptos" w:hAnsi="Times New Roman" w:cs="Times New Roman"/>
          <w:lang w:val="es-AR"/>
        </w:rPr>
        <w:t xml:space="preserve"> sociedades funcionalmente diferenciadas</w:t>
      </w:r>
      <w:r w:rsidR="0033331D">
        <w:rPr>
          <w:rFonts w:ascii="Times New Roman" w:eastAsia="Aptos" w:hAnsi="Times New Roman" w:cs="Times New Roman"/>
          <w:lang w:val="es-AR"/>
        </w:rPr>
        <w:t>,</w:t>
      </w:r>
      <w:r w:rsidR="00354487" w:rsidRPr="00354487">
        <w:rPr>
          <w:rFonts w:ascii="Times New Roman" w:eastAsia="Aptos" w:hAnsi="Times New Roman" w:cs="Times New Roman"/>
          <w:lang w:val="es-AR"/>
        </w:rPr>
        <w:t xml:space="preserve"> el SAC constituye un mecanismo interno del sistema educativo cuya función es producir confianza sistémic</w:t>
      </w:r>
      <w:r w:rsidR="0033331D">
        <w:rPr>
          <w:rFonts w:ascii="Times New Roman" w:eastAsia="Aptos" w:hAnsi="Times New Roman" w:cs="Times New Roman"/>
          <w:lang w:val="es-AR"/>
        </w:rPr>
        <w:t>a hacia el entorno.</w:t>
      </w:r>
      <w:r w:rsidR="001B0C8C">
        <w:rPr>
          <w:rFonts w:ascii="Times New Roman" w:eastAsia="Aptos" w:hAnsi="Times New Roman" w:cs="Times New Roman"/>
          <w:lang w:val="es-AR"/>
        </w:rPr>
        <w:t xml:space="preserve"> </w:t>
      </w:r>
      <w:r w:rsidR="00354487" w:rsidRPr="00354487">
        <w:rPr>
          <w:rFonts w:ascii="Times New Roman" w:eastAsia="Aptos" w:hAnsi="Times New Roman" w:cs="Times New Roman"/>
          <w:lang w:val="es-AR"/>
        </w:rPr>
        <w:t>El cumplimiento de esta función</w:t>
      </w:r>
      <w:r w:rsidR="00A237B6">
        <w:rPr>
          <w:rFonts w:ascii="Times New Roman" w:eastAsia="Aptos" w:hAnsi="Times New Roman" w:cs="Times New Roman"/>
          <w:lang w:val="es-AR"/>
        </w:rPr>
        <w:t xml:space="preserve"> explica su persistencia,</w:t>
      </w:r>
      <w:r w:rsidR="00354487" w:rsidRPr="00354487">
        <w:rPr>
          <w:rFonts w:ascii="Times New Roman" w:eastAsia="Aptos" w:hAnsi="Times New Roman" w:cs="Times New Roman"/>
          <w:lang w:val="es-AR"/>
        </w:rPr>
        <w:t xml:space="preserve"> y no los ciclos políticos ni los marcos normativos</w:t>
      </w:r>
      <w:r w:rsidR="00A237B6">
        <w:rPr>
          <w:rFonts w:ascii="Times New Roman" w:eastAsia="Aptos" w:hAnsi="Times New Roman" w:cs="Times New Roman"/>
          <w:lang w:val="es-AR"/>
        </w:rPr>
        <w:t xml:space="preserve">: </w:t>
      </w:r>
      <w:r w:rsidR="00354487" w:rsidRPr="00354487">
        <w:rPr>
          <w:rFonts w:ascii="Times New Roman" w:eastAsia="Aptos" w:hAnsi="Times New Roman" w:cs="Times New Roman"/>
          <w:lang w:val="es-AR"/>
        </w:rPr>
        <w:t>el SAC se sostiene mientras</w:t>
      </w:r>
      <w:r w:rsidR="00A237B6">
        <w:rPr>
          <w:rFonts w:ascii="Times New Roman" w:eastAsia="Aptos" w:hAnsi="Times New Roman" w:cs="Times New Roman"/>
          <w:lang w:val="es-AR"/>
        </w:rPr>
        <w:t xml:space="preserve"> el sistema educativo</w:t>
      </w:r>
      <w:r w:rsidR="0048512B">
        <w:rPr>
          <w:rFonts w:ascii="Times New Roman" w:eastAsia="Aptos" w:hAnsi="Times New Roman" w:cs="Times New Roman"/>
          <w:lang w:val="es-AR"/>
        </w:rPr>
        <w:t xml:space="preserve"> dependa de él para procesar la pregunta por la calidad</w:t>
      </w:r>
      <w:r w:rsidR="00354487" w:rsidRPr="00354487">
        <w:rPr>
          <w:rFonts w:ascii="Times New Roman" w:eastAsia="Aptos" w:hAnsi="Times New Roman" w:cs="Times New Roman"/>
          <w:lang w:val="es-AR"/>
        </w:rPr>
        <w:t xml:space="preserve">. El argumento se articula a través de tres movimientos: la caracterización del SAC como mecanismo interno que opera bajo la clausura operativa del sistema educativo; </w:t>
      </w:r>
      <w:r w:rsidR="00BA1F06">
        <w:rPr>
          <w:rFonts w:ascii="Times New Roman" w:eastAsia="Aptos" w:hAnsi="Times New Roman" w:cs="Times New Roman"/>
          <w:lang w:val="es-AR"/>
        </w:rPr>
        <w:t xml:space="preserve">el análisis de </w:t>
      </w:r>
      <w:r w:rsidR="00354487" w:rsidRPr="00354487">
        <w:rPr>
          <w:rFonts w:ascii="Times New Roman" w:eastAsia="Aptos" w:hAnsi="Times New Roman" w:cs="Times New Roman"/>
          <w:lang w:val="es-AR"/>
        </w:rPr>
        <w:t>su acoplamiento estructural con el sistema político, que lo institucionalizó, y</w:t>
      </w:r>
      <w:r w:rsidR="00BA1F06">
        <w:rPr>
          <w:rFonts w:ascii="Times New Roman" w:eastAsia="Aptos" w:hAnsi="Times New Roman" w:cs="Times New Roman"/>
          <w:lang w:val="es-AR"/>
        </w:rPr>
        <w:t xml:space="preserve"> con</w:t>
      </w:r>
      <w:r w:rsidR="00354487" w:rsidRPr="00354487">
        <w:rPr>
          <w:rFonts w:ascii="Times New Roman" w:eastAsia="Aptos" w:hAnsi="Times New Roman" w:cs="Times New Roman"/>
          <w:lang w:val="es-AR"/>
        </w:rPr>
        <w:t xml:space="preserve"> el sistema científico, del que provienen </w:t>
      </w:r>
      <w:r w:rsidR="004D1EEA">
        <w:rPr>
          <w:rFonts w:ascii="Times New Roman" w:eastAsia="Aptos" w:hAnsi="Times New Roman" w:cs="Times New Roman"/>
          <w:lang w:val="es-AR"/>
        </w:rPr>
        <w:t>sus procedimientos metodológicos</w:t>
      </w:r>
      <w:r w:rsidR="00354487" w:rsidRPr="00354487">
        <w:rPr>
          <w:rFonts w:ascii="Times New Roman" w:eastAsia="Aptos" w:hAnsi="Times New Roman" w:cs="Times New Roman"/>
          <w:lang w:val="es-AR"/>
        </w:rPr>
        <w:t>; y la distinción entre autoobservación y autodescripción</w:t>
      </w:r>
      <w:r w:rsidR="00845270">
        <w:rPr>
          <w:rFonts w:ascii="Times New Roman" w:eastAsia="Aptos" w:hAnsi="Times New Roman" w:cs="Times New Roman"/>
          <w:lang w:val="es-AR"/>
        </w:rPr>
        <w:t xml:space="preserve"> como las</w:t>
      </w:r>
      <w:r w:rsidR="00354487" w:rsidRPr="00354487">
        <w:rPr>
          <w:rFonts w:ascii="Times New Roman" w:eastAsia="Aptos" w:hAnsi="Times New Roman" w:cs="Times New Roman"/>
          <w:lang w:val="es-AR"/>
        </w:rPr>
        <w:t xml:space="preserve"> operaciones mediante las cuales</w:t>
      </w:r>
      <w:r w:rsidR="00F42B2F">
        <w:rPr>
          <w:rFonts w:ascii="Times New Roman" w:eastAsia="Aptos" w:hAnsi="Times New Roman" w:cs="Times New Roman"/>
          <w:lang w:val="es-AR"/>
        </w:rPr>
        <w:t xml:space="preserve"> el SAC</w:t>
      </w:r>
      <w:r w:rsidR="00354487" w:rsidRPr="00354487">
        <w:rPr>
          <w:rFonts w:ascii="Times New Roman" w:eastAsia="Aptos" w:hAnsi="Times New Roman" w:cs="Times New Roman"/>
          <w:lang w:val="es-AR"/>
        </w:rPr>
        <w:t xml:space="preserve"> produce una representación unificada de la calidad que estabiliza las expectativas </w:t>
      </w:r>
      <w:r w:rsidR="00AC1141">
        <w:rPr>
          <w:rFonts w:ascii="Times New Roman" w:eastAsia="Aptos" w:hAnsi="Times New Roman" w:cs="Times New Roman"/>
          <w:lang w:val="es-AR"/>
        </w:rPr>
        <w:t>sobre</w:t>
      </w:r>
      <w:r w:rsidR="00354487" w:rsidRPr="00354487">
        <w:rPr>
          <w:rFonts w:ascii="Times New Roman" w:eastAsia="Aptos" w:hAnsi="Times New Roman" w:cs="Times New Roman"/>
          <w:lang w:val="es-AR"/>
        </w:rPr>
        <w:t xml:space="preserve"> la educación superior. Desde esta perspectiva, la calidad no es una propiedad intrínseca de las instituciones sino una construcción que emerge de las operaciones del SAC y que funciona como señal de confiabilidad para el entorno.</w:t>
      </w:r>
    </w:p>
    <w:p w14:paraId="2994BAB3" w14:textId="66CA6C51"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354487" w:rsidRPr="00B65AAC">
        <w:rPr>
          <w:rFonts w:ascii="Times New Roman" w:hAnsi="Times New Roman" w:cs="Times New Roman"/>
          <w:color w:val="000000" w:themeColor="text1"/>
        </w:rPr>
        <w:t>Aseguramiento de la Calidad, Educación Superior, Teoría de Sistemas Sociales, Confianza</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021FFE52" w14:textId="077ACAE9" w:rsidR="004642C4" w:rsidRDefault="004642C4" w:rsidP="00354487">
      <w:pPr>
        <w:spacing w:line="240" w:lineRule="auto"/>
        <w:jc w:val="both"/>
        <w:rPr>
          <w:rFonts w:ascii="Times New Roman" w:hAnsi="Times New Roman" w:cs="Times New Roman"/>
          <w:color w:val="000000" w:themeColor="text1"/>
        </w:rPr>
      </w:pPr>
      <w:r w:rsidRPr="004642C4">
        <w:rPr>
          <w:rFonts w:ascii="Times New Roman" w:hAnsi="Times New Roman" w:cs="Times New Roman"/>
          <w:color w:val="000000" w:themeColor="text1"/>
        </w:rPr>
        <w:t xml:space="preserve">Pese a la falta de consensos y las controversias en torno de la evaluación de calidad de la educación superior, una definición operativa bastante difundida entiende al Sistema de Aseguramiento de la Calidad (en adelante, SAC) como el conjunto de políticas, procedimientos y prácticas, tanto internas como externas a las universidades, que están dirigidas a lograr, mantener y mejorar la calidad educativa. Esta acepción incluye tanto los mecanismos de evaluación externa como los procesos controlados por las propias instituciones (Harvey, 2024, como se citó en Mertian, 2025, p. 11). En el transcurso de las últimas décadas, </w:t>
      </w:r>
      <w:r w:rsidR="003B3397">
        <w:rPr>
          <w:rFonts w:ascii="Times New Roman" w:hAnsi="Times New Roman" w:cs="Times New Roman"/>
          <w:color w:val="000000" w:themeColor="text1"/>
        </w:rPr>
        <w:t>estos</w:t>
      </w:r>
      <w:r w:rsidRPr="004642C4">
        <w:rPr>
          <w:rFonts w:ascii="Times New Roman" w:hAnsi="Times New Roman" w:cs="Times New Roman"/>
          <w:color w:val="000000" w:themeColor="text1"/>
        </w:rPr>
        <w:t xml:space="preserve"> mecanismos se han convertido en componentes generalizados </w:t>
      </w:r>
      <w:r w:rsidRPr="004642C4">
        <w:rPr>
          <w:rFonts w:ascii="Times New Roman" w:hAnsi="Times New Roman" w:cs="Times New Roman"/>
          <w:color w:val="000000" w:themeColor="text1"/>
        </w:rPr>
        <w:lastRenderedPageBreak/>
        <w:t>del ámbito de la educación superior, y sus desarrollos más recientes han estado marcados por un proceso de desplazamiento del control externo, centralizado por las agencias estatales, hacia la consolidación de dispositivos internos en las propias instituciones (Marquina &amp; Denes, 2024).</w:t>
      </w:r>
    </w:p>
    <w:p w14:paraId="114C68BF" w14:textId="4F42B0A8" w:rsidR="00354487" w:rsidRDefault="00354487" w:rsidP="00354487">
      <w:pPr>
        <w:spacing w:line="240" w:lineRule="auto"/>
        <w:jc w:val="both"/>
        <w:rPr>
          <w:rFonts w:ascii="Times New Roman" w:hAnsi="Times New Roman" w:cs="Times New Roman"/>
          <w:color w:val="000000" w:themeColor="text1"/>
        </w:rPr>
      </w:pPr>
      <w:r w:rsidRPr="00354487">
        <w:rPr>
          <w:rFonts w:ascii="Times New Roman" w:hAnsi="Times New Roman" w:cs="Times New Roman"/>
          <w:color w:val="000000" w:themeColor="text1"/>
        </w:rPr>
        <w:t>En noviembre de 2023, en las postrimerías de la gestión del Frente de Todos, el Ministerio de Educación argentino publicó la Resolución N.º 2597, que formalizó los Sistemas Institucionales de Aseguramiento de la Calidad (SIAC). Con esta norma, el sistema</w:t>
      </w:r>
      <w:r w:rsidR="00903D21">
        <w:rPr>
          <w:rFonts w:ascii="Times New Roman" w:hAnsi="Times New Roman" w:cs="Times New Roman"/>
          <w:color w:val="000000" w:themeColor="text1"/>
        </w:rPr>
        <w:t xml:space="preserve"> argentino</w:t>
      </w:r>
      <w:r w:rsidRPr="00354487">
        <w:rPr>
          <w:rFonts w:ascii="Times New Roman" w:hAnsi="Times New Roman" w:cs="Times New Roman"/>
          <w:color w:val="000000" w:themeColor="text1"/>
        </w:rPr>
        <w:t xml:space="preserve"> se inscribió oficialmente en la dinámica contemporánea del aseguramiento de la calidad de la educación superior, otorgando reconocimiento e institucionalizando la figura de las áreas especializadas en gestión de la calidad que muchas universidades ya habían desarrollado de forma fragmentaria y heterogénea en respuesta a las demandas externas de la Comisión Nacional de Evaluación y Acreditación Universitaria (CONEAU). </w:t>
      </w:r>
      <w:r w:rsidR="00E23D66">
        <w:rPr>
          <w:rFonts w:ascii="Times New Roman" w:hAnsi="Times New Roman" w:cs="Times New Roman"/>
          <w:color w:val="000000" w:themeColor="text1"/>
        </w:rPr>
        <w:t>La normativa, i</w:t>
      </w:r>
      <w:r w:rsidRPr="00354487">
        <w:rPr>
          <w:rFonts w:ascii="Times New Roman" w:hAnsi="Times New Roman" w:cs="Times New Roman"/>
          <w:color w:val="000000" w:themeColor="text1"/>
        </w:rPr>
        <w:t xml:space="preserve">mpulsada por debates previos en torno a las implicancias de la acreditación de carreras de grado, terminó por reglamentar, tres décadas después, el </w:t>
      </w:r>
      <w:r w:rsidR="00F177A8">
        <w:rPr>
          <w:rFonts w:ascii="Times New Roman" w:hAnsi="Times New Roman" w:cs="Times New Roman"/>
          <w:color w:val="000000" w:themeColor="text1"/>
        </w:rPr>
        <w:t>A</w:t>
      </w:r>
      <w:r w:rsidRPr="00354487">
        <w:rPr>
          <w:rFonts w:ascii="Times New Roman" w:hAnsi="Times New Roman" w:cs="Times New Roman"/>
          <w:color w:val="000000" w:themeColor="text1"/>
        </w:rPr>
        <w:t>rtículo 44 de la Ley de Educación Superior, referido a las instancias internas de evaluación institucional (Pérez Rasetti, 2024).</w:t>
      </w:r>
    </w:p>
    <w:p w14:paraId="5EEC8B14" w14:textId="3BC241B3" w:rsidR="00354487" w:rsidRDefault="00354487" w:rsidP="00354487">
      <w:pPr>
        <w:spacing w:line="240" w:lineRule="auto"/>
        <w:jc w:val="both"/>
        <w:rPr>
          <w:rFonts w:ascii="Times New Roman" w:hAnsi="Times New Roman" w:cs="Times New Roman"/>
          <w:color w:val="000000" w:themeColor="text1"/>
        </w:rPr>
      </w:pPr>
      <w:r w:rsidRPr="00354487">
        <w:rPr>
          <w:rFonts w:ascii="Times New Roman" w:hAnsi="Times New Roman" w:cs="Times New Roman"/>
          <w:color w:val="000000" w:themeColor="text1"/>
        </w:rPr>
        <w:t xml:space="preserve">Sin embargo, menos de un mes después de su publicación, tras la asunción del gobierno de La Libertad Avanza, la normativa quedó en suspenso y su aplicación se tornó incierta. Este giro se enmarcó en un proceso más amplio de reestructuración de las relaciones entre el Estado nacional </w:t>
      </w:r>
      <w:r w:rsidR="00485DFB">
        <w:rPr>
          <w:rFonts w:ascii="Times New Roman" w:hAnsi="Times New Roman" w:cs="Times New Roman"/>
          <w:color w:val="000000" w:themeColor="text1"/>
        </w:rPr>
        <w:t>y</w:t>
      </w:r>
      <w:r w:rsidRPr="00354487">
        <w:rPr>
          <w:rFonts w:ascii="Times New Roman" w:hAnsi="Times New Roman" w:cs="Times New Roman"/>
          <w:color w:val="000000" w:themeColor="text1"/>
        </w:rPr>
        <w:t xml:space="preserve"> </w:t>
      </w:r>
      <w:r w:rsidR="00485DFB">
        <w:rPr>
          <w:rFonts w:ascii="Times New Roman" w:hAnsi="Times New Roman" w:cs="Times New Roman"/>
          <w:color w:val="000000" w:themeColor="text1"/>
        </w:rPr>
        <w:t>los</w:t>
      </w:r>
      <w:r w:rsidRPr="00354487">
        <w:rPr>
          <w:rFonts w:ascii="Times New Roman" w:hAnsi="Times New Roman" w:cs="Times New Roman"/>
          <w:color w:val="000000" w:themeColor="text1"/>
        </w:rPr>
        <w:t xml:space="preserve"> sistema</w:t>
      </w:r>
      <w:r w:rsidR="00485DFB">
        <w:rPr>
          <w:rFonts w:ascii="Times New Roman" w:hAnsi="Times New Roman" w:cs="Times New Roman"/>
          <w:color w:val="000000" w:themeColor="text1"/>
        </w:rPr>
        <w:t>s</w:t>
      </w:r>
      <w:r w:rsidRPr="00354487">
        <w:rPr>
          <w:rFonts w:ascii="Times New Roman" w:hAnsi="Times New Roman" w:cs="Times New Roman"/>
          <w:color w:val="000000" w:themeColor="text1"/>
        </w:rPr>
        <w:t xml:space="preserve"> universitario</w:t>
      </w:r>
      <w:r w:rsidR="00485DFB">
        <w:rPr>
          <w:rFonts w:ascii="Times New Roman" w:hAnsi="Times New Roman" w:cs="Times New Roman"/>
          <w:color w:val="000000" w:themeColor="text1"/>
        </w:rPr>
        <w:t xml:space="preserve"> y científico-tecnológico</w:t>
      </w:r>
      <w:r w:rsidRPr="00354487">
        <w:rPr>
          <w:rFonts w:ascii="Times New Roman" w:hAnsi="Times New Roman" w:cs="Times New Roman"/>
          <w:color w:val="000000" w:themeColor="text1"/>
        </w:rPr>
        <w:t>, con fuerte impacto en el sector estatal por las políticas de ajuste fiscal</w:t>
      </w:r>
      <w:r w:rsidR="00ED535C">
        <w:rPr>
          <w:rFonts w:ascii="Times New Roman" w:hAnsi="Times New Roman" w:cs="Times New Roman"/>
          <w:color w:val="000000" w:themeColor="text1"/>
        </w:rPr>
        <w:t xml:space="preserve"> y</w:t>
      </w:r>
      <w:r w:rsidRPr="00354487">
        <w:rPr>
          <w:rFonts w:ascii="Times New Roman" w:hAnsi="Times New Roman" w:cs="Times New Roman"/>
          <w:color w:val="000000" w:themeColor="text1"/>
        </w:rPr>
        <w:t xml:space="preserve"> las restricciones presupuestarias</w:t>
      </w:r>
      <w:r w:rsidR="00D455F3">
        <w:rPr>
          <w:rFonts w:ascii="Times New Roman" w:hAnsi="Times New Roman" w:cs="Times New Roman"/>
          <w:color w:val="000000" w:themeColor="text1"/>
        </w:rPr>
        <w:t>,</w:t>
      </w:r>
      <w:r w:rsidRPr="00354487">
        <w:rPr>
          <w:rFonts w:ascii="Times New Roman" w:hAnsi="Times New Roman" w:cs="Times New Roman"/>
          <w:color w:val="000000" w:themeColor="text1"/>
        </w:rPr>
        <w:t xml:space="preserve"> </w:t>
      </w:r>
      <w:r w:rsidR="00ED535C">
        <w:rPr>
          <w:rFonts w:ascii="Times New Roman" w:hAnsi="Times New Roman" w:cs="Times New Roman"/>
          <w:color w:val="000000" w:themeColor="text1"/>
        </w:rPr>
        <w:t xml:space="preserve">que </w:t>
      </w:r>
      <w:r w:rsidR="00D455F3">
        <w:rPr>
          <w:rFonts w:ascii="Times New Roman" w:hAnsi="Times New Roman" w:cs="Times New Roman"/>
          <w:color w:val="000000" w:themeColor="text1"/>
        </w:rPr>
        <w:t>reconfiguraron</w:t>
      </w:r>
      <w:r w:rsidRPr="00354487">
        <w:rPr>
          <w:rFonts w:ascii="Times New Roman" w:hAnsi="Times New Roman" w:cs="Times New Roman"/>
          <w:color w:val="000000" w:themeColor="text1"/>
        </w:rPr>
        <w:t xml:space="preserve"> los vínculos políticos</w:t>
      </w:r>
      <w:r w:rsidR="00481192">
        <w:rPr>
          <w:rFonts w:ascii="Times New Roman" w:hAnsi="Times New Roman" w:cs="Times New Roman"/>
          <w:color w:val="000000" w:themeColor="text1"/>
        </w:rPr>
        <w:t xml:space="preserve"> consolidados</w:t>
      </w:r>
      <w:r w:rsidRPr="00354487">
        <w:rPr>
          <w:rFonts w:ascii="Times New Roman" w:hAnsi="Times New Roman" w:cs="Times New Roman"/>
          <w:color w:val="000000" w:themeColor="text1"/>
        </w:rPr>
        <w:t xml:space="preserve"> </w:t>
      </w:r>
      <w:r w:rsidR="00481192">
        <w:rPr>
          <w:rFonts w:ascii="Times New Roman" w:hAnsi="Times New Roman" w:cs="Times New Roman"/>
          <w:color w:val="000000" w:themeColor="text1"/>
        </w:rPr>
        <w:t>entre</w:t>
      </w:r>
      <w:r w:rsidRPr="00354487">
        <w:rPr>
          <w:rFonts w:ascii="Times New Roman" w:hAnsi="Times New Roman" w:cs="Times New Roman"/>
          <w:color w:val="000000" w:themeColor="text1"/>
        </w:rPr>
        <w:t xml:space="preserve"> el gobierno central y las autoridades de las universidades nacionales desde finales de los años ‘90 (Erreguerena, 2017). Los conflictos derivados de estos acontecimientos, que incluyeron movilizaciones masivas y disputas parlamentarias y judiciales en torno de la cuestión presupuestaria y la implementación de la Ley de Financiamiento Universitario (Marquis et al., 2025), constituyen un proceso político aún en curso, cuyo análisis excede los objetivos de este trabajo.</w:t>
      </w:r>
    </w:p>
    <w:p w14:paraId="4433FB21" w14:textId="7EC49C53" w:rsidR="00354487" w:rsidRDefault="00354487" w:rsidP="00354487">
      <w:pPr>
        <w:spacing w:line="240" w:lineRule="auto"/>
        <w:jc w:val="both"/>
        <w:rPr>
          <w:rFonts w:ascii="Times New Roman" w:hAnsi="Times New Roman" w:cs="Times New Roman"/>
          <w:color w:val="000000" w:themeColor="text1"/>
        </w:rPr>
      </w:pPr>
      <w:r w:rsidRPr="00354487">
        <w:rPr>
          <w:rFonts w:ascii="Times New Roman" w:hAnsi="Times New Roman" w:cs="Times New Roman"/>
          <w:color w:val="000000" w:themeColor="text1"/>
        </w:rPr>
        <w:t xml:space="preserve">Lo que nos interesa señalar es que, pese a estas disrupciones, los mecanismos de aseguramiento de la calidad continuaron funcionando. La CONEAU sostuvo sus procesos de evaluación institucional y las convocatorias a acreditación, abrió nuevas cohortes de sus cursos de formación y publicó nueva normativa sobre la Evaluación Externa focalizada (Comisión Nacional de Evaluación y Acreditación Universitaria, 2025). También prosiguieron las discusiones acerca de los estándares de acreditación para nuevas carreras de grado incluidas en el régimen del Artículo 43, con participación de las asociaciones profesionales y de las universidades. Éstas últimas, por su parte, avanzaron en la creación y/o en el fortalecimiento de áreas y de sistemas internos para la gestión de la calidad, con un margen amplio de autonomía </w:t>
      </w:r>
      <w:r w:rsidR="00BB549C">
        <w:rPr>
          <w:rFonts w:ascii="Times New Roman" w:hAnsi="Times New Roman" w:cs="Times New Roman"/>
          <w:color w:val="000000" w:themeColor="text1"/>
        </w:rPr>
        <w:t xml:space="preserve">en un contexto de </w:t>
      </w:r>
      <w:r w:rsidRPr="00354487">
        <w:rPr>
          <w:rFonts w:ascii="Times New Roman" w:hAnsi="Times New Roman" w:cs="Times New Roman"/>
          <w:color w:val="000000" w:themeColor="text1"/>
        </w:rPr>
        <w:t>ausencia de políticas y lineamientos desde la Subsecretaría de Políticas Universitarias (SSPU) y de la CONEAU.</w:t>
      </w:r>
    </w:p>
    <w:p w14:paraId="64415354" w14:textId="1EA42F97" w:rsidR="00354487" w:rsidRDefault="00354487" w:rsidP="00D17305">
      <w:pPr>
        <w:spacing w:line="240" w:lineRule="auto"/>
        <w:jc w:val="both"/>
        <w:rPr>
          <w:rFonts w:ascii="Times New Roman" w:hAnsi="Times New Roman" w:cs="Times New Roman"/>
          <w:color w:val="000000" w:themeColor="text1"/>
        </w:rPr>
      </w:pPr>
      <w:r w:rsidRPr="00354487">
        <w:rPr>
          <w:rFonts w:ascii="Times New Roman" w:hAnsi="Times New Roman" w:cs="Times New Roman"/>
          <w:color w:val="000000" w:themeColor="text1"/>
        </w:rPr>
        <w:t xml:space="preserve">Aún en </w:t>
      </w:r>
      <w:r w:rsidR="004700D5" w:rsidRPr="004700D5">
        <w:rPr>
          <w:rFonts w:ascii="Times New Roman" w:hAnsi="Times New Roman" w:cs="Times New Roman"/>
          <w:color w:val="000000" w:themeColor="text1"/>
        </w:rPr>
        <w:t xml:space="preserve">un contexto de incertidumbre </w:t>
      </w:r>
      <w:r w:rsidRPr="00354487">
        <w:rPr>
          <w:rFonts w:ascii="Times New Roman" w:hAnsi="Times New Roman" w:cs="Times New Roman"/>
          <w:color w:val="000000" w:themeColor="text1"/>
        </w:rPr>
        <w:t xml:space="preserve">política y presupuestaria, de limbo normativo respecto de los SIAC </w:t>
      </w:r>
      <w:r w:rsidR="00D17305" w:rsidRPr="00354487">
        <w:rPr>
          <w:rFonts w:ascii="Times New Roman" w:hAnsi="Times New Roman" w:cs="Times New Roman"/>
          <w:color w:val="000000" w:themeColor="text1"/>
        </w:rPr>
        <w:t>y de ausencia</w:t>
      </w:r>
      <w:r w:rsidR="00D17305">
        <w:rPr>
          <w:rFonts w:ascii="Times New Roman" w:hAnsi="Times New Roman" w:cs="Times New Roman"/>
          <w:color w:val="000000" w:themeColor="text1"/>
        </w:rPr>
        <w:t xml:space="preserve"> </w:t>
      </w:r>
      <w:r w:rsidR="00D17305" w:rsidRPr="00354487">
        <w:rPr>
          <w:rFonts w:ascii="Times New Roman" w:hAnsi="Times New Roman" w:cs="Times New Roman"/>
          <w:color w:val="000000" w:themeColor="text1"/>
        </w:rPr>
        <w:t>de lineamientos gubernamentales</w:t>
      </w:r>
      <w:r w:rsidR="00D17305">
        <w:rPr>
          <w:rFonts w:ascii="Times New Roman" w:hAnsi="Times New Roman" w:cs="Times New Roman"/>
          <w:color w:val="000000" w:themeColor="text1"/>
        </w:rPr>
        <w:t>,</w:t>
      </w:r>
      <w:r w:rsidR="00D17305" w:rsidRPr="00354487">
        <w:rPr>
          <w:rFonts w:ascii="Times New Roman" w:hAnsi="Times New Roman" w:cs="Times New Roman"/>
          <w:color w:val="000000" w:themeColor="text1"/>
        </w:rPr>
        <w:t xml:space="preserve"> los procedimientos y mecanismos de evaluación de la calidad tuvieron continuidad operativa</w:t>
      </w:r>
      <w:r w:rsidR="00D17305">
        <w:rPr>
          <w:rFonts w:ascii="Times New Roman" w:hAnsi="Times New Roman" w:cs="Times New Roman"/>
          <w:color w:val="000000" w:themeColor="text1"/>
        </w:rPr>
        <w:t>. Los lineamientos de los SIAC, de hecho, fueron</w:t>
      </w:r>
      <w:r w:rsidRPr="00354487">
        <w:rPr>
          <w:rFonts w:ascii="Times New Roman" w:hAnsi="Times New Roman" w:cs="Times New Roman"/>
          <w:color w:val="000000" w:themeColor="text1"/>
        </w:rPr>
        <w:t xml:space="preserve"> parcialmente modificados por el Acuerdo </w:t>
      </w:r>
      <w:r w:rsidRPr="00354487">
        <w:rPr>
          <w:rFonts w:ascii="Times New Roman" w:hAnsi="Times New Roman" w:cs="Times New Roman"/>
          <w:color w:val="000000" w:themeColor="text1"/>
        </w:rPr>
        <w:lastRenderedPageBreak/>
        <w:t>Plenario N.º 281 del Consejo de Universidades (202</w:t>
      </w:r>
      <w:r w:rsidR="00654B32">
        <w:rPr>
          <w:rFonts w:ascii="Times New Roman" w:hAnsi="Times New Roman" w:cs="Times New Roman"/>
          <w:color w:val="000000" w:themeColor="text1"/>
        </w:rPr>
        <w:t>4</w:t>
      </w:r>
      <w:r w:rsidRPr="00354487">
        <w:rPr>
          <w:rFonts w:ascii="Times New Roman" w:hAnsi="Times New Roman" w:cs="Times New Roman"/>
          <w:color w:val="000000" w:themeColor="text1"/>
        </w:rPr>
        <w:t>),</w:t>
      </w:r>
      <w:r w:rsidR="006439D8">
        <w:rPr>
          <w:rFonts w:ascii="Times New Roman" w:hAnsi="Times New Roman" w:cs="Times New Roman"/>
          <w:color w:val="000000" w:themeColor="text1"/>
        </w:rPr>
        <w:t xml:space="preserve"> aún</w:t>
      </w:r>
      <w:r w:rsidRPr="00354487">
        <w:rPr>
          <w:rFonts w:ascii="Times New Roman" w:hAnsi="Times New Roman" w:cs="Times New Roman"/>
          <w:color w:val="000000" w:themeColor="text1"/>
        </w:rPr>
        <w:t xml:space="preserve"> pendiente de una nueva Resolución de la Secretaría de Educación. Esta persistencia frente a los cambios en las políticas públicas y en la orientación ideológica del gobierno central constituye el punto de partida de nuestro trabajo: sugiere que el SAC responde a dinámicas que exceden los vaivenes de la coyuntura político-económica e, inclusive, a la orientación de las políticas educativas.</w:t>
      </w:r>
    </w:p>
    <w:p w14:paraId="5FDBD938" w14:textId="224750E2" w:rsidR="004642C4" w:rsidRDefault="004642C4" w:rsidP="00354487">
      <w:pPr>
        <w:spacing w:line="240" w:lineRule="auto"/>
        <w:jc w:val="both"/>
        <w:rPr>
          <w:rFonts w:ascii="Times New Roman" w:hAnsi="Times New Roman" w:cs="Times New Roman"/>
          <w:color w:val="000000" w:themeColor="text1"/>
        </w:rPr>
      </w:pPr>
      <w:r w:rsidRPr="004642C4">
        <w:rPr>
          <w:rFonts w:ascii="Times New Roman" w:hAnsi="Times New Roman" w:cs="Times New Roman"/>
          <w:color w:val="000000" w:themeColor="text1"/>
        </w:rPr>
        <w:t>Desde una perspectiva sociológica apoyada en la Teoría de Sistemas Sociales (en adelante, TSS), postulamos que esa</w:t>
      </w:r>
      <w:r w:rsidR="00390D02">
        <w:rPr>
          <w:rFonts w:ascii="Times New Roman" w:hAnsi="Times New Roman" w:cs="Times New Roman"/>
          <w:color w:val="000000" w:themeColor="text1"/>
        </w:rPr>
        <w:t xml:space="preserve"> persistencia responde a una</w:t>
      </w:r>
      <w:r w:rsidRPr="004642C4">
        <w:rPr>
          <w:rFonts w:ascii="Times New Roman" w:hAnsi="Times New Roman" w:cs="Times New Roman"/>
          <w:color w:val="000000" w:themeColor="text1"/>
        </w:rPr>
        <w:t xml:space="preserve"> exigencia estructural: el SAC es un mecanismo interno del sistema educativo cuya función es producir confianza sistémica en las universidades en el contexto de sociedades funcionalmente diferenciadas. El argumento se desarrolla en tres apartados. El primero repasa una selección de estudios recientes sobre el SAC de Argentina, identificando las limitaciones del enfoque predominante, anclado en su análisis como instrumento de política pública. El segundo apartado introduce algunas categorías de la Teoría de Sistemas Sociales de Niklas Luhmann, para encuadrar al SAC en el fenómeno de la confianza e identificar sus mecanismos y operaciones. El tercero plantea conclusiones y esboza líneas de investigación futuras.</w:t>
      </w:r>
    </w:p>
    <w:p w14:paraId="2FD138AD" w14:textId="76C4330F" w:rsidR="005F3B2E" w:rsidRPr="007B5B5F" w:rsidRDefault="005F3B2E" w:rsidP="00354487">
      <w:pPr>
        <w:spacing w:line="240" w:lineRule="auto"/>
        <w:jc w:val="both"/>
        <w:rPr>
          <w:rFonts w:ascii="Times New Roman" w:hAnsi="Times New Roman" w:cs="Times New Roman"/>
          <w:b/>
          <w:bCs/>
        </w:rPr>
      </w:pPr>
      <w:r w:rsidRPr="007B5B5F">
        <w:rPr>
          <w:rFonts w:ascii="Times New Roman" w:hAnsi="Times New Roman" w:cs="Times New Roman"/>
          <w:b/>
          <w:bCs/>
        </w:rPr>
        <w:t>Desarrollo</w:t>
      </w:r>
    </w:p>
    <w:p w14:paraId="06550568" w14:textId="69EEEFEE" w:rsidR="004642C4" w:rsidRPr="004642C4" w:rsidRDefault="004642C4" w:rsidP="007B5B5F">
      <w:pPr>
        <w:spacing w:line="240" w:lineRule="auto"/>
        <w:jc w:val="both"/>
        <w:rPr>
          <w:rFonts w:ascii="Times New Roman" w:hAnsi="Times New Roman" w:cs="Times New Roman"/>
          <w:b/>
          <w:bCs/>
        </w:rPr>
      </w:pPr>
      <w:r w:rsidRPr="004642C4">
        <w:rPr>
          <w:rFonts w:ascii="Times New Roman" w:hAnsi="Times New Roman" w:cs="Times New Roman"/>
          <w:b/>
          <w:bCs/>
        </w:rPr>
        <w:t>Del enfoque de las políticas públicas a la función sistémica: el SAC como objeto sociológico</w:t>
      </w:r>
    </w:p>
    <w:p w14:paraId="3F15F42E" w14:textId="561AD30F" w:rsidR="004642C4" w:rsidRDefault="004642C4" w:rsidP="007B5B5F">
      <w:pPr>
        <w:spacing w:line="240" w:lineRule="auto"/>
        <w:jc w:val="both"/>
        <w:rPr>
          <w:rFonts w:ascii="Times New Roman" w:hAnsi="Times New Roman" w:cs="Times New Roman"/>
        </w:rPr>
      </w:pPr>
      <w:r w:rsidRPr="004642C4">
        <w:rPr>
          <w:rFonts w:ascii="Times New Roman" w:hAnsi="Times New Roman" w:cs="Times New Roman"/>
        </w:rPr>
        <w:t>La persistencia de los mecanismos de evaluación y la consolidación de las áreas de gestión de la calidad en las instituciones, aun frente a los cambios y discontinuidades en las políticas universitarias y el cambio de orientación ideológica del gobierno central, sugieren que el aseguramiento de la calidad ha adquirido</w:t>
      </w:r>
      <w:r w:rsidR="00F22835">
        <w:rPr>
          <w:rFonts w:ascii="Times New Roman" w:hAnsi="Times New Roman" w:cs="Times New Roman"/>
        </w:rPr>
        <w:t xml:space="preserve"> una</w:t>
      </w:r>
      <w:r w:rsidR="00F52C07">
        <w:rPr>
          <w:rFonts w:ascii="Times New Roman" w:hAnsi="Times New Roman" w:cs="Times New Roman"/>
        </w:rPr>
        <w:t xml:space="preserve"> lógica propia</w:t>
      </w:r>
      <w:r w:rsidR="00A20EF8">
        <w:rPr>
          <w:rFonts w:ascii="Times New Roman" w:hAnsi="Times New Roman" w:cs="Times New Roman"/>
        </w:rPr>
        <w:t xml:space="preserve"> respecto de</w:t>
      </w:r>
      <w:r w:rsidRPr="004642C4">
        <w:rPr>
          <w:rFonts w:ascii="Times New Roman" w:hAnsi="Times New Roman" w:cs="Times New Roman"/>
        </w:rPr>
        <w:t xml:space="preserve"> la dinámica del sistema político. Cambian las administraciones, se modifica su elenco, se redefinen las prioridades de política pública y se tensionan las relaciones gobierno-universidades, pero la cuestión de la calidad y sus mecanismos de evaluación permanecen. En este artículo postulamos que la estabilidad de este entramado institucional se explica porque el SAC cumple una función interna del sistema educativo vinculada a la producción de confianza</w:t>
      </w:r>
      <w:r w:rsidR="0094449C">
        <w:rPr>
          <w:rFonts w:ascii="Times New Roman" w:hAnsi="Times New Roman" w:cs="Times New Roman"/>
        </w:rPr>
        <w:t xml:space="preserve"> sistémica</w:t>
      </w:r>
      <w:r w:rsidRPr="004642C4">
        <w:rPr>
          <w:rFonts w:ascii="Times New Roman" w:hAnsi="Times New Roman" w:cs="Times New Roman"/>
        </w:rPr>
        <w:t xml:space="preserve"> en las universidades.</w:t>
      </w:r>
    </w:p>
    <w:p w14:paraId="0B9A3B22" w14:textId="479ED97F" w:rsidR="004642C4" w:rsidRDefault="004642C4" w:rsidP="004642C4">
      <w:pPr>
        <w:spacing w:line="240" w:lineRule="auto"/>
        <w:jc w:val="both"/>
        <w:rPr>
          <w:rFonts w:ascii="Times New Roman" w:hAnsi="Times New Roman" w:cs="Times New Roman"/>
        </w:rPr>
      </w:pPr>
      <w:r w:rsidRPr="004642C4">
        <w:rPr>
          <w:rFonts w:ascii="Times New Roman" w:hAnsi="Times New Roman" w:cs="Times New Roman"/>
        </w:rPr>
        <w:t xml:space="preserve">Para ello, exploramos la lógica funcional </w:t>
      </w:r>
      <w:r w:rsidR="001A4299">
        <w:rPr>
          <w:rFonts w:ascii="Times New Roman" w:hAnsi="Times New Roman" w:cs="Times New Roman"/>
        </w:rPr>
        <w:t>del SAC</w:t>
      </w:r>
      <w:r w:rsidRPr="004642C4">
        <w:rPr>
          <w:rFonts w:ascii="Times New Roman" w:hAnsi="Times New Roman" w:cs="Times New Roman"/>
        </w:rPr>
        <w:t xml:space="preserve"> con el objetivo de trascender</w:t>
      </w:r>
      <w:r w:rsidR="00DD63B2">
        <w:rPr>
          <w:rFonts w:ascii="Times New Roman" w:hAnsi="Times New Roman" w:cs="Times New Roman"/>
        </w:rPr>
        <w:t xml:space="preserve"> el enfoque predominante en la literatura</w:t>
      </w:r>
      <w:r w:rsidR="0095071A">
        <w:rPr>
          <w:rFonts w:ascii="Times New Roman" w:hAnsi="Times New Roman" w:cs="Times New Roman"/>
        </w:rPr>
        <w:t xml:space="preserve"> anclad</w:t>
      </w:r>
      <w:r w:rsidR="00605026">
        <w:rPr>
          <w:rFonts w:ascii="Times New Roman" w:hAnsi="Times New Roman" w:cs="Times New Roman"/>
        </w:rPr>
        <w:t>o</w:t>
      </w:r>
      <w:r w:rsidR="0095071A">
        <w:rPr>
          <w:rFonts w:ascii="Times New Roman" w:hAnsi="Times New Roman" w:cs="Times New Roman"/>
        </w:rPr>
        <w:t xml:space="preserve"> en </w:t>
      </w:r>
      <w:r w:rsidR="00C67EF6">
        <w:rPr>
          <w:rFonts w:ascii="Times New Roman" w:hAnsi="Times New Roman" w:cs="Times New Roman"/>
        </w:rPr>
        <w:t>la lógica de las políticas públicas.</w:t>
      </w:r>
      <w:r w:rsidRPr="004642C4">
        <w:rPr>
          <w:rFonts w:ascii="Times New Roman" w:hAnsi="Times New Roman" w:cs="Times New Roman"/>
        </w:rPr>
        <w:t xml:space="preserve"> </w:t>
      </w:r>
      <w:r w:rsidR="00691FCB">
        <w:rPr>
          <w:rFonts w:ascii="Times New Roman" w:hAnsi="Times New Roman" w:cs="Times New Roman"/>
        </w:rPr>
        <w:t>B</w:t>
      </w:r>
      <w:r w:rsidRPr="004642C4">
        <w:rPr>
          <w:rFonts w:ascii="Times New Roman" w:hAnsi="Times New Roman" w:cs="Times New Roman"/>
        </w:rPr>
        <w:t xml:space="preserve">uscamos desplazar la atención desde las dinámicas político-institucionales hacia las condiciones estructurales que explican su persistencia. Esto permite complementar los aportes de la literatura local, que ha tendido a estudiar al SAC desde su génesis político-institucional, enfatizando su carácter como instrumento de política pública asociado a una nueva configuración de las relaciones entre los gobiernos centrales y las universidades consolidada hacia finales del siglo XX. Desde este punto de partida, proponemos debatir tres limitaciones: en primer lugar, la fragmentación entre la investigación aplicada y la teoría general de la sociedad, expresada en la primacía de estudios de alcance medio y análisis de casos institucionales; en segundo término, la tendencia a establecer vínculos lineales entre las transformaciones de la educación superior y los vaivenes de la coyuntura </w:t>
      </w:r>
      <w:r w:rsidRPr="004642C4">
        <w:rPr>
          <w:rFonts w:ascii="Times New Roman" w:hAnsi="Times New Roman" w:cs="Times New Roman"/>
        </w:rPr>
        <w:lastRenderedPageBreak/>
        <w:t>político-económica; y, finalmente, la naturalización de la calidad como un atributo objetivo susceptible de ser medido, lo que ha dejado sin explorar la confianza como problema sociológico específico.</w:t>
      </w:r>
    </w:p>
    <w:p w14:paraId="141920EE" w14:textId="02815C49" w:rsidR="004642C4" w:rsidRDefault="004642C4" w:rsidP="004642C4">
      <w:pPr>
        <w:spacing w:line="240" w:lineRule="auto"/>
        <w:jc w:val="both"/>
        <w:rPr>
          <w:rFonts w:ascii="Times New Roman" w:hAnsi="Times New Roman" w:cs="Times New Roman"/>
        </w:rPr>
      </w:pPr>
      <w:r w:rsidRPr="004642C4">
        <w:rPr>
          <w:rFonts w:ascii="Times New Roman" w:hAnsi="Times New Roman" w:cs="Times New Roman"/>
        </w:rPr>
        <w:t>En lo que refiere al primer aspecto, la brecha entre investigación aplicada y teoría general de la sociedad en la literatura sobre el SAC se constata en el predominio de trabajos centrados en la reconstrucción histórica de las políticas universitarias o en el estudio de sus implicancias y reapropiaciones institucionales. Si bien estos aportes resultan valiosos para documentar la evolución, el funcionamiento y los efectos de la evaluación y sus instrumentos, carecen de interpretaciones más amplias acerca de la vinculación entre el SAC y las transformaciones estructurales de las sociedades que acompañaron la expansión y complejización de la educación superior (Labraña, 2022). Estas explicaciones suelen circunscribirse a la dinámica del sistema político, la acción estatal o los procesos de reforma educativa. En este sentido, la TSS aporta herramientas para analizar el SAC en un marco analítico más amplio, y superar los límites propios de las teorías de alcance medio.</w:t>
      </w:r>
    </w:p>
    <w:p w14:paraId="135B1561" w14:textId="2BE8434B" w:rsidR="00305381" w:rsidRDefault="00305381" w:rsidP="004642C4">
      <w:pPr>
        <w:spacing w:line="240" w:lineRule="auto"/>
        <w:jc w:val="both"/>
        <w:rPr>
          <w:rFonts w:ascii="Times New Roman" w:hAnsi="Times New Roman" w:cs="Times New Roman"/>
        </w:rPr>
      </w:pPr>
      <w:r w:rsidRPr="00305381">
        <w:rPr>
          <w:rFonts w:ascii="Times New Roman" w:hAnsi="Times New Roman" w:cs="Times New Roman"/>
        </w:rPr>
        <w:t>En segundo término, buscamos complejizar el vínculo entre el sistema educativo y su entorno, superando las interpretaciones que establecen relaciones causales más o menos directas entre los cambios políticos y económicos (programas reformistas, ajustes fiscales o planes de estabilización) y las transformaciones de la educación superior. Esto no implica negar las influencias del entorno, subestimar la dimensión política ni desconocer los condicionamientos materiales, sino comprender</w:t>
      </w:r>
      <w:r w:rsidR="006C708B">
        <w:rPr>
          <w:rFonts w:ascii="Times New Roman" w:hAnsi="Times New Roman" w:cs="Times New Roman"/>
        </w:rPr>
        <w:t>los</w:t>
      </w:r>
      <w:r w:rsidRPr="00305381">
        <w:rPr>
          <w:rFonts w:ascii="Times New Roman" w:hAnsi="Times New Roman" w:cs="Times New Roman"/>
        </w:rPr>
        <w:t xml:space="preserve"> como acontecimientos que son observados, reinterpretados y reelaborados por el sistema educativo según sus propias estructuras, código y criterios. Rastrear los hitos políticos y económicos que rodearon la génesis del SAC resulta útil para reconstruir y comprender la semántica histórica del campo en cada momento, pero insuficiente para dar cuenta de la lógica funcional que explica que el sistema educativo haya desarrollado mecanismos tecnificados de evaluación de sus componentes anclados en el conocimiento experto.</w:t>
      </w:r>
    </w:p>
    <w:p w14:paraId="396EC5E9" w14:textId="56B8E011" w:rsidR="00305381" w:rsidRDefault="00305381" w:rsidP="004642C4">
      <w:pPr>
        <w:spacing w:line="240" w:lineRule="auto"/>
        <w:jc w:val="both"/>
        <w:rPr>
          <w:rFonts w:ascii="Times New Roman" w:hAnsi="Times New Roman" w:cs="Times New Roman"/>
        </w:rPr>
      </w:pPr>
      <w:r w:rsidRPr="00305381">
        <w:rPr>
          <w:rFonts w:ascii="Times New Roman" w:hAnsi="Times New Roman" w:cs="Times New Roman"/>
        </w:rPr>
        <w:t>Este enfoque, prevaleciente en buena parte de los estudios del campo, analiza al SAC como un instrumento de política pública que cobró centralidad en la agenda reformista de los años 1980 y 1990, difundida globalmente por organismos internacionales de cooperación y de crédito, aunque con adecuaciones nacionales atribuidas a las particularidades de cada país y a las negociaciones políticas del momento (</w:t>
      </w:r>
      <w:r w:rsidR="00F80C9E">
        <w:rPr>
          <w:rFonts w:ascii="Times New Roman" w:hAnsi="Times New Roman" w:cs="Times New Roman"/>
        </w:rPr>
        <w:t xml:space="preserve">Aiello, 2017; </w:t>
      </w:r>
      <w:r w:rsidRPr="00305381">
        <w:rPr>
          <w:rFonts w:ascii="Times New Roman" w:hAnsi="Times New Roman" w:cs="Times New Roman"/>
        </w:rPr>
        <w:t>Corengia, 2009; Marquis, 2014; Rubinich, 2001). Esta interpretación identifica a la crisis del Estado de Bienestar, a los problemas fiscales derivados de la masificación y al deterioro de la confianza institucional asociada a la falta de rendición de cuentas como impulsores de la emergencia de nuevas formas de regulación pública que reestructuraron las relaciones entre el gobierno central y las universidades, un proceso sintetizado por la tesis del Estado Evaluador (Brunner, 1994; Neave &amp; van Vught, 1994). Desde esta visión, la evaluación como práctica y la calidad como discurso son interpretadas como tecnologías de gobierno en el marco de una nueva forma de regulación pública donde el gobierno ejerce un control indirecto, “a distancia”, de las universidades.</w:t>
      </w:r>
    </w:p>
    <w:p w14:paraId="6109CDE8" w14:textId="5BC5EF02" w:rsidR="004642C4" w:rsidRDefault="00305381" w:rsidP="00305381">
      <w:pPr>
        <w:spacing w:line="240" w:lineRule="auto"/>
        <w:jc w:val="both"/>
        <w:rPr>
          <w:rFonts w:ascii="Times New Roman" w:hAnsi="Times New Roman" w:cs="Times New Roman"/>
        </w:rPr>
      </w:pPr>
      <w:r w:rsidRPr="00305381">
        <w:rPr>
          <w:rFonts w:ascii="Times New Roman" w:hAnsi="Times New Roman" w:cs="Times New Roman"/>
        </w:rPr>
        <w:t xml:space="preserve">Según entendemos desde la TSS, este abordaje tiende a concebir al sistema educativo como un objeto trivial, susceptible de ser modificado mediante decisiones del Estado u </w:t>
      </w:r>
      <w:r w:rsidRPr="00305381">
        <w:rPr>
          <w:rFonts w:ascii="Times New Roman" w:hAnsi="Times New Roman" w:cs="Times New Roman"/>
        </w:rPr>
        <w:lastRenderedPageBreak/>
        <w:t>otros actores externos, lo que sobreestima la capacidad de dirección de los sistemas político y económico. En esta línea, las explicaciones más difundidas atribuyen la emergencia del SAC a la colonización del mundo académico por lógicas económicas o a la introducción de enfoques gerencialistas enmarcados en la Nueva Gestión Pública, que terminan por asimilar los mecanismos de aseguramiento de la calidad a la racionalidad del mercado (Fernández Lamarra &amp; Aiello, 2014; Guaglianone, 2012; Marquina, 2016; Pérez Rasetti, 2025). Esta perspectiva reconstruye con precisión la dimensión político-institucional del SAC, pero deja en segundo plano las transformaciones estructurales que explican su consolidación como un entramado institucional dotado de independencia funcional respecto de los cambios gubernamentales.</w:t>
      </w:r>
    </w:p>
    <w:p w14:paraId="62A58A24" w14:textId="32C9E42C" w:rsidR="00305381" w:rsidRDefault="00305381" w:rsidP="00305381">
      <w:pPr>
        <w:spacing w:line="240" w:lineRule="auto"/>
        <w:jc w:val="both"/>
        <w:rPr>
          <w:rFonts w:ascii="Times New Roman" w:hAnsi="Times New Roman" w:cs="Times New Roman"/>
        </w:rPr>
      </w:pPr>
      <w:r w:rsidRPr="00305381">
        <w:rPr>
          <w:rFonts w:ascii="Times New Roman" w:hAnsi="Times New Roman" w:cs="Times New Roman"/>
        </w:rPr>
        <w:t>Finalmente, una tercera limitación corresponde a la naturalización de la evaluación y sus mecanismos como procedimientos técnicos neutrales y, como resultado, la reificación de la calidad como un atributo susceptible de ser medido</w:t>
      </w:r>
      <w:r w:rsidR="007324C9">
        <w:rPr>
          <w:rFonts w:ascii="Times New Roman" w:hAnsi="Times New Roman" w:cs="Times New Roman"/>
        </w:rPr>
        <w:t xml:space="preserve"> o</w:t>
      </w:r>
      <w:r w:rsidRPr="00305381">
        <w:rPr>
          <w:rFonts w:ascii="Times New Roman" w:hAnsi="Times New Roman" w:cs="Times New Roman"/>
        </w:rPr>
        <w:t xml:space="preserve"> verificado. Esta naturalización, como apuntan Labraña y Mariñez (2021), permea el discurso de las políticas públicas y de las agencias de acreditación. En este trabajo argumentamos, desde una perspectiva constructivista, que la calidad no constituye una realidad objetiva preexistente sino un resultado de las operaciones del SAC. En una línea similar, Pérez Rasetti (2025) la define como el resultado de una “operación de sentido”, subrayando su carácter interpretativo antes que objetivo. Al definir estándares, realizar evaluaciones y emitir dictámenes, el SAC produce aquello que se reconoce socialmente como calidad universitaria: sus certificados no revelan una propiedad intrínseca de las instituciones, sino que funcionan como mecanismos de producción de confianza y estabilización de expectativas. En este sentido, el SAC</w:t>
      </w:r>
      <w:r w:rsidR="00F414B3">
        <w:rPr>
          <w:rFonts w:ascii="Times New Roman" w:hAnsi="Times New Roman" w:cs="Times New Roman"/>
        </w:rPr>
        <w:t xml:space="preserve"> produce confianza al aplicar </w:t>
      </w:r>
      <w:r w:rsidR="007C157F">
        <w:rPr>
          <w:rFonts w:ascii="Times New Roman" w:hAnsi="Times New Roman" w:cs="Times New Roman"/>
        </w:rPr>
        <w:t>el conocimiento experto en sus procedimientos y condensarlo en dictámenes que el entorno reconoce como válidos.</w:t>
      </w:r>
    </w:p>
    <w:p w14:paraId="2677C840" w14:textId="37838AD4" w:rsidR="00305381" w:rsidRDefault="00305381" w:rsidP="00305381">
      <w:pPr>
        <w:spacing w:line="240" w:lineRule="auto"/>
        <w:jc w:val="both"/>
        <w:rPr>
          <w:rFonts w:ascii="Times New Roman" w:hAnsi="Times New Roman" w:cs="Times New Roman"/>
        </w:rPr>
      </w:pPr>
      <w:r w:rsidRPr="00305381">
        <w:rPr>
          <w:rFonts w:ascii="Times New Roman" w:hAnsi="Times New Roman" w:cs="Times New Roman"/>
        </w:rPr>
        <w:t xml:space="preserve">Estas tres limitaciones tienen una premisa epistemológica común. En su revisión de los enfoques predominantes en el campo de la investigación educativa, Labraña (2012, 2014, 2022) observa que teorías tan disímiles como el funcionalismo, la teoría crítica o la teoría del capital humano comparten una concepción de la educación como una instancia central de coordinación del orden social, donde se proyectan linealmente las desigualdades ancladas en factores como la clase social, el género o la etnia. En estas formulaciones, el foco está puesto en los actores, individuales o colectivos, y en sus trayectorias, y el sistema educativo funciona como una caja de resonancia del entorno. En contraposición, la TSS comprende a la educación como un sistema autónomo que opera con una lógica propia, diferenciada. El objeto de análisis no son los actores sino las operaciones del sistema: cómo produce sus comunicaciones internas y cómo procesa las irritaciones provenientes del entorno. </w:t>
      </w:r>
      <w:r w:rsidR="00711EB5">
        <w:rPr>
          <w:rFonts w:ascii="Times New Roman" w:hAnsi="Times New Roman" w:cs="Times New Roman"/>
        </w:rPr>
        <w:t>Las</w:t>
      </w:r>
      <w:r w:rsidRPr="00305381">
        <w:rPr>
          <w:rFonts w:ascii="Times New Roman" w:hAnsi="Times New Roman" w:cs="Times New Roman"/>
        </w:rPr>
        <w:t xml:space="preserve"> desigualdades</w:t>
      </w:r>
      <w:r w:rsidR="00711EB5">
        <w:rPr>
          <w:rFonts w:ascii="Times New Roman" w:hAnsi="Times New Roman" w:cs="Times New Roman"/>
        </w:rPr>
        <w:t xml:space="preserve">, </w:t>
      </w:r>
      <w:r w:rsidR="005F7C9B">
        <w:rPr>
          <w:rFonts w:ascii="Times New Roman" w:hAnsi="Times New Roman" w:cs="Times New Roman"/>
        </w:rPr>
        <w:t>en este marco,</w:t>
      </w:r>
      <w:r w:rsidRPr="00305381">
        <w:rPr>
          <w:rFonts w:ascii="Times New Roman" w:hAnsi="Times New Roman" w:cs="Times New Roman"/>
        </w:rPr>
        <w:t xml:space="preserve"> no se trasladan mecánicamente al sistema educativo</w:t>
      </w:r>
      <w:r w:rsidR="005F7C9B">
        <w:rPr>
          <w:rFonts w:ascii="Times New Roman" w:hAnsi="Times New Roman" w:cs="Times New Roman"/>
        </w:rPr>
        <w:t>:</w:t>
      </w:r>
      <w:r w:rsidRPr="00305381">
        <w:rPr>
          <w:rFonts w:ascii="Times New Roman" w:hAnsi="Times New Roman" w:cs="Times New Roman"/>
        </w:rPr>
        <w:t xml:space="preserve"> son observadas y reelaboradas según sus propios criterios de operación.</w:t>
      </w:r>
    </w:p>
    <w:p w14:paraId="60B203A1" w14:textId="1CA07018" w:rsidR="00305381" w:rsidRDefault="00305381" w:rsidP="00305381">
      <w:pPr>
        <w:spacing w:line="240" w:lineRule="auto"/>
        <w:jc w:val="both"/>
        <w:rPr>
          <w:rFonts w:ascii="Times New Roman" w:hAnsi="Times New Roman" w:cs="Times New Roman"/>
        </w:rPr>
      </w:pPr>
      <w:r w:rsidRPr="00305381">
        <w:rPr>
          <w:rFonts w:ascii="Times New Roman" w:hAnsi="Times New Roman" w:cs="Times New Roman"/>
        </w:rPr>
        <w:t xml:space="preserve">La TSS no ofrece únicamente un vocabulario alternativo sino un cambio de plano de observación: desplaza la atención desde los actores y sus visiones sobre el SAC hacia su función en el sistema educativo, pasando de instrumento de política a objeto sociológico. </w:t>
      </w:r>
      <w:r w:rsidR="00691FCB">
        <w:rPr>
          <w:rFonts w:ascii="Times New Roman" w:hAnsi="Times New Roman" w:cs="Times New Roman"/>
        </w:rPr>
        <w:t>Este desplazamiento permite</w:t>
      </w:r>
      <w:r w:rsidRPr="00305381">
        <w:rPr>
          <w:rFonts w:ascii="Times New Roman" w:hAnsi="Times New Roman" w:cs="Times New Roman"/>
        </w:rPr>
        <w:t xml:space="preserve"> vincular la investigación del SAC con una teoría general de la sociedad, complejizar la relación entre el sistema educativo y los sistemas de su entorno </w:t>
      </w:r>
      <w:r w:rsidRPr="00305381">
        <w:rPr>
          <w:rFonts w:ascii="Times New Roman" w:hAnsi="Times New Roman" w:cs="Times New Roman"/>
        </w:rPr>
        <w:lastRenderedPageBreak/>
        <w:t xml:space="preserve">superando el determinismo causal, y abordar la calidad como una construcción en lugar de un atributo objetivo. Dentro del campo de la investigación sobre aseguramiento de la calidad, este enfoque ha sido poco explorado. El antecedente más relevante en esta dirección es el trabajo de Labraña y Mariñez (2021), quienes analizan la evolución histórica de los mecanismos de aseguramiento de la calidad en Chile desde el enfoque sistémico. Su argumento central sostiene que la emergencia del SAC expresa transformaciones estructurales en las formas de confianza de la sociedad moderna: desde una confianza basada en la familiaridad, el prestigio histórico y el conocimiento directo, hacia una confianza tecnificada, fundada en la experticia. Nuestro artículo retoma esa hipótesis, pero desplaza el foco de análisis: en lugar de preguntar por las condiciones sociales que hicieron plausible el SAC, </w:t>
      </w:r>
      <w:r w:rsidR="00C25DF4">
        <w:rPr>
          <w:rFonts w:ascii="Times New Roman" w:hAnsi="Times New Roman" w:cs="Times New Roman"/>
        </w:rPr>
        <w:t xml:space="preserve">nos </w:t>
      </w:r>
      <w:r w:rsidRPr="00305381">
        <w:rPr>
          <w:rFonts w:ascii="Times New Roman" w:hAnsi="Times New Roman" w:cs="Times New Roman"/>
        </w:rPr>
        <w:t>pregunta</w:t>
      </w:r>
      <w:r w:rsidR="00C25DF4">
        <w:rPr>
          <w:rFonts w:ascii="Times New Roman" w:hAnsi="Times New Roman" w:cs="Times New Roman"/>
        </w:rPr>
        <w:t>mos</w:t>
      </w:r>
      <w:r w:rsidRPr="00305381">
        <w:rPr>
          <w:rFonts w:ascii="Times New Roman" w:hAnsi="Times New Roman" w:cs="Times New Roman"/>
        </w:rPr>
        <w:t xml:space="preserve"> por los mecanismos mediante los cuales produce confianza sistémica.</w:t>
      </w:r>
    </w:p>
    <w:p w14:paraId="1250E823" w14:textId="369D9BCD" w:rsidR="00A1049B" w:rsidRDefault="005F7C9B" w:rsidP="00305381">
      <w:pPr>
        <w:spacing w:line="240" w:lineRule="auto"/>
        <w:jc w:val="both"/>
        <w:rPr>
          <w:rFonts w:ascii="Times New Roman" w:hAnsi="Times New Roman" w:cs="Times New Roman"/>
        </w:rPr>
      </w:pPr>
      <w:r>
        <w:rPr>
          <w:rFonts w:ascii="Times New Roman" w:hAnsi="Times New Roman" w:cs="Times New Roman"/>
        </w:rPr>
        <w:t>En consecuencia</w:t>
      </w:r>
      <w:r w:rsidR="00305381" w:rsidRPr="00305381">
        <w:rPr>
          <w:rFonts w:ascii="Times New Roman" w:hAnsi="Times New Roman" w:cs="Times New Roman"/>
        </w:rPr>
        <w:t xml:space="preserve">, en lugar de privilegiar el análisis político-normativo y formular preguntas acerca de si el SAC genera mercantilización o configura una nueva forma de autonomía, </w:t>
      </w:r>
      <w:r w:rsidR="00483041">
        <w:rPr>
          <w:rFonts w:ascii="Times New Roman" w:hAnsi="Times New Roman" w:cs="Times New Roman"/>
        </w:rPr>
        <w:t>indagamos</w:t>
      </w:r>
      <w:r w:rsidR="00305381" w:rsidRPr="00305381">
        <w:rPr>
          <w:rFonts w:ascii="Times New Roman" w:hAnsi="Times New Roman" w:cs="Times New Roman"/>
        </w:rPr>
        <w:t xml:space="preserve"> cómo opera en tanto mecanismo interno del sistema educativo. Desde este registro, el foco del análisis se corre del plano institucional e histórico al estructural: de las condiciones que rodearon su génesis, hacia los mecanismos mediante los que produce confianza y estabiliza las expectativas respecto de la educación superior. Para avanzar en esta dirección, en el próximo apartado empleamos la perspectiva sistémica y algunas categorías del aparato conceptual de la TSS de Luhmann como instrumentos de observación, no como objetos de exégesis. </w:t>
      </w:r>
      <w:r w:rsidR="00D97554">
        <w:rPr>
          <w:rFonts w:ascii="Times New Roman" w:hAnsi="Times New Roman" w:cs="Times New Roman"/>
        </w:rPr>
        <w:t>Este uso no</w:t>
      </w:r>
      <w:r w:rsidR="00305381" w:rsidRPr="00305381">
        <w:rPr>
          <w:rFonts w:ascii="Times New Roman" w:hAnsi="Times New Roman" w:cs="Times New Roman"/>
        </w:rPr>
        <w:t xml:space="preserve"> pretende legitimar una nueva posición en el campo de estudios</w:t>
      </w:r>
      <w:r w:rsidR="0004281D">
        <w:rPr>
          <w:rFonts w:ascii="Times New Roman" w:hAnsi="Times New Roman" w:cs="Times New Roman"/>
        </w:rPr>
        <w:t>,</w:t>
      </w:r>
      <w:r w:rsidR="00305381" w:rsidRPr="00305381">
        <w:rPr>
          <w:rFonts w:ascii="Times New Roman" w:hAnsi="Times New Roman" w:cs="Times New Roman"/>
        </w:rPr>
        <w:t xml:space="preserve"> promover una renovación del lenguaje de análisis</w:t>
      </w:r>
      <w:r w:rsidR="0004281D">
        <w:rPr>
          <w:rFonts w:ascii="Times New Roman" w:hAnsi="Times New Roman" w:cs="Times New Roman"/>
        </w:rPr>
        <w:t xml:space="preserve"> </w:t>
      </w:r>
      <w:r w:rsidR="00282584">
        <w:rPr>
          <w:rFonts w:ascii="Times New Roman" w:hAnsi="Times New Roman" w:cs="Times New Roman"/>
        </w:rPr>
        <w:t xml:space="preserve">o </w:t>
      </w:r>
      <w:r w:rsidR="006D6E80">
        <w:rPr>
          <w:rFonts w:ascii="Times New Roman" w:hAnsi="Times New Roman" w:cs="Times New Roman"/>
        </w:rPr>
        <w:t>privilegiar</w:t>
      </w:r>
      <w:r w:rsidR="003D330C">
        <w:rPr>
          <w:rFonts w:ascii="Times New Roman" w:hAnsi="Times New Roman" w:cs="Times New Roman"/>
        </w:rPr>
        <w:t xml:space="preserve"> la elegancia conceptual,</w:t>
      </w:r>
      <w:r w:rsidR="00305381" w:rsidRPr="00305381">
        <w:rPr>
          <w:rFonts w:ascii="Times New Roman" w:hAnsi="Times New Roman" w:cs="Times New Roman"/>
        </w:rPr>
        <w:t xml:space="preserve"> sino alterar el modo en que nos aproximamos al </w:t>
      </w:r>
      <w:r w:rsidR="003D330C">
        <w:rPr>
          <w:rFonts w:ascii="Times New Roman" w:hAnsi="Times New Roman" w:cs="Times New Roman"/>
        </w:rPr>
        <w:t>problema empírico</w:t>
      </w:r>
      <w:r w:rsidR="00305381" w:rsidRPr="00305381">
        <w:rPr>
          <w:rFonts w:ascii="Times New Roman" w:hAnsi="Times New Roman" w:cs="Times New Roman"/>
        </w:rPr>
        <w:t>, haciendo visible lo que otros marcos naturalizan.</w:t>
      </w:r>
      <w:r w:rsidR="000031DD">
        <w:rPr>
          <w:rFonts w:ascii="Times New Roman" w:hAnsi="Times New Roman" w:cs="Times New Roman"/>
        </w:rPr>
        <w:t xml:space="preserve"> </w:t>
      </w:r>
    </w:p>
    <w:p w14:paraId="1E6BEA56" w14:textId="229D3342" w:rsidR="00305381" w:rsidRDefault="00773683" w:rsidP="00305381">
      <w:pPr>
        <w:spacing w:line="240" w:lineRule="auto"/>
        <w:jc w:val="both"/>
        <w:rPr>
          <w:rFonts w:ascii="Times New Roman" w:hAnsi="Times New Roman" w:cs="Times New Roman"/>
        </w:rPr>
      </w:pPr>
      <w:r>
        <w:rPr>
          <w:rFonts w:ascii="Times New Roman" w:hAnsi="Times New Roman" w:cs="Times New Roman"/>
        </w:rPr>
        <w:t>Por tratarse de un uso instrumental,</w:t>
      </w:r>
      <w:r w:rsidR="0087387F">
        <w:rPr>
          <w:rFonts w:ascii="Times New Roman" w:hAnsi="Times New Roman" w:cs="Times New Roman"/>
        </w:rPr>
        <w:t xml:space="preserve"> recuperamos</w:t>
      </w:r>
      <w:r w:rsidR="00E85C99">
        <w:rPr>
          <w:rFonts w:ascii="Times New Roman" w:hAnsi="Times New Roman" w:cs="Times New Roman"/>
        </w:rPr>
        <w:t xml:space="preserve"> </w:t>
      </w:r>
      <w:r w:rsidR="00C3020C">
        <w:rPr>
          <w:rFonts w:ascii="Times New Roman" w:hAnsi="Times New Roman" w:cs="Times New Roman"/>
        </w:rPr>
        <w:t xml:space="preserve">elementos </w:t>
      </w:r>
      <w:r w:rsidR="00E85C99">
        <w:rPr>
          <w:rFonts w:ascii="Times New Roman" w:hAnsi="Times New Roman" w:cs="Times New Roman"/>
        </w:rPr>
        <w:t xml:space="preserve">de </w:t>
      </w:r>
      <w:r w:rsidR="00C3020C">
        <w:rPr>
          <w:rFonts w:ascii="Times New Roman" w:hAnsi="Times New Roman" w:cs="Times New Roman"/>
        </w:rPr>
        <w:t>dos</w:t>
      </w:r>
      <w:r w:rsidR="00E85C99">
        <w:rPr>
          <w:rFonts w:ascii="Times New Roman" w:hAnsi="Times New Roman" w:cs="Times New Roman"/>
        </w:rPr>
        <w:t xml:space="preserve"> momentos de </w:t>
      </w:r>
      <w:r w:rsidR="001C0C32">
        <w:rPr>
          <w:rFonts w:ascii="Times New Roman" w:hAnsi="Times New Roman" w:cs="Times New Roman"/>
        </w:rPr>
        <w:t>la</w:t>
      </w:r>
      <w:r w:rsidR="00E85C99">
        <w:rPr>
          <w:rFonts w:ascii="Times New Roman" w:hAnsi="Times New Roman" w:cs="Times New Roman"/>
        </w:rPr>
        <w:t xml:space="preserve"> obra</w:t>
      </w:r>
      <w:r w:rsidR="001C0C32">
        <w:rPr>
          <w:rFonts w:ascii="Times New Roman" w:hAnsi="Times New Roman" w:cs="Times New Roman"/>
        </w:rPr>
        <w:t xml:space="preserve"> de Luhmann</w:t>
      </w:r>
      <w:r w:rsidR="00E85C99">
        <w:rPr>
          <w:rFonts w:ascii="Times New Roman" w:hAnsi="Times New Roman" w:cs="Times New Roman"/>
        </w:rPr>
        <w:t>: la teoría de la confianza como mecanismo reductor de complejidad (</w:t>
      </w:r>
      <w:r w:rsidR="00245624">
        <w:rPr>
          <w:rFonts w:ascii="Times New Roman" w:hAnsi="Times New Roman" w:cs="Times New Roman"/>
        </w:rPr>
        <w:t xml:space="preserve">Luhmann, </w:t>
      </w:r>
      <w:r w:rsidR="00E85C99" w:rsidRPr="004667D9">
        <w:rPr>
          <w:rFonts w:ascii="Times New Roman" w:hAnsi="Times New Roman" w:cs="Times New Roman"/>
        </w:rPr>
        <w:t>1973/1996)</w:t>
      </w:r>
      <w:r w:rsidR="004D1C66">
        <w:rPr>
          <w:rFonts w:ascii="Times New Roman" w:hAnsi="Times New Roman" w:cs="Times New Roman"/>
        </w:rPr>
        <w:t>, desarrollada en sus primeros trabajos,</w:t>
      </w:r>
      <w:r w:rsidR="00E85C99">
        <w:rPr>
          <w:rFonts w:ascii="Times New Roman" w:hAnsi="Times New Roman" w:cs="Times New Roman"/>
        </w:rPr>
        <w:t xml:space="preserve"> y </w:t>
      </w:r>
      <w:r w:rsidR="00534F05">
        <w:rPr>
          <w:rFonts w:ascii="Times New Roman" w:hAnsi="Times New Roman" w:cs="Times New Roman"/>
        </w:rPr>
        <w:t>la teoría de</w:t>
      </w:r>
      <w:r w:rsidR="0087387F">
        <w:rPr>
          <w:rFonts w:ascii="Times New Roman" w:hAnsi="Times New Roman" w:cs="Times New Roman"/>
        </w:rPr>
        <w:t xml:space="preserve"> </w:t>
      </w:r>
      <w:r w:rsidR="00686BE3">
        <w:rPr>
          <w:rFonts w:ascii="Times New Roman" w:hAnsi="Times New Roman" w:cs="Times New Roman"/>
        </w:rPr>
        <w:t>sistemas autorreferenciales</w:t>
      </w:r>
      <w:r w:rsidR="00534F05">
        <w:rPr>
          <w:rFonts w:ascii="Times New Roman" w:hAnsi="Times New Roman" w:cs="Times New Roman"/>
        </w:rPr>
        <w:t>,</w:t>
      </w:r>
      <w:r w:rsidR="007F24EE">
        <w:rPr>
          <w:rFonts w:ascii="Times New Roman" w:hAnsi="Times New Roman" w:cs="Times New Roman"/>
        </w:rPr>
        <w:t xml:space="preserve"> consolidad</w:t>
      </w:r>
      <w:r w:rsidR="00750C87">
        <w:rPr>
          <w:rFonts w:ascii="Times New Roman" w:hAnsi="Times New Roman" w:cs="Times New Roman"/>
        </w:rPr>
        <w:t>a a partir de su giro autopoiético</w:t>
      </w:r>
      <w:r w:rsidR="00534F05">
        <w:rPr>
          <w:rFonts w:ascii="Times New Roman" w:hAnsi="Times New Roman" w:cs="Times New Roman"/>
        </w:rPr>
        <w:t xml:space="preserve"> </w:t>
      </w:r>
      <w:r w:rsidR="00B30147" w:rsidRPr="00B30147">
        <w:rPr>
          <w:rFonts w:ascii="Times New Roman" w:hAnsi="Times New Roman" w:cs="Times New Roman"/>
        </w:rPr>
        <w:t>(Luhmann, 1997/2007)</w:t>
      </w:r>
      <w:r w:rsidR="00A32F9F">
        <w:rPr>
          <w:rFonts w:ascii="Times New Roman" w:hAnsi="Times New Roman" w:cs="Times New Roman"/>
        </w:rPr>
        <w:t>.</w:t>
      </w:r>
      <w:r w:rsidR="00A1049B">
        <w:rPr>
          <w:rFonts w:ascii="Times New Roman" w:hAnsi="Times New Roman" w:cs="Times New Roman"/>
        </w:rPr>
        <w:t xml:space="preserve"> </w:t>
      </w:r>
      <w:r w:rsidR="00305381" w:rsidRPr="00305381">
        <w:rPr>
          <w:rFonts w:ascii="Times New Roman" w:hAnsi="Times New Roman" w:cs="Times New Roman"/>
        </w:rPr>
        <w:t>E</w:t>
      </w:r>
      <w:r w:rsidR="00C9752E">
        <w:rPr>
          <w:rFonts w:ascii="Times New Roman" w:hAnsi="Times New Roman" w:cs="Times New Roman"/>
        </w:rPr>
        <w:t>l</w:t>
      </w:r>
      <w:r w:rsidR="00305381" w:rsidRPr="00305381">
        <w:rPr>
          <w:rFonts w:ascii="Times New Roman" w:hAnsi="Times New Roman" w:cs="Times New Roman"/>
        </w:rPr>
        <w:t xml:space="preserve"> enfoque</w:t>
      </w:r>
      <w:r w:rsidR="00C9752E">
        <w:rPr>
          <w:rFonts w:ascii="Times New Roman" w:hAnsi="Times New Roman" w:cs="Times New Roman"/>
        </w:rPr>
        <w:t xml:space="preserve"> sistémico</w:t>
      </w:r>
      <w:r w:rsidR="00305381" w:rsidRPr="00305381">
        <w:rPr>
          <w:rFonts w:ascii="Times New Roman" w:hAnsi="Times New Roman" w:cs="Times New Roman"/>
        </w:rPr>
        <w:t>, como señala Camou (2023), se apoya en dos postulados fundamentales que orientan nuestro análisis: el primero, que las regularidades estructurales existen y se despliegan más allá de los propósitos e iniciativas de los actores implicados; el segundo, referido a la interdependencia funcional, postula que no existe una primacía “de última instancia” de un componente del sistema sobre los demás.</w:t>
      </w:r>
      <w:r w:rsidR="00E85C99">
        <w:rPr>
          <w:rFonts w:ascii="Times New Roman" w:hAnsi="Times New Roman" w:cs="Times New Roman"/>
        </w:rPr>
        <w:t xml:space="preserve"> </w:t>
      </w:r>
      <w:r w:rsidR="00632BBB">
        <w:rPr>
          <w:rFonts w:ascii="Times New Roman" w:hAnsi="Times New Roman" w:cs="Times New Roman"/>
        </w:rPr>
        <w:t>A través de estos</w:t>
      </w:r>
      <w:r w:rsidR="00F007B9">
        <w:rPr>
          <w:rFonts w:ascii="Times New Roman" w:hAnsi="Times New Roman" w:cs="Times New Roman"/>
        </w:rPr>
        <w:t xml:space="preserve"> </w:t>
      </w:r>
      <w:r w:rsidR="00632BBB">
        <w:rPr>
          <w:rFonts w:ascii="Times New Roman" w:hAnsi="Times New Roman" w:cs="Times New Roman"/>
        </w:rPr>
        <w:t>elementos</w:t>
      </w:r>
      <w:r w:rsidR="00C9752E">
        <w:rPr>
          <w:rFonts w:ascii="Times New Roman" w:hAnsi="Times New Roman" w:cs="Times New Roman"/>
        </w:rPr>
        <w:t>,</w:t>
      </w:r>
      <w:r w:rsidR="00305381" w:rsidRPr="00305381">
        <w:rPr>
          <w:rFonts w:ascii="Times New Roman" w:hAnsi="Times New Roman" w:cs="Times New Roman"/>
        </w:rPr>
        <w:t xml:space="preserve"> los </w:t>
      </w:r>
      <w:r w:rsidR="00632BBB">
        <w:rPr>
          <w:rFonts w:ascii="Times New Roman" w:hAnsi="Times New Roman" w:cs="Times New Roman"/>
        </w:rPr>
        <w:t>componentes</w:t>
      </w:r>
      <w:r w:rsidR="00305381" w:rsidRPr="00305381">
        <w:rPr>
          <w:rFonts w:ascii="Times New Roman" w:hAnsi="Times New Roman" w:cs="Times New Roman"/>
        </w:rPr>
        <w:t xml:space="preserve"> del SAC, es decir, sus normativas, sus procedimientos y sus criterios de aplicación, dejan de ser vistos como datos para convertirse en objetos de análisis de una</w:t>
      </w:r>
      <w:r w:rsidR="00FD0918">
        <w:rPr>
          <w:rFonts w:ascii="Times New Roman" w:hAnsi="Times New Roman" w:cs="Times New Roman"/>
        </w:rPr>
        <w:t xml:space="preserve"> </w:t>
      </w:r>
      <w:r w:rsidR="00305381" w:rsidRPr="00305381">
        <w:rPr>
          <w:rFonts w:ascii="Times New Roman" w:hAnsi="Times New Roman" w:cs="Times New Roman"/>
        </w:rPr>
        <w:t>funci</w:t>
      </w:r>
      <w:r w:rsidR="00FD0918">
        <w:rPr>
          <w:rFonts w:ascii="Times New Roman" w:hAnsi="Times New Roman" w:cs="Times New Roman"/>
        </w:rPr>
        <w:t>ón</w:t>
      </w:r>
      <w:r w:rsidR="00305381" w:rsidRPr="00305381">
        <w:rPr>
          <w:rFonts w:ascii="Times New Roman" w:hAnsi="Times New Roman" w:cs="Times New Roman"/>
        </w:rPr>
        <w:t xml:space="preserve"> que ningún actor</w:t>
      </w:r>
      <w:r w:rsidR="00A07886">
        <w:rPr>
          <w:rFonts w:ascii="Times New Roman" w:hAnsi="Times New Roman" w:cs="Times New Roman"/>
        </w:rPr>
        <w:t xml:space="preserve"> persiguió</w:t>
      </w:r>
      <w:r w:rsidR="00305381" w:rsidRPr="00305381">
        <w:rPr>
          <w:rFonts w:ascii="Times New Roman" w:hAnsi="Times New Roman" w:cs="Times New Roman"/>
        </w:rPr>
        <w:t xml:space="preserve"> deliberadamente y que ninguna decisión política puede explicar por sí sola.</w:t>
      </w:r>
    </w:p>
    <w:p w14:paraId="11BC3919" w14:textId="14E9E1CC" w:rsidR="00305381" w:rsidRDefault="00305381" w:rsidP="00305381">
      <w:pPr>
        <w:spacing w:line="240" w:lineRule="auto"/>
        <w:jc w:val="both"/>
        <w:rPr>
          <w:rFonts w:ascii="Times New Roman" w:hAnsi="Times New Roman" w:cs="Times New Roman"/>
          <w:b/>
          <w:bCs/>
        </w:rPr>
      </w:pPr>
      <w:r w:rsidRPr="00305381">
        <w:rPr>
          <w:rFonts w:ascii="Times New Roman" w:hAnsi="Times New Roman" w:cs="Times New Roman"/>
          <w:b/>
          <w:bCs/>
        </w:rPr>
        <w:t>Complejidad, clausura operativa y producción de confianza: el SAC desde la Teoría de Sistemas Sociales de Luhmann</w:t>
      </w:r>
    </w:p>
    <w:p w14:paraId="5BFD647B" w14:textId="274D2728" w:rsidR="00305381" w:rsidRPr="00305381" w:rsidRDefault="00305381" w:rsidP="00305381">
      <w:pPr>
        <w:spacing w:line="240" w:lineRule="auto"/>
        <w:jc w:val="both"/>
        <w:rPr>
          <w:rFonts w:ascii="Times New Roman" w:hAnsi="Times New Roman" w:cs="Times New Roman"/>
        </w:rPr>
      </w:pPr>
      <w:r w:rsidRPr="00305381">
        <w:rPr>
          <w:rFonts w:ascii="Times New Roman" w:hAnsi="Times New Roman" w:cs="Times New Roman"/>
        </w:rPr>
        <w:t xml:space="preserve">La obra de Luhmann representa un proyecto sociológico de carácter general con pretensiones universalistas, inscripto en la tradición de la llamada </w:t>
      </w:r>
      <w:r w:rsidR="00DC04FB">
        <w:rPr>
          <w:rFonts w:ascii="Times New Roman" w:hAnsi="Times New Roman" w:cs="Times New Roman"/>
        </w:rPr>
        <w:t>“</w:t>
      </w:r>
      <w:r w:rsidRPr="00305381">
        <w:rPr>
          <w:rFonts w:ascii="Times New Roman" w:hAnsi="Times New Roman" w:cs="Times New Roman"/>
        </w:rPr>
        <w:t>Gran Teoría</w:t>
      </w:r>
      <w:r w:rsidR="00DC04FB">
        <w:rPr>
          <w:rFonts w:ascii="Times New Roman" w:hAnsi="Times New Roman" w:cs="Times New Roman"/>
        </w:rPr>
        <w:t>”</w:t>
      </w:r>
      <w:r w:rsidRPr="00305381">
        <w:rPr>
          <w:rFonts w:ascii="Times New Roman" w:hAnsi="Times New Roman" w:cs="Times New Roman"/>
        </w:rPr>
        <w:t xml:space="preserve">. A lo largo de más de tres décadas, su trabajo estuvo dirigido a la elaboración de un esquema teórico de gran capacidad heurística, capaz de abordar desde las interacciones </w:t>
      </w:r>
      <w:r w:rsidRPr="00305381">
        <w:rPr>
          <w:rFonts w:ascii="Times New Roman" w:hAnsi="Times New Roman" w:cs="Times New Roman"/>
        </w:rPr>
        <w:lastRenderedPageBreak/>
        <w:t>individuales hasta la sociedad mundial a través de un conjunto coherente de conceptos</w:t>
      </w:r>
      <w:r w:rsidR="00682C95">
        <w:rPr>
          <w:rFonts w:ascii="Times New Roman" w:hAnsi="Times New Roman" w:cs="Times New Roman"/>
        </w:rPr>
        <w:t>.</w:t>
      </w:r>
      <w:r w:rsidR="001631E4">
        <w:rPr>
          <w:rFonts w:ascii="Times New Roman" w:hAnsi="Times New Roman" w:cs="Times New Roman"/>
        </w:rPr>
        <w:t xml:space="preserve"> </w:t>
      </w:r>
      <w:r w:rsidR="002F79D0">
        <w:rPr>
          <w:rFonts w:ascii="Times New Roman" w:hAnsi="Times New Roman" w:cs="Times New Roman"/>
        </w:rPr>
        <w:t>Este</w:t>
      </w:r>
      <w:r w:rsidR="001631E4">
        <w:rPr>
          <w:rFonts w:ascii="Times New Roman" w:hAnsi="Times New Roman" w:cs="Times New Roman"/>
        </w:rPr>
        <w:t xml:space="preserve"> desarrollo no fue lineal y </w:t>
      </w:r>
      <w:r w:rsidR="002F79D0">
        <w:rPr>
          <w:rFonts w:ascii="Times New Roman" w:hAnsi="Times New Roman" w:cs="Times New Roman"/>
        </w:rPr>
        <w:t>conoció</w:t>
      </w:r>
      <w:r w:rsidR="00833D4B">
        <w:rPr>
          <w:rFonts w:ascii="Times New Roman" w:hAnsi="Times New Roman" w:cs="Times New Roman"/>
        </w:rPr>
        <w:t xml:space="preserve"> diferentes etapas</w:t>
      </w:r>
      <w:r w:rsidR="00B50805">
        <w:rPr>
          <w:rFonts w:ascii="Times New Roman" w:hAnsi="Times New Roman" w:cs="Times New Roman"/>
        </w:rPr>
        <w:t>.</w:t>
      </w:r>
      <w:r w:rsidR="00833D4B">
        <w:rPr>
          <w:rFonts w:ascii="Times New Roman" w:hAnsi="Times New Roman" w:cs="Times New Roman"/>
        </w:rPr>
        <w:t xml:space="preserve"> </w:t>
      </w:r>
      <w:r w:rsidR="00B50805">
        <w:rPr>
          <w:rFonts w:ascii="Times New Roman" w:hAnsi="Times New Roman" w:cs="Times New Roman"/>
        </w:rPr>
        <w:t>E</w:t>
      </w:r>
      <w:r w:rsidR="00833D4B">
        <w:rPr>
          <w:rFonts w:ascii="Times New Roman" w:hAnsi="Times New Roman" w:cs="Times New Roman"/>
        </w:rPr>
        <w:t xml:space="preserve">l quiebre más significativo </w:t>
      </w:r>
      <w:r w:rsidR="00483507">
        <w:rPr>
          <w:rFonts w:ascii="Times New Roman" w:hAnsi="Times New Roman" w:cs="Times New Roman"/>
        </w:rPr>
        <w:t xml:space="preserve">estuvo marcado por </w:t>
      </w:r>
      <w:r w:rsidR="006F08FB">
        <w:rPr>
          <w:rFonts w:ascii="Times New Roman" w:hAnsi="Times New Roman" w:cs="Times New Roman"/>
        </w:rPr>
        <w:t>su</w:t>
      </w:r>
      <w:r w:rsidR="00483507">
        <w:rPr>
          <w:rFonts w:ascii="Times New Roman" w:hAnsi="Times New Roman" w:cs="Times New Roman"/>
        </w:rPr>
        <w:t xml:space="preserve"> giro comun</w:t>
      </w:r>
      <w:r w:rsidR="002F79D0">
        <w:rPr>
          <w:rFonts w:ascii="Times New Roman" w:hAnsi="Times New Roman" w:cs="Times New Roman"/>
        </w:rPr>
        <w:t>i</w:t>
      </w:r>
      <w:r w:rsidR="00483507">
        <w:rPr>
          <w:rFonts w:ascii="Times New Roman" w:hAnsi="Times New Roman" w:cs="Times New Roman"/>
        </w:rPr>
        <w:t>cativo</w:t>
      </w:r>
      <w:r w:rsidR="00EE2827">
        <w:rPr>
          <w:rFonts w:ascii="Times New Roman" w:hAnsi="Times New Roman" w:cs="Times New Roman"/>
        </w:rPr>
        <w:t xml:space="preserve"> y</w:t>
      </w:r>
      <w:r w:rsidR="002F79D0">
        <w:rPr>
          <w:rFonts w:ascii="Times New Roman" w:hAnsi="Times New Roman" w:cs="Times New Roman"/>
        </w:rPr>
        <w:t xml:space="preserve"> el abandono de la teoría de la acción y la</w:t>
      </w:r>
      <w:r w:rsidR="00B50805">
        <w:rPr>
          <w:rFonts w:ascii="Times New Roman" w:hAnsi="Times New Roman" w:cs="Times New Roman"/>
        </w:rPr>
        <w:t xml:space="preserve"> incorporación de los conceptos de autorreferencia y </w:t>
      </w:r>
      <w:r w:rsidR="0015607E">
        <w:rPr>
          <w:rFonts w:ascii="Times New Roman" w:hAnsi="Times New Roman" w:cs="Times New Roman"/>
        </w:rPr>
        <w:t>autopoiesis</w:t>
      </w:r>
      <w:r w:rsidR="00B50805">
        <w:rPr>
          <w:rFonts w:ascii="Times New Roman" w:hAnsi="Times New Roman" w:cs="Times New Roman"/>
        </w:rPr>
        <w:t xml:space="preserve"> </w:t>
      </w:r>
      <w:r w:rsidR="00682C95" w:rsidRPr="00682C95">
        <w:rPr>
          <w:rFonts w:ascii="Times New Roman" w:hAnsi="Times New Roman" w:cs="Times New Roman"/>
        </w:rPr>
        <w:t>(Camou, 2023; Fuchs, 2000; Pignuoli Ocampo, 2015)</w:t>
      </w:r>
      <w:r w:rsidR="006F08FB">
        <w:rPr>
          <w:rFonts w:ascii="Times New Roman" w:hAnsi="Times New Roman" w:cs="Times New Roman"/>
        </w:rPr>
        <w:t>.</w:t>
      </w:r>
      <w:r w:rsidR="002F79D0">
        <w:rPr>
          <w:rFonts w:ascii="Times New Roman" w:hAnsi="Times New Roman" w:cs="Times New Roman"/>
        </w:rPr>
        <w:t xml:space="preserve"> </w:t>
      </w:r>
      <w:r w:rsidRPr="00305381">
        <w:rPr>
          <w:rFonts w:ascii="Times New Roman" w:hAnsi="Times New Roman" w:cs="Times New Roman"/>
        </w:rPr>
        <w:t>La reconstrucción exhaustiva de su teoría y de su contexto de producción intelectual excede los alcances de este trabajo, donde nos limitamos a recuperar algunos de sus conceptos centrales para fundamentar tres premisas de nuestro análisis: que no existe una relación de determinismo causal entre los cambios políticos y económicos y las transformaciones del sistema educativo; que el SAC cumple una función estructural que excede su carácter como instrumento de política pública; y que la calidad no es una propiedad intrínseca de las instituciones o de sus programas académicos sino el resultado de las operaciones del SAC.</w:t>
      </w:r>
    </w:p>
    <w:p w14:paraId="6D94C9A7" w14:textId="1897B781" w:rsidR="004642C4" w:rsidRDefault="00305381" w:rsidP="00305381">
      <w:pPr>
        <w:spacing w:line="240" w:lineRule="auto"/>
        <w:jc w:val="both"/>
        <w:rPr>
          <w:rFonts w:ascii="Times New Roman" w:hAnsi="Times New Roman" w:cs="Times New Roman"/>
        </w:rPr>
      </w:pPr>
      <w:r w:rsidRPr="00305381">
        <w:rPr>
          <w:rFonts w:ascii="Times New Roman" w:hAnsi="Times New Roman" w:cs="Times New Roman"/>
        </w:rPr>
        <w:t xml:space="preserve">El primer concepto que nos interesa es el de diferenciación, que alude </w:t>
      </w:r>
      <w:r w:rsidR="00EC4919">
        <w:rPr>
          <w:rFonts w:ascii="Times New Roman" w:hAnsi="Times New Roman" w:cs="Times New Roman"/>
        </w:rPr>
        <w:t>al modo en que la sociedad moderna construye sus</w:t>
      </w:r>
      <w:r w:rsidRPr="00305381">
        <w:rPr>
          <w:rFonts w:ascii="Times New Roman" w:hAnsi="Times New Roman" w:cs="Times New Roman"/>
        </w:rPr>
        <w:t xml:space="preserve"> sistemas parciales</w:t>
      </w:r>
      <w:r w:rsidR="006C16AC">
        <w:rPr>
          <w:rFonts w:ascii="Times New Roman" w:hAnsi="Times New Roman" w:cs="Times New Roman"/>
        </w:rPr>
        <w:t xml:space="preserve">, distinguiéndolos entre sí según su función </w:t>
      </w:r>
      <w:r w:rsidRPr="00305381">
        <w:rPr>
          <w:rFonts w:ascii="Times New Roman" w:hAnsi="Times New Roman" w:cs="Times New Roman"/>
        </w:rPr>
        <w:t>(Luhmann, 1997/2007). En las sociedades contemporáneas, la forma predominante, aunque no la única, es la diferenciación funcional en sistemas parciales orientados a resolver un problema específico de la sociedad en su conjunto. El educativo es uno entre otros, junto con el político, el económico, el jurídico, el científico, etc. Esta forma de diferenciación responde al aumento de la complejidad, entendida como el hecho de que no todos los elementos de una unidad pueden estar simultáneamente en relación entre sí, de modo que debe realizarse una selección (Corsi et al., 1996). Este exceso de posibilidades aumenta la contingencia, donde “todo podría ser de otra manera”, y genera incertidumbre respecto de las expectativas. Los sistemas parciales cumplen esta función: reducen la complejidad y estabilizan las expectativas. De esto se desprende una imagen de la sociedad como un espacio heterárquico y policéntrico, donde ningún sistema domina a los demás y, por lo tanto, no existe una racionalidad única (mercadocéntrica, sociocéntrica o estadocéntrica) que coordine las operaciones del conjunto. La ausencia de un centro ordenador introduce una primera objeción frente a la interpretación del SAC como instrumento de política o como un conjunto de mecanismos dirigido a colonizar la vida académica.</w:t>
      </w:r>
    </w:p>
    <w:p w14:paraId="15B96A0F" w14:textId="7BA60B72" w:rsidR="00305381" w:rsidRDefault="00305381" w:rsidP="00305381">
      <w:pPr>
        <w:spacing w:line="240" w:lineRule="auto"/>
        <w:jc w:val="both"/>
        <w:rPr>
          <w:rFonts w:ascii="Times New Roman" w:hAnsi="Times New Roman" w:cs="Times New Roman"/>
        </w:rPr>
      </w:pPr>
      <w:r w:rsidRPr="00305381">
        <w:rPr>
          <w:rFonts w:ascii="Times New Roman" w:hAnsi="Times New Roman" w:cs="Times New Roman"/>
        </w:rPr>
        <w:t>La ausencia de jerarquía entre sistemas parciales no implica, sin embargo, desintegración social. En sentido contrario, argumenta Luhmann, esta forma de diferenciación supone un riesgo de hiperintegración crítica, en la que los sistemas parciales tienen una relación móvil de ajustes mutuos: “la sociedad moderna está hiperintegrada y, por lo tanto, amenazada (…) Un gran número de acoplamientos estructurales y operacionales aportan una recíproca irritación entre los sistemas parciales, y el sistema total ha renunciado a intervenir para regular todo lo que sucede” (Luhmann, 1997/2007, p. 490). Este diagnóstico contrasta con las interpretaciones que atribuyen la primacía de un sistema sobre otros, sea, para nuestro caso, el sistema económico, vía el mercado, o el político, vía el Estado, y al mismo tiempo brinda una clave interpretativa para analizar las relaciones entre ellos, no en términos de determinación sino de irritación mutua y constante.</w:t>
      </w:r>
    </w:p>
    <w:p w14:paraId="76BFF441" w14:textId="3C857B13" w:rsidR="004642C4" w:rsidRDefault="00305381" w:rsidP="00305381">
      <w:pPr>
        <w:spacing w:line="240" w:lineRule="auto"/>
        <w:jc w:val="both"/>
        <w:rPr>
          <w:rFonts w:ascii="Times New Roman" w:hAnsi="Times New Roman" w:cs="Times New Roman"/>
        </w:rPr>
      </w:pPr>
      <w:r w:rsidRPr="00305381">
        <w:rPr>
          <w:rFonts w:ascii="Times New Roman" w:hAnsi="Times New Roman" w:cs="Times New Roman"/>
        </w:rPr>
        <w:lastRenderedPageBreak/>
        <w:t>La objeción respecto de la coordinación central se completa con el concepto de clausura operativa. Cada sistema parcial se determina por sí mismo, guiado por el primado de su función, y produce y reproduce sus propias comunicaciones de manera autorreferencial: cada nueva operación refiere siempre a operaciones internas anteriores. La autorreferencia no es un defecto ni un límite, sino la condición que hace posible la identidad del sistema frente a la complejidad del entorno (Luhmann, 1997/2007). No obstante, la clausura no implica aislamiento: es, justamente, la condición de posibilidad para mantener intercambios con los otros sistemas, lo que permite que los eventos externos se traduzcan en irritaciones que puedan ser procesadas como información interna, según sus propios criterios. Sostenemos que la consolidación del SAC responde a esta lógica: frente a la creciente complejidad y diferenciación del sistema educativo, asociada a la masificación, la expansión institucional y geográfica y la diversificación disciplinar y profesional de la educación superior, la clausura operativa impide la importación directa de criterios externos y exige, en cambio, el desarrollo de un mecanismo interno capaz de procesarla según los criterios propios del sistema educativo.</w:t>
      </w:r>
    </w:p>
    <w:p w14:paraId="193BEF54" w14:textId="70EC2BCB" w:rsidR="00305381" w:rsidRDefault="00305381" w:rsidP="00305381">
      <w:pPr>
        <w:spacing w:line="240" w:lineRule="auto"/>
        <w:jc w:val="both"/>
        <w:rPr>
          <w:rFonts w:ascii="Times New Roman" w:hAnsi="Times New Roman" w:cs="Times New Roman"/>
        </w:rPr>
      </w:pPr>
      <w:r w:rsidRPr="00305381">
        <w:rPr>
          <w:rFonts w:ascii="Times New Roman" w:hAnsi="Times New Roman" w:cs="Times New Roman"/>
        </w:rPr>
        <w:t>Esto implica que las transformaciones educativas no pueden reducirse al impulso de los cambios económicos o a la dirección política. En efecto, si bien otros sistemas parciales plantean demandas al sistema educativo, éste las reelabora internamente, según su propia lógica. Así, por ejemplo, las exigencias de determinadas competencias requeridas por el mercado de trabajo o las demandas de transparencia y de rendición de cuentas procedentes del sistema político se procesan a través de mecanismos propios, como los estándares de formación, los sistemas de evaluación o la revisión por pares. El entorno puede irritarlo, plantearle demandas, pero no puede decidir por él. Desde esta perspectiva, postulamos que el SAC no constituye únicamente un conjunto de instrumentos de política pública ni una respuesta organizativa frente a la demanda externa, sino un emergente que da respuesta a la complejización del sistema de educación superior.</w:t>
      </w:r>
    </w:p>
    <w:p w14:paraId="05D39041" w14:textId="1A483C8C" w:rsidR="00305381" w:rsidRDefault="00305381" w:rsidP="00305381">
      <w:pPr>
        <w:spacing w:line="240" w:lineRule="auto"/>
        <w:jc w:val="both"/>
        <w:rPr>
          <w:rFonts w:ascii="Times New Roman" w:hAnsi="Times New Roman" w:cs="Times New Roman"/>
        </w:rPr>
      </w:pPr>
      <w:r w:rsidRPr="00305381">
        <w:rPr>
          <w:rFonts w:ascii="Times New Roman" w:hAnsi="Times New Roman" w:cs="Times New Roman"/>
        </w:rPr>
        <w:t>Este emergente toma la forma concreta de un conjunto de mecanismos internos del sistema educativo. Cabe aclarar que el sistema educativo no se reduce al plano de los ámbitos formales, como los sistemas nacionales de educación, sino que incluye toda operación dirigida a educar y orientada al logro de su función primordial: realizar modificaciones en los sistemas psíquicos para habilitarlos a participar en la comunicación de la sociedad (Luhmann &amp; Schorr, 1990). De esta forma, el término abarca desde el plano de las organizaciones formales hasta los espacios menos estructurados. Al respecto, Luhmann escribe que “en el ámbito de un sistema funcional ninguna organización puede atraer hacia sí misma todas las operaciones del sistema y ejecutarlas como operaciones propias. Siempre hay educación fuera de las escuelas y las universidades” (Luhmann, 1997/2007, p. 667). El SAC se ubica en el plano de las organizaciones formales de este sistema ampliado: no forma estudiantes ni genera conocimiento científico, pero produce información sobre la calidad de las instituciones y de sus carreras, lo que reduce la complejidad del sistema, construye confianza y estabiliza las expectativas respecto de la educación superior.</w:t>
      </w:r>
    </w:p>
    <w:p w14:paraId="59DB4D6A" w14:textId="0F10B73D" w:rsidR="00876388" w:rsidRDefault="00305381" w:rsidP="003C664B">
      <w:pPr>
        <w:spacing w:line="240" w:lineRule="auto"/>
        <w:jc w:val="both"/>
        <w:rPr>
          <w:rFonts w:ascii="Times New Roman" w:hAnsi="Times New Roman" w:cs="Times New Roman"/>
        </w:rPr>
      </w:pPr>
      <w:r w:rsidRPr="00305381">
        <w:rPr>
          <w:rFonts w:ascii="Times New Roman" w:hAnsi="Times New Roman" w:cs="Times New Roman"/>
        </w:rPr>
        <w:t xml:space="preserve">La relación entre los sistemas parciales es de acoplamiento estructural: se observan mutuamente, se irritan recíprocamente y realizan lo que Luhmann denomina prestaciones, </w:t>
      </w:r>
      <w:r w:rsidRPr="00305381">
        <w:rPr>
          <w:rFonts w:ascii="Times New Roman" w:hAnsi="Times New Roman" w:cs="Times New Roman"/>
        </w:rPr>
        <w:lastRenderedPageBreak/>
        <w:t>contribuciones que un sistema hace a otro sin perder su autonomía. Como ejemplifican Corsi et al. (1996, p. 62), “en el sistema político existen leyes para la economía, en el sistema económico se subvenciona la investigación científica, en el sistema educativo se forma para el trabajo”. Para el caso del SAC, hay un origen político-institucional, relativo a su creación a través de una norma (la Ley 24.521 en el caso argentino). Esto implica un acoplamiento estructural entre los sistemas político y educativo, donde el primero define una legislación que opera sobre el funcionamiento del segundo (por eso suele repetirse la f</w:t>
      </w:r>
      <w:r w:rsidR="00C60FC9">
        <w:rPr>
          <w:rFonts w:ascii="Times New Roman" w:hAnsi="Times New Roman" w:cs="Times New Roman"/>
        </w:rPr>
        <w:t>ó</w:t>
      </w:r>
      <w:r w:rsidRPr="00305381">
        <w:rPr>
          <w:rFonts w:ascii="Times New Roman" w:hAnsi="Times New Roman" w:cs="Times New Roman"/>
        </w:rPr>
        <w:t xml:space="preserve">rmula acerca de la “instauración” de la evaluación). </w:t>
      </w:r>
      <w:r w:rsidR="00EC38F4">
        <w:rPr>
          <w:rFonts w:ascii="Times New Roman" w:hAnsi="Times New Roman" w:cs="Times New Roman"/>
        </w:rPr>
        <w:t>Ahora bien</w:t>
      </w:r>
      <w:r w:rsidRPr="00305381">
        <w:rPr>
          <w:rFonts w:ascii="Times New Roman" w:hAnsi="Times New Roman" w:cs="Times New Roman"/>
        </w:rPr>
        <w:t>, el desarrollo de sus mecanismos excede las definiciones normativ</w:t>
      </w:r>
      <w:r w:rsidR="008D3498">
        <w:rPr>
          <w:rFonts w:ascii="Times New Roman" w:hAnsi="Times New Roman" w:cs="Times New Roman"/>
        </w:rPr>
        <w:t>as</w:t>
      </w:r>
      <w:r w:rsidRPr="00305381">
        <w:rPr>
          <w:rFonts w:ascii="Times New Roman" w:hAnsi="Times New Roman" w:cs="Times New Roman"/>
        </w:rPr>
        <w:t xml:space="preserve"> y no</w:t>
      </w:r>
      <w:r w:rsidR="00EC38F4">
        <w:rPr>
          <w:rFonts w:ascii="Times New Roman" w:hAnsi="Times New Roman" w:cs="Times New Roman"/>
        </w:rPr>
        <w:t xml:space="preserve"> ha seguido </w:t>
      </w:r>
      <w:r w:rsidRPr="00305381">
        <w:rPr>
          <w:rFonts w:ascii="Times New Roman" w:hAnsi="Times New Roman" w:cs="Times New Roman"/>
        </w:rPr>
        <w:t>una lógica política</w:t>
      </w:r>
      <w:r w:rsidR="008F29B4">
        <w:rPr>
          <w:rFonts w:ascii="Times New Roman" w:hAnsi="Times New Roman" w:cs="Times New Roman"/>
        </w:rPr>
        <w:t xml:space="preserve">: </w:t>
      </w:r>
      <w:r w:rsidR="0034744E">
        <w:rPr>
          <w:rFonts w:ascii="Times New Roman" w:hAnsi="Times New Roman" w:cs="Times New Roman"/>
        </w:rPr>
        <w:t>l</w:t>
      </w:r>
      <w:r w:rsidRPr="00305381">
        <w:rPr>
          <w:rFonts w:ascii="Times New Roman" w:hAnsi="Times New Roman" w:cs="Times New Roman"/>
        </w:rPr>
        <w:t xml:space="preserve">a Ley </w:t>
      </w:r>
      <w:r w:rsidR="00EC38F4">
        <w:rPr>
          <w:rFonts w:ascii="Times New Roman" w:hAnsi="Times New Roman" w:cs="Times New Roman"/>
        </w:rPr>
        <w:t xml:space="preserve">no se </w:t>
      </w:r>
      <w:r w:rsidR="00AA5255">
        <w:rPr>
          <w:rFonts w:ascii="Times New Roman" w:hAnsi="Times New Roman" w:cs="Times New Roman"/>
        </w:rPr>
        <w:t>modificó</w:t>
      </w:r>
      <w:r w:rsidR="00B463A0">
        <w:rPr>
          <w:rFonts w:ascii="Times New Roman" w:hAnsi="Times New Roman" w:cs="Times New Roman"/>
        </w:rPr>
        <w:t xml:space="preserve"> y, </w:t>
      </w:r>
      <w:r w:rsidR="00FA0336">
        <w:rPr>
          <w:rFonts w:ascii="Times New Roman" w:hAnsi="Times New Roman" w:cs="Times New Roman"/>
        </w:rPr>
        <w:t>aun</w:t>
      </w:r>
      <w:r w:rsidR="00B463A0">
        <w:rPr>
          <w:rFonts w:ascii="Times New Roman" w:hAnsi="Times New Roman" w:cs="Times New Roman"/>
        </w:rPr>
        <w:t xml:space="preserve"> así,</w:t>
      </w:r>
      <w:r w:rsidR="00AA5255">
        <w:rPr>
          <w:rFonts w:ascii="Times New Roman" w:hAnsi="Times New Roman" w:cs="Times New Roman"/>
        </w:rPr>
        <w:t xml:space="preserve"> sus procedimientos</w:t>
      </w:r>
      <w:r w:rsidR="0034744E">
        <w:rPr>
          <w:rFonts w:ascii="Times New Roman" w:hAnsi="Times New Roman" w:cs="Times New Roman"/>
        </w:rPr>
        <w:t xml:space="preserve"> se</w:t>
      </w:r>
      <w:r w:rsidR="0090384D">
        <w:rPr>
          <w:rFonts w:ascii="Times New Roman" w:hAnsi="Times New Roman" w:cs="Times New Roman"/>
        </w:rPr>
        <w:t xml:space="preserve"> sofistica</w:t>
      </w:r>
      <w:r w:rsidR="008F29B4">
        <w:rPr>
          <w:rFonts w:ascii="Times New Roman" w:hAnsi="Times New Roman" w:cs="Times New Roman"/>
        </w:rPr>
        <w:t>ron</w:t>
      </w:r>
      <w:r w:rsidR="00FA79EE">
        <w:rPr>
          <w:rFonts w:ascii="Times New Roman" w:hAnsi="Times New Roman" w:cs="Times New Roman"/>
        </w:rPr>
        <w:t>.</w:t>
      </w:r>
      <w:r w:rsidR="003C664B">
        <w:rPr>
          <w:rFonts w:ascii="Times New Roman" w:hAnsi="Times New Roman" w:cs="Times New Roman"/>
        </w:rPr>
        <w:t xml:space="preserve"> Es</w:t>
      </w:r>
      <w:r w:rsidR="00EC38F4">
        <w:rPr>
          <w:rFonts w:ascii="Times New Roman" w:hAnsi="Times New Roman" w:cs="Times New Roman"/>
        </w:rPr>
        <w:t>ta</w:t>
      </w:r>
      <w:r w:rsidR="003C664B">
        <w:rPr>
          <w:rFonts w:ascii="Times New Roman" w:hAnsi="Times New Roman" w:cs="Times New Roman"/>
        </w:rPr>
        <w:t xml:space="preserve"> autonomía</w:t>
      </w:r>
      <w:r w:rsidR="009722CB">
        <w:rPr>
          <w:rFonts w:ascii="Times New Roman" w:hAnsi="Times New Roman" w:cs="Times New Roman"/>
        </w:rPr>
        <w:t xml:space="preserve"> metodológica</w:t>
      </w:r>
      <w:r w:rsidR="00833DA5">
        <w:rPr>
          <w:rFonts w:ascii="Times New Roman" w:hAnsi="Times New Roman" w:cs="Times New Roman"/>
        </w:rPr>
        <w:t xml:space="preserve"> encuentra explicación en una condición que</w:t>
      </w:r>
      <w:r w:rsidR="00DE2F2B">
        <w:rPr>
          <w:rFonts w:ascii="Times New Roman" w:hAnsi="Times New Roman" w:cs="Times New Roman"/>
        </w:rPr>
        <w:t xml:space="preserve"> Luhmann formula en su teoría de la confianza: los actores comunes no pueden verificar por sí mismos la información de la que depende su confianza</w:t>
      </w:r>
      <w:r w:rsidR="008D3498">
        <w:rPr>
          <w:rFonts w:ascii="Times New Roman" w:hAnsi="Times New Roman" w:cs="Times New Roman"/>
        </w:rPr>
        <w:t xml:space="preserve"> (</w:t>
      </w:r>
      <w:r w:rsidR="00833DA5">
        <w:rPr>
          <w:rFonts w:ascii="Times New Roman" w:hAnsi="Times New Roman" w:cs="Times New Roman"/>
        </w:rPr>
        <w:t xml:space="preserve">por ejemplo, </w:t>
      </w:r>
      <w:r w:rsidR="008D3498">
        <w:rPr>
          <w:rFonts w:ascii="Times New Roman" w:hAnsi="Times New Roman" w:cs="Times New Roman"/>
        </w:rPr>
        <w:t xml:space="preserve">la decisión de inscribirse en un posgrado) </w:t>
      </w:r>
      <w:r w:rsidR="00D00674">
        <w:rPr>
          <w:rFonts w:ascii="Times New Roman" w:hAnsi="Times New Roman" w:cs="Times New Roman"/>
        </w:rPr>
        <w:t>y deben confiar en el ejercicio de un control especializado</w:t>
      </w:r>
      <w:r w:rsidR="00F3738C">
        <w:rPr>
          <w:rFonts w:ascii="Times New Roman" w:hAnsi="Times New Roman" w:cs="Times New Roman"/>
        </w:rPr>
        <w:t>.</w:t>
      </w:r>
      <w:r w:rsidR="00833DA5">
        <w:rPr>
          <w:rFonts w:ascii="Times New Roman" w:hAnsi="Times New Roman" w:cs="Times New Roman"/>
        </w:rPr>
        <w:t xml:space="preserve"> </w:t>
      </w:r>
    </w:p>
    <w:p w14:paraId="44A4E483" w14:textId="36B23B2B" w:rsidR="00305381" w:rsidRDefault="00833DA5" w:rsidP="003C664B">
      <w:pPr>
        <w:spacing w:line="240" w:lineRule="auto"/>
        <w:jc w:val="both"/>
        <w:rPr>
          <w:rFonts w:ascii="Times New Roman" w:hAnsi="Times New Roman" w:cs="Times New Roman"/>
        </w:rPr>
      </w:pPr>
      <w:r>
        <w:rPr>
          <w:rFonts w:ascii="Times New Roman" w:hAnsi="Times New Roman" w:cs="Times New Roman"/>
        </w:rPr>
        <w:t xml:space="preserve">En esta línea, </w:t>
      </w:r>
      <w:r w:rsidR="00726D59">
        <w:rPr>
          <w:rFonts w:ascii="Times New Roman" w:hAnsi="Times New Roman" w:cs="Times New Roman"/>
        </w:rPr>
        <w:t xml:space="preserve">Luhmann </w:t>
      </w:r>
      <w:r w:rsidR="008F29B4">
        <w:rPr>
          <w:rFonts w:ascii="Times New Roman" w:hAnsi="Times New Roman" w:cs="Times New Roman"/>
        </w:rPr>
        <w:t>observa:</w:t>
      </w:r>
      <w:r w:rsidR="0069194D">
        <w:rPr>
          <w:rFonts w:ascii="Times New Roman" w:hAnsi="Times New Roman" w:cs="Times New Roman"/>
        </w:rPr>
        <w:t xml:space="preserve"> </w:t>
      </w:r>
      <w:r w:rsidR="003D10DF" w:rsidRPr="003D10DF">
        <w:rPr>
          <w:rFonts w:ascii="Times New Roman" w:hAnsi="Times New Roman" w:cs="Times New Roman"/>
        </w:rPr>
        <w:t>"el control de la confianza en el sistema demanda el aumento de conocimiento experto (...) La confianza en la capacidad de función del sistema cierra la confianza en la capacidad de sus controles internos para funcionar"</w:t>
      </w:r>
      <w:r w:rsidR="00C67321" w:rsidRPr="00C67321">
        <w:rPr>
          <w:rFonts w:ascii="Times New Roman" w:hAnsi="Times New Roman" w:cs="Times New Roman"/>
        </w:rPr>
        <w:t xml:space="preserve"> (</w:t>
      </w:r>
      <w:r w:rsidR="00AF774F">
        <w:rPr>
          <w:rFonts w:ascii="Times New Roman" w:hAnsi="Times New Roman" w:cs="Times New Roman"/>
        </w:rPr>
        <w:t xml:space="preserve">Luhmann, </w:t>
      </w:r>
      <w:r w:rsidR="00C67321" w:rsidRPr="00C67321">
        <w:rPr>
          <w:rFonts w:ascii="Times New Roman" w:hAnsi="Times New Roman" w:cs="Times New Roman"/>
        </w:rPr>
        <w:t>1973/1996, pp. 10</w:t>
      </w:r>
      <w:r w:rsidR="00AF774F">
        <w:rPr>
          <w:rFonts w:ascii="Times New Roman" w:hAnsi="Times New Roman" w:cs="Times New Roman"/>
        </w:rPr>
        <w:t>0</w:t>
      </w:r>
      <w:r w:rsidR="00C67321" w:rsidRPr="00C67321">
        <w:rPr>
          <w:rFonts w:ascii="Times New Roman" w:hAnsi="Times New Roman" w:cs="Times New Roman"/>
        </w:rPr>
        <w:t>–101)</w:t>
      </w:r>
      <w:r w:rsidR="00C67321">
        <w:rPr>
          <w:rFonts w:ascii="Times New Roman" w:hAnsi="Times New Roman" w:cs="Times New Roman"/>
        </w:rPr>
        <w:t>.</w:t>
      </w:r>
      <w:r w:rsidR="005C6429">
        <w:rPr>
          <w:rFonts w:ascii="Times New Roman" w:hAnsi="Times New Roman" w:cs="Times New Roman"/>
        </w:rPr>
        <w:t xml:space="preserve"> Es decir, </w:t>
      </w:r>
      <w:r w:rsidR="00FE2EBF">
        <w:rPr>
          <w:rFonts w:ascii="Times New Roman" w:hAnsi="Times New Roman" w:cs="Times New Roman"/>
        </w:rPr>
        <w:t xml:space="preserve">la confianza </w:t>
      </w:r>
      <w:r w:rsidR="00FC6723">
        <w:rPr>
          <w:rFonts w:ascii="Times New Roman" w:hAnsi="Times New Roman" w:cs="Times New Roman"/>
        </w:rPr>
        <w:t>en</w:t>
      </w:r>
      <w:r w:rsidR="00FE2EBF">
        <w:rPr>
          <w:rFonts w:ascii="Times New Roman" w:hAnsi="Times New Roman" w:cs="Times New Roman"/>
        </w:rPr>
        <w:t xml:space="preserve"> el SAC </w:t>
      </w:r>
      <w:r w:rsidR="00FC6723">
        <w:rPr>
          <w:rFonts w:ascii="Times New Roman" w:hAnsi="Times New Roman" w:cs="Times New Roman"/>
        </w:rPr>
        <w:t>no descansa</w:t>
      </w:r>
      <w:r w:rsidR="00561028">
        <w:rPr>
          <w:rFonts w:ascii="Times New Roman" w:hAnsi="Times New Roman" w:cs="Times New Roman"/>
        </w:rPr>
        <w:t xml:space="preserve"> </w:t>
      </w:r>
      <w:r w:rsidR="00FC6723">
        <w:rPr>
          <w:rFonts w:ascii="Times New Roman" w:hAnsi="Times New Roman" w:cs="Times New Roman"/>
        </w:rPr>
        <w:t>en su mera existencia institucional,</w:t>
      </w:r>
      <w:r w:rsidR="00FE2EBF">
        <w:rPr>
          <w:rFonts w:ascii="Times New Roman" w:hAnsi="Times New Roman" w:cs="Times New Roman"/>
        </w:rPr>
        <w:t xml:space="preserve"> sino </w:t>
      </w:r>
      <w:r w:rsidR="006D6F95">
        <w:rPr>
          <w:rFonts w:ascii="Times New Roman" w:hAnsi="Times New Roman" w:cs="Times New Roman"/>
        </w:rPr>
        <w:t xml:space="preserve">en el funcionamiento </w:t>
      </w:r>
      <w:r w:rsidR="00FC6723">
        <w:rPr>
          <w:rFonts w:ascii="Times New Roman" w:hAnsi="Times New Roman" w:cs="Times New Roman"/>
        </w:rPr>
        <w:t>efectivo de</w:t>
      </w:r>
      <w:r w:rsidR="006D6F95">
        <w:rPr>
          <w:rFonts w:ascii="Times New Roman" w:hAnsi="Times New Roman" w:cs="Times New Roman"/>
        </w:rPr>
        <w:t xml:space="preserve"> sus procedimientos.</w:t>
      </w:r>
      <w:r w:rsidR="003A14B4">
        <w:rPr>
          <w:rFonts w:ascii="Times New Roman" w:hAnsi="Times New Roman" w:cs="Times New Roman"/>
        </w:rPr>
        <w:t xml:space="preserve"> </w:t>
      </w:r>
      <w:r w:rsidR="00F3738C">
        <w:rPr>
          <w:rFonts w:ascii="Times New Roman" w:hAnsi="Times New Roman" w:cs="Times New Roman"/>
        </w:rPr>
        <w:t>E</w:t>
      </w:r>
      <w:r w:rsidR="006D6F95">
        <w:rPr>
          <w:rFonts w:ascii="Times New Roman" w:hAnsi="Times New Roman" w:cs="Times New Roman"/>
        </w:rPr>
        <w:t>se</w:t>
      </w:r>
      <w:r w:rsidR="0034744E">
        <w:rPr>
          <w:rFonts w:ascii="Times New Roman" w:hAnsi="Times New Roman" w:cs="Times New Roman"/>
        </w:rPr>
        <w:t xml:space="preserve"> </w:t>
      </w:r>
      <w:r w:rsidR="00F3738C">
        <w:rPr>
          <w:rFonts w:ascii="Times New Roman" w:hAnsi="Times New Roman" w:cs="Times New Roman"/>
        </w:rPr>
        <w:t>control</w:t>
      </w:r>
      <w:r w:rsidR="00CB6A1C">
        <w:rPr>
          <w:rFonts w:ascii="Times New Roman" w:hAnsi="Times New Roman" w:cs="Times New Roman"/>
        </w:rPr>
        <w:t xml:space="preserve"> experto</w:t>
      </w:r>
      <w:r w:rsidR="0034744E">
        <w:rPr>
          <w:rFonts w:ascii="Times New Roman" w:hAnsi="Times New Roman" w:cs="Times New Roman"/>
        </w:rPr>
        <w:t xml:space="preserve"> </w:t>
      </w:r>
      <w:r w:rsidR="00682958">
        <w:rPr>
          <w:rFonts w:ascii="Times New Roman" w:hAnsi="Times New Roman" w:cs="Times New Roman"/>
        </w:rPr>
        <w:t>proviene del sistema científico</w:t>
      </w:r>
      <w:r w:rsidR="00FF2ED7">
        <w:rPr>
          <w:rFonts w:ascii="Times New Roman" w:hAnsi="Times New Roman" w:cs="Times New Roman"/>
        </w:rPr>
        <w:t>, con el que el sistema educativo mantiene un acoplamiento distintivo</w:t>
      </w:r>
      <w:r w:rsidR="00561028">
        <w:rPr>
          <w:rFonts w:ascii="Times New Roman" w:hAnsi="Times New Roman" w:cs="Times New Roman"/>
        </w:rPr>
        <w:t xml:space="preserve"> a través de</w:t>
      </w:r>
      <w:r w:rsidR="009004FB">
        <w:rPr>
          <w:rFonts w:ascii="Times New Roman" w:hAnsi="Times New Roman" w:cs="Times New Roman"/>
        </w:rPr>
        <w:t xml:space="preserve"> </w:t>
      </w:r>
      <w:r w:rsidR="00FF2ED7">
        <w:rPr>
          <w:rFonts w:ascii="Times New Roman" w:hAnsi="Times New Roman" w:cs="Times New Roman"/>
        </w:rPr>
        <w:t>l</w:t>
      </w:r>
      <w:r w:rsidR="00CB6A1C">
        <w:rPr>
          <w:rFonts w:ascii="Times New Roman" w:hAnsi="Times New Roman" w:cs="Times New Roman"/>
        </w:rPr>
        <w:t>a universidad</w:t>
      </w:r>
      <w:r w:rsidR="000C6734">
        <w:rPr>
          <w:rFonts w:ascii="Times New Roman" w:hAnsi="Times New Roman" w:cs="Times New Roman"/>
        </w:rPr>
        <w:t>,</w:t>
      </w:r>
      <w:r w:rsidR="00CB6A1C">
        <w:rPr>
          <w:rFonts w:ascii="Times New Roman" w:hAnsi="Times New Roman" w:cs="Times New Roman"/>
        </w:rPr>
        <w:t xml:space="preserve"> </w:t>
      </w:r>
      <w:r w:rsidR="00305381" w:rsidRPr="00305381">
        <w:rPr>
          <w:rFonts w:ascii="Times New Roman" w:hAnsi="Times New Roman" w:cs="Times New Roman"/>
        </w:rPr>
        <w:t>la organización donde</w:t>
      </w:r>
      <w:r w:rsidR="00FF2ED7">
        <w:rPr>
          <w:rFonts w:ascii="Times New Roman" w:hAnsi="Times New Roman" w:cs="Times New Roman"/>
        </w:rPr>
        <w:t xml:space="preserve"> ambos sistemas</w:t>
      </w:r>
      <w:r w:rsidR="00305381" w:rsidRPr="00305381">
        <w:rPr>
          <w:rFonts w:ascii="Times New Roman" w:hAnsi="Times New Roman" w:cs="Times New Roman"/>
        </w:rPr>
        <w:t xml:space="preserve"> convergen: “una comunidad organizada de investigación y enseñanza (…) los sistemas se mantienen separados, aunque el hecho de que operan casi en unión personal tiene un efecto sobre las publicaciones científicas y todavía más fuertemente sobre la formación en las universidades” (Luhmann, 1997/2007, p. 622). Esta unión también se expresa en los criterios y las metodologías de evaluación del SAC, derivados de prácticas consolidadas de evaluación del conocimiento científico, como, entre otros, la evaluación por pares académicos (Bekerman, 2025), una característica generalizada de los procedimientos de aseguramiento de la calidad </w:t>
      </w:r>
      <w:r w:rsidR="00073032" w:rsidRPr="00073032">
        <w:rPr>
          <w:rFonts w:ascii="Times New Roman" w:hAnsi="Times New Roman" w:cs="Times New Roman"/>
        </w:rPr>
        <w:t>(Strah, 2020)</w:t>
      </w:r>
      <w:r w:rsidR="00305381" w:rsidRPr="00305381">
        <w:rPr>
          <w:rFonts w:ascii="Times New Roman" w:hAnsi="Times New Roman" w:cs="Times New Roman"/>
        </w:rPr>
        <w:t>.</w:t>
      </w:r>
    </w:p>
    <w:p w14:paraId="6563F7E7" w14:textId="3DAA81F2" w:rsidR="00305381" w:rsidRDefault="0005299C" w:rsidP="00305381">
      <w:pPr>
        <w:spacing w:line="240" w:lineRule="auto"/>
        <w:jc w:val="both"/>
        <w:rPr>
          <w:rFonts w:ascii="Times New Roman" w:hAnsi="Times New Roman" w:cs="Times New Roman"/>
        </w:rPr>
      </w:pPr>
      <w:r w:rsidRPr="0005299C">
        <w:rPr>
          <w:rFonts w:ascii="Times New Roman" w:hAnsi="Times New Roman" w:cs="Times New Roman"/>
        </w:rPr>
        <w:t>Este acoplamiento no contradice la clausura operativa: el sistema educativo no importa directamente los procedimientos científicos, sino que los observa y los reelabora bajo su propio código</w:t>
      </w:r>
      <w:r w:rsidR="005D7704">
        <w:rPr>
          <w:rFonts w:ascii="Times New Roman" w:hAnsi="Times New Roman" w:cs="Times New Roman"/>
        </w:rPr>
        <w:t>.</w:t>
      </w:r>
      <w:r w:rsidRPr="0005299C">
        <w:rPr>
          <w:rFonts w:ascii="Times New Roman" w:hAnsi="Times New Roman" w:cs="Times New Roman"/>
        </w:rPr>
        <w:t xml:space="preserve"> </w:t>
      </w:r>
      <w:r w:rsidR="005D7704">
        <w:rPr>
          <w:rFonts w:ascii="Times New Roman" w:hAnsi="Times New Roman" w:cs="Times New Roman"/>
        </w:rPr>
        <w:t>L</w:t>
      </w:r>
      <w:r w:rsidR="00305381" w:rsidRPr="00305381">
        <w:rPr>
          <w:rFonts w:ascii="Times New Roman" w:hAnsi="Times New Roman" w:cs="Times New Roman"/>
        </w:rPr>
        <w:t>a evaluación</w:t>
      </w:r>
      <w:r w:rsidR="005D7704">
        <w:rPr>
          <w:rFonts w:ascii="Times New Roman" w:hAnsi="Times New Roman" w:cs="Times New Roman"/>
        </w:rPr>
        <w:t xml:space="preserve"> del SAC</w:t>
      </w:r>
      <w:r w:rsidR="00305381" w:rsidRPr="00305381">
        <w:rPr>
          <w:rFonts w:ascii="Times New Roman" w:hAnsi="Times New Roman" w:cs="Times New Roman"/>
        </w:rPr>
        <w:t xml:space="preserve"> está enfocada en instituciones y programas académicos, no en proyectos o</w:t>
      </w:r>
      <w:r w:rsidR="005D7704">
        <w:rPr>
          <w:rFonts w:ascii="Times New Roman" w:hAnsi="Times New Roman" w:cs="Times New Roman"/>
        </w:rPr>
        <w:t xml:space="preserve"> en</w:t>
      </w:r>
      <w:r w:rsidR="00305381" w:rsidRPr="00305381">
        <w:rPr>
          <w:rFonts w:ascii="Times New Roman" w:hAnsi="Times New Roman" w:cs="Times New Roman"/>
        </w:rPr>
        <w:t xml:space="preserve"> resultados de investigación y, por lo tanto, no funciona con el código verdadero/falso, que opera en el sistema científico, sino con una distinción operativa del sistema educativo: acreditado/no acreditado. La dependencia de origen es científica, pero la determinación operativa es educativa. La actividad de los comités de pares evaluadores, integrados por especialistas de la disciplina</w:t>
      </w:r>
      <w:r w:rsidR="00183542">
        <w:rPr>
          <w:rFonts w:ascii="Times New Roman" w:hAnsi="Times New Roman" w:cs="Times New Roman"/>
        </w:rPr>
        <w:t>,</w:t>
      </w:r>
      <w:r w:rsidR="00305381" w:rsidRPr="00305381">
        <w:rPr>
          <w:rFonts w:ascii="Times New Roman" w:hAnsi="Times New Roman" w:cs="Times New Roman"/>
        </w:rPr>
        <w:t xml:space="preserve"> conocedores del campo profesional y del mundo universitario, convierte lo que de otra manera sería una operación de control burocrático en un juicio académico, guiado por un procedimiento técnico y legitimado por el conocimiento experto.</w:t>
      </w:r>
    </w:p>
    <w:p w14:paraId="61BFFE3D" w14:textId="327926A2" w:rsidR="00305381" w:rsidRDefault="00305381" w:rsidP="00305381">
      <w:pPr>
        <w:spacing w:line="240" w:lineRule="auto"/>
        <w:jc w:val="both"/>
        <w:rPr>
          <w:rFonts w:ascii="Times New Roman" w:hAnsi="Times New Roman" w:cs="Times New Roman"/>
        </w:rPr>
      </w:pPr>
      <w:r w:rsidRPr="00305381">
        <w:rPr>
          <w:rFonts w:ascii="Times New Roman" w:hAnsi="Times New Roman" w:cs="Times New Roman"/>
        </w:rPr>
        <w:t xml:space="preserve">Otros dos conceptos centrales son los de autoobservación y autodescripción que, pese a ser reflexiones fragmentarias en la obra de Luhmann, resultan útiles para pensar las operaciones del SAC (Calise, 2023). La autoobservación implica una operación mediante </w:t>
      </w:r>
      <w:r w:rsidRPr="00305381">
        <w:rPr>
          <w:rFonts w:ascii="Times New Roman" w:hAnsi="Times New Roman" w:cs="Times New Roman"/>
        </w:rPr>
        <w:lastRenderedPageBreak/>
        <w:t xml:space="preserve">la cual los sistemas parciales se informan acerca de su propio estado. Las autodescripciones coordinan estas observaciones y producen textos que las organizan y las articulan en una representación unificada sobre el funcionamiento del sistema, lo que le otorga unidad e identidad (Corsi et al., 1996). El SAC cumple esta función en el sistema de educación superior: </w:t>
      </w:r>
      <w:r w:rsidR="009C3C41">
        <w:rPr>
          <w:rFonts w:ascii="Times New Roman" w:hAnsi="Times New Roman" w:cs="Times New Roman"/>
        </w:rPr>
        <w:t xml:space="preserve">genera </w:t>
      </w:r>
      <w:r w:rsidR="009C3C41" w:rsidRPr="00305381">
        <w:rPr>
          <w:rFonts w:ascii="Times New Roman" w:hAnsi="Times New Roman" w:cs="Times New Roman"/>
        </w:rPr>
        <w:t>autodescripciones</w:t>
      </w:r>
      <w:r w:rsidR="00E50A9D">
        <w:rPr>
          <w:rFonts w:ascii="Times New Roman" w:hAnsi="Times New Roman" w:cs="Times New Roman"/>
        </w:rPr>
        <w:t xml:space="preserve"> que traducen sus</w:t>
      </w:r>
      <w:r w:rsidRPr="00305381">
        <w:rPr>
          <w:rFonts w:ascii="Times New Roman" w:hAnsi="Times New Roman" w:cs="Times New Roman"/>
        </w:rPr>
        <w:t xml:space="preserve"> autoobservaciones individuales </w:t>
      </w:r>
      <w:r w:rsidR="003A3A12">
        <w:rPr>
          <w:rFonts w:ascii="Times New Roman" w:hAnsi="Times New Roman" w:cs="Times New Roman"/>
        </w:rPr>
        <w:t>en una representación unificada</w:t>
      </w:r>
      <w:r w:rsidRPr="00305381">
        <w:rPr>
          <w:rFonts w:ascii="Times New Roman" w:hAnsi="Times New Roman" w:cs="Times New Roman"/>
        </w:rPr>
        <w:t>. Así, a través de sus dictámenes e informes de evaluación y acreditación logra traducir un problema contingente e inasible como el de la calidad educativa (que se expresa en múltiples niveles y dimensiones), en señales operativas bivalentes (acreditado/no acreditado), que estabilizan las expectativas de estudiantes, empleadores, corporaciones profesionales y otros agentes interesados (Labraña &amp; Mariñez, 2021).</w:t>
      </w:r>
    </w:p>
    <w:p w14:paraId="7141D42D" w14:textId="53CD2491" w:rsidR="00305381" w:rsidRDefault="00305381" w:rsidP="00305381">
      <w:pPr>
        <w:spacing w:line="240" w:lineRule="auto"/>
        <w:jc w:val="both"/>
        <w:rPr>
          <w:rFonts w:ascii="Times New Roman" w:hAnsi="Times New Roman" w:cs="Times New Roman"/>
        </w:rPr>
      </w:pPr>
      <w:r w:rsidRPr="00305381">
        <w:rPr>
          <w:rFonts w:ascii="Times New Roman" w:hAnsi="Times New Roman" w:cs="Times New Roman"/>
        </w:rPr>
        <w:t>La producción de autodescripciones que realiza el SAC es un mecanismo de generación de confianza sistémica. Como señala Luhmann, “el problema de la confianza consiste en el hecho de que el futuro contiene muchas más posibilidades de las que podrían actualizarse en el presente, y del presente transferirse al pasado” (1973/1996, p. 20). Al igual que la estructura social, que se transforma empujada por los niveles de complejidad, las formas de la confianza también cambian. En las sociedades complejas, abandona su forma personal, propia de los sistemas sociales simples, donde se asocia a la familiaridad y a la proximidad, para adoptar una forma sistémica y tecnificada: “En un entorno tan complejo este tipo de confianza ya no puede tomar la forma de la confianza personal, aunque esta forma existe todavía (...) Su forma típica es la confianza en las habilidades especializadas demostrables para procesar información, en la autoridad funcional y, finalmente, en la habilidad de la ciencia para funcionar como un sistema de acción” (Luhmann, 1973/1996, p. 89).</w:t>
      </w:r>
    </w:p>
    <w:p w14:paraId="33AF88BD" w14:textId="7347017F" w:rsidR="00305381" w:rsidRDefault="00305381" w:rsidP="00305381">
      <w:pPr>
        <w:spacing w:line="240" w:lineRule="auto"/>
        <w:jc w:val="both"/>
        <w:rPr>
          <w:rFonts w:ascii="Times New Roman" w:hAnsi="Times New Roman" w:cs="Times New Roman"/>
        </w:rPr>
      </w:pPr>
      <w:r w:rsidRPr="00305381">
        <w:rPr>
          <w:rFonts w:ascii="Times New Roman" w:hAnsi="Times New Roman" w:cs="Times New Roman"/>
        </w:rPr>
        <w:t xml:space="preserve">El mecanismo concreto a través del cual las autodescripciones del SAC producen esa confianza es la certificación de umbrales de calidad, un </w:t>
      </w:r>
      <w:r w:rsidR="008F5191">
        <w:rPr>
          <w:rFonts w:ascii="Times New Roman" w:hAnsi="Times New Roman" w:cs="Times New Roman"/>
        </w:rPr>
        <w:t>término</w:t>
      </w:r>
      <w:r w:rsidRPr="00305381">
        <w:rPr>
          <w:rFonts w:ascii="Times New Roman" w:hAnsi="Times New Roman" w:cs="Times New Roman"/>
        </w:rPr>
        <w:t xml:space="preserve"> repetido en el discurso de la política pública</w:t>
      </w:r>
      <w:r w:rsidR="00FE3A26">
        <w:rPr>
          <w:rFonts w:ascii="Times New Roman" w:hAnsi="Times New Roman" w:cs="Times New Roman"/>
        </w:rPr>
        <w:t>,</w:t>
      </w:r>
      <w:r w:rsidRPr="00305381">
        <w:rPr>
          <w:rFonts w:ascii="Times New Roman" w:hAnsi="Times New Roman" w:cs="Times New Roman"/>
        </w:rPr>
        <w:t xml:space="preserve"> que retomamos con el sentido que le atribuye Luhmann</w:t>
      </w:r>
      <w:r w:rsidR="00AA6C78">
        <w:rPr>
          <w:rFonts w:ascii="Times New Roman" w:hAnsi="Times New Roman" w:cs="Times New Roman"/>
        </w:rPr>
        <w:t>:</w:t>
      </w:r>
      <w:r w:rsidRPr="00305381">
        <w:rPr>
          <w:rFonts w:ascii="Times New Roman" w:hAnsi="Times New Roman" w:cs="Times New Roman"/>
        </w:rPr>
        <w:t xml:space="preserve"> “mecanismos para la reducción de la complejidad a problemas relativamente simples: en vez de enfrentarse con una gran cantidad de experiencias de matices levemente distintos, se interesa en el problema sustituto de reconocer el umbral, desde el cual nuestra orientación se torna esencialmente diferente. Y este problema es más fácil de manejar” (1973/1996, pp. 127–128).</w:t>
      </w:r>
      <w:r w:rsidR="00DC0345">
        <w:rPr>
          <w:rFonts w:ascii="Times New Roman" w:hAnsi="Times New Roman" w:cs="Times New Roman"/>
        </w:rPr>
        <w:t xml:space="preserve"> </w:t>
      </w:r>
      <w:r w:rsidR="0051734F">
        <w:rPr>
          <w:rFonts w:ascii="Times New Roman" w:hAnsi="Times New Roman" w:cs="Times New Roman"/>
        </w:rPr>
        <w:t>De este modo,</w:t>
      </w:r>
      <w:r w:rsidR="00AE70D6">
        <w:rPr>
          <w:rFonts w:ascii="Times New Roman" w:hAnsi="Times New Roman" w:cs="Times New Roman"/>
        </w:rPr>
        <w:t xml:space="preserve"> </w:t>
      </w:r>
      <w:r w:rsidR="00E67885">
        <w:rPr>
          <w:rFonts w:ascii="Times New Roman" w:hAnsi="Times New Roman" w:cs="Times New Roman"/>
        </w:rPr>
        <w:t>al</w:t>
      </w:r>
      <w:r w:rsidRPr="00305381">
        <w:rPr>
          <w:rFonts w:ascii="Times New Roman" w:hAnsi="Times New Roman" w:cs="Times New Roman"/>
        </w:rPr>
        <w:t xml:space="preserve"> </w:t>
      </w:r>
      <w:r w:rsidR="00E67885">
        <w:rPr>
          <w:rFonts w:ascii="Times New Roman" w:hAnsi="Times New Roman" w:cs="Times New Roman"/>
        </w:rPr>
        <w:t>asegurar</w:t>
      </w:r>
      <w:r w:rsidRPr="00305381">
        <w:rPr>
          <w:rFonts w:ascii="Times New Roman" w:hAnsi="Times New Roman" w:cs="Times New Roman"/>
        </w:rPr>
        <w:t xml:space="preserve"> ese piso de requisitos mínimos, el SAC estabiliza las expectativas mediante la certificación de suficiencia. </w:t>
      </w:r>
      <w:r w:rsidR="00B668BD">
        <w:rPr>
          <w:rFonts w:ascii="Times New Roman" w:hAnsi="Times New Roman" w:cs="Times New Roman"/>
        </w:rPr>
        <w:t>E</w:t>
      </w:r>
      <w:r w:rsidRPr="00305381">
        <w:rPr>
          <w:rFonts w:ascii="Times New Roman" w:hAnsi="Times New Roman" w:cs="Times New Roman"/>
        </w:rPr>
        <w:t>l actor interesado (estudiante, familia, empleador, gestor)</w:t>
      </w:r>
      <w:r w:rsidR="00B25467">
        <w:rPr>
          <w:rFonts w:ascii="Times New Roman" w:hAnsi="Times New Roman" w:cs="Times New Roman"/>
        </w:rPr>
        <w:t>,</w:t>
      </w:r>
      <w:r w:rsidRPr="00305381">
        <w:rPr>
          <w:rFonts w:ascii="Times New Roman" w:hAnsi="Times New Roman" w:cs="Times New Roman"/>
        </w:rPr>
        <w:t xml:space="preserve"> no necesita evaluar cada institución o programa académico de manera independiente,</w:t>
      </w:r>
      <w:r w:rsidR="00B25467">
        <w:rPr>
          <w:rFonts w:ascii="Times New Roman" w:hAnsi="Times New Roman" w:cs="Times New Roman"/>
        </w:rPr>
        <w:t xml:space="preserve"> que, por otra parte, le resulta inaccesible, y</w:t>
      </w:r>
      <w:r w:rsidRPr="00305381">
        <w:rPr>
          <w:rFonts w:ascii="Times New Roman" w:hAnsi="Times New Roman" w:cs="Times New Roman"/>
        </w:rPr>
        <w:t xml:space="preserve"> le alcanza con saber si cumple con el umbral.</w:t>
      </w:r>
    </w:p>
    <w:p w14:paraId="12CE0BCB" w14:textId="00091038"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544B704F" w14:textId="7F208FBF" w:rsidR="00BC236F" w:rsidRDefault="00305381" w:rsidP="007B5B5F">
      <w:pPr>
        <w:spacing w:line="240" w:lineRule="auto"/>
        <w:jc w:val="both"/>
        <w:rPr>
          <w:rFonts w:ascii="Times New Roman" w:hAnsi="Times New Roman" w:cs="Times New Roman"/>
        </w:rPr>
      </w:pPr>
      <w:r w:rsidRPr="00305381">
        <w:rPr>
          <w:rFonts w:ascii="Times New Roman" w:hAnsi="Times New Roman" w:cs="Times New Roman"/>
        </w:rPr>
        <w:t xml:space="preserve">Este artículo propuso una lectura alternativa y complementaria para estudiar el SAC: inscribirlo en el fenómeno sociológico de la confianza antes que en la perspectiva de las políticas públicas. Desde la Teoría de Sistemas Sociales de Luhmann, postulamos que constituye un mecanismo interno del sistema educativo cuya función es producir confianza sistémica en las universidades en el contexto de sociedades funcionalmente diferenciadas. El análisis se articuló en tres movimientos. Primero, la caracterización del </w:t>
      </w:r>
      <w:r w:rsidRPr="00305381">
        <w:rPr>
          <w:rFonts w:ascii="Times New Roman" w:hAnsi="Times New Roman" w:cs="Times New Roman"/>
        </w:rPr>
        <w:lastRenderedPageBreak/>
        <w:t>SAC como un mecanismo interno del sistema educativo que opera bajo su clausura operativa, lo que permite comprender su persistencia más allá de los ciclos políticos y los marcos normativos. Segundo, el análisis de su doble acoplamiento estructural: con el sistema político, que lo institucionalizó mediante la Ley de Educación Superior (Ley 24.521, 1995), y con el sistema científico, del que toma la revisión de pares como procedimiento central de evaluación, reorientada hacia otros objetos y con una distinción operativa propia. Tercero, la distinción entre autoobservación y autodescripción como operaciones mediante las cuales el SAC produce y estabiliza una representación unificada de la calidad universitaria. Desde esta perspectiva, la calidad no es una propiedad intrínseca de las instituciones sino una construcción que emerge de las operaciones del SAC y funciona como señal de confiabilidad para el entorno.</w:t>
      </w:r>
    </w:p>
    <w:p w14:paraId="30674EF8" w14:textId="5EEA93AF" w:rsidR="00305381" w:rsidRDefault="00305381" w:rsidP="007B5B5F">
      <w:pPr>
        <w:spacing w:line="240" w:lineRule="auto"/>
        <w:jc w:val="both"/>
        <w:rPr>
          <w:rFonts w:ascii="Times New Roman" w:hAnsi="Times New Roman" w:cs="Times New Roman"/>
        </w:rPr>
      </w:pPr>
      <w:r w:rsidRPr="00305381">
        <w:rPr>
          <w:rFonts w:ascii="Times New Roman" w:hAnsi="Times New Roman" w:cs="Times New Roman"/>
        </w:rPr>
        <w:t>El cumplimiento de esta función, y no los ciclos políticos ni los marcos normativos, explica la persistencia y el desarrollo del SAC más allá de los cambios de coyuntura. Lo que la literatura dominante atribuye a decisiones político-normativas es, desde esta perspectiva, el efecto de una exigencia estructural del sistema educativo: la necesidad de producir confianza en condiciones de complejidad creciente. En la medida en que</w:t>
      </w:r>
      <w:r w:rsidR="002035E1">
        <w:rPr>
          <w:rFonts w:ascii="Times New Roman" w:hAnsi="Times New Roman" w:cs="Times New Roman"/>
        </w:rPr>
        <w:t>, hasta el momento,</w:t>
      </w:r>
      <w:r w:rsidRPr="00305381">
        <w:rPr>
          <w:rFonts w:ascii="Times New Roman" w:hAnsi="Times New Roman" w:cs="Times New Roman"/>
        </w:rPr>
        <w:t xml:space="preserve"> ningún otro mecanismo del sistema educativo </w:t>
      </w:r>
      <w:r w:rsidR="00F23340">
        <w:rPr>
          <w:rFonts w:ascii="Times New Roman" w:hAnsi="Times New Roman" w:cs="Times New Roman"/>
        </w:rPr>
        <w:t xml:space="preserve">ha desarrollado una </w:t>
      </w:r>
      <w:r w:rsidR="002035E1">
        <w:rPr>
          <w:rFonts w:ascii="Times New Roman" w:hAnsi="Times New Roman" w:cs="Times New Roman"/>
        </w:rPr>
        <w:t>capacidad equivalente para producir esa</w:t>
      </w:r>
      <w:r w:rsidRPr="00305381">
        <w:rPr>
          <w:rFonts w:ascii="Times New Roman" w:hAnsi="Times New Roman" w:cs="Times New Roman"/>
        </w:rPr>
        <w:t xml:space="preserve"> confianza tecnificada, el SAC</w:t>
      </w:r>
      <w:r w:rsidR="002035E1">
        <w:rPr>
          <w:rFonts w:ascii="Times New Roman" w:hAnsi="Times New Roman" w:cs="Times New Roman"/>
        </w:rPr>
        <w:t xml:space="preserve"> ocupa esa función</w:t>
      </w:r>
      <w:r w:rsidR="00FF47EF">
        <w:rPr>
          <w:rFonts w:ascii="Times New Roman" w:hAnsi="Times New Roman" w:cs="Times New Roman"/>
        </w:rPr>
        <w:t xml:space="preserve"> sin un competidor visible</w:t>
      </w:r>
      <w:r w:rsidRPr="00305381">
        <w:rPr>
          <w:rFonts w:ascii="Times New Roman" w:hAnsi="Times New Roman" w:cs="Times New Roman"/>
        </w:rPr>
        <w:t>. Los gobiernos cambian, las políticas se interrumpen, los marcos normativos se modifican o quedan en suspenso; el SAC persiste porque responde a un problema que ninguna de esas variables resuelve.</w:t>
      </w:r>
    </w:p>
    <w:p w14:paraId="2F7E135E" w14:textId="551DE210" w:rsidR="00305381" w:rsidRDefault="00305381" w:rsidP="007B5B5F">
      <w:pPr>
        <w:spacing w:line="240" w:lineRule="auto"/>
        <w:jc w:val="both"/>
        <w:rPr>
          <w:rFonts w:ascii="Times New Roman" w:hAnsi="Times New Roman" w:cs="Times New Roman"/>
        </w:rPr>
      </w:pPr>
      <w:r w:rsidRPr="00305381">
        <w:rPr>
          <w:rFonts w:ascii="Times New Roman" w:hAnsi="Times New Roman" w:cs="Times New Roman"/>
        </w:rPr>
        <w:t>Esta hipótesis abre un programa de investigación histórica. Si el SAC responde a una exigencia estructural del sistema educativo, la pregunta que se desprende es qué mecanismos cumplían esa función antes de su emergencia. El concepto de equivalencia funcional permite orientar esa indagación: no se trata de buscar antecedentes directos del SAC sino de identificar los mecanismos que, en otros contextos institucionales, producían confianza en las universidades. Podemos postular el prestigio histórico de las instituciones, su rol en la formación de élites, la percepción de la universidad como medio para la movilidad social ascendente y, así, analizar cómo la erosión de estos elementos creó las condiciones estructurales para que el SAC emergiera como respuesta. Labraña y Mariñez (2021) avanzan en esta dirección para el caso chileno. Una investigación equivalente para el caso argentino permitiría precisar las condiciones históricas específicas bajo las cuales la confianza en las universidades dejó de sostenerse en fuentes tradicionales y comenzó a requerir mecanismos tecnificados de certificación.</w:t>
      </w:r>
    </w:p>
    <w:p w14:paraId="33ED34C5" w14:textId="2856D0CA" w:rsidR="00305381" w:rsidRDefault="00305381" w:rsidP="007B5B5F">
      <w:pPr>
        <w:spacing w:line="240" w:lineRule="auto"/>
        <w:jc w:val="both"/>
        <w:rPr>
          <w:rFonts w:ascii="Times New Roman" w:hAnsi="Times New Roman" w:cs="Times New Roman"/>
        </w:rPr>
      </w:pPr>
      <w:r w:rsidRPr="00305381">
        <w:rPr>
          <w:rFonts w:ascii="Times New Roman" w:hAnsi="Times New Roman" w:cs="Times New Roman"/>
        </w:rPr>
        <w:t xml:space="preserve">Una segunda línea de investigación futura refiere al estatuto teórico del propio SAC en el marco de la Teoría de Sistemas Sociales. En este artículo lo tratamos como mecanismo interno del sistema educativo, pero el análisis desarrollado no cierra esa pregunta: abre una hipótesis alternativa. Los mecanismos de aseguramiento de la calidad no son exclusivos de la educación: las normas de certificación industrial, los estándares de satisfacción al cliente o las calificadoras de riesgo financiero responden a una lógica que, en principio, identificamos como análoga. Esto sugiere que el SAC podría constituir el acoplamiento estructural al sistema educativo de un sistema funcionalmente diferenciado de certificación de la calidad. Si esa hipótesis resulta sostenible, la pregunta por la </w:t>
      </w:r>
      <w:r w:rsidRPr="00305381">
        <w:rPr>
          <w:rFonts w:ascii="Times New Roman" w:hAnsi="Times New Roman" w:cs="Times New Roman"/>
        </w:rPr>
        <w:lastRenderedPageBreak/>
        <w:t>relación entre el SAC y el sistema educativo se desplaza del plano de la función interna al del acoplamiento entre sistemas diferenciados. Es un problema que requiere tratamiento específico que este artículo deja abierto. No obstante, la función de producción de confianza que identificamos permanece: lo que está en discusión es su estatuto estructural, no su operación.</w:t>
      </w:r>
    </w:p>
    <w:p w14:paraId="528C00F7" w14:textId="4D2B919D" w:rsidR="00305381" w:rsidRPr="00BA642E" w:rsidRDefault="00305381" w:rsidP="007B5B5F">
      <w:pPr>
        <w:spacing w:line="240" w:lineRule="auto"/>
        <w:jc w:val="both"/>
        <w:rPr>
          <w:rFonts w:ascii="Times New Roman" w:hAnsi="Times New Roman" w:cs="Times New Roman"/>
        </w:rPr>
      </w:pPr>
      <w:r w:rsidRPr="00305381">
        <w:rPr>
          <w:rFonts w:ascii="Times New Roman" w:hAnsi="Times New Roman" w:cs="Times New Roman"/>
        </w:rPr>
        <w:t xml:space="preserve">El enfoque tiene también implicancias para pensar la dinámica de las políticas universitarias. Si el SAC responde a una función interna del sistema educativo, las intervenciones políticas que ignoran esa lógica producen interferencias. La introducción de criterios ajenos a la dinámica de evaluación, como el código gobierno/oposición, los ciclos electorales o las prioridades presupuestarias de corto plazo no reorganiza el funcionamiento del SAC, pero sí genera </w:t>
      </w:r>
      <w:r w:rsidR="00B62618">
        <w:rPr>
          <w:rFonts w:ascii="Times New Roman" w:hAnsi="Times New Roman" w:cs="Times New Roman"/>
        </w:rPr>
        <w:t xml:space="preserve">irritaciones </w:t>
      </w:r>
      <w:r w:rsidRPr="00305381">
        <w:rPr>
          <w:rFonts w:ascii="Times New Roman" w:hAnsi="Times New Roman" w:cs="Times New Roman"/>
        </w:rPr>
        <w:t>que el sistema absorbe. Esto no implica que la política universitaria sea irrelevante: el acoplamiento estructural entre el sistema político y el educativo es constitutivo del SAC, como lo muestra su origen normativo. Pero sí sugiere que las intervenciones que operan en sintonía con la lógica funcional de estos mecanismos, esto es, las que refuerzan o tensionan la producción de confianza, tienen efectos distintos de las que pretenden subordinarlos a objetivos externos a esa función.</w:t>
      </w:r>
    </w:p>
    <w:p w14:paraId="39B57161" w14:textId="69473B3D"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w:t>
      </w:r>
    </w:p>
    <w:p w14:paraId="09EB5629"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fldChar w:fldCharType="begin"/>
      </w:r>
      <w:r w:rsidRPr="00455805">
        <w:rPr>
          <w:rFonts w:ascii="Times New Roman" w:hAnsi="Times New Roman" w:cs="Times New Roman"/>
          <w:lang w:val="es-AR"/>
        </w:rPr>
        <w:instrText xml:space="preserve"> ADDIN ZOTERO_BIBL {"uncited":[],"omitted":[],"custom":[]} CSL_BIBLIOGRAPHY </w:instrText>
      </w:r>
      <w:r w:rsidRPr="00455805">
        <w:rPr>
          <w:rFonts w:ascii="Times New Roman" w:hAnsi="Times New Roman" w:cs="Times New Roman"/>
          <w:lang w:val="es-AR"/>
        </w:rPr>
        <w:fldChar w:fldCharType="separate"/>
      </w:r>
      <w:r w:rsidRPr="00455805">
        <w:rPr>
          <w:rFonts w:ascii="Times New Roman" w:hAnsi="Times New Roman" w:cs="Times New Roman"/>
          <w:lang w:val="es-AR"/>
        </w:rPr>
        <w:t xml:space="preserve">Aiello, M. (2017). Repensando la evaluación y el aseguramiento de la calidad universitaria en la Argentina del siglo XXI. En C. Marquis (Ed.), </w:t>
      </w:r>
      <w:r w:rsidRPr="00455805">
        <w:rPr>
          <w:rFonts w:ascii="Times New Roman" w:hAnsi="Times New Roman" w:cs="Times New Roman"/>
          <w:i/>
          <w:iCs/>
          <w:lang w:val="es-AR"/>
        </w:rPr>
        <w:t>La Agenda Universitaria III. Propuestas de políticas y acciones</w:t>
      </w:r>
      <w:r w:rsidRPr="00455805">
        <w:rPr>
          <w:rFonts w:ascii="Times New Roman" w:hAnsi="Times New Roman" w:cs="Times New Roman"/>
          <w:lang w:val="es-AR"/>
        </w:rPr>
        <w:t xml:space="preserve"> (pp. 203–231). Universidad de Palermo.</w:t>
      </w:r>
    </w:p>
    <w:p w14:paraId="245529DB"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Bekerman, F. (2025). Capítulo 6. Prácticas evaluativas en el sistema de incentivos de ciencia y tecnología. En D. Aguiar, A. Feld, F. Svampa, &amp; G. Montesino (Eds.), </w:t>
      </w:r>
      <w:r w:rsidRPr="00455805">
        <w:rPr>
          <w:rFonts w:ascii="Times New Roman" w:hAnsi="Times New Roman" w:cs="Times New Roman"/>
          <w:i/>
          <w:iCs/>
          <w:lang w:val="es-AR"/>
        </w:rPr>
        <w:t>Ciencia y tecnología en la Argentina contemporánea: Sistemas de financiamiento, el rol de las principales instituciones científicas y mecanismos de evaluación (1983-2021)</w:t>
      </w:r>
      <w:r w:rsidRPr="00455805">
        <w:rPr>
          <w:rFonts w:ascii="Times New Roman" w:hAnsi="Times New Roman" w:cs="Times New Roman"/>
          <w:lang w:val="es-AR"/>
        </w:rPr>
        <w:t xml:space="preserve"> (pp. 197–221). Editorial UNRN. https://doi.org/10.4000/159fn</w:t>
      </w:r>
    </w:p>
    <w:p w14:paraId="72336A8E"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Brunner, J. J. (1994). Estado y educación superior en América Latina. En G. Neave &amp; F. van Vught (Eds.), </w:t>
      </w:r>
      <w:r w:rsidRPr="00455805">
        <w:rPr>
          <w:rFonts w:ascii="Times New Roman" w:hAnsi="Times New Roman" w:cs="Times New Roman"/>
          <w:i/>
          <w:iCs/>
          <w:lang w:val="es-AR"/>
        </w:rPr>
        <w:t>Prometeo Encadenado. Estado y educación superior en Europa.</w:t>
      </w:r>
      <w:r w:rsidRPr="00455805">
        <w:rPr>
          <w:rFonts w:ascii="Times New Roman" w:hAnsi="Times New Roman" w:cs="Times New Roman"/>
          <w:lang w:val="es-AR"/>
        </w:rPr>
        <w:t xml:space="preserve"> Gedisa.</w:t>
      </w:r>
    </w:p>
    <w:p w14:paraId="398BCC09"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Calise, S. G. (2023). Describir y reflexionar: Sobre las autodescripciones de la sociedad en la teoría de Niklas Luhmann. </w:t>
      </w:r>
      <w:r w:rsidRPr="00455805">
        <w:rPr>
          <w:rFonts w:ascii="Times New Roman" w:hAnsi="Times New Roman" w:cs="Times New Roman"/>
          <w:i/>
          <w:iCs/>
          <w:lang w:val="es-AR"/>
        </w:rPr>
        <w:t>Cinta de moebio</w:t>
      </w:r>
      <w:r w:rsidRPr="00455805">
        <w:rPr>
          <w:rFonts w:ascii="Times New Roman" w:hAnsi="Times New Roman" w:cs="Times New Roman"/>
          <w:lang w:val="es-AR"/>
        </w:rPr>
        <w:t>, (77), 89–106. https://doi.org/10.4067/s0717-554x2023000200089</w:t>
      </w:r>
    </w:p>
    <w:p w14:paraId="431F5840"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Camou, A. (2023). De Parsons a Luhmann: El discurso sociológico de la complejidad. En A. A. M. Camou (Ed.), </w:t>
      </w:r>
      <w:r w:rsidRPr="00455805">
        <w:rPr>
          <w:rFonts w:ascii="Times New Roman" w:hAnsi="Times New Roman" w:cs="Times New Roman"/>
          <w:i/>
          <w:iCs/>
          <w:lang w:val="es-AR"/>
        </w:rPr>
        <w:t>Cuestiones de teoría social contemporánea</w:t>
      </w:r>
      <w:r w:rsidRPr="00455805">
        <w:rPr>
          <w:rFonts w:ascii="Times New Roman" w:hAnsi="Times New Roman" w:cs="Times New Roman"/>
          <w:lang w:val="es-AR"/>
        </w:rPr>
        <w:t xml:space="preserve"> (pp. 388–442). Editorial de la Universidad Nacional de La Plata (EDULP).</w:t>
      </w:r>
    </w:p>
    <w:p w14:paraId="24896711" w14:textId="3B27F642" w:rsid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Comisión Nacional de Evaluación y Acreditación Universitaria. (2025). </w:t>
      </w:r>
      <w:r w:rsidRPr="00455805">
        <w:rPr>
          <w:rFonts w:ascii="Times New Roman" w:hAnsi="Times New Roman" w:cs="Times New Roman"/>
          <w:i/>
          <w:iCs/>
          <w:lang w:val="es-AR"/>
        </w:rPr>
        <w:t>Ordenanza N°77: Evaluación Externa focalizada</w:t>
      </w:r>
      <w:r w:rsidRPr="00455805">
        <w:rPr>
          <w:rFonts w:ascii="Times New Roman" w:hAnsi="Times New Roman" w:cs="Times New Roman"/>
          <w:lang w:val="es-AR"/>
        </w:rPr>
        <w:t>. https://www.coneau.gob.ar/archivos/ordenanzas/Orde77.pdf</w:t>
      </w:r>
    </w:p>
    <w:p w14:paraId="0813A669" w14:textId="206C7989" w:rsidR="00654B32" w:rsidRPr="00654B32" w:rsidRDefault="00654B32" w:rsidP="00654B32">
      <w:pPr>
        <w:spacing w:line="240" w:lineRule="auto"/>
        <w:jc w:val="both"/>
        <w:rPr>
          <w:rFonts w:ascii="Times New Roman" w:hAnsi="Times New Roman" w:cs="Times New Roman"/>
          <w:lang w:val="es-AR"/>
        </w:rPr>
      </w:pPr>
      <w:r w:rsidRPr="00654B32">
        <w:rPr>
          <w:rFonts w:ascii="Times New Roman" w:hAnsi="Times New Roman" w:cs="Times New Roman"/>
          <w:lang w:val="es-AR"/>
        </w:rPr>
        <w:t xml:space="preserve">Consejo de Universidades. (2024). </w:t>
      </w:r>
      <w:r w:rsidRPr="00654B32">
        <w:rPr>
          <w:rFonts w:ascii="Times New Roman" w:hAnsi="Times New Roman" w:cs="Times New Roman"/>
          <w:i/>
          <w:iCs/>
          <w:lang w:val="es-AR"/>
        </w:rPr>
        <w:t>Acuerdo Plenario N.</w:t>
      </w:r>
      <w:r w:rsidRPr="00654B32">
        <w:rPr>
          <w:rFonts w:ascii="Times New Roman" w:hAnsi="Times New Roman" w:cs="Times New Roman"/>
          <w:i/>
          <w:iCs/>
          <w:vertAlign w:val="superscript"/>
          <w:lang w:val="es-AR"/>
        </w:rPr>
        <w:t>o</w:t>
      </w:r>
      <w:r w:rsidRPr="00654B32">
        <w:rPr>
          <w:rFonts w:ascii="Times New Roman" w:hAnsi="Times New Roman" w:cs="Times New Roman"/>
          <w:i/>
          <w:iCs/>
          <w:lang w:val="es-AR"/>
        </w:rPr>
        <w:t>281: Modificación del Acuerdo Plenario N.</w:t>
      </w:r>
      <w:r w:rsidRPr="00654B32">
        <w:rPr>
          <w:rFonts w:ascii="Times New Roman" w:hAnsi="Times New Roman" w:cs="Times New Roman"/>
          <w:i/>
          <w:iCs/>
          <w:vertAlign w:val="superscript"/>
          <w:lang w:val="es-AR"/>
        </w:rPr>
        <w:t>o</w:t>
      </w:r>
      <w:r w:rsidRPr="00654B32">
        <w:rPr>
          <w:rFonts w:ascii="Times New Roman" w:hAnsi="Times New Roman" w:cs="Times New Roman"/>
          <w:i/>
          <w:iCs/>
          <w:lang w:val="es-AR"/>
        </w:rPr>
        <w:t>272 sobre Sistemas Institucionales de Aseguramiento de la Calidad (SIAC)</w:t>
      </w:r>
      <w:r w:rsidRPr="00654B32">
        <w:rPr>
          <w:rFonts w:ascii="Times New Roman" w:hAnsi="Times New Roman" w:cs="Times New Roman"/>
          <w:lang w:val="es-AR"/>
        </w:rPr>
        <w:t xml:space="preserve">. </w:t>
      </w:r>
      <w:r w:rsidRPr="00654B32">
        <w:rPr>
          <w:rFonts w:ascii="Times New Roman" w:hAnsi="Times New Roman" w:cs="Times New Roman"/>
          <w:lang w:val="es-AR"/>
        </w:rPr>
        <w:lastRenderedPageBreak/>
        <w:t>Consejo de Universidades. https://bnm-catalogo.educacion.gob.ar/cgi-bin/koha/opac-detail.pl?biblionumber=247093</w:t>
      </w:r>
    </w:p>
    <w:p w14:paraId="4643CC85"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Corengia, Á. (2009). Estado, mercado y universidad en la génesis de la política argentina de evaluación y acreditación universitaria. En A. Camou &amp; S. Gvirtz (Eds.), </w:t>
      </w:r>
      <w:r w:rsidRPr="00455805">
        <w:rPr>
          <w:rFonts w:ascii="Times New Roman" w:hAnsi="Times New Roman" w:cs="Times New Roman"/>
          <w:i/>
          <w:iCs/>
          <w:lang w:val="es-AR"/>
        </w:rPr>
        <w:t>La universidad argentina en discusión: Sistemas de ingreso, financiamiento, evaluación de la calidad y relación universidad-estado</w:t>
      </w:r>
      <w:r w:rsidRPr="00455805">
        <w:rPr>
          <w:rFonts w:ascii="Times New Roman" w:hAnsi="Times New Roman" w:cs="Times New Roman"/>
          <w:lang w:val="es-AR"/>
        </w:rPr>
        <w:t xml:space="preserve"> (pp. 125–174). Granica.</w:t>
      </w:r>
    </w:p>
    <w:p w14:paraId="3209DFE3"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Corsi, G., Baraldi, C., &amp; Esposito, E. (Eds.). (1996). </w:t>
      </w:r>
      <w:r w:rsidRPr="00455805">
        <w:rPr>
          <w:rFonts w:ascii="Times New Roman" w:hAnsi="Times New Roman" w:cs="Times New Roman"/>
          <w:i/>
          <w:iCs/>
          <w:lang w:val="es-AR"/>
        </w:rPr>
        <w:t>GLU: Glosario sobre la teoría social de Niklas Luhmann</w:t>
      </w:r>
      <w:r w:rsidRPr="00455805">
        <w:rPr>
          <w:rFonts w:ascii="Times New Roman" w:hAnsi="Times New Roman" w:cs="Times New Roman"/>
          <w:lang w:val="es-AR"/>
        </w:rPr>
        <w:t>. Universidad Iberoamericana.</w:t>
      </w:r>
    </w:p>
    <w:p w14:paraId="3FDECB93"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Erreguerena, F. (2017). </w:t>
      </w:r>
      <w:r w:rsidRPr="00455805">
        <w:rPr>
          <w:rFonts w:ascii="Times New Roman" w:hAnsi="Times New Roman" w:cs="Times New Roman"/>
          <w:i/>
          <w:iCs/>
          <w:lang w:val="es-AR"/>
        </w:rPr>
        <w:t>El poder de los rectores en la política universitaria argentina 1985-2015</w:t>
      </w:r>
      <w:r w:rsidRPr="00455805">
        <w:rPr>
          <w:rFonts w:ascii="Times New Roman" w:hAnsi="Times New Roman" w:cs="Times New Roman"/>
          <w:lang w:val="es-AR"/>
        </w:rPr>
        <w:t>. Prometeo Libros.</w:t>
      </w:r>
    </w:p>
    <w:p w14:paraId="6134A483"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Fernández Lamarra, N., &amp; Aiello, M. (2014). La evaluación universitaria en Argentina en el marco de América Latina. Situación y desafíos en relación al aseguramiento de la calidad. En </w:t>
      </w:r>
      <w:r w:rsidRPr="00455805">
        <w:rPr>
          <w:rFonts w:ascii="Times New Roman" w:hAnsi="Times New Roman" w:cs="Times New Roman"/>
          <w:i/>
          <w:iCs/>
          <w:lang w:val="es-AR"/>
        </w:rPr>
        <w:t>Evaluación de la calidad de la Educación Superior en Iberoamérica</w:t>
      </w:r>
      <w:r w:rsidRPr="00455805">
        <w:rPr>
          <w:rFonts w:ascii="Times New Roman" w:hAnsi="Times New Roman" w:cs="Times New Roman"/>
          <w:lang w:val="es-AR"/>
        </w:rPr>
        <w:t xml:space="preserve"> (Vol. 1, pp. 21–48). GIPES-UAM.</w:t>
      </w:r>
    </w:p>
    <w:p w14:paraId="3B9814D3"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Fuchs, S. (2000). Dos cambios paradigmáticos en la teoría sociológica sistémica: Niklas Luhmann. </w:t>
      </w:r>
      <w:r w:rsidRPr="00455805">
        <w:rPr>
          <w:rFonts w:ascii="Times New Roman" w:hAnsi="Times New Roman" w:cs="Times New Roman"/>
          <w:i/>
          <w:iCs/>
          <w:lang w:val="es-AR"/>
        </w:rPr>
        <w:t>Sociológica (México)</w:t>
      </w:r>
      <w:r w:rsidRPr="00455805">
        <w:rPr>
          <w:rFonts w:ascii="Times New Roman" w:hAnsi="Times New Roman" w:cs="Times New Roman"/>
          <w:lang w:val="es-AR"/>
        </w:rPr>
        <w:t xml:space="preserve">, </w:t>
      </w:r>
      <w:r w:rsidRPr="00455805">
        <w:rPr>
          <w:rFonts w:ascii="Times New Roman" w:hAnsi="Times New Roman" w:cs="Times New Roman"/>
          <w:i/>
          <w:iCs/>
          <w:lang w:val="es-AR"/>
        </w:rPr>
        <w:t>15</w:t>
      </w:r>
      <w:r w:rsidRPr="00455805">
        <w:rPr>
          <w:rFonts w:ascii="Times New Roman" w:hAnsi="Times New Roman" w:cs="Times New Roman"/>
          <w:lang w:val="es-AR"/>
        </w:rPr>
        <w:t>(43), 205–215.</w:t>
      </w:r>
    </w:p>
    <w:p w14:paraId="5463B752"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Guaglianone, A. (2012). Las políticas públicas de evaluación y acreditación de las carreras de grado en Argentina. </w:t>
      </w:r>
      <w:r w:rsidRPr="00455805">
        <w:rPr>
          <w:rFonts w:ascii="Times New Roman" w:hAnsi="Times New Roman" w:cs="Times New Roman"/>
          <w:i/>
          <w:iCs/>
          <w:lang w:val="es-AR"/>
        </w:rPr>
        <w:t>Calidad en Educación</w:t>
      </w:r>
      <w:r w:rsidRPr="00455805">
        <w:rPr>
          <w:rFonts w:ascii="Times New Roman" w:hAnsi="Times New Roman" w:cs="Times New Roman"/>
          <w:lang w:val="es-AR"/>
        </w:rPr>
        <w:t>, (36), 187–217.</w:t>
      </w:r>
    </w:p>
    <w:p w14:paraId="107CA85F"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Labraña, J. (2012). La educación como garantía de igualdad o desigualdad en la sociedad moderna: Observaciones desde la teoría de sistemas sociales. </w:t>
      </w:r>
      <w:r w:rsidRPr="00455805">
        <w:rPr>
          <w:rFonts w:ascii="Times New Roman" w:hAnsi="Times New Roman" w:cs="Times New Roman"/>
          <w:i/>
          <w:iCs/>
          <w:lang w:val="es-AR"/>
        </w:rPr>
        <w:t>Revista MAD</w:t>
      </w:r>
      <w:r w:rsidRPr="00455805">
        <w:rPr>
          <w:rFonts w:ascii="Times New Roman" w:hAnsi="Times New Roman" w:cs="Times New Roman"/>
          <w:lang w:val="es-AR"/>
        </w:rPr>
        <w:t xml:space="preserve">, </w:t>
      </w:r>
      <w:r w:rsidRPr="00455805">
        <w:rPr>
          <w:rFonts w:ascii="Times New Roman" w:hAnsi="Times New Roman" w:cs="Times New Roman"/>
          <w:i/>
          <w:iCs/>
          <w:lang w:val="es-AR"/>
        </w:rPr>
        <w:t>0</w:t>
      </w:r>
      <w:r w:rsidRPr="00455805">
        <w:rPr>
          <w:rFonts w:ascii="Times New Roman" w:hAnsi="Times New Roman" w:cs="Times New Roman"/>
          <w:lang w:val="es-AR"/>
        </w:rPr>
        <w:t>(26). https://doi.org/10.5354/0718-0527.2012.18894</w:t>
      </w:r>
    </w:p>
    <w:p w14:paraId="1954075A"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Labraña, J. (2014). Aportes del concepto de educación en Luhmann y su vinculación con el estudio de la exclusión. </w:t>
      </w:r>
      <w:r w:rsidRPr="00455805">
        <w:rPr>
          <w:rFonts w:ascii="Times New Roman" w:hAnsi="Times New Roman" w:cs="Times New Roman"/>
          <w:i/>
          <w:iCs/>
          <w:lang w:val="es-AR"/>
        </w:rPr>
        <w:t>Estudios pedagógicos (Valdivia)</w:t>
      </w:r>
      <w:r w:rsidRPr="00455805">
        <w:rPr>
          <w:rFonts w:ascii="Times New Roman" w:hAnsi="Times New Roman" w:cs="Times New Roman"/>
          <w:lang w:val="es-AR"/>
        </w:rPr>
        <w:t xml:space="preserve">, </w:t>
      </w:r>
      <w:r w:rsidRPr="00455805">
        <w:rPr>
          <w:rFonts w:ascii="Times New Roman" w:hAnsi="Times New Roman" w:cs="Times New Roman"/>
          <w:i/>
          <w:iCs/>
          <w:lang w:val="es-AR"/>
        </w:rPr>
        <w:t>40</w:t>
      </w:r>
      <w:r w:rsidRPr="00455805">
        <w:rPr>
          <w:rFonts w:ascii="Times New Roman" w:hAnsi="Times New Roman" w:cs="Times New Roman"/>
          <w:lang w:val="es-AR"/>
        </w:rPr>
        <w:t>(1), 309–326. https://doi.org/10.4067/S0718-07052014000100019</w:t>
      </w:r>
    </w:p>
    <w:p w14:paraId="47AABC12"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Labraña, J. (2022). La teoría de sistemas sociales y el campo de estudios en educación superior. </w:t>
      </w:r>
      <w:r w:rsidRPr="00455805">
        <w:rPr>
          <w:rFonts w:ascii="Times New Roman" w:hAnsi="Times New Roman" w:cs="Times New Roman"/>
          <w:i/>
          <w:iCs/>
          <w:lang w:val="es-AR"/>
        </w:rPr>
        <w:t>Cinta de moebio</w:t>
      </w:r>
      <w:r w:rsidRPr="00455805">
        <w:rPr>
          <w:rFonts w:ascii="Times New Roman" w:hAnsi="Times New Roman" w:cs="Times New Roman"/>
          <w:lang w:val="es-AR"/>
        </w:rPr>
        <w:t>, (74), 51–64. https://doi.org/10.4067/s0717-554x2022000200051</w:t>
      </w:r>
    </w:p>
    <w:p w14:paraId="7BFDD71A"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Labraña, J., &amp; Mariñez, C. (2021). ¿En qué confiamos al evaluar la calidad de las universidades? Un análisis sociológico de la evolución de los mecanismos de aseguramiento externos de la calidad en Chile desde la teoría de sistemas sociales. </w:t>
      </w:r>
      <w:r w:rsidRPr="00455805">
        <w:rPr>
          <w:rFonts w:ascii="Times New Roman" w:hAnsi="Times New Roman" w:cs="Times New Roman"/>
          <w:i/>
          <w:iCs/>
          <w:lang w:val="es-AR"/>
        </w:rPr>
        <w:t>Revista Iberoamericana de Educación Superior</w:t>
      </w:r>
      <w:r w:rsidRPr="00455805">
        <w:rPr>
          <w:rFonts w:ascii="Times New Roman" w:hAnsi="Times New Roman" w:cs="Times New Roman"/>
          <w:lang w:val="es-AR"/>
        </w:rPr>
        <w:t xml:space="preserve">, </w:t>
      </w:r>
      <w:r w:rsidRPr="00455805">
        <w:rPr>
          <w:rFonts w:ascii="Times New Roman" w:hAnsi="Times New Roman" w:cs="Times New Roman"/>
          <w:i/>
          <w:iCs/>
          <w:lang w:val="es-AR"/>
        </w:rPr>
        <w:t>12</w:t>
      </w:r>
      <w:r w:rsidRPr="00455805">
        <w:rPr>
          <w:rFonts w:ascii="Times New Roman" w:hAnsi="Times New Roman" w:cs="Times New Roman"/>
          <w:lang w:val="es-AR"/>
        </w:rPr>
        <w:t>(33), 120–137. https://doi.org/10.22201/iisue.20072872e.2021.33.861</w:t>
      </w:r>
    </w:p>
    <w:p w14:paraId="5431F51C"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Luhmann, N. (1996). </w:t>
      </w:r>
      <w:r w:rsidRPr="00455805">
        <w:rPr>
          <w:rFonts w:ascii="Times New Roman" w:hAnsi="Times New Roman" w:cs="Times New Roman"/>
          <w:i/>
          <w:iCs/>
          <w:lang w:val="es-AR"/>
        </w:rPr>
        <w:t>Confianza</w:t>
      </w:r>
      <w:r w:rsidRPr="00455805">
        <w:rPr>
          <w:rFonts w:ascii="Times New Roman" w:hAnsi="Times New Roman" w:cs="Times New Roman"/>
          <w:lang w:val="es-AR"/>
        </w:rPr>
        <w:t>. Anthropos, Universidad Iberoamericana. (Original work published 1973)</w:t>
      </w:r>
    </w:p>
    <w:p w14:paraId="1B9505F8"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Luhmann, N. (2007). </w:t>
      </w:r>
      <w:r w:rsidRPr="00455805">
        <w:rPr>
          <w:rFonts w:ascii="Times New Roman" w:hAnsi="Times New Roman" w:cs="Times New Roman"/>
          <w:i/>
          <w:iCs/>
          <w:lang w:val="es-AR"/>
        </w:rPr>
        <w:t>La sociedad de la sociedad</w:t>
      </w:r>
      <w:r w:rsidRPr="00455805">
        <w:rPr>
          <w:rFonts w:ascii="Times New Roman" w:hAnsi="Times New Roman" w:cs="Times New Roman"/>
          <w:lang w:val="es-AR"/>
        </w:rPr>
        <w:t xml:space="preserve"> (J. Torres Nafarrate, Trad.). Universidad Iberoamericana. (Original work published 1997)</w:t>
      </w:r>
    </w:p>
    <w:p w14:paraId="3F12C9EB"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lastRenderedPageBreak/>
        <w:t xml:space="preserve">Luhmann, N., &amp; Schorr, K.-E. (1990). Presupuestos estructurales de una pedagogía reformista: Análisis sociológicos de la pedagogía moderna. </w:t>
      </w:r>
      <w:r w:rsidRPr="00455805">
        <w:rPr>
          <w:rFonts w:ascii="Times New Roman" w:hAnsi="Times New Roman" w:cs="Times New Roman"/>
          <w:i/>
          <w:iCs/>
          <w:lang w:val="es-AR"/>
        </w:rPr>
        <w:t>Revista de Educación</w:t>
      </w:r>
      <w:r w:rsidRPr="00455805">
        <w:rPr>
          <w:rFonts w:ascii="Times New Roman" w:hAnsi="Times New Roman" w:cs="Times New Roman"/>
          <w:lang w:val="es-AR"/>
        </w:rPr>
        <w:t>, (291), 55–79.</w:t>
      </w:r>
    </w:p>
    <w:p w14:paraId="4ED91982" w14:textId="77777777" w:rsid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Marquina, M. (2016). Capítulo 4. La reforma de la Educación Superior de los 90 y la evaluación como tema de agenda política. En </w:t>
      </w:r>
      <w:r w:rsidRPr="00455805">
        <w:rPr>
          <w:rFonts w:ascii="Times New Roman" w:hAnsi="Times New Roman" w:cs="Times New Roman"/>
          <w:i/>
          <w:iCs/>
          <w:lang w:val="es-AR"/>
        </w:rPr>
        <w:t>Yo te evalúo, tú me evalúas: Estado, profesión académica y mercado en la acreditación de carreras en la Argentina</w:t>
      </w:r>
      <w:r w:rsidRPr="00455805">
        <w:rPr>
          <w:rFonts w:ascii="Times New Roman" w:hAnsi="Times New Roman" w:cs="Times New Roman"/>
          <w:lang w:val="es-AR"/>
        </w:rPr>
        <w:t>. Eudeba.</w:t>
      </w:r>
    </w:p>
    <w:p w14:paraId="463AD825" w14:textId="77777777" w:rsidR="00D066FF" w:rsidRPr="00D066FF" w:rsidRDefault="00D066FF" w:rsidP="00D066FF">
      <w:pPr>
        <w:spacing w:line="240" w:lineRule="auto"/>
        <w:jc w:val="both"/>
        <w:rPr>
          <w:rFonts w:ascii="Times New Roman" w:hAnsi="Times New Roman" w:cs="Times New Roman"/>
          <w:lang w:val="es-AR"/>
        </w:rPr>
      </w:pPr>
      <w:r w:rsidRPr="00D066FF">
        <w:rPr>
          <w:rFonts w:ascii="Times New Roman" w:hAnsi="Times New Roman" w:cs="Times New Roman"/>
          <w:lang w:val="es-AR"/>
        </w:rPr>
        <w:t xml:space="preserve">Marquina, M., &amp; Denes, C. (2024). Avances en la investigación sobre políticas públicas de aseguramiento de la calidad y configuración universitaria: Los SIAC. </w:t>
      </w:r>
      <w:r w:rsidRPr="00D066FF">
        <w:rPr>
          <w:rFonts w:ascii="Times New Roman" w:hAnsi="Times New Roman" w:cs="Times New Roman"/>
          <w:i/>
          <w:iCs/>
          <w:lang w:val="es-AR"/>
        </w:rPr>
        <w:t>IX Encuentro nacional y VI latinoamericano | La universidad como objeto de investigación</w:t>
      </w:r>
      <w:r w:rsidRPr="00D066FF">
        <w:rPr>
          <w:rFonts w:ascii="Times New Roman" w:hAnsi="Times New Roman" w:cs="Times New Roman"/>
          <w:lang w:val="es-AR"/>
        </w:rPr>
        <w:t>, 1–15.</w:t>
      </w:r>
    </w:p>
    <w:p w14:paraId="79B46198" w14:textId="53D5DB3C"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Marquis, C. (2014). Dos décadas de evaluación universitaria en la Argentina. En R. San Martín (Ed.), </w:t>
      </w:r>
      <w:r w:rsidRPr="00455805">
        <w:rPr>
          <w:rFonts w:ascii="Times New Roman" w:hAnsi="Times New Roman" w:cs="Times New Roman"/>
          <w:i/>
          <w:iCs/>
          <w:lang w:val="es-AR"/>
        </w:rPr>
        <w:t>Evaluación y acreditación universitaria: Actores y políticas en perspectiva</w:t>
      </w:r>
      <w:r w:rsidRPr="00455805">
        <w:rPr>
          <w:rFonts w:ascii="Times New Roman" w:hAnsi="Times New Roman" w:cs="Times New Roman"/>
          <w:lang w:val="es-AR"/>
        </w:rPr>
        <w:t xml:space="preserve"> (pp. 15–60). Universidad de Palermo - UP.</w:t>
      </w:r>
    </w:p>
    <w:p w14:paraId="18110E77"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Marquis, C., Bernatené, S., Brotto, A., Doberti, J., García De Fanelli, A. M., Kisilevsky, M., Rasetti, C. P., Stubrin, A., &amp; Tavela, D. (2025). </w:t>
      </w:r>
      <w:r w:rsidRPr="00455805">
        <w:rPr>
          <w:rFonts w:ascii="Times New Roman" w:hAnsi="Times New Roman" w:cs="Times New Roman"/>
          <w:i/>
          <w:iCs/>
          <w:lang w:val="es-AR"/>
        </w:rPr>
        <w:t>La Agenda Universitaria VIII: miradas sobre las universidades nacionales desde sus  investigadores.</w:t>
      </w:r>
      <w:r w:rsidRPr="00455805">
        <w:rPr>
          <w:rFonts w:ascii="Times New Roman" w:hAnsi="Times New Roman" w:cs="Times New Roman"/>
          <w:lang w:val="es-AR"/>
        </w:rPr>
        <w:t xml:space="preserve"> Universidad de Palermo - UP.</w:t>
      </w:r>
    </w:p>
    <w:p w14:paraId="6164A3A6" w14:textId="77777777" w:rsid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Mertian, N. (2025). </w:t>
      </w:r>
      <w:r w:rsidRPr="00455805">
        <w:rPr>
          <w:rFonts w:ascii="Times New Roman" w:hAnsi="Times New Roman" w:cs="Times New Roman"/>
          <w:i/>
          <w:iCs/>
          <w:lang w:val="es-AR"/>
        </w:rPr>
        <w:t>El sistema de aseguramiento de la calidad universitaria en Argentina. Políticas y tensiones.</w:t>
      </w:r>
      <w:r w:rsidRPr="00455805">
        <w:rPr>
          <w:rFonts w:ascii="Times New Roman" w:hAnsi="Times New Roman" w:cs="Times New Roman"/>
          <w:lang w:val="es-AR"/>
        </w:rPr>
        <w:t xml:space="preserve"> [Tesis de Maestría, Universidad de San Andrés]. https://dspaceapi.live.udesa.edu.ar/server/api/core/bitstreams/6d9eb5c2-c133-447b-b842-9e2eb73ba968/content</w:t>
      </w:r>
    </w:p>
    <w:p w14:paraId="79CB0BD8" w14:textId="77777777" w:rsidR="00FC7A47" w:rsidRPr="00FC7A47" w:rsidRDefault="00FC7A47" w:rsidP="00FC7A47">
      <w:pPr>
        <w:spacing w:line="240" w:lineRule="auto"/>
        <w:jc w:val="both"/>
        <w:rPr>
          <w:rFonts w:ascii="Times New Roman" w:hAnsi="Times New Roman" w:cs="Times New Roman"/>
          <w:lang w:val="es-AR"/>
        </w:rPr>
      </w:pPr>
      <w:r w:rsidRPr="00FC7A47">
        <w:rPr>
          <w:rFonts w:ascii="Times New Roman" w:hAnsi="Times New Roman" w:cs="Times New Roman"/>
          <w:lang w:val="es-AR"/>
        </w:rPr>
        <w:t xml:space="preserve">Ministerio de Educación de la Nación Argentina. (2023). </w:t>
      </w:r>
      <w:r w:rsidRPr="00FC7A47">
        <w:rPr>
          <w:rFonts w:ascii="Times New Roman" w:hAnsi="Times New Roman" w:cs="Times New Roman"/>
          <w:i/>
          <w:iCs/>
          <w:lang w:val="es-AR"/>
        </w:rPr>
        <w:t>Resolución 2597/2023: Sistemas Institucionales de Aseguramiento de la Calidad (SIAC)</w:t>
      </w:r>
      <w:r w:rsidRPr="00FC7A47">
        <w:rPr>
          <w:rFonts w:ascii="Times New Roman" w:hAnsi="Times New Roman" w:cs="Times New Roman"/>
          <w:lang w:val="es-AR"/>
        </w:rPr>
        <w:t xml:space="preserve">. Boletín Oficial de la República Argentina. </w:t>
      </w:r>
      <w:hyperlink r:id="rId6" w:history="1">
        <w:r w:rsidRPr="00FC7A47">
          <w:rPr>
            <w:rStyle w:val="Hipervnculo"/>
            <w:rFonts w:ascii="Times New Roman" w:hAnsi="Times New Roman" w:cs="Times New Roman"/>
            <w:lang w:val="es-AR"/>
          </w:rPr>
          <w:t>https://www.boletinoficial.gob.ar/detalleAviso/primera/298712/20231121</w:t>
        </w:r>
      </w:hyperlink>
    </w:p>
    <w:p w14:paraId="6CE70EE3"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Neave, G., &amp; van Vught, F. (Eds.). (1994). </w:t>
      </w:r>
      <w:r w:rsidRPr="00455805">
        <w:rPr>
          <w:rFonts w:ascii="Times New Roman" w:hAnsi="Times New Roman" w:cs="Times New Roman"/>
          <w:i/>
          <w:iCs/>
          <w:lang w:val="es-AR"/>
        </w:rPr>
        <w:t>Prometeo encadenado. Estado y educación superior en Europa</w:t>
      </w:r>
      <w:r w:rsidRPr="00455805">
        <w:rPr>
          <w:rFonts w:ascii="Times New Roman" w:hAnsi="Times New Roman" w:cs="Times New Roman"/>
          <w:lang w:val="es-AR"/>
        </w:rPr>
        <w:t>. Gedisa.</w:t>
      </w:r>
    </w:p>
    <w:p w14:paraId="773316C5"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Pérez Rasetti, C. (2024, noviembre). </w:t>
      </w:r>
      <w:r w:rsidRPr="00455805">
        <w:rPr>
          <w:rFonts w:ascii="Times New Roman" w:hAnsi="Times New Roman" w:cs="Times New Roman"/>
          <w:i/>
          <w:iCs/>
          <w:lang w:val="es-AR"/>
        </w:rPr>
        <w:t>Los SIAC. El debate y la norma</w:t>
      </w:r>
      <w:r w:rsidRPr="00455805">
        <w:rPr>
          <w:rFonts w:ascii="Times New Roman" w:hAnsi="Times New Roman" w:cs="Times New Roman"/>
          <w:lang w:val="es-AR"/>
        </w:rPr>
        <w:t>. IX Encuentro Nacional y VI Latinoamericano: La Universidad como Objeto de Investigación.</w:t>
      </w:r>
    </w:p>
    <w:p w14:paraId="7DFD6A97"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Pérez Rasetti, C. (2025). </w:t>
      </w:r>
      <w:r w:rsidRPr="00455805">
        <w:rPr>
          <w:rFonts w:ascii="Times New Roman" w:hAnsi="Times New Roman" w:cs="Times New Roman"/>
          <w:i/>
          <w:iCs/>
          <w:lang w:val="es-AR"/>
        </w:rPr>
        <w:t>La evaluación de la universidad</w:t>
      </w:r>
      <w:r w:rsidRPr="00455805">
        <w:rPr>
          <w:rFonts w:ascii="Times New Roman" w:hAnsi="Times New Roman" w:cs="Times New Roman"/>
          <w:lang w:val="es-AR"/>
        </w:rPr>
        <w:t>. EDUNPAZ. https://edunpaz.unpaz.edu.ar/OMP/index.php/edunpaz/catalog/view/137/150/561-1</w:t>
      </w:r>
    </w:p>
    <w:p w14:paraId="7DEF19C3"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Pignuoli Ocampo, S. (2015). El programa sociológico de Niklas Luhmann y su contexto. </w:t>
      </w:r>
      <w:r w:rsidRPr="00455805">
        <w:rPr>
          <w:rFonts w:ascii="Times New Roman" w:hAnsi="Times New Roman" w:cs="Times New Roman"/>
          <w:i/>
          <w:iCs/>
          <w:lang w:val="es-AR"/>
        </w:rPr>
        <w:t>Revista Mexicana de Sociología</w:t>
      </w:r>
      <w:r w:rsidRPr="00455805">
        <w:rPr>
          <w:rFonts w:ascii="Times New Roman" w:hAnsi="Times New Roman" w:cs="Times New Roman"/>
          <w:lang w:val="es-AR"/>
        </w:rPr>
        <w:t xml:space="preserve">, </w:t>
      </w:r>
      <w:r w:rsidRPr="00455805">
        <w:rPr>
          <w:rFonts w:ascii="Times New Roman" w:hAnsi="Times New Roman" w:cs="Times New Roman"/>
          <w:i/>
          <w:iCs/>
          <w:lang w:val="es-AR"/>
        </w:rPr>
        <w:t>77</w:t>
      </w:r>
      <w:r w:rsidRPr="00455805">
        <w:rPr>
          <w:rFonts w:ascii="Times New Roman" w:hAnsi="Times New Roman" w:cs="Times New Roman"/>
          <w:lang w:val="es-AR"/>
        </w:rPr>
        <w:t>(2), 301–328.</w:t>
      </w:r>
    </w:p>
    <w:p w14:paraId="58BC583B" w14:textId="77777777" w:rsidR="00455805" w:rsidRPr="00455805" w:rsidRDefault="00455805" w:rsidP="00455805">
      <w:pPr>
        <w:spacing w:line="240" w:lineRule="auto"/>
        <w:jc w:val="both"/>
        <w:rPr>
          <w:rFonts w:ascii="Times New Roman" w:hAnsi="Times New Roman" w:cs="Times New Roman"/>
          <w:lang w:val="es-AR"/>
        </w:rPr>
      </w:pPr>
      <w:r w:rsidRPr="00455805">
        <w:rPr>
          <w:rFonts w:ascii="Times New Roman" w:hAnsi="Times New Roman" w:cs="Times New Roman"/>
          <w:lang w:val="es-AR"/>
        </w:rPr>
        <w:t xml:space="preserve">Rubinich, L. (2001). </w:t>
      </w:r>
      <w:r w:rsidRPr="00455805">
        <w:rPr>
          <w:rFonts w:ascii="Times New Roman" w:hAnsi="Times New Roman" w:cs="Times New Roman"/>
          <w:i/>
          <w:iCs/>
          <w:lang w:val="es-AR"/>
        </w:rPr>
        <w:t>La conformación de un clima cultural. Neoliberalismo y universidad.</w:t>
      </w:r>
      <w:r w:rsidRPr="00455805">
        <w:rPr>
          <w:rFonts w:ascii="Times New Roman" w:hAnsi="Times New Roman" w:cs="Times New Roman"/>
          <w:lang w:val="es-AR"/>
        </w:rPr>
        <w:t xml:space="preserve"> Libros del Rojas - Universidad de Buenos Aires.</w:t>
      </w:r>
    </w:p>
    <w:p w14:paraId="23CA62C6" w14:textId="7574658D" w:rsidR="00C802F5" w:rsidRDefault="00455805" w:rsidP="00190A0F">
      <w:pPr>
        <w:spacing w:line="240" w:lineRule="auto"/>
        <w:jc w:val="both"/>
        <w:rPr>
          <w:rFonts w:ascii="Times New Roman" w:hAnsi="Times New Roman" w:cs="Times New Roman"/>
        </w:rPr>
      </w:pPr>
      <w:r w:rsidRPr="00455805">
        <w:rPr>
          <w:rFonts w:ascii="Times New Roman" w:hAnsi="Times New Roman" w:cs="Times New Roman"/>
          <w:lang w:val="es-AR"/>
        </w:rPr>
        <w:t xml:space="preserve">Strah, M. (2020). </w:t>
      </w:r>
      <w:r w:rsidRPr="00455805">
        <w:rPr>
          <w:rFonts w:ascii="Times New Roman" w:hAnsi="Times New Roman" w:cs="Times New Roman"/>
          <w:i/>
          <w:iCs/>
          <w:lang w:val="es-AR"/>
        </w:rPr>
        <w:t>Los sistemas nacionales de aseguramiento de la calidad de la Educación Superior en Iberoamérica</w:t>
      </w:r>
      <w:r w:rsidRPr="00455805">
        <w:rPr>
          <w:rFonts w:ascii="Times New Roman" w:hAnsi="Times New Roman" w:cs="Times New Roman"/>
          <w:lang w:val="es-AR"/>
        </w:rPr>
        <w:t>. CONEAU-Comisión Nacional de Evaluación y Acreditación Universitaria, OEI- Organización de Estados Iberoamericanos. https://www.coneau.gob.ar/archivos/publicaciones/documentos/OEISistemasNacionalesAseguramientoIberoamerica.pdf</w:t>
      </w:r>
      <w:r w:rsidRPr="00455805">
        <w:rPr>
          <w:rFonts w:ascii="Times New Roman" w:hAnsi="Times New Roman" w:cs="Times New Roman"/>
        </w:rPr>
        <w:fldChar w:fldCharType="end"/>
      </w:r>
    </w:p>
    <w:p w14:paraId="6367A338" w14:textId="77777777" w:rsidR="00FC7A47" w:rsidRPr="00190A0F" w:rsidRDefault="00FC7A47" w:rsidP="00190A0F">
      <w:pPr>
        <w:spacing w:line="240" w:lineRule="auto"/>
        <w:jc w:val="both"/>
        <w:rPr>
          <w:rFonts w:ascii="Times New Roman" w:hAnsi="Times New Roman" w:cs="Times New Roman"/>
          <w:b/>
          <w:bCs/>
        </w:rPr>
      </w:pPr>
    </w:p>
    <w:p w14:paraId="7E83515B" w14:textId="6B31F607"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AA21C" w14:textId="77777777" w:rsidR="0024520A" w:rsidRPr="00BA642E" w:rsidRDefault="0024520A" w:rsidP="00C802F5">
      <w:pPr>
        <w:spacing w:after="0" w:line="240" w:lineRule="auto"/>
      </w:pPr>
      <w:r w:rsidRPr="00BA642E">
        <w:separator/>
      </w:r>
    </w:p>
  </w:endnote>
  <w:endnote w:type="continuationSeparator" w:id="0">
    <w:p w14:paraId="4B3B7FB6" w14:textId="77777777" w:rsidR="0024520A" w:rsidRPr="00BA642E" w:rsidRDefault="0024520A"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76733" w14:textId="77777777" w:rsidR="0024520A" w:rsidRPr="00BA642E" w:rsidRDefault="0024520A" w:rsidP="00C802F5">
      <w:pPr>
        <w:spacing w:after="0" w:line="240" w:lineRule="auto"/>
      </w:pPr>
      <w:r w:rsidRPr="00BA642E">
        <w:separator/>
      </w:r>
    </w:p>
  </w:footnote>
  <w:footnote w:type="continuationSeparator" w:id="0">
    <w:p w14:paraId="73E64534" w14:textId="77777777" w:rsidR="0024520A" w:rsidRPr="00BA642E" w:rsidRDefault="0024520A"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2EEB"/>
    <w:rsid w:val="000031DD"/>
    <w:rsid w:val="00024543"/>
    <w:rsid w:val="0004281D"/>
    <w:rsid w:val="0005299C"/>
    <w:rsid w:val="00073032"/>
    <w:rsid w:val="00096941"/>
    <w:rsid w:val="000B3836"/>
    <w:rsid w:val="000C6734"/>
    <w:rsid w:val="000D1EF8"/>
    <w:rsid w:val="000F7C07"/>
    <w:rsid w:val="00102AC1"/>
    <w:rsid w:val="00151E6B"/>
    <w:rsid w:val="0015607E"/>
    <w:rsid w:val="001631E4"/>
    <w:rsid w:val="001775AF"/>
    <w:rsid w:val="001816D6"/>
    <w:rsid w:val="00183542"/>
    <w:rsid w:val="00185F5E"/>
    <w:rsid w:val="00190417"/>
    <w:rsid w:val="00190A0F"/>
    <w:rsid w:val="001923DC"/>
    <w:rsid w:val="001A2930"/>
    <w:rsid w:val="001A3880"/>
    <w:rsid w:val="001A4299"/>
    <w:rsid w:val="001B0C8C"/>
    <w:rsid w:val="001B29B6"/>
    <w:rsid w:val="001B526A"/>
    <w:rsid w:val="001B777B"/>
    <w:rsid w:val="001C0C32"/>
    <w:rsid w:val="001E5B2D"/>
    <w:rsid w:val="002035E1"/>
    <w:rsid w:val="002327C3"/>
    <w:rsid w:val="0024520A"/>
    <w:rsid w:val="00245624"/>
    <w:rsid w:val="002637DC"/>
    <w:rsid w:val="00272A2A"/>
    <w:rsid w:val="00282584"/>
    <w:rsid w:val="00286DCD"/>
    <w:rsid w:val="002A4FBD"/>
    <w:rsid w:val="002B672C"/>
    <w:rsid w:val="002C5DF3"/>
    <w:rsid w:val="002F79D0"/>
    <w:rsid w:val="00305381"/>
    <w:rsid w:val="003073F5"/>
    <w:rsid w:val="00312392"/>
    <w:rsid w:val="0033331D"/>
    <w:rsid w:val="00334D48"/>
    <w:rsid w:val="0034744E"/>
    <w:rsid w:val="00354487"/>
    <w:rsid w:val="003557CE"/>
    <w:rsid w:val="00362280"/>
    <w:rsid w:val="003633BC"/>
    <w:rsid w:val="003654F9"/>
    <w:rsid w:val="003751C3"/>
    <w:rsid w:val="00390D02"/>
    <w:rsid w:val="003A14B4"/>
    <w:rsid w:val="003A1F03"/>
    <w:rsid w:val="003A3A12"/>
    <w:rsid w:val="003B3397"/>
    <w:rsid w:val="003B4E14"/>
    <w:rsid w:val="003B4FAE"/>
    <w:rsid w:val="003C1007"/>
    <w:rsid w:val="003C664B"/>
    <w:rsid w:val="003D10DF"/>
    <w:rsid w:val="003D330C"/>
    <w:rsid w:val="003E4D71"/>
    <w:rsid w:val="003F72D3"/>
    <w:rsid w:val="004040C0"/>
    <w:rsid w:val="00416BC6"/>
    <w:rsid w:val="00421556"/>
    <w:rsid w:val="00423879"/>
    <w:rsid w:val="00430546"/>
    <w:rsid w:val="00437E9C"/>
    <w:rsid w:val="0045334C"/>
    <w:rsid w:val="00455805"/>
    <w:rsid w:val="00457706"/>
    <w:rsid w:val="00457801"/>
    <w:rsid w:val="0046354D"/>
    <w:rsid w:val="004642C4"/>
    <w:rsid w:val="004667D9"/>
    <w:rsid w:val="004700D5"/>
    <w:rsid w:val="00481192"/>
    <w:rsid w:val="00483041"/>
    <w:rsid w:val="00483507"/>
    <w:rsid w:val="0048512B"/>
    <w:rsid w:val="00485DFB"/>
    <w:rsid w:val="00492675"/>
    <w:rsid w:val="00496187"/>
    <w:rsid w:val="004D1C66"/>
    <w:rsid w:val="004D1EEA"/>
    <w:rsid w:val="004D3141"/>
    <w:rsid w:val="004F1AA7"/>
    <w:rsid w:val="0051734F"/>
    <w:rsid w:val="0052455C"/>
    <w:rsid w:val="00534F05"/>
    <w:rsid w:val="00550766"/>
    <w:rsid w:val="00551B86"/>
    <w:rsid w:val="00561028"/>
    <w:rsid w:val="00576D98"/>
    <w:rsid w:val="00586814"/>
    <w:rsid w:val="005B05F9"/>
    <w:rsid w:val="005B2E6E"/>
    <w:rsid w:val="005C6429"/>
    <w:rsid w:val="005D7704"/>
    <w:rsid w:val="005F3B2E"/>
    <w:rsid w:val="005F7C9B"/>
    <w:rsid w:val="00605026"/>
    <w:rsid w:val="006205D5"/>
    <w:rsid w:val="00632BBB"/>
    <w:rsid w:val="006439D8"/>
    <w:rsid w:val="00654B32"/>
    <w:rsid w:val="006637C4"/>
    <w:rsid w:val="0066514A"/>
    <w:rsid w:val="00682958"/>
    <w:rsid w:val="00682C95"/>
    <w:rsid w:val="00686BE3"/>
    <w:rsid w:val="00686D3B"/>
    <w:rsid w:val="0069194D"/>
    <w:rsid w:val="00691FCB"/>
    <w:rsid w:val="00692777"/>
    <w:rsid w:val="006C0F17"/>
    <w:rsid w:val="006C16AC"/>
    <w:rsid w:val="006C708B"/>
    <w:rsid w:val="006D6E80"/>
    <w:rsid w:val="006D6F95"/>
    <w:rsid w:val="006F08FB"/>
    <w:rsid w:val="00701F64"/>
    <w:rsid w:val="00711EB5"/>
    <w:rsid w:val="00726D59"/>
    <w:rsid w:val="007324C9"/>
    <w:rsid w:val="0074273B"/>
    <w:rsid w:val="00746D83"/>
    <w:rsid w:val="00750C87"/>
    <w:rsid w:val="00753CD6"/>
    <w:rsid w:val="00754277"/>
    <w:rsid w:val="00754F64"/>
    <w:rsid w:val="00773683"/>
    <w:rsid w:val="007B5B5F"/>
    <w:rsid w:val="007C157F"/>
    <w:rsid w:val="007C6233"/>
    <w:rsid w:val="007D233B"/>
    <w:rsid w:val="007F24EE"/>
    <w:rsid w:val="00816151"/>
    <w:rsid w:val="00833D4B"/>
    <w:rsid w:val="00833DA5"/>
    <w:rsid w:val="00837F5E"/>
    <w:rsid w:val="00843D7E"/>
    <w:rsid w:val="00845270"/>
    <w:rsid w:val="0085070B"/>
    <w:rsid w:val="0087387F"/>
    <w:rsid w:val="00876388"/>
    <w:rsid w:val="00885CE1"/>
    <w:rsid w:val="008C34FD"/>
    <w:rsid w:val="008D2659"/>
    <w:rsid w:val="008D3498"/>
    <w:rsid w:val="008F10A4"/>
    <w:rsid w:val="008F2624"/>
    <w:rsid w:val="008F29B4"/>
    <w:rsid w:val="008F3211"/>
    <w:rsid w:val="008F5191"/>
    <w:rsid w:val="008F6145"/>
    <w:rsid w:val="009004FB"/>
    <w:rsid w:val="0090384D"/>
    <w:rsid w:val="00903D21"/>
    <w:rsid w:val="00904530"/>
    <w:rsid w:val="009135D9"/>
    <w:rsid w:val="009166D0"/>
    <w:rsid w:val="0094449C"/>
    <w:rsid w:val="0095071A"/>
    <w:rsid w:val="009722CB"/>
    <w:rsid w:val="009C3C41"/>
    <w:rsid w:val="009C52FC"/>
    <w:rsid w:val="009D2CBD"/>
    <w:rsid w:val="009E51B6"/>
    <w:rsid w:val="00A0566D"/>
    <w:rsid w:val="00A07886"/>
    <w:rsid w:val="00A1049B"/>
    <w:rsid w:val="00A12A98"/>
    <w:rsid w:val="00A17247"/>
    <w:rsid w:val="00A20EF8"/>
    <w:rsid w:val="00A237B6"/>
    <w:rsid w:val="00A32F9F"/>
    <w:rsid w:val="00A80974"/>
    <w:rsid w:val="00AA5255"/>
    <w:rsid w:val="00AA550E"/>
    <w:rsid w:val="00AA6C78"/>
    <w:rsid w:val="00AC1141"/>
    <w:rsid w:val="00AC7CC2"/>
    <w:rsid w:val="00AD7F3E"/>
    <w:rsid w:val="00AE70D6"/>
    <w:rsid w:val="00AF774F"/>
    <w:rsid w:val="00B03066"/>
    <w:rsid w:val="00B14A02"/>
    <w:rsid w:val="00B16695"/>
    <w:rsid w:val="00B25467"/>
    <w:rsid w:val="00B30147"/>
    <w:rsid w:val="00B463A0"/>
    <w:rsid w:val="00B50805"/>
    <w:rsid w:val="00B62618"/>
    <w:rsid w:val="00B668BD"/>
    <w:rsid w:val="00B903D4"/>
    <w:rsid w:val="00BA1F06"/>
    <w:rsid w:val="00BA642E"/>
    <w:rsid w:val="00BB33F2"/>
    <w:rsid w:val="00BB549C"/>
    <w:rsid w:val="00BC236F"/>
    <w:rsid w:val="00BD05FD"/>
    <w:rsid w:val="00C214FC"/>
    <w:rsid w:val="00C25DF4"/>
    <w:rsid w:val="00C3020C"/>
    <w:rsid w:val="00C52F61"/>
    <w:rsid w:val="00C60FC9"/>
    <w:rsid w:val="00C67321"/>
    <w:rsid w:val="00C67EF6"/>
    <w:rsid w:val="00C73591"/>
    <w:rsid w:val="00C802F5"/>
    <w:rsid w:val="00C96B2C"/>
    <w:rsid w:val="00C9752E"/>
    <w:rsid w:val="00CB6A1C"/>
    <w:rsid w:val="00CC04C1"/>
    <w:rsid w:val="00CC3F9B"/>
    <w:rsid w:val="00D00674"/>
    <w:rsid w:val="00D04B54"/>
    <w:rsid w:val="00D066FF"/>
    <w:rsid w:val="00D17305"/>
    <w:rsid w:val="00D21CFD"/>
    <w:rsid w:val="00D455F3"/>
    <w:rsid w:val="00D45DFD"/>
    <w:rsid w:val="00D82A47"/>
    <w:rsid w:val="00D843EC"/>
    <w:rsid w:val="00D97554"/>
    <w:rsid w:val="00DC0345"/>
    <w:rsid w:val="00DC04FB"/>
    <w:rsid w:val="00DD37AB"/>
    <w:rsid w:val="00DD4E59"/>
    <w:rsid w:val="00DD63B2"/>
    <w:rsid w:val="00DE2F2B"/>
    <w:rsid w:val="00DE50A7"/>
    <w:rsid w:val="00DF3394"/>
    <w:rsid w:val="00E23D66"/>
    <w:rsid w:val="00E40B78"/>
    <w:rsid w:val="00E44059"/>
    <w:rsid w:val="00E50A9D"/>
    <w:rsid w:val="00E50AFC"/>
    <w:rsid w:val="00E67885"/>
    <w:rsid w:val="00E74290"/>
    <w:rsid w:val="00E85C99"/>
    <w:rsid w:val="00EC38F4"/>
    <w:rsid w:val="00EC4919"/>
    <w:rsid w:val="00ED535C"/>
    <w:rsid w:val="00EE2827"/>
    <w:rsid w:val="00EE612D"/>
    <w:rsid w:val="00EF1D1E"/>
    <w:rsid w:val="00F007B9"/>
    <w:rsid w:val="00F0604B"/>
    <w:rsid w:val="00F177A8"/>
    <w:rsid w:val="00F22835"/>
    <w:rsid w:val="00F23340"/>
    <w:rsid w:val="00F3738C"/>
    <w:rsid w:val="00F414B3"/>
    <w:rsid w:val="00F42B2F"/>
    <w:rsid w:val="00F52C07"/>
    <w:rsid w:val="00F80AE1"/>
    <w:rsid w:val="00F80C9E"/>
    <w:rsid w:val="00FA0336"/>
    <w:rsid w:val="00FA79EE"/>
    <w:rsid w:val="00FB7D02"/>
    <w:rsid w:val="00FC5715"/>
    <w:rsid w:val="00FC6723"/>
    <w:rsid w:val="00FC7A47"/>
    <w:rsid w:val="00FD0879"/>
    <w:rsid w:val="00FD0918"/>
    <w:rsid w:val="00FE1154"/>
    <w:rsid w:val="00FE2EBF"/>
    <w:rsid w:val="00FE3A26"/>
    <w:rsid w:val="00FF2ED7"/>
    <w:rsid w:val="00FF47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Bibliografa">
    <w:name w:val="Bibliography"/>
    <w:basedOn w:val="Normal"/>
    <w:next w:val="Normal"/>
    <w:uiPriority w:val="37"/>
    <w:unhideWhenUsed/>
    <w:rsid w:val="002A4FBD"/>
    <w:pPr>
      <w:spacing w:after="0" w:line="480" w:lineRule="auto"/>
      <w:ind w:left="720" w:hanging="720"/>
      <w:jc w:val="both"/>
    </w:pPr>
    <w:rPr>
      <w:sz w:val="22"/>
      <w:szCs w:val="22"/>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letinoficial.gob.ar/detalleAviso/primera/298712/2023112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1404</TotalTime>
  <Pages>15</Pages>
  <Words>6791</Words>
  <Characters>39733</Characters>
  <Application>Microsoft Office Word</Application>
  <DocSecurity>0</DocSecurity>
  <Lines>611</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Wenceslao Gomez Rodriguez</cp:lastModifiedBy>
  <cp:revision>245</cp:revision>
  <dcterms:created xsi:type="dcterms:W3CDTF">2026-07-01T19:21:00Z</dcterms:created>
  <dcterms:modified xsi:type="dcterms:W3CDTF">2026-07-07T20:36:00Z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id="TyWov9yo"/&gt;&lt;style id="http://www.zotero.org/styles/apa" locale="es-CL"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