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0550D" w14:textId="64AA0511" w:rsidR="00B9043A" w:rsidRDefault="002B0027" w:rsidP="00293B6B">
      <w:pPr>
        <w:rPr>
          <w:rFonts w:ascii="Times New Roman" w:hAnsi="Times New Roman" w:cs="Times New Roman"/>
          <w:b/>
          <w:bCs/>
          <w:lang w:val="pt-BR"/>
        </w:rPr>
      </w:pPr>
      <w:r w:rsidRPr="002B0027">
        <w:rPr>
          <w:rFonts w:ascii="Times New Roman" w:hAnsi="Times New Roman" w:cs="Times New Roman"/>
          <w:b/>
          <w:bCs/>
        </w:rPr>
        <w:t>Orçamento e finanças em Universidades Federais: uma análise das capacidades decisórias e dos impactos no desenvolvimento econômico e social</w:t>
      </w:r>
    </w:p>
    <w:p w14:paraId="6712A18F" w14:textId="77777777" w:rsidR="009E1B77" w:rsidRPr="009E1B77" w:rsidRDefault="009E1B77" w:rsidP="00293B6B">
      <w:pPr>
        <w:rPr>
          <w:rFonts w:ascii="Times New Roman" w:hAnsi="Times New Roman" w:cs="Times New Roman"/>
          <w:b/>
          <w:bCs/>
          <w:lang w:val="pt-BR"/>
        </w:rPr>
      </w:pPr>
    </w:p>
    <w:p w14:paraId="63EBAF48" w14:textId="77777777" w:rsidR="00B9043A" w:rsidRPr="002B0027" w:rsidRDefault="002B0027">
      <w:pPr>
        <w:spacing w:after="0" w:line="240" w:lineRule="auto"/>
        <w:jc w:val="right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Hugo Leonardo Tuckumantel</w:t>
      </w:r>
      <w:r w:rsidR="00EA3426">
        <w:rPr>
          <w:rFonts w:ascii="Times New Roman" w:hAnsi="Times New Roman" w:cs="Times New Roman"/>
          <w:lang w:val="pt-BR"/>
        </w:rPr>
        <w:t>, Me.</w:t>
      </w:r>
    </w:p>
    <w:p w14:paraId="63B05C02" w14:textId="77777777" w:rsidR="00B9043A" w:rsidRPr="002B0027" w:rsidRDefault="002B0027">
      <w:pPr>
        <w:spacing w:after="0" w:line="240" w:lineRule="auto"/>
        <w:jc w:val="right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Universidade Federal de Santa Catarina</w:t>
      </w:r>
    </w:p>
    <w:p w14:paraId="7FC6A66B" w14:textId="77777777" w:rsidR="00B9043A" w:rsidRPr="002B0027" w:rsidRDefault="002B0027" w:rsidP="00C32B5A">
      <w:pPr>
        <w:spacing w:after="0" w:line="240" w:lineRule="auto"/>
        <w:jc w:val="right"/>
        <w:rPr>
          <w:rFonts w:ascii="Times New Roman" w:hAnsi="Times New Roman" w:cs="Times New Roman"/>
          <w:lang w:val="pt-BR"/>
        </w:rPr>
      </w:pPr>
      <w:r w:rsidRPr="002B0027">
        <w:rPr>
          <w:rFonts w:ascii="Times New Roman" w:hAnsi="Times New Roman" w:cs="Times New Roman"/>
          <w:lang w:val="pt-BR"/>
        </w:rPr>
        <w:t>hugo.tuckumantel@ufsc.br</w:t>
      </w:r>
    </w:p>
    <w:p w14:paraId="02EB5415" w14:textId="77777777" w:rsidR="00B9043A" w:rsidRDefault="00B9043A" w:rsidP="00C32B5A">
      <w:pPr>
        <w:spacing w:after="0"/>
        <w:rPr>
          <w:rFonts w:ascii="Times New Roman" w:hAnsi="Times New Roman" w:cs="Times New Roman"/>
        </w:rPr>
      </w:pPr>
    </w:p>
    <w:p w14:paraId="19054AD3" w14:textId="77777777" w:rsidR="00B9043A" w:rsidRPr="00EA3426" w:rsidRDefault="006F097A" w:rsidP="00C32B5A">
      <w:pPr>
        <w:tabs>
          <w:tab w:val="center" w:pos="4252"/>
          <w:tab w:val="right" w:pos="8504"/>
        </w:tabs>
        <w:spacing w:after="0" w:line="240" w:lineRule="auto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A3426" w:rsidRPr="00EA3426">
        <w:rPr>
          <w:rFonts w:ascii="Times New Roman" w:hAnsi="Times New Roman" w:cs="Times New Roman"/>
        </w:rPr>
        <w:t>Rog</w:t>
      </w:r>
      <w:r w:rsidR="00EA3426">
        <w:rPr>
          <w:rFonts w:ascii="Times New Roman" w:hAnsi="Times New Roman" w:cs="Times New Roman"/>
          <w:lang w:val="pt-BR"/>
        </w:rPr>
        <w:t>é</w:t>
      </w:r>
      <w:r w:rsidR="00EA3426" w:rsidRPr="00EA3426">
        <w:rPr>
          <w:rFonts w:ascii="Times New Roman" w:hAnsi="Times New Roman" w:cs="Times New Roman"/>
        </w:rPr>
        <w:t>rio da Silva Nunes</w:t>
      </w:r>
      <w:r w:rsidR="00EA3426">
        <w:rPr>
          <w:rFonts w:ascii="Times New Roman" w:hAnsi="Times New Roman" w:cs="Times New Roman"/>
          <w:lang w:val="pt-BR"/>
        </w:rPr>
        <w:t>, Dr.</w:t>
      </w:r>
    </w:p>
    <w:p w14:paraId="7B144609" w14:textId="77777777" w:rsidR="00B9043A" w:rsidRPr="00EA3426" w:rsidRDefault="00EA3426" w:rsidP="00C32B5A">
      <w:pPr>
        <w:spacing w:after="0" w:line="240" w:lineRule="auto"/>
        <w:jc w:val="right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Universidade Federal de Santa Catarina</w:t>
      </w:r>
    </w:p>
    <w:p w14:paraId="53CFBFC1" w14:textId="77777777" w:rsidR="00EA3426" w:rsidRPr="002B0027" w:rsidRDefault="00EA3426" w:rsidP="00C32B5A">
      <w:pPr>
        <w:spacing w:after="0" w:line="240" w:lineRule="auto"/>
        <w:jc w:val="right"/>
        <w:rPr>
          <w:rFonts w:ascii="Times New Roman" w:hAnsi="Times New Roman" w:cs="Times New Roman"/>
          <w:lang w:val="pt-BR"/>
        </w:rPr>
      </w:pPr>
      <w:r w:rsidRPr="00987AB6">
        <w:rPr>
          <w:rFonts w:ascii="Times New Roman" w:hAnsi="Times New Roman" w:cs="Times New Roman"/>
        </w:rPr>
        <w:t>rogerio.sn@ufsc.br</w:t>
      </w:r>
    </w:p>
    <w:p w14:paraId="63FC2BF3" w14:textId="77777777" w:rsidR="00EA3426" w:rsidRDefault="00EA3426" w:rsidP="00C32B5A">
      <w:pPr>
        <w:spacing w:after="0"/>
        <w:rPr>
          <w:rFonts w:ascii="Times New Roman" w:hAnsi="Times New Roman" w:cs="Times New Roman"/>
        </w:rPr>
      </w:pPr>
    </w:p>
    <w:p w14:paraId="5C2EE523" w14:textId="77777777" w:rsidR="00EA3426" w:rsidRPr="002B0027" w:rsidRDefault="00EA3426" w:rsidP="00C32B5A">
      <w:pPr>
        <w:spacing w:after="0" w:line="240" w:lineRule="auto"/>
        <w:jc w:val="right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Luísa Pamplona </w:t>
      </w:r>
      <w:proofErr w:type="spellStart"/>
      <w:r>
        <w:rPr>
          <w:rFonts w:ascii="Times New Roman" w:hAnsi="Times New Roman" w:cs="Times New Roman"/>
          <w:lang w:val="pt-BR"/>
        </w:rPr>
        <w:t>Deggau</w:t>
      </w:r>
      <w:proofErr w:type="spellEnd"/>
      <w:r>
        <w:rPr>
          <w:rFonts w:ascii="Times New Roman" w:hAnsi="Times New Roman" w:cs="Times New Roman"/>
          <w:lang w:val="pt-BR"/>
        </w:rPr>
        <w:t>, Dra.</w:t>
      </w:r>
    </w:p>
    <w:p w14:paraId="0E196415" w14:textId="77777777" w:rsidR="00EA3426" w:rsidRPr="00EA3426" w:rsidRDefault="00EA3426" w:rsidP="00C32B5A">
      <w:pPr>
        <w:spacing w:after="0" w:line="240" w:lineRule="auto"/>
        <w:jc w:val="right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Universidade Federal de Santa Catarina</w:t>
      </w:r>
    </w:p>
    <w:p w14:paraId="7F213079" w14:textId="77777777" w:rsidR="00EA3426" w:rsidRPr="00EA3426" w:rsidRDefault="00EA3426" w:rsidP="00EA3426">
      <w:pPr>
        <w:spacing w:after="0" w:line="240" w:lineRule="auto"/>
        <w:jc w:val="right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luisa.pd@ufsc.br</w:t>
      </w:r>
    </w:p>
    <w:p w14:paraId="374D90A9" w14:textId="77777777" w:rsidR="00EA3426" w:rsidRPr="00EA3426" w:rsidRDefault="00EA3426" w:rsidP="00C32B5A">
      <w:pPr>
        <w:spacing w:after="0"/>
        <w:jc w:val="right"/>
        <w:rPr>
          <w:rFonts w:ascii="Times New Roman" w:eastAsiaTheme="minorEastAsia" w:hAnsi="Times New Roman" w:cs="Times New Roman"/>
          <w:lang w:eastAsia="zh-CN"/>
        </w:rPr>
      </w:pPr>
    </w:p>
    <w:p w14:paraId="35B3833B" w14:textId="124FA96D" w:rsidR="00B9043A" w:rsidRPr="009E1B77" w:rsidRDefault="00C32B5A">
      <w:pPr>
        <w:spacing w:line="24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9E1B77">
        <w:rPr>
          <w:rFonts w:ascii="Times New Roman" w:hAnsi="Times New Roman" w:cs="Times New Roman"/>
          <w:b/>
          <w:bCs/>
          <w:lang w:val="pt-BR" w:eastAsia="zh-CN"/>
        </w:rPr>
        <w:t>Resumo</w:t>
      </w:r>
      <w:r w:rsidR="006F097A" w:rsidRPr="009E1B77">
        <w:rPr>
          <w:rFonts w:ascii="Times New Roman" w:hAnsi="Times New Roman" w:cs="Times New Roman"/>
          <w:b/>
          <w:bCs/>
          <w:lang w:val="pt-BR" w:eastAsia="zh-CN"/>
        </w:rPr>
        <w:t xml:space="preserve">: </w:t>
      </w:r>
      <w:r w:rsidR="004E0A40">
        <w:rPr>
          <w:rFonts w:ascii="Times New Roman" w:hAnsi="Times New Roman" w:cs="Times New Roman"/>
          <w:lang w:val="pt-BR" w:eastAsia="zh-CN"/>
        </w:rPr>
        <w:t>Este</w:t>
      </w:r>
      <w:r w:rsidR="00E75EA7" w:rsidRPr="009E1B77">
        <w:rPr>
          <w:rFonts w:ascii="Times New Roman" w:hAnsi="Times New Roman" w:cs="Times New Roman"/>
          <w:lang w:val="pt-BR" w:eastAsia="zh-CN"/>
        </w:rPr>
        <w:t xml:space="preserve"> </w:t>
      </w:r>
      <w:r w:rsidR="004E0A40">
        <w:rPr>
          <w:rFonts w:ascii="Times New Roman" w:hAnsi="Times New Roman" w:cs="Times New Roman"/>
          <w:lang w:val="pt-BR" w:eastAsia="zh-CN"/>
        </w:rPr>
        <w:t>artigo</w:t>
      </w:r>
      <w:r w:rsidR="00E75EA7" w:rsidRPr="009E1B77">
        <w:rPr>
          <w:rFonts w:ascii="Times New Roman" w:hAnsi="Times New Roman" w:cs="Times New Roman"/>
          <w:lang w:val="pt-BR" w:eastAsia="zh-CN"/>
        </w:rPr>
        <w:t xml:space="preserve"> analisa</w:t>
      </w:r>
      <w:r w:rsidRPr="009E1B77">
        <w:rPr>
          <w:rFonts w:ascii="Times New Roman" w:hAnsi="Times New Roman" w:cs="Times New Roman"/>
          <w:lang w:val="pt-BR" w:eastAsia="zh-CN"/>
        </w:rPr>
        <w:t xml:space="preserve"> a assistência estudantil como </w:t>
      </w:r>
      <w:r w:rsidR="004E0A40">
        <w:rPr>
          <w:rFonts w:ascii="Times New Roman" w:hAnsi="Times New Roman" w:cs="Times New Roman"/>
          <w:lang w:val="pt-BR" w:eastAsia="zh-CN"/>
        </w:rPr>
        <w:t>instrumento</w:t>
      </w:r>
      <w:r w:rsidRPr="009E1B77">
        <w:rPr>
          <w:rFonts w:ascii="Times New Roman" w:hAnsi="Times New Roman" w:cs="Times New Roman"/>
          <w:lang w:val="pt-BR" w:eastAsia="zh-CN"/>
        </w:rPr>
        <w:t xml:space="preserve"> d</w:t>
      </w:r>
      <w:r w:rsidR="00E75EA7" w:rsidRPr="009E1B77">
        <w:rPr>
          <w:rFonts w:ascii="Times New Roman" w:hAnsi="Times New Roman" w:cs="Times New Roman"/>
          <w:lang w:val="pt-BR" w:eastAsia="zh-CN"/>
        </w:rPr>
        <w:t>e</w:t>
      </w:r>
      <w:r w:rsidRPr="009E1B77">
        <w:rPr>
          <w:rFonts w:ascii="Times New Roman" w:hAnsi="Times New Roman" w:cs="Times New Roman"/>
          <w:lang w:val="pt-BR" w:eastAsia="zh-CN"/>
        </w:rPr>
        <w:t xml:space="preserve"> permanência no Ensino Superior Federal, </w:t>
      </w:r>
      <w:r w:rsidR="004E0A40">
        <w:rPr>
          <w:rFonts w:ascii="Times New Roman" w:hAnsi="Times New Roman" w:cs="Times New Roman"/>
          <w:lang w:val="pt-BR" w:eastAsia="zh-CN"/>
        </w:rPr>
        <w:t xml:space="preserve">com ênfase no </w:t>
      </w:r>
      <w:r w:rsidR="00E75EA7" w:rsidRPr="009E1B77">
        <w:rPr>
          <w:rFonts w:ascii="Times New Roman" w:hAnsi="Times New Roman" w:cs="Times New Roman"/>
          <w:lang w:val="pt-BR" w:eastAsia="zh-CN"/>
        </w:rPr>
        <w:t xml:space="preserve">orçamento público e </w:t>
      </w:r>
      <w:r w:rsidR="004E0A40">
        <w:rPr>
          <w:rFonts w:ascii="Times New Roman" w:hAnsi="Times New Roman" w:cs="Times New Roman"/>
          <w:lang w:val="pt-BR" w:eastAsia="zh-CN"/>
        </w:rPr>
        <w:t>na</w:t>
      </w:r>
      <w:r w:rsidR="00E75EA7" w:rsidRPr="009E1B77">
        <w:rPr>
          <w:rFonts w:ascii="Times New Roman" w:hAnsi="Times New Roman" w:cs="Times New Roman"/>
          <w:lang w:val="pt-BR" w:eastAsia="zh-CN"/>
        </w:rPr>
        <w:t>s restrições</w:t>
      </w:r>
      <w:r w:rsidR="004E0A40">
        <w:rPr>
          <w:rFonts w:ascii="Times New Roman" w:hAnsi="Times New Roman" w:cs="Times New Roman"/>
          <w:lang w:val="pt-BR" w:eastAsia="zh-CN"/>
        </w:rPr>
        <w:t xml:space="preserve"> financeiras que condicionam a formulação e a execução de políticas públicas</w:t>
      </w:r>
      <w:r w:rsidRPr="009E1B77">
        <w:rPr>
          <w:rFonts w:ascii="Times New Roman" w:hAnsi="Times New Roman" w:cs="Times New Roman"/>
          <w:lang w:val="pt-BR" w:eastAsia="zh-CN"/>
        </w:rPr>
        <w:t xml:space="preserve"> </w:t>
      </w:r>
      <w:r w:rsidR="004E0A40">
        <w:rPr>
          <w:rFonts w:ascii="Times New Roman" w:hAnsi="Times New Roman" w:cs="Times New Roman"/>
          <w:lang w:val="pt-BR" w:eastAsia="zh-CN"/>
        </w:rPr>
        <w:t>n</w:t>
      </w:r>
      <w:r w:rsidR="00E75EA7" w:rsidRPr="009E1B77">
        <w:rPr>
          <w:rFonts w:ascii="Times New Roman" w:hAnsi="Times New Roman" w:cs="Times New Roman"/>
          <w:lang w:val="pt-BR" w:eastAsia="zh-CN"/>
        </w:rPr>
        <w:t>a Universidade Federa</w:t>
      </w:r>
      <w:r w:rsidR="004E0A40">
        <w:rPr>
          <w:rFonts w:ascii="Times New Roman" w:hAnsi="Times New Roman" w:cs="Times New Roman"/>
          <w:lang w:val="pt-BR" w:eastAsia="zh-CN"/>
        </w:rPr>
        <w:t>l de Santa Catarina</w:t>
      </w:r>
      <w:r w:rsidRPr="009E1B77">
        <w:rPr>
          <w:rFonts w:ascii="Times New Roman" w:hAnsi="Times New Roman" w:cs="Times New Roman"/>
          <w:lang w:val="pt-BR" w:eastAsia="zh-CN"/>
        </w:rPr>
        <w:t xml:space="preserve">. O estudo </w:t>
      </w:r>
      <w:r w:rsidR="00380F3D" w:rsidRPr="00380F3D">
        <w:rPr>
          <w:rFonts w:ascii="Times New Roman" w:hAnsi="Times New Roman" w:cs="Times New Roman"/>
          <w:lang w:val="pt-BR" w:eastAsia="zh-CN"/>
        </w:rPr>
        <w:t>concentra</w:t>
      </w:r>
      <w:r w:rsidR="00380F3D">
        <w:rPr>
          <w:rFonts w:ascii="Times New Roman" w:hAnsi="Times New Roman" w:cs="Times New Roman"/>
          <w:lang w:val="pt-BR" w:eastAsia="zh-CN"/>
        </w:rPr>
        <w:t>-se</w:t>
      </w:r>
      <w:r w:rsidR="00380F3D" w:rsidRPr="00380F3D">
        <w:rPr>
          <w:rFonts w:ascii="Times New Roman" w:hAnsi="Times New Roman" w:cs="Times New Roman"/>
          <w:lang w:val="pt-BR" w:eastAsia="zh-CN"/>
        </w:rPr>
        <w:t xml:space="preserve"> na forma como a distribuição dos recursos, os critérios de priorização e as decisões de gestão condicionam a capacidade das universidades federais de responder às demandas estudantis em um cenário marcado pela expansão do acesso, pela vulnerabilidade social e por </w:t>
      </w:r>
      <w:r w:rsidR="00380F3D">
        <w:rPr>
          <w:rFonts w:ascii="Times New Roman" w:hAnsi="Times New Roman" w:cs="Times New Roman"/>
          <w:lang w:val="pt-BR" w:eastAsia="zh-CN"/>
        </w:rPr>
        <w:t>escassez de recursos públicos</w:t>
      </w:r>
      <w:r w:rsidRPr="009E1B77">
        <w:rPr>
          <w:rFonts w:ascii="Times New Roman" w:hAnsi="Times New Roman" w:cs="Times New Roman"/>
          <w:lang w:val="pt-BR" w:eastAsia="zh-CN"/>
        </w:rPr>
        <w:t xml:space="preserve">. Para isso, </w:t>
      </w:r>
      <w:r w:rsidR="00E75EA7" w:rsidRPr="009E1B77">
        <w:rPr>
          <w:rFonts w:ascii="Times New Roman" w:hAnsi="Times New Roman" w:cs="Times New Roman"/>
          <w:lang w:val="pt-BR" w:eastAsia="zh-CN"/>
        </w:rPr>
        <w:t>metodologicamente, adota-se uma</w:t>
      </w:r>
      <w:r w:rsidRPr="009E1B77">
        <w:rPr>
          <w:rFonts w:ascii="Times New Roman" w:hAnsi="Times New Roman" w:cs="Times New Roman"/>
          <w:lang w:val="pt-BR" w:eastAsia="zh-CN"/>
        </w:rPr>
        <w:t xml:space="preserve"> abordagem qualitativa e quantitativa, com base em análise documental, dados institucionais e </w:t>
      </w:r>
      <w:r w:rsidR="00E75EA7" w:rsidRPr="009E1B77">
        <w:rPr>
          <w:rFonts w:ascii="Times New Roman" w:hAnsi="Times New Roman" w:cs="Times New Roman"/>
          <w:lang w:val="pt-BR" w:eastAsia="zh-CN"/>
        </w:rPr>
        <w:t>legislações sobre a temática</w:t>
      </w:r>
      <w:r w:rsidRPr="009E1B77">
        <w:rPr>
          <w:rFonts w:ascii="Times New Roman" w:hAnsi="Times New Roman" w:cs="Times New Roman"/>
          <w:lang w:val="pt-BR" w:eastAsia="zh-CN"/>
        </w:rPr>
        <w:t xml:space="preserve">. Os resultados indicam que, embora a assistência estudantil tenha se consolidado como instrumento de democratização do ensino superior, </w:t>
      </w:r>
      <w:r w:rsidR="00E75EA7" w:rsidRPr="009E1B77">
        <w:rPr>
          <w:rFonts w:ascii="Times New Roman" w:hAnsi="Times New Roman" w:cs="Times New Roman"/>
          <w:lang w:val="pt-BR" w:eastAsia="zh-CN"/>
        </w:rPr>
        <w:t xml:space="preserve">a </w:t>
      </w:r>
      <w:r w:rsidRPr="009E1B77">
        <w:rPr>
          <w:rFonts w:ascii="Times New Roman" w:hAnsi="Times New Roman" w:cs="Times New Roman"/>
          <w:lang w:val="pt-BR" w:eastAsia="zh-CN"/>
        </w:rPr>
        <w:t xml:space="preserve">sua efetividade permanece condicionada </w:t>
      </w:r>
      <w:r w:rsidR="00E75EA7" w:rsidRPr="009E1B77">
        <w:rPr>
          <w:rFonts w:ascii="Times New Roman" w:hAnsi="Times New Roman" w:cs="Times New Roman"/>
          <w:lang w:val="pt-BR" w:eastAsia="zh-CN"/>
        </w:rPr>
        <w:t>a restrições financeiras</w:t>
      </w:r>
      <w:r w:rsidRPr="009E1B77">
        <w:rPr>
          <w:rFonts w:ascii="Times New Roman" w:hAnsi="Times New Roman" w:cs="Times New Roman"/>
          <w:lang w:val="pt-BR" w:eastAsia="zh-CN"/>
        </w:rPr>
        <w:t xml:space="preserve">, </w:t>
      </w:r>
      <w:r w:rsidR="009E1B77" w:rsidRPr="009E1B77">
        <w:rPr>
          <w:rFonts w:ascii="Times New Roman" w:hAnsi="Times New Roman" w:cs="Times New Roman"/>
          <w:lang w:val="pt-BR" w:eastAsia="zh-CN"/>
        </w:rPr>
        <w:t xml:space="preserve">baixa capacidade </w:t>
      </w:r>
      <w:r w:rsidRPr="009E1B77">
        <w:rPr>
          <w:rFonts w:ascii="Times New Roman" w:hAnsi="Times New Roman" w:cs="Times New Roman"/>
          <w:lang w:val="pt-BR" w:eastAsia="zh-CN"/>
        </w:rPr>
        <w:t>operaciona</w:t>
      </w:r>
      <w:r w:rsidR="009E1B77" w:rsidRPr="009E1B77">
        <w:rPr>
          <w:rFonts w:ascii="Times New Roman" w:hAnsi="Times New Roman" w:cs="Times New Roman"/>
          <w:lang w:val="pt-BR" w:eastAsia="zh-CN"/>
        </w:rPr>
        <w:t>l</w:t>
      </w:r>
      <w:r w:rsidRPr="009E1B77">
        <w:rPr>
          <w:rFonts w:ascii="Times New Roman" w:hAnsi="Times New Roman" w:cs="Times New Roman"/>
          <w:lang w:val="pt-BR" w:eastAsia="zh-CN"/>
        </w:rPr>
        <w:t xml:space="preserve"> e decisórios que reduzem </w:t>
      </w:r>
      <w:r w:rsidR="009E1B77" w:rsidRPr="009E1B77">
        <w:rPr>
          <w:rFonts w:ascii="Times New Roman" w:hAnsi="Times New Roman" w:cs="Times New Roman"/>
          <w:lang w:val="pt-BR" w:eastAsia="zh-CN"/>
        </w:rPr>
        <w:t xml:space="preserve">o </w:t>
      </w:r>
      <w:r w:rsidRPr="009E1B77">
        <w:rPr>
          <w:rFonts w:ascii="Times New Roman" w:hAnsi="Times New Roman" w:cs="Times New Roman"/>
          <w:lang w:val="pt-BR" w:eastAsia="zh-CN"/>
        </w:rPr>
        <w:t>seu alcance. Conclui-se</w:t>
      </w:r>
      <w:r w:rsidR="009E1B77" w:rsidRPr="009E1B77">
        <w:rPr>
          <w:rFonts w:ascii="Times New Roman" w:hAnsi="Times New Roman" w:cs="Times New Roman"/>
          <w:lang w:val="pt-BR" w:eastAsia="zh-CN"/>
        </w:rPr>
        <w:t>, por fim,</w:t>
      </w:r>
      <w:r w:rsidRPr="009E1B77">
        <w:rPr>
          <w:rFonts w:ascii="Times New Roman" w:hAnsi="Times New Roman" w:cs="Times New Roman"/>
          <w:lang w:val="pt-BR" w:eastAsia="zh-CN"/>
        </w:rPr>
        <w:t xml:space="preserve"> que o fortalecimento dessa </w:t>
      </w:r>
      <w:r w:rsidR="009E1B77" w:rsidRPr="009E1B77">
        <w:rPr>
          <w:rFonts w:ascii="Times New Roman" w:hAnsi="Times New Roman" w:cs="Times New Roman"/>
          <w:lang w:val="pt-BR" w:eastAsia="zh-CN"/>
        </w:rPr>
        <w:t>lacuna</w:t>
      </w:r>
      <w:r w:rsidRPr="009E1B77">
        <w:rPr>
          <w:rFonts w:ascii="Times New Roman" w:hAnsi="Times New Roman" w:cs="Times New Roman"/>
          <w:lang w:val="pt-BR" w:eastAsia="zh-CN"/>
        </w:rPr>
        <w:t xml:space="preserve"> depende de tratamento institucional contínuo, capaz de articular </w:t>
      </w:r>
      <w:r w:rsidR="009E1B77" w:rsidRPr="009E1B77">
        <w:rPr>
          <w:rFonts w:ascii="Times New Roman" w:hAnsi="Times New Roman" w:cs="Times New Roman"/>
          <w:lang w:val="pt-BR" w:eastAsia="zh-CN"/>
        </w:rPr>
        <w:t xml:space="preserve">o </w:t>
      </w:r>
      <w:r w:rsidRPr="009E1B77">
        <w:rPr>
          <w:rFonts w:ascii="Times New Roman" w:hAnsi="Times New Roman" w:cs="Times New Roman"/>
          <w:lang w:val="pt-BR" w:eastAsia="zh-CN"/>
        </w:rPr>
        <w:t xml:space="preserve">financiamento, </w:t>
      </w:r>
      <w:r w:rsidR="009E1B77" w:rsidRPr="009E1B77">
        <w:rPr>
          <w:rFonts w:ascii="Times New Roman" w:hAnsi="Times New Roman" w:cs="Times New Roman"/>
          <w:lang w:val="pt-BR" w:eastAsia="zh-CN"/>
        </w:rPr>
        <w:t xml:space="preserve">a </w:t>
      </w:r>
      <w:r w:rsidRPr="009E1B77">
        <w:rPr>
          <w:rFonts w:ascii="Times New Roman" w:hAnsi="Times New Roman" w:cs="Times New Roman"/>
          <w:lang w:val="pt-BR" w:eastAsia="zh-CN"/>
        </w:rPr>
        <w:t>gestão</w:t>
      </w:r>
      <w:r w:rsidR="009E1B77" w:rsidRPr="009E1B77">
        <w:rPr>
          <w:rFonts w:ascii="Times New Roman" w:hAnsi="Times New Roman" w:cs="Times New Roman"/>
          <w:lang w:val="pt-BR" w:eastAsia="zh-CN"/>
        </w:rPr>
        <w:t xml:space="preserve"> de recursos e condições</w:t>
      </w:r>
      <w:r w:rsidRPr="009E1B77">
        <w:rPr>
          <w:rFonts w:ascii="Times New Roman" w:hAnsi="Times New Roman" w:cs="Times New Roman"/>
          <w:lang w:val="pt-BR" w:eastAsia="zh-CN"/>
        </w:rPr>
        <w:t xml:space="preserve"> </w:t>
      </w:r>
      <w:r w:rsidR="009E1B77" w:rsidRPr="009E1B77">
        <w:rPr>
          <w:rFonts w:ascii="Times New Roman" w:hAnsi="Times New Roman" w:cs="Times New Roman"/>
          <w:lang w:val="pt-BR" w:eastAsia="zh-CN"/>
        </w:rPr>
        <w:t>de</w:t>
      </w:r>
      <w:r w:rsidRPr="009E1B77">
        <w:rPr>
          <w:rFonts w:ascii="Times New Roman" w:hAnsi="Times New Roman" w:cs="Times New Roman"/>
          <w:lang w:val="pt-BR" w:eastAsia="zh-CN"/>
        </w:rPr>
        <w:t xml:space="preserve"> permanência.</w:t>
      </w:r>
    </w:p>
    <w:p w14:paraId="42BE2E1F" w14:textId="77777777" w:rsidR="00C32B5A" w:rsidRPr="009E1B77" w:rsidRDefault="00C32B5A" w:rsidP="00C32B5A">
      <w:pPr>
        <w:spacing w:line="240" w:lineRule="auto"/>
        <w:jc w:val="both"/>
        <w:rPr>
          <w:rFonts w:ascii="Times New Roman" w:eastAsiaTheme="minorEastAsia" w:hAnsi="Times New Roman" w:cs="Times New Roman"/>
          <w:bCs/>
          <w:lang w:eastAsia="zh-CN"/>
        </w:rPr>
      </w:pPr>
      <w:r w:rsidRPr="009E1B77">
        <w:rPr>
          <w:rFonts w:ascii="Times New Roman" w:hAnsi="Times New Roman" w:cs="Times New Roman"/>
          <w:b/>
          <w:bCs/>
        </w:rPr>
        <w:t xml:space="preserve">Palavras-chave: </w:t>
      </w:r>
      <w:r w:rsidRPr="009E1B77">
        <w:rPr>
          <w:rFonts w:ascii="Times New Roman" w:hAnsi="Times New Roman" w:cs="Times New Roman"/>
          <w:bCs/>
        </w:rPr>
        <w:t>Orçamento Público; Educação Superior; Finanças; Desenvolvimento Econômico; Assistência Estudantil; Avaliação.</w:t>
      </w:r>
    </w:p>
    <w:p w14:paraId="2703FE34" w14:textId="77777777" w:rsidR="001010DB" w:rsidRDefault="001010DB">
      <w:pPr>
        <w:spacing w:line="240" w:lineRule="auto"/>
        <w:rPr>
          <w:rFonts w:ascii="Times New Roman" w:eastAsiaTheme="minorEastAsia" w:hAnsi="Times New Roman" w:cs="Times New Roman"/>
          <w:b/>
          <w:bCs/>
          <w:lang w:eastAsia="zh-CN"/>
        </w:rPr>
      </w:pPr>
    </w:p>
    <w:p w14:paraId="79842C96" w14:textId="77777777" w:rsidR="00D26728" w:rsidRDefault="00D26728">
      <w:pPr>
        <w:spacing w:after="0" w:line="240" w:lineRule="auto"/>
        <w:rPr>
          <w:rFonts w:ascii="Times New Roman" w:hAnsi="Times New Roman" w:cs="Times New Roman"/>
          <w:b/>
          <w:bCs/>
          <w:lang w:val="pt-BR" w:eastAsia="zh-CN"/>
        </w:rPr>
      </w:pPr>
      <w:r>
        <w:rPr>
          <w:rFonts w:ascii="Times New Roman" w:hAnsi="Times New Roman" w:cs="Times New Roman"/>
          <w:b/>
          <w:bCs/>
          <w:lang w:val="pt-BR" w:eastAsia="zh-CN"/>
        </w:rPr>
        <w:br w:type="page"/>
      </w:r>
    </w:p>
    <w:p w14:paraId="5F3BDE11" w14:textId="58A2D2F7" w:rsidR="00B9043A" w:rsidRPr="001010DB" w:rsidRDefault="001010DB">
      <w:pPr>
        <w:spacing w:line="240" w:lineRule="auto"/>
        <w:rPr>
          <w:rFonts w:ascii="Times New Roman" w:hAnsi="Times New Roman" w:cs="Times New Roman"/>
          <w:b/>
          <w:bCs/>
          <w:lang w:val="pt-BR" w:eastAsia="zh-CN"/>
        </w:rPr>
      </w:pPr>
      <w:r w:rsidRPr="001010DB">
        <w:rPr>
          <w:rFonts w:ascii="Times New Roman" w:hAnsi="Times New Roman" w:cs="Times New Roman"/>
          <w:b/>
          <w:bCs/>
          <w:lang w:val="pt-BR" w:eastAsia="zh-CN"/>
        </w:rPr>
        <w:lastRenderedPageBreak/>
        <w:t>Introduç</w:t>
      </w:r>
      <w:r w:rsidRPr="001010DB">
        <w:rPr>
          <w:rFonts w:ascii="Times New Roman" w:hAnsi="Times New Roman" w:cs="Times New Roman"/>
          <w:b/>
          <w:bCs/>
          <w:lang w:val="pt-BR"/>
        </w:rPr>
        <w:t>ão</w:t>
      </w:r>
    </w:p>
    <w:p w14:paraId="532FE549" w14:textId="77777777" w:rsidR="0077525D" w:rsidRDefault="0077525D" w:rsidP="001010DB">
      <w:pPr>
        <w:spacing w:line="240" w:lineRule="auto"/>
        <w:jc w:val="both"/>
        <w:rPr>
          <w:rFonts w:ascii="Times New Roman" w:hAnsi="Times New Roman" w:cs="Times New Roman"/>
          <w:lang w:val="pt-BR" w:eastAsia="zh-CN"/>
        </w:rPr>
      </w:pPr>
    </w:p>
    <w:p w14:paraId="0C833A79" w14:textId="7878F3DA" w:rsidR="0077525D" w:rsidRDefault="00A14C05" w:rsidP="001010DB">
      <w:pPr>
        <w:spacing w:line="240" w:lineRule="auto"/>
        <w:jc w:val="both"/>
        <w:rPr>
          <w:rFonts w:ascii="Times New Roman" w:hAnsi="Times New Roman" w:cs="Times New Roman"/>
          <w:lang w:val="pt-BR" w:eastAsia="zh-CN"/>
        </w:rPr>
      </w:pPr>
      <w:r w:rsidRPr="00A14C05">
        <w:rPr>
          <w:rFonts w:ascii="Times New Roman" w:hAnsi="Times New Roman" w:cs="Times New Roman"/>
          <w:lang w:val="pt-BR" w:eastAsia="zh-CN"/>
        </w:rPr>
        <w:t xml:space="preserve">O crescimento econômico, </w:t>
      </w:r>
      <w:r w:rsidR="00C709C8">
        <w:rPr>
          <w:rFonts w:ascii="Times New Roman" w:hAnsi="Times New Roman" w:cs="Times New Roman"/>
          <w:lang w:val="pt-BR" w:eastAsia="zh-CN"/>
        </w:rPr>
        <w:t>visto de maneira isolada</w:t>
      </w:r>
      <w:r w:rsidRPr="00A14C05">
        <w:rPr>
          <w:rFonts w:ascii="Times New Roman" w:hAnsi="Times New Roman" w:cs="Times New Roman"/>
          <w:lang w:val="pt-BR" w:eastAsia="zh-CN"/>
        </w:rPr>
        <w:t xml:space="preserve">, </w:t>
      </w:r>
      <w:r w:rsidR="00C709C8">
        <w:rPr>
          <w:rFonts w:ascii="Times New Roman" w:hAnsi="Times New Roman" w:cs="Times New Roman"/>
          <w:lang w:val="pt-BR" w:eastAsia="zh-CN"/>
        </w:rPr>
        <w:t xml:space="preserve">pode não </w:t>
      </w:r>
      <w:r w:rsidRPr="00A14C05">
        <w:rPr>
          <w:rFonts w:ascii="Times New Roman" w:hAnsi="Times New Roman" w:cs="Times New Roman"/>
          <w:lang w:val="pt-BR" w:eastAsia="zh-CN"/>
        </w:rPr>
        <w:t>diz</w:t>
      </w:r>
      <w:r w:rsidR="00C709C8">
        <w:rPr>
          <w:rFonts w:ascii="Times New Roman" w:hAnsi="Times New Roman" w:cs="Times New Roman"/>
          <w:lang w:val="pt-BR" w:eastAsia="zh-CN"/>
        </w:rPr>
        <w:t>er</w:t>
      </w:r>
      <w:r w:rsidRPr="00A14C05">
        <w:rPr>
          <w:rFonts w:ascii="Times New Roman" w:hAnsi="Times New Roman" w:cs="Times New Roman"/>
          <w:lang w:val="pt-BR" w:eastAsia="zh-CN"/>
        </w:rPr>
        <w:t xml:space="preserve"> </w:t>
      </w:r>
      <w:r w:rsidR="00C709C8">
        <w:rPr>
          <w:rFonts w:ascii="Times New Roman" w:hAnsi="Times New Roman" w:cs="Times New Roman"/>
          <w:lang w:val="pt-BR" w:eastAsia="zh-CN"/>
        </w:rPr>
        <w:t>muito</w:t>
      </w:r>
      <w:r w:rsidRPr="00A14C05">
        <w:rPr>
          <w:rFonts w:ascii="Times New Roman" w:hAnsi="Times New Roman" w:cs="Times New Roman"/>
          <w:lang w:val="pt-BR" w:eastAsia="zh-CN"/>
        </w:rPr>
        <w:t xml:space="preserve"> sobre a qualidade de uma sociedade. </w:t>
      </w:r>
      <w:r w:rsidR="00C709C8">
        <w:rPr>
          <w:rFonts w:ascii="Times New Roman" w:hAnsi="Times New Roman" w:cs="Times New Roman"/>
          <w:lang w:val="pt-BR" w:eastAsia="zh-CN"/>
        </w:rPr>
        <w:t xml:space="preserve">Embora seja importante </w:t>
      </w:r>
      <w:r w:rsidRPr="00A14C05">
        <w:rPr>
          <w:rFonts w:ascii="Times New Roman" w:hAnsi="Times New Roman" w:cs="Times New Roman"/>
          <w:lang w:val="pt-BR" w:eastAsia="zh-CN"/>
        </w:rPr>
        <w:t>elevar</w:t>
      </w:r>
      <w:r w:rsidR="00C709C8">
        <w:rPr>
          <w:rFonts w:ascii="Times New Roman" w:hAnsi="Times New Roman" w:cs="Times New Roman"/>
          <w:lang w:val="pt-BR" w:eastAsia="zh-CN"/>
        </w:rPr>
        <w:t xml:space="preserve"> os</w:t>
      </w:r>
      <w:r w:rsidRPr="00A14C05">
        <w:rPr>
          <w:rFonts w:ascii="Times New Roman" w:hAnsi="Times New Roman" w:cs="Times New Roman"/>
          <w:lang w:val="pt-BR" w:eastAsia="zh-CN"/>
        </w:rPr>
        <w:t xml:space="preserve"> </w:t>
      </w:r>
      <w:r w:rsidR="00C709C8">
        <w:rPr>
          <w:rFonts w:ascii="Times New Roman" w:hAnsi="Times New Roman" w:cs="Times New Roman"/>
          <w:lang w:val="pt-BR" w:eastAsia="zh-CN"/>
        </w:rPr>
        <w:t>indicadores</w:t>
      </w:r>
      <w:r w:rsidRPr="00A14C05">
        <w:rPr>
          <w:rFonts w:ascii="Times New Roman" w:hAnsi="Times New Roman" w:cs="Times New Roman"/>
          <w:lang w:val="pt-BR" w:eastAsia="zh-CN"/>
        </w:rPr>
        <w:t xml:space="preserve">, </w:t>
      </w:r>
      <w:r w:rsidR="00C709C8">
        <w:rPr>
          <w:rFonts w:ascii="Times New Roman" w:hAnsi="Times New Roman" w:cs="Times New Roman"/>
          <w:lang w:val="pt-BR" w:eastAsia="zh-CN"/>
        </w:rPr>
        <w:t>aumentar as</w:t>
      </w:r>
      <w:r w:rsidRPr="00A14C05">
        <w:rPr>
          <w:rFonts w:ascii="Times New Roman" w:hAnsi="Times New Roman" w:cs="Times New Roman"/>
          <w:lang w:val="pt-BR" w:eastAsia="zh-CN"/>
        </w:rPr>
        <w:t xml:space="preserve"> receitas e melhorar </w:t>
      </w:r>
      <w:r w:rsidR="00BB2579">
        <w:rPr>
          <w:rFonts w:ascii="Times New Roman" w:hAnsi="Times New Roman" w:cs="Times New Roman"/>
          <w:lang w:val="pt-BR" w:eastAsia="zh-CN"/>
        </w:rPr>
        <w:t xml:space="preserve">as </w:t>
      </w:r>
      <w:r w:rsidRPr="00A14C05">
        <w:rPr>
          <w:rFonts w:ascii="Times New Roman" w:hAnsi="Times New Roman" w:cs="Times New Roman"/>
          <w:lang w:val="pt-BR" w:eastAsia="zh-CN"/>
        </w:rPr>
        <w:t>estatístic</w:t>
      </w:r>
      <w:r w:rsidR="00BB2579">
        <w:rPr>
          <w:rFonts w:ascii="Times New Roman" w:hAnsi="Times New Roman" w:cs="Times New Roman"/>
          <w:lang w:val="pt-BR" w:eastAsia="zh-CN"/>
        </w:rPr>
        <w:t>a</w:t>
      </w:r>
      <w:r w:rsidRPr="00A14C05">
        <w:rPr>
          <w:rFonts w:ascii="Times New Roman" w:hAnsi="Times New Roman" w:cs="Times New Roman"/>
          <w:lang w:val="pt-BR" w:eastAsia="zh-CN"/>
        </w:rPr>
        <w:t>s</w:t>
      </w:r>
      <w:r w:rsidR="00BB2579">
        <w:rPr>
          <w:rFonts w:ascii="Times New Roman" w:hAnsi="Times New Roman" w:cs="Times New Roman"/>
          <w:lang w:val="pt-BR" w:eastAsia="zh-CN"/>
        </w:rPr>
        <w:t xml:space="preserve"> de dados econômicos</w:t>
      </w:r>
      <w:r w:rsidRPr="00A14C05">
        <w:rPr>
          <w:rFonts w:ascii="Times New Roman" w:hAnsi="Times New Roman" w:cs="Times New Roman"/>
          <w:lang w:val="pt-BR" w:eastAsia="zh-CN"/>
        </w:rPr>
        <w:t xml:space="preserve">, </w:t>
      </w:r>
      <w:r w:rsidR="00BF6D3D">
        <w:rPr>
          <w:rFonts w:ascii="Times New Roman" w:hAnsi="Times New Roman" w:cs="Times New Roman"/>
          <w:lang w:val="pt-BR" w:eastAsia="zh-CN"/>
        </w:rPr>
        <w:t>o fato é que é bem importante verificar se eles</w:t>
      </w:r>
      <w:r w:rsidRPr="00A14C05">
        <w:rPr>
          <w:rFonts w:ascii="Times New Roman" w:hAnsi="Times New Roman" w:cs="Times New Roman"/>
          <w:lang w:val="pt-BR" w:eastAsia="zh-CN"/>
        </w:rPr>
        <w:t xml:space="preserve"> se converte</w:t>
      </w:r>
      <w:r w:rsidR="00BF6D3D">
        <w:rPr>
          <w:rFonts w:ascii="Times New Roman" w:hAnsi="Times New Roman" w:cs="Times New Roman"/>
          <w:lang w:val="pt-BR" w:eastAsia="zh-CN"/>
        </w:rPr>
        <w:t>m</w:t>
      </w:r>
      <w:r w:rsidRPr="00A14C05">
        <w:rPr>
          <w:rFonts w:ascii="Times New Roman" w:hAnsi="Times New Roman" w:cs="Times New Roman"/>
          <w:lang w:val="pt-BR" w:eastAsia="zh-CN"/>
        </w:rPr>
        <w:t xml:space="preserve"> em desenvolvimento </w:t>
      </w:r>
      <w:r w:rsidR="00BF6D3D">
        <w:rPr>
          <w:rFonts w:ascii="Times New Roman" w:hAnsi="Times New Roman" w:cs="Times New Roman"/>
          <w:lang w:val="pt-BR" w:eastAsia="zh-CN"/>
        </w:rPr>
        <w:t>e s</w:t>
      </w:r>
      <w:r w:rsidRPr="00A14C05">
        <w:rPr>
          <w:rFonts w:ascii="Times New Roman" w:hAnsi="Times New Roman" w:cs="Times New Roman"/>
          <w:lang w:val="pt-BR" w:eastAsia="zh-CN"/>
        </w:rPr>
        <w:t>e</w:t>
      </w:r>
      <w:r w:rsidR="00BF6D3D">
        <w:rPr>
          <w:rFonts w:ascii="Times New Roman" w:hAnsi="Times New Roman" w:cs="Times New Roman"/>
          <w:lang w:val="pt-BR" w:eastAsia="zh-CN"/>
        </w:rPr>
        <w:t xml:space="preserve"> eles ampliam</w:t>
      </w:r>
      <w:r w:rsidRPr="00A14C05">
        <w:rPr>
          <w:rFonts w:ascii="Times New Roman" w:hAnsi="Times New Roman" w:cs="Times New Roman"/>
          <w:lang w:val="pt-BR" w:eastAsia="zh-CN"/>
        </w:rPr>
        <w:t xml:space="preserve"> as liberdades concretas das pessoas. </w:t>
      </w:r>
    </w:p>
    <w:p w14:paraId="4D7FCB11" w14:textId="77777777" w:rsidR="0077525D" w:rsidRDefault="00D26728" w:rsidP="001010DB">
      <w:pPr>
        <w:spacing w:line="240" w:lineRule="auto"/>
        <w:jc w:val="both"/>
        <w:rPr>
          <w:rFonts w:ascii="Times New Roman" w:hAnsi="Times New Roman" w:cs="Times New Roman"/>
          <w:lang w:val="pt-BR" w:eastAsia="zh-CN"/>
        </w:rPr>
      </w:pPr>
      <w:r>
        <w:rPr>
          <w:rFonts w:ascii="Times New Roman" w:hAnsi="Times New Roman" w:cs="Times New Roman"/>
          <w:lang w:val="pt-BR" w:eastAsia="zh-CN"/>
        </w:rPr>
        <w:t xml:space="preserve">Com este sentido, </w:t>
      </w:r>
      <w:r w:rsidR="0077525D">
        <w:rPr>
          <w:rFonts w:ascii="Times New Roman" w:hAnsi="Times New Roman" w:cs="Times New Roman"/>
          <w:lang w:val="pt-BR" w:eastAsia="zh-CN"/>
        </w:rPr>
        <w:t>q</w:t>
      </w:r>
      <w:r w:rsidR="0077525D" w:rsidRPr="0077525D">
        <w:rPr>
          <w:rFonts w:ascii="Times New Roman" w:hAnsi="Times New Roman" w:cs="Times New Roman"/>
          <w:lang w:val="pt-BR" w:eastAsia="zh-CN"/>
        </w:rPr>
        <w:t>uando cria oportunidades reais de escolha, participação e ação, a educação deixa de ser apenas um meio de formação e passa a integrar o próprio processo de desenvolvimento. É por meio dela que os indivíduos ampliam sua autonomia e constroem trajetórias menos condicionadas pelas desigualdades sociais (SEN, 2010).</w:t>
      </w:r>
    </w:p>
    <w:p w14:paraId="6A2654AB" w14:textId="77777777" w:rsidR="0077525D" w:rsidRDefault="0077525D" w:rsidP="001010DB">
      <w:pPr>
        <w:spacing w:line="240" w:lineRule="auto"/>
        <w:jc w:val="both"/>
        <w:rPr>
          <w:rFonts w:ascii="Times New Roman" w:hAnsi="Times New Roman" w:cs="Times New Roman"/>
          <w:lang w:val="pt-BR" w:eastAsia="zh-CN"/>
        </w:rPr>
      </w:pPr>
      <w:r w:rsidRPr="0077525D">
        <w:rPr>
          <w:rFonts w:ascii="Times New Roman" w:hAnsi="Times New Roman" w:cs="Times New Roman"/>
          <w:lang w:val="pt-BR" w:eastAsia="zh-CN"/>
        </w:rPr>
        <w:t>No ensino superior, essa relação se torna ainda mais evidente, pois a universidade pública reúne formação profissional, produção de conhecimento, pesquisa, extensão, ciência e tecnologia, ao mesmo tempo que amplia o acesso a direitos e contribui para a dignidade e a justiça social (ONU, 2024).</w:t>
      </w:r>
    </w:p>
    <w:p w14:paraId="17AE9493" w14:textId="1092C899" w:rsidR="00A14C05" w:rsidRDefault="00A14C05" w:rsidP="001010DB">
      <w:pPr>
        <w:spacing w:line="240" w:lineRule="auto"/>
        <w:jc w:val="both"/>
        <w:rPr>
          <w:rFonts w:ascii="Times New Roman" w:hAnsi="Times New Roman" w:cs="Times New Roman"/>
          <w:lang w:val="pt-BR" w:eastAsia="zh-CN"/>
        </w:rPr>
      </w:pPr>
      <w:r w:rsidRPr="00A14C05">
        <w:rPr>
          <w:rFonts w:ascii="Times New Roman" w:hAnsi="Times New Roman" w:cs="Times New Roman"/>
          <w:lang w:val="pt-BR" w:eastAsia="zh-CN"/>
        </w:rPr>
        <w:t>Por isso, discutir seu financiamento é discutir as condições concretas de existência dessa missão pública. Sem base material suficiente, a universidade perde capacidade de cumprir seu papel social; com financiamento adequado, torna-se uma das engrenagens mais potentes de desenvolvimento, conectando formação humana, produção científica e transformação coletiva (Kawasaki, 1997).</w:t>
      </w:r>
    </w:p>
    <w:p w14:paraId="4AB7EFE1" w14:textId="3810882C" w:rsidR="0077525D" w:rsidRDefault="0077525D" w:rsidP="001010DB">
      <w:pPr>
        <w:spacing w:line="240" w:lineRule="auto"/>
        <w:jc w:val="both"/>
        <w:rPr>
          <w:rFonts w:ascii="Times New Roman" w:hAnsi="Times New Roman" w:cs="Times New Roman"/>
          <w:lang w:val="pt-BR" w:eastAsia="zh-CN"/>
        </w:rPr>
      </w:pPr>
      <w:r w:rsidRPr="0077525D">
        <w:rPr>
          <w:rFonts w:ascii="Times New Roman" w:hAnsi="Times New Roman" w:cs="Times New Roman"/>
          <w:lang w:eastAsia="zh-CN"/>
        </w:rPr>
        <w:t>Nesse sentido, o orçamento vai além dos registros contábeis, pois traduz escolhas políticas, organiza prioridades e condiciona o alcance das ações institucionais (</w:t>
      </w:r>
      <w:r w:rsidR="00E57C93">
        <w:rPr>
          <w:rFonts w:ascii="Times New Roman" w:hAnsi="Times New Roman" w:cs="Times New Roman"/>
          <w:lang w:val="pt-BR" w:eastAsia="zh-CN"/>
        </w:rPr>
        <w:t>Fernandes; Souza</w:t>
      </w:r>
      <w:r w:rsidRPr="0077525D">
        <w:rPr>
          <w:rFonts w:ascii="Times New Roman" w:hAnsi="Times New Roman" w:cs="Times New Roman"/>
          <w:lang w:eastAsia="zh-CN"/>
        </w:rPr>
        <w:t>, 2019). Discutir o financiamento das universidades públicas implica, portanto, examinar a capacidade do Estado de manter políticas de produção de conhecimento, inovação e enfrentamento das desigualdades sociais (ANDIFES, 201</w:t>
      </w:r>
      <w:r w:rsidR="00E57C93">
        <w:rPr>
          <w:rFonts w:ascii="Times New Roman" w:hAnsi="Times New Roman" w:cs="Times New Roman"/>
          <w:lang w:val="pt-BR" w:eastAsia="zh-CN"/>
        </w:rPr>
        <w:t>8</w:t>
      </w:r>
      <w:r w:rsidRPr="0077525D">
        <w:rPr>
          <w:rFonts w:ascii="Times New Roman" w:hAnsi="Times New Roman" w:cs="Times New Roman"/>
          <w:lang w:eastAsia="zh-CN"/>
        </w:rPr>
        <w:t>).</w:t>
      </w:r>
    </w:p>
    <w:p w14:paraId="58620101" w14:textId="5F729B2D" w:rsidR="001010DB" w:rsidRPr="001010DB" w:rsidRDefault="001010DB" w:rsidP="001010DB">
      <w:pPr>
        <w:spacing w:line="240" w:lineRule="auto"/>
        <w:jc w:val="both"/>
        <w:rPr>
          <w:rFonts w:ascii="Times New Roman" w:hAnsi="Times New Roman" w:cs="Times New Roman"/>
          <w:lang w:eastAsia="zh-CN"/>
        </w:rPr>
      </w:pPr>
      <w:r w:rsidRPr="001010DB">
        <w:rPr>
          <w:rFonts w:ascii="Times New Roman" w:hAnsi="Times New Roman" w:cs="Times New Roman"/>
          <w:lang w:eastAsia="zh-CN"/>
        </w:rPr>
        <w:t xml:space="preserve">Nas últimas décadas, a expansão e a interiorização do ensino superior ampliaram a circulação de renda, as oportunidades de formação e a presença de serviços vinculados à universidade, sobretudo em municípios menores, mas também evidenciaram limites estruturais e logísticos em áreas mais afastadas. Esse processo ampliou as funções das universidades, que passaram a responder pela formação acadêmica, pela permanência estudantil, pela produção científica e pelo atendimento de demandas locais e nacionais, o que redefiniu seu funcionamento e elevou a complexidade de sua atuação (Martins; Pereira, 2025). </w:t>
      </w:r>
    </w:p>
    <w:p w14:paraId="42CD6CF0" w14:textId="77777777" w:rsidR="001010DB" w:rsidRPr="001010DB" w:rsidRDefault="001010DB" w:rsidP="001010DB">
      <w:pPr>
        <w:spacing w:line="240" w:lineRule="auto"/>
        <w:jc w:val="both"/>
        <w:rPr>
          <w:rFonts w:ascii="Times New Roman" w:hAnsi="Times New Roman" w:cs="Times New Roman"/>
          <w:lang w:eastAsia="zh-CN"/>
        </w:rPr>
      </w:pPr>
      <w:r w:rsidRPr="001010DB">
        <w:rPr>
          <w:rFonts w:ascii="Times New Roman" w:hAnsi="Times New Roman" w:cs="Times New Roman"/>
          <w:lang w:eastAsia="zh-CN"/>
        </w:rPr>
        <w:t xml:space="preserve">Como o gasto público se define em meio a disputas e articulações entre diferentes atores sociais e políticos (Castro, 2000), a sustentação financeira dessas instituições passou a ocorrer sob tensão, uma vez que a ampliação de responsabilidades demanda planejamento, estabilidade de recursos e suporte institucional. Nesse cenário, os desafios orçamentários assumem centralidade, pois a insuficiência de recursos, somada a cortes, limites de execução e ausência de financiamento estável, alcança o custeio, a assistência estudantil, </w:t>
      </w:r>
      <w:r w:rsidRPr="001010DB">
        <w:rPr>
          <w:rFonts w:ascii="Times New Roman" w:hAnsi="Times New Roman" w:cs="Times New Roman"/>
          <w:lang w:eastAsia="zh-CN"/>
        </w:rPr>
        <w:lastRenderedPageBreak/>
        <w:t>a infraestrutura e a expansão institucional, afetando a definição de prioridades, a condução das ações e a própria autonomia universitária (Andifes, 2025).</w:t>
      </w:r>
    </w:p>
    <w:p w14:paraId="5DD90A67" w14:textId="77777777" w:rsidR="001010DB" w:rsidRPr="001010DB" w:rsidRDefault="001010DB" w:rsidP="001010DB">
      <w:pPr>
        <w:spacing w:line="240" w:lineRule="auto"/>
        <w:jc w:val="both"/>
        <w:rPr>
          <w:rFonts w:ascii="Times New Roman" w:hAnsi="Times New Roman" w:cs="Times New Roman"/>
          <w:lang w:eastAsia="zh-CN"/>
        </w:rPr>
      </w:pPr>
      <w:r w:rsidRPr="001010DB">
        <w:rPr>
          <w:rFonts w:ascii="Times New Roman" w:hAnsi="Times New Roman" w:cs="Times New Roman"/>
          <w:lang w:eastAsia="zh-CN"/>
        </w:rPr>
        <w:t xml:space="preserve">Esse quadro também aparece nos indicadores de acesso e permanência. Após o ciclo de expansão, a escolarização no ensino superior cresceu entre 2015 e 2023, mas a taxa de escolarização líquida no país alcançou 19,9%, permanecendo abaixo da Meta 12 do Plano Nacional de Educação em quase todos os estados. Santa Catarina registrou 25,8% e ocupou a terceira posição no país, atrás do Distrito Federal e do Paraná, ainda distante da meta de 33% para a população de 18 a 24 anos, vinculada à qualidade da oferta, à ampliação da participação pública, à interiorização e ao fortalecimento das políticas de inclusão e assistência estudantil (Brasil, 2014; SEMESP, 2024; INEP, 2024). </w:t>
      </w:r>
    </w:p>
    <w:p w14:paraId="2041EC96" w14:textId="77777777" w:rsidR="00CD07E6" w:rsidRDefault="001010DB" w:rsidP="001010DB">
      <w:pPr>
        <w:spacing w:line="240" w:lineRule="auto"/>
        <w:jc w:val="both"/>
        <w:rPr>
          <w:rFonts w:ascii="Times New Roman" w:hAnsi="Times New Roman" w:cs="Times New Roman"/>
          <w:lang w:val="pt-BR" w:eastAsia="zh-CN"/>
        </w:rPr>
      </w:pPr>
      <w:r w:rsidRPr="001010DB">
        <w:rPr>
          <w:rFonts w:ascii="Times New Roman" w:hAnsi="Times New Roman" w:cs="Times New Roman"/>
          <w:lang w:eastAsia="zh-CN"/>
        </w:rPr>
        <w:t xml:space="preserve">Ao lado disso, a desistência atingiu 41,9% na rede pública, em contexto marcado por instabilidade econômica, crise sanitária (pandemia covid-19) e fragilidade das políticas públicas (SEMESP, 2024). Na UFSC, o relatório de evasão e retenção dos cursos presenciais identificou mais de 103 mil matrículas distintas, das quais 45,6% corresponderam à evasão parcial, 31% à conclusão de curso e 23,4% à permanência regular, percentual que ainda pode alterar a taxa de evasão conforme a trajetória dos estudantes com vínculo ativo (UFSC, 2025). </w:t>
      </w:r>
      <w:r w:rsidR="00CD07E6" w:rsidRPr="00CD07E6">
        <w:rPr>
          <w:rFonts w:ascii="Times New Roman" w:hAnsi="Times New Roman" w:cs="Times New Roman"/>
          <w:lang w:eastAsia="zh-CN"/>
        </w:rPr>
        <w:t>Esses dados mostram que a ampliação do acesso precisa ser acompanhada por políticas de assistência estudantil capazes de enfrentar as dificuldades que permanecem ao longo da trajetória acadêmica nas IFES.</w:t>
      </w:r>
    </w:p>
    <w:p w14:paraId="0B767833" w14:textId="14B94CD0" w:rsidR="001010DB" w:rsidRPr="001010DB" w:rsidRDefault="001010DB" w:rsidP="001010DB">
      <w:pPr>
        <w:spacing w:line="240" w:lineRule="auto"/>
        <w:jc w:val="both"/>
        <w:rPr>
          <w:rFonts w:ascii="Times New Roman" w:hAnsi="Times New Roman" w:cs="Times New Roman"/>
          <w:lang w:eastAsia="zh-CN"/>
        </w:rPr>
      </w:pPr>
      <w:r w:rsidRPr="001010DB">
        <w:rPr>
          <w:rFonts w:ascii="Times New Roman" w:hAnsi="Times New Roman" w:cs="Times New Roman"/>
          <w:lang w:eastAsia="zh-CN"/>
        </w:rPr>
        <w:t>Entre essas políticas</w:t>
      </w:r>
      <w:r w:rsidR="00987AB6">
        <w:rPr>
          <w:rFonts w:ascii="Times New Roman" w:hAnsi="Times New Roman" w:cs="Times New Roman"/>
          <w:lang w:val="pt-BR" w:eastAsia="zh-CN"/>
        </w:rPr>
        <w:t xml:space="preserve"> de assistência estudantil</w:t>
      </w:r>
      <w:r w:rsidRPr="001010DB">
        <w:rPr>
          <w:rFonts w:ascii="Times New Roman" w:hAnsi="Times New Roman" w:cs="Times New Roman"/>
          <w:lang w:eastAsia="zh-CN"/>
        </w:rPr>
        <w:t xml:space="preserve">, situam-se o Programa de Viagens de Estudo e o Apoio à Participação Coletiva em Eventos, destinados a estudantes da graduação presencial em atividades acadêmico-científicas, de representação estudantil ou institucional e em visitas técnicas vinculadas ao interesse coletivo em um mesmo evento, com apoio prestado por transporte por meio de contratação de empresa terceirizada (UFSC, 2015; 2017). Inseridos no conjunto das ações de assistência estudantil executadas pela </w:t>
      </w:r>
      <w:r w:rsidR="00987AB6">
        <w:rPr>
          <w:rFonts w:ascii="Times New Roman" w:hAnsi="Times New Roman" w:cs="Times New Roman"/>
          <w:lang w:val="pt-BR" w:eastAsia="zh-CN"/>
        </w:rPr>
        <w:t>Pró Reitoria de Permanência e Assuntos Estudantis (</w:t>
      </w:r>
      <w:r w:rsidRPr="001010DB">
        <w:rPr>
          <w:rFonts w:ascii="Times New Roman" w:hAnsi="Times New Roman" w:cs="Times New Roman"/>
          <w:lang w:eastAsia="zh-CN"/>
        </w:rPr>
        <w:t>PRAE</w:t>
      </w:r>
      <w:r w:rsidR="00987AB6">
        <w:rPr>
          <w:rFonts w:ascii="Times New Roman" w:hAnsi="Times New Roman" w:cs="Times New Roman"/>
          <w:lang w:val="pt-BR" w:eastAsia="zh-CN"/>
        </w:rPr>
        <w:t>)</w:t>
      </w:r>
      <w:r w:rsidRPr="001010DB">
        <w:rPr>
          <w:rFonts w:ascii="Times New Roman" w:hAnsi="Times New Roman" w:cs="Times New Roman"/>
          <w:lang w:eastAsia="zh-CN"/>
        </w:rPr>
        <w:t>, esses programas ampliam o acesso a experiências formativas externas ao cotidiano da sala de aula e articulam ensino, vivência institucional e formação acadêmica.</w:t>
      </w:r>
    </w:p>
    <w:p w14:paraId="5AEDFDA4" w14:textId="77777777" w:rsidR="001010DB" w:rsidRDefault="001010DB" w:rsidP="001010DB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1010DB">
        <w:rPr>
          <w:rFonts w:ascii="Times New Roman" w:hAnsi="Times New Roman" w:cs="Times New Roman"/>
          <w:lang w:eastAsia="zh-CN"/>
        </w:rPr>
        <w:t xml:space="preserve">A questão que orienta este estudo é a seguinte: em que medida as restrições orçamentárias na UFSC afetam a oferta dos programas de Viagens de Estudo e de Apoio à Participação Coletiva em Eventos e repercutem na assistência estudantil, na permanência universitária, na formação dos estudantes e na tomada de decisões institucionais? Com base nesse problema de pesquisa, formulou-se um template de análise do estudo, apresentado na Figura 1. </w:t>
      </w:r>
    </w:p>
    <w:p w14:paraId="42A2C0E5" w14:textId="77777777" w:rsidR="00CD07E6" w:rsidRDefault="00CD07E6" w:rsidP="00987AB6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pt-BR" w:eastAsia="zh-CN"/>
        </w:rPr>
      </w:pPr>
    </w:p>
    <w:p w14:paraId="35A83D3E" w14:textId="77777777" w:rsidR="00CD07E6" w:rsidRDefault="00CD07E6" w:rsidP="00987AB6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pt-BR" w:eastAsia="zh-CN"/>
        </w:rPr>
      </w:pPr>
    </w:p>
    <w:p w14:paraId="130C4C91" w14:textId="77777777" w:rsidR="00CD07E6" w:rsidRDefault="00CD07E6" w:rsidP="00987AB6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pt-BR" w:eastAsia="zh-CN"/>
        </w:rPr>
      </w:pPr>
    </w:p>
    <w:p w14:paraId="4FD48A07" w14:textId="77777777" w:rsidR="00CD07E6" w:rsidRDefault="00CD07E6" w:rsidP="00987AB6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pt-BR" w:eastAsia="zh-CN"/>
        </w:rPr>
      </w:pPr>
    </w:p>
    <w:p w14:paraId="0FD74934" w14:textId="77777777" w:rsidR="00CD07E6" w:rsidRDefault="00CD07E6" w:rsidP="00987AB6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pt-BR" w:eastAsia="zh-CN"/>
        </w:rPr>
      </w:pPr>
    </w:p>
    <w:p w14:paraId="562DA7CD" w14:textId="77777777" w:rsidR="00CD07E6" w:rsidRDefault="00CD07E6" w:rsidP="00987AB6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pt-BR" w:eastAsia="zh-CN"/>
        </w:rPr>
      </w:pPr>
    </w:p>
    <w:p w14:paraId="7728507F" w14:textId="512010B4" w:rsidR="00987AB6" w:rsidRPr="009E1B77" w:rsidRDefault="00987AB6" w:rsidP="00987AB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eastAsia="zh-CN"/>
        </w:rPr>
      </w:pPr>
      <w:r w:rsidRPr="009E1B77">
        <w:rPr>
          <w:rFonts w:ascii="Times New Roman" w:hAnsi="Times New Roman" w:cs="Times New Roman"/>
          <w:b/>
          <w:sz w:val="20"/>
          <w:szCs w:val="20"/>
          <w:lang w:eastAsia="zh-CN"/>
        </w:rPr>
        <w:lastRenderedPageBreak/>
        <w:t>Figura 1</w:t>
      </w:r>
      <w:r w:rsidRPr="009E1B77">
        <w:rPr>
          <w:rFonts w:ascii="Times New Roman" w:hAnsi="Times New Roman" w:cs="Times New Roman"/>
          <w:sz w:val="20"/>
          <w:szCs w:val="20"/>
          <w:lang w:eastAsia="zh-CN"/>
        </w:rPr>
        <w:t>: Tensão orçamentária na assistência estudantil</w:t>
      </w:r>
    </w:p>
    <w:p w14:paraId="60A502C2" w14:textId="77777777" w:rsidR="001010DB" w:rsidRPr="001010DB" w:rsidRDefault="00987AB6" w:rsidP="00987AB6">
      <w:pPr>
        <w:spacing w:line="240" w:lineRule="auto"/>
        <w:jc w:val="center"/>
        <w:rPr>
          <w:rFonts w:ascii="Times New Roman" w:hAnsi="Times New Roman" w:cs="Times New Roman"/>
          <w:lang w:eastAsia="zh-CN"/>
        </w:rPr>
      </w:pPr>
      <w:r w:rsidRPr="00987AB6">
        <w:rPr>
          <w:rFonts w:ascii="Times New Roman" w:eastAsiaTheme="minorEastAsia" w:hAnsi="Times New Roman" w:cs="Times New Roman"/>
          <w:noProof/>
          <w:lang w:val="pt-BR" w:eastAsia="pt-BR"/>
        </w:rPr>
        <w:drawing>
          <wp:inline distT="0" distB="0" distL="0" distR="0" wp14:anchorId="1A588CFC" wp14:editId="3091E8E4">
            <wp:extent cx="3924300" cy="217439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72634" cy="220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7B899" w14:textId="77777777" w:rsidR="00987AB6" w:rsidRPr="009E1B77" w:rsidRDefault="001010DB" w:rsidP="00575289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  <w:r w:rsidRPr="009E1B77">
        <w:rPr>
          <w:rFonts w:ascii="Times New Roman" w:hAnsi="Times New Roman" w:cs="Times New Roman"/>
          <w:b/>
          <w:sz w:val="20"/>
          <w:szCs w:val="20"/>
          <w:lang w:eastAsia="zh-CN"/>
        </w:rPr>
        <w:t>Fonte</w:t>
      </w:r>
      <w:r w:rsidRPr="009E1B77">
        <w:rPr>
          <w:rFonts w:ascii="Times New Roman" w:hAnsi="Times New Roman" w:cs="Times New Roman"/>
          <w:sz w:val="20"/>
          <w:szCs w:val="20"/>
          <w:lang w:eastAsia="zh-CN"/>
        </w:rPr>
        <w:t>: Elaborada pelos autores (2026).</w:t>
      </w:r>
    </w:p>
    <w:p w14:paraId="67F88087" w14:textId="77777777" w:rsidR="00CD07E6" w:rsidRDefault="00CD07E6" w:rsidP="001010DB">
      <w:pPr>
        <w:spacing w:line="240" w:lineRule="auto"/>
        <w:jc w:val="both"/>
        <w:rPr>
          <w:rFonts w:ascii="Times New Roman" w:hAnsi="Times New Roman" w:cs="Times New Roman"/>
          <w:lang w:val="pt-BR" w:eastAsia="zh-CN"/>
        </w:rPr>
      </w:pPr>
    </w:p>
    <w:p w14:paraId="7976A05F" w14:textId="77777777" w:rsidR="00CD07E6" w:rsidRDefault="00DA242A" w:rsidP="001010DB">
      <w:pPr>
        <w:spacing w:line="240" w:lineRule="auto"/>
        <w:jc w:val="both"/>
        <w:rPr>
          <w:rFonts w:ascii="Times New Roman" w:hAnsi="Times New Roman" w:cs="Times New Roman"/>
          <w:lang w:val="pt-BR" w:eastAsia="zh-CN"/>
        </w:rPr>
      </w:pPr>
      <w:r w:rsidRPr="00DA242A">
        <w:rPr>
          <w:rFonts w:ascii="Times New Roman" w:hAnsi="Times New Roman" w:cs="Times New Roman"/>
          <w:lang w:val="pt-BR" w:eastAsia="zh-CN"/>
        </w:rPr>
        <w:t>No que se refere aos procedimentos metodológicos</w:t>
      </w:r>
      <w:r w:rsidR="001010DB" w:rsidRPr="00DA242A">
        <w:rPr>
          <w:rFonts w:ascii="Times New Roman" w:hAnsi="Times New Roman" w:cs="Times New Roman"/>
          <w:lang w:eastAsia="zh-CN"/>
        </w:rPr>
        <w:t xml:space="preserve">, o artigo adota </w:t>
      </w:r>
      <w:r w:rsidR="009E1B77" w:rsidRPr="00DA242A">
        <w:rPr>
          <w:rFonts w:ascii="Times New Roman" w:hAnsi="Times New Roman" w:cs="Times New Roman"/>
          <w:lang w:val="pt-BR" w:eastAsia="zh-CN"/>
        </w:rPr>
        <w:t xml:space="preserve">uma </w:t>
      </w:r>
      <w:r w:rsidR="001010DB" w:rsidRPr="00DA242A">
        <w:rPr>
          <w:rFonts w:ascii="Times New Roman" w:hAnsi="Times New Roman" w:cs="Times New Roman"/>
          <w:lang w:eastAsia="zh-CN"/>
        </w:rPr>
        <w:t>abordagem quali</w:t>
      </w:r>
      <w:r w:rsidR="009E1B77" w:rsidRPr="00DA242A">
        <w:rPr>
          <w:rFonts w:ascii="Times New Roman" w:hAnsi="Times New Roman" w:cs="Times New Roman"/>
          <w:lang w:val="pt-BR" w:eastAsia="zh-CN"/>
        </w:rPr>
        <w:t>-</w:t>
      </w:r>
      <w:r w:rsidRPr="00DA242A">
        <w:rPr>
          <w:rFonts w:ascii="Times New Roman" w:hAnsi="Times New Roman" w:cs="Times New Roman"/>
          <w:lang w:val="pt-BR" w:eastAsia="zh-CN"/>
        </w:rPr>
        <w:t>quantitativa,</w:t>
      </w:r>
      <w:r w:rsidR="001010DB" w:rsidRPr="00DA242A">
        <w:rPr>
          <w:rFonts w:ascii="Times New Roman" w:hAnsi="Times New Roman" w:cs="Times New Roman"/>
          <w:lang w:eastAsia="zh-CN"/>
        </w:rPr>
        <w:t xml:space="preserve"> </w:t>
      </w:r>
      <w:r w:rsidRPr="00DA242A">
        <w:rPr>
          <w:rFonts w:ascii="Times New Roman" w:hAnsi="Times New Roman" w:cs="Times New Roman"/>
          <w:lang w:val="pt-BR" w:eastAsia="zh-CN"/>
        </w:rPr>
        <w:t>de</w:t>
      </w:r>
      <w:r w:rsidR="001010DB" w:rsidRPr="00DA242A">
        <w:rPr>
          <w:rFonts w:ascii="Times New Roman" w:hAnsi="Times New Roman" w:cs="Times New Roman"/>
          <w:lang w:eastAsia="zh-CN"/>
        </w:rPr>
        <w:t xml:space="preserve"> natureza aplicada, com </w:t>
      </w:r>
      <w:r w:rsidRPr="00DA242A">
        <w:rPr>
          <w:rFonts w:ascii="Times New Roman" w:hAnsi="Times New Roman" w:cs="Times New Roman"/>
          <w:lang w:val="pt-BR" w:eastAsia="zh-CN"/>
        </w:rPr>
        <w:t>objetivos</w:t>
      </w:r>
      <w:r w:rsidR="001010DB" w:rsidRPr="00DA242A">
        <w:rPr>
          <w:rFonts w:ascii="Times New Roman" w:hAnsi="Times New Roman" w:cs="Times New Roman"/>
          <w:lang w:eastAsia="zh-CN"/>
        </w:rPr>
        <w:t xml:space="preserve"> descritiv</w:t>
      </w:r>
      <w:r w:rsidRPr="00DA242A">
        <w:rPr>
          <w:rFonts w:ascii="Times New Roman" w:hAnsi="Times New Roman" w:cs="Times New Roman"/>
          <w:lang w:val="pt-BR" w:eastAsia="zh-CN"/>
        </w:rPr>
        <w:t>o</w:t>
      </w:r>
      <w:r w:rsidR="009E1B77" w:rsidRPr="00DA242A">
        <w:rPr>
          <w:rFonts w:ascii="Times New Roman" w:hAnsi="Times New Roman" w:cs="Times New Roman"/>
          <w:lang w:val="pt-BR" w:eastAsia="zh-CN"/>
        </w:rPr>
        <w:t>s</w:t>
      </w:r>
      <w:r w:rsidR="001010DB" w:rsidRPr="00DA242A">
        <w:rPr>
          <w:rFonts w:ascii="Times New Roman" w:hAnsi="Times New Roman" w:cs="Times New Roman"/>
          <w:lang w:eastAsia="zh-CN"/>
        </w:rPr>
        <w:t xml:space="preserve"> e interpretativ</w:t>
      </w:r>
      <w:r w:rsidRPr="00DA242A">
        <w:rPr>
          <w:rFonts w:ascii="Times New Roman" w:hAnsi="Times New Roman" w:cs="Times New Roman"/>
          <w:lang w:val="pt-BR" w:eastAsia="zh-CN"/>
        </w:rPr>
        <w:t>o</w:t>
      </w:r>
      <w:r w:rsidR="009E1B77" w:rsidRPr="00DA242A">
        <w:rPr>
          <w:rFonts w:ascii="Times New Roman" w:hAnsi="Times New Roman" w:cs="Times New Roman"/>
          <w:lang w:val="pt-BR" w:eastAsia="zh-CN"/>
        </w:rPr>
        <w:t>s</w:t>
      </w:r>
      <w:r w:rsidRPr="00DA242A">
        <w:rPr>
          <w:rFonts w:ascii="Times New Roman" w:hAnsi="Times New Roman" w:cs="Times New Roman"/>
          <w:lang w:val="pt-BR" w:eastAsia="zh-CN"/>
        </w:rPr>
        <w:t>. A investigação tem como estudo de caso a</w:t>
      </w:r>
      <w:r w:rsidR="001010DB" w:rsidRPr="00DA242A">
        <w:rPr>
          <w:rFonts w:ascii="Times New Roman" w:hAnsi="Times New Roman" w:cs="Times New Roman"/>
          <w:lang w:eastAsia="zh-CN"/>
        </w:rPr>
        <w:t xml:space="preserve"> Universidade Federal de Santa Catarina</w:t>
      </w:r>
      <w:r w:rsidR="009E1B77" w:rsidRPr="00DA242A">
        <w:rPr>
          <w:rFonts w:ascii="Times New Roman" w:hAnsi="Times New Roman" w:cs="Times New Roman"/>
          <w:lang w:val="pt-BR" w:eastAsia="zh-CN"/>
        </w:rPr>
        <w:t xml:space="preserve">, </w:t>
      </w:r>
      <w:r w:rsidRPr="00DA242A">
        <w:rPr>
          <w:rFonts w:ascii="Times New Roman" w:hAnsi="Times New Roman" w:cs="Times New Roman"/>
          <w:lang w:val="pt-BR" w:eastAsia="zh-CN"/>
        </w:rPr>
        <w:t>durante</w:t>
      </w:r>
      <w:r w:rsidR="001010DB" w:rsidRPr="00DA242A">
        <w:rPr>
          <w:rFonts w:ascii="Times New Roman" w:hAnsi="Times New Roman" w:cs="Times New Roman"/>
          <w:lang w:eastAsia="zh-CN"/>
        </w:rPr>
        <w:t xml:space="preserve"> o período de 2015 a 2024. </w:t>
      </w:r>
    </w:p>
    <w:p w14:paraId="6721A38A" w14:textId="4367A01F" w:rsidR="001010DB" w:rsidRPr="001010DB" w:rsidRDefault="00DA242A" w:rsidP="001010DB">
      <w:pPr>
        <w:spacing w:line="240" w:lineRule="auto"/>
        <w:jc w:val="both"/>
        <w:rPr>
          <w:rFonts w:ascii="Times New Roman" w:hAnsi="Times New Roman" w:cs="Times New Roman"/>
          <w:lang w:eastAsia="zh-CN"/>
        </w:rPr>
      </w:pPr>
      <w:r w:rsidRPr="00DA242A">
        <w:rPr>
          <w:rFonts w:ascii="Times New Roman" w:hAnsi="Times New Roman" w:cs="Times New Roman"/>
          <w:lang w:val="pt-BR" w:eastAsia="zh-CN"/>
        </w:rPr>
        <w:t>C</w:t>
      </w:r>
      <w:r w:rsidR="001010DB" w:rsidRPr="00DA242A">
        <w:rPr>
          <w:rFonts w:ascii="Times New Roman" w:hAnsi="Times New Roman" w:cs="Times New Roman"/>
          <w:lang w:eastAsia="zh-CN"/>
        </w:rPr>
        <w:t xml:space="preserve">onforme Gil (2008), </w:t>
      </w:r>
      <w:r w:rsidRPr="00DA242A">
        <w:rPr>
          <w:rFonts w:ascii="Times New Roman" w:hAnsi="Times New Roman" w:cs="Times New Roman"/>
          <w:lang w:val="pt-BR" w:eastAsia="zh-CN"/>
        </w:rPr>
        <w:t xml:space="preserve">a metodologia </w:t>
      </w:r>
      <w:r w:rsidR="001010DB" w:rsidRPr="00DA242A">
        <w:rPr>
          <w:rFonts w:ascii="Times New Roman" w:hAnsi="Times New Roman" w:cs="Times New Roman"/>
          <w:lang w:eastAsia="zh-CN"/>
        </w:rPr>
        <w:t>constitui a base lógica d</w:t>
      </w:r>
      <w:r w:rsidRPr="00DA242A">
        <w:rPr>
          <w:rFonts w:ascii="Times New Roman" w:hAnsi="Times New Roman" w:cs="Times New Roman"/>
          <w:lang w:val="pt-BR" w:eastAsia="zh-CN"/>
        </w:rPr>
        <w:t>e um</w:t>
      </w:r>
      <w:r w:rsidR="001010DB" w:rsidRPr="00DA242A">
        <w:rPr>
          <w:rFonts w:ascii="Times New Roman" w:hAnsi="Times New Roman" w:cs="Times New Roman"/>
          <w:lang w:eastAsia="zh-CN"/>
        </w:rPr>
        <w:t xml:space="preserve">a investigação, </w:t>
      </w:r>
      <w:r w:rsidRPr="00DA242A">
        <w:rPr>
          <w:rFonts w:ascii="Times New Roman" w:hAnsi="Times New Roman" w:cs="Times New Roman"/>
          <w:lang w:val="pt-BR" w:eastAsia="zh-CN"/>
        </w:rPr>
        <w:t>pois ela</w:t>
      </w:r>
      <w:r w:rsidR="001010DB" w:rsidRPr="00DA242A">
        <w:rPr>
          <w:rFonts w:ascii="Times New Roman" w:hAnsi="Times New Roman" w:cs="Times New Roman"/>
          <w:lang w:eastAsia="zh-CN"/>
        </w:rPr>
        <w:t xml:space="preserve"> orienta a compreensão </w:t>
      </w:r>
      <w:r w:rsidRPr="00DA242A">
        <w:rPr>
          <w:rFonts w:ascii="Times New Roman" w:hAnsi="Times New Roman" w:cs="Times New Roman"/>
          <w:lang w:val="pt-BR" w:eastAsia="zh-CN"/>
        </w:rPr>
        <w:t>do objeto em investigação</w:t>
      </w:r>
      <w:r w:rsidR="001010DB" w:rsidRPr="00DA242A">
        <w:rPr>
          <w:rFonts w:ascii="Times New Roman" w:hAnsi="Times New Roman" w:cs="Times New Roman"/>
          <w:lang w:eastAsia="zh-CN"/>
        </w:rPr>
        <w:t xml:space="preserve">, </w:t>
      </w:r>
      <w:r w:rsidRPr="00DA242A">
        <w:rPr>
          <w:rFonts w:ascii="Times New Roman" w:hAnsi="Times New Roman" w:cs="Times New Roman"/>
          <w:lang w:val="pt-BR" w:eastAsia="zh-CN"/>
        </w:rPr>
        <w:t xml:space="preserve">bem como </w:t>
      </w:r>
      <w:r w:rsidR="001010DB" w:rsidRPr="00DA242A">
        <w:rPr>
          <w:rFonts w:ascii="Times New Roman" w:hAnsi="Times New Roman" w:cs="Times New Roman"/>
          <w:lang w:eastAsia="zh-CN"/>
        </w:rPr>
        <w:t xml:space="preserve">a definição dos </w:t>
      </w:r>
      <w:r w:rsidRPr="00DA242A">
        <w:rPr>
          <w:rFonts w:ascii="Times New Roman" w:hAnsi="Times New Roman" w:cs="Times New Roman"/>
          <w:lang w:val="pt-BR" w:eastAsia="zh-CN"/>
        </w:rPr>
        <w:t>procedimentos que foram adotados</w:t>
      </w:r>
      <w:r w:rsidR="001010DB" w:rsidRPr="00DA242A">
        <w:rPr>
          <w:rFonts w:ascii="Times New Roman" w:hAnsi="Times New Roman" w:cs="Times New Roman"/>
          <w:lang w:eastAsia="zh-CN"/>
        </w:rPr>
        <w:t xml:space="preserve"> e </w:t>
      </w:r>
      <w:r w:rsidRPr="00DA242A">
        <w:rPr>
          <w:rFonts w:ascii="Times New Roman" w:hAnsi="Times New Roman" w:cs="Times New Roman"/>
          <w:lang w:val="pt-BR" w:eastAsia="zh-CN"/>
        </w:rPr>
        <w:t>a sustentação das interpretações produzidas</w:t>
      </w:r>
      <w:r w:rsidR="001010DB" w:rsidRPr="00DA242A">
        <w:rPr>
          <w:rFonts w:ascii="Times New Roman" w:hAnsi="Times New Roman" w:cs="Times New Roman"/>
          <w:lang w:eastAsia="zh-CN"/>
        </w:rPr>
        <w:t xml:space="preserve">, </w:t>
      </w:r>
      <w:r w:rsidRPr="00DA242A">
        <w:rPr>
          <w:rFonts w:ascii="Times New Roman" w:hAnsi="Times New Roman" w:cs="Times New Roman"/>
          <w:lang w:val="pt-BR" w:eastAsia="zh-CN"/>
        </w:rPr>
        <w:t>buscando</w:t>
      </w:r>
      <w:r w:rsidR="001010DB" w:rsidRPr="00DA242A">
        <w:rPr>
          <w:rFonts w:ascii="Times New Roman" w:hAnsi="Times New Roman" w:cs="Times New Roman"/>
          <w:lang w:eastAsia="zh-CN"/>
        </w:rPr>
        <w:t xml:space="preserve"> responder </w:t>
      </w:r>
      <w:r w:rsidRPr="00DA242A">
        <w:rPr>
          <w:rFonts w:ascii="Times New Roman" w:hAnsi="Times New Roman" w:cs="Times New Roman"/>
          <w:lang w:val="pt-BR" w:eastAsia="zh-CN"/>
        </w:rPr>
        <w:t>às perguntas que irão orientar o estudo, tais:</w:t>
      </w:r>
      <w:r w:rsidR="001010DB" w:rsidRPr="00DA242A">
        <w:rPr>
          <w:rFonts w:ascii="Times New Roman" w:hAnsi="Times New Roman" w:cs="Times New Roman"/>
          <w:lang w:eastAsia="zh-CN"/>
        </w:rPr>
        <w:t xml:space="preserve"> “como? com quê? onde? quanto?” (Marconi e Lakatos, 2003, p. 221).</w:t>
      </w:r>
      <w:r w:rsidR="001010DB" w:rsidRPr="001010DB">
        <w:rPr>
          <w:rFonts w:ascii="Times New Roman" w:hAnsi="Times New Roman" w:cs="Times New Roman"/>
          <w:lang w:eastAsia="zh-CN"/>
        </w:rPr>
        <w:t xml:space="preserve"> </w:t>
      </w:r>
    </w:p>
    <w:p w14:paraId="108BDCCC" w14:textId="77777777" w:rsidR="001010DB" w:rsidRPr="001010DB" w:rsidRDefault="001010DB" w:rsidP="001010DB">
      <w:pPr>
        <w:spacing w:line="240" w:lineRule="auto"/>
        <w:jc w:val="both"/>
        <w:rPr>
          <w:rFonts w:ascii="Times New Roman" w:hAnsi="Times New Roman" w:cs="Times New Roman"/>
          <w:lang w:eastAsia="zh-CN"/>
        </w:rPr>
      </w:pPr>
      <w:r w:rsidRPr="001010DB">
        <w:rPr>
          <w:rFonts w:ascii="Times New Roman" w:hAnsi="Times New Roman" w:cs="Times New Roman"/>
          <w:lang w:eastAsia="zh-CN"/>
        </w:rPr>
        <w:t xml:space="preserve">A pesquisa reúne raciocínio dedutivo, investigação bibliográfica e documental e triangulação de dados, com análise de portarias, questionários, editais, registros institucionais, dados administrativos e normas relativas aos dois programas, para examinar sua previsão formal, as condições de execução, a alocação de recursos, os efeitos institucionais e as repercussões na vida estudantil (Gil, 2008; Marconi; Lakatos, 2003). </w:t>
      </w:r>
    </w:p>
    <w:p w14:paraId="60A234A8" w14:textId="3E32B65A" w:rsidR="001010DB" w:rsidRPr="001010DB" w:rsidRDefault="001010DB" w:rsidP="001010DB">
      <w:pPr>
        <w:spacing w:line="240" w:lineRule="auto"/>
        <w:jc w:val="both"/>
        <w:rPr>
          <w:rFonts w:ascii="Times New Roman" w:hAnsi="Times New Roman" w:cs="Times New Roman"/>
          <w:lang w:eastAsia="zh-CN"/>
        </w:rPr>
      </w:pPr>
      <w:r w:rsidRPr="001010DB">
        <w:rPr>
          <w:rFonts w:ascii="Times New Roman" w:hAnsi="Times New Roman" w:cs="Times New Roman"/>
          <w:lang w:eastAsia="zh-CN"/>
        </w:rPr>
        <w:t xml:space="preserve">Os registros de solicitações anteriores indicam demanda recorrente por esse tipo de apoio e mostram que seu atendimento depende das condições orçamentárias e financeiras que incidem sobre a gestão do programa. Ao mesmo tempo, a contenção orçamentária conduz à centralização de recursos em frentes ligadas às necessidades </w:t>
      </w:r>
      <w:r w:rsidR="00CD07E6">
        <w:rPr>
          <w:rFonts w:ascii="Times New Roman" w:hAnsi="Times New Roman" w:cs="Times New Roman"/>
          <w:lang w:val="pt-BR" w:eastAsia="zh-CN"/>
        </w:rPr>
        <w:t>básicas</w:t>
      </w:r>
      <w:r w:rsidRPr="001010DB">
        <w:rPr>
          <w:rFonts w:ascii="Times New Roman" w:hAnsi="Times New Roman" w:cs="Times New Roman"/>
          <w:lang w:eastAsia="zh-CN"/>
        </w:rPr>
        <w:t xml:space="preserve"> (Maslow, 1954), como moradia e alimentação, o que restringe outras ações e desloca tensões para períodos seguintes, ao limitar a capacidade institucional de enfrentar retenção, evasão e questões da formação acadêmica (Soares; Amaral, 2022). </w:t>
      </w:r>
    </w:p>
    <w:p w14:paraId="49CAF3DD" w14:textId="77777777" w:rsidR="00B9043A" w:rsidRPr="001010DB" w:rsidRDefault="001010DB" w:rsidP="001010DB">
      <w:pPr>
        <w:spacing w:line="240" w:lineRule="auto"/>
        <w:jc w:val="both"/>
        <w:rPr>
          <w:rFonts w:ascii="Times New Roman" w:hAnsi="Times New Roman" w:cs="Times New Roman"/>
          <w:lang w:eastAsia="zh-CN"/>
        </w:rPr>
      </w:pPr>
      <w:r w:rsidRPr="001010DB">
        <w:rPr>
          <w:rFonts w:ascii="Times New Roman" w:hAnsi="Times New Roman" w:cs="Times New Roman"/>
          <w:lang w:eastAsia="zh-CN"/>
        </w:rPr>
        <w:t xml:space="preserve">Dessa maneira, a ampliação do acesso ao ensino superior público ocorre sem condições de permanência e formação no mesmo nível, mantendo desigualdades no interior da universidade e renovando impasses ao longo do tempo, em movimento que se afasta dos </w:t>
      </w:r>
      <w:r w:rsidRPr="001010DB">
        <w:rPr>
          <w:rFonts w:ascii="Times New Roman" w:hAnsi="Times New Roman" w:cs="Times New Roman"/>
          <w:lang w:eastAsia="zh-CN"/>
        </w:rPr>
        <w:lastRenderedPageBreak/>
        <w:t>Objetivos de Desenvolvimento Sustentável, em especial do ODS 4, voltado à garantia de educação inclusiva, equitativa e de qualidade, com promoção de oportunidades de aprendizagem ao longo da vida para todas e todos.</w:t>
      </w:r>
    </w:p>
    <w:p w14:paraId="09FA2F2B" w14:textId="77777777" w:rsidR="00987AB6" w:rsidRDefault="00987AB6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lang w:eastAsia="zh-CN"/>
        </w:rPr>
      </w:pPr>
    </w:p>
    <w:p w14:paraId="5DF03BD7" w14:textId="77777777" w:rsidR="00987AB6" w:rsidRDefault="00987AB6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lang w:eastAsia="zh-CN"/>
        </w:rPr>
      </w:pPr>
      <w:r w:rsidRPr="00987AB6">
        <w:rPr>
          <w:rFonts w:ascii="Times New Roman" w:hAnsi="Times New Roman" w:cs="Times New Roman"/>
          <w:b/>
          <w:bCs/>
        </w:rPr>
        <w:t>Financiamento das universidades públicas no capitalismo periférico</w:t>
      </w:r>
    </w:p>
    <w:p w14:paraId="24F99059" w14:textId="77777777" w:rsidR="0077525D" w:rsidRDefault="0077525D" w:rsidP="00987AB6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</w:p>
    <w:p w14:paraId="6A07BB92" w14:textId="77777777" w:rsidR="00CD07E6" w:rsidRDefault="00AC7572" w:rsidP="00987AB6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O papel exercido pelas universidades públicas na sociedade está diretamente relacionado às condições que </w:t>
      </w:r>
      <w:r w:rsidR="00EF1829">
        <w:rPr>
          <w:rFonts w:ascii="Times New Roman" w:hAnsi="Times New Roman" w:cs="Times New Roman"/>
          <w:lang w:val="pt-BR"/>
        </w:rPr>
        <w:t>possibilitam</w:t>
      </w:r>
      <w:r>
        <w:rPr>
          <w:rFonts w:ascii="Times New Roman" w:hAnsi="Times New Roman" w:cs="Times New Roman"/>
          <w:lang w:val="pt-BR"/>
        </w:rPr>
        <w:t xml:space="preserve"> o desenvolvimento de uma nação</w:t>
      </w:r>
      <w:r w:rsidR="00EF1829">
        <w:rPr>
          <w:rFonts w:ascii="Times New Roman" w:hAnsi="Times New Roman" w:cs="Times New Roman"/>
          <w:lang w:val="pt-BR"/>
        </w:rPr>
        <w:t>, considerando</w:t>
      </w:r>
      <w:r>
        <w:rPr>
          <w:rFonts w:ascii="Times New Roman" w:hAnsi="Times New Roman" w:cs="Times New Roman"/>
          <w:lang w:val="pt-BR"/>
        </w:rPr>
        <w:t xml:space="preserve"> as diferentes atividades</w:t>
      </w:r>
      <w:r w:rsidR="00EF1829">
        <w:rPr>
          <w:rFonts w:ascii="Times New Roman" w:hAnsi="Times New Roman" w:cs="Times New Roman"/>
          <w:lang w:val="pt-BR"/>
        </w:rPr>
        <w:t xml:space="preserve"> realizadas por essas instituições</w:t>
      </w:r>
      <w:r>
        <w:rPr>
          <w:rFonts w:ascii="Times New Roman" w:hAnsi="Times New Roman" w:cs="Times New Roman"/>
          <w:lang w:val="pt-BR"/>
        </w:rPr>
        <w:t xml:space="preserve">. A pesquisa, o ensino, a extensão, a produção de conhecimento, o desenvolvimento </w:t>
      </w:r>
      <w:r w:rsidR="00EF1829">
        <w:rPr>
          <w:rFonts w:ascii="Times New Roman" w:hAnsi="Times New Roman" w:cs="Times New Roman"/>
          <w:lang w:val="pt-BR"/>
        </w:rPr>
        <w:t>tecnológico</w:t>
      </w:r>
      <w:r>
        <w:rPr>
          <w:rFonts w:ascii="Times New Roman" w:hAnsi="Times New Roman" w:cs="Times New Roman"/>
          <w:lang w:val="pt-BR"/>
        </w:rPr>
        <w:t xml:space="preserve"> e os serviços prestados à sociedade fazem partes das </w:t>
      </w:r>
      <w:r w:rsidR="00EF1829">
        <w:rPr>
          <w:rFonts w:ascii="Times New Roman" w:hAnsi="Times New Roman" w:cs="Times New Roman"/>
          <w:lang w:val="pt-BR"/>
        </w:rPr>
        <w:t>atribuições</w:t>
      </w:r>
      <w:r>
        <w:rPr>
          <w:rFonts w:ascii="Times New Roman" w:hAnsi="Times New Roman" w:cs="Times New Roman"/>
          <w:lang w:val="pt-BR"/>
        </w:rPr>
        <w:t xml:space="preserve"> dessas instituições, que </w:t>
      </w:r>
      <w:r w:rsidR="00EF1829">
        <w:rPr>
          <w:rFonts w:ascii="Times New Roman" w:hAnsi="Times New Roman" w:cs="Times New Roman"/>
          <w:lang w:val="pt-BR"/>
        </w:rPr>
        <w:t>muitas vezes</w:t>
      </w:r>
      <w:r>
        <w:rPr>
          <w:rFonts w:ascii="Times New Roman" w:hAnsi="Times New Roman" w:cs="Times New Roman"/>
          <w:lang w:val="pt-BR"/>
        </w:rPr>
        <w:t xml:space="preserve"> são </w:t>
      </w:r>
      <w:r w:rsidR="00EF1829">
        <w:rPr>
          <w:rFonts w:ascii="Times New Roman" w:hAnsi="Times New Roman" w:cs="Times New Roman"/>
          <w:lang w:val="pt-BR"/>
        </w:rPr>
        <w:t>reduzidas à formação</w:t>
      </w:r>
      <w:r>
        <w:rPr>
          <w:rFonts w:ascii="Times New Roman" w:hAnsi="Times New Roman" w:cs="Times New Roman"/>
          <w:lang w:val="pt-BR"/>
        </w:rPr>
        <w:t xml:space="preserve"> de profissionais para o mercado</w:t>
      </w:r>
      <w:r w:rsidR="00EF1829">
        <w:rPr>
          <w:rFonts w:ascii="Times New Roman" w:hAnsi="Times New Roman" w:cs="Times New Roman"/>
          <w:lang w:val="pt-BR"/>
        </w:rPr>
        <w:t xml:space="preserve"> trabalho</w:t>
      </w:r>
      <w:r>
        <w:rPr>
          <w:rFonts w:ascii="Times New Roman" w:hAnsi="Times New Roman" w:cs="Times New Roman"/>
          <w:lang w:val="pt-BR"/>
        </w:rPr>
        <w:t xml:space="preserve"> (Kawasaki, 1997). </w:t>
      </w:r>
    </w:p>
    <w:p w14:paraId="2C20D7B7" w14:textId="3A8A6314" w:rsidR="00AC7572" w:rsidRDefault="00AC7572" w:rsidP="00987AB6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Para que essas ações </w:t>
      </w:r>
      <w:r w:rsidR="00EF1829">
        <w:rPr>
          <w:rFonts w:ascii="Times New Roman" w:hAnsi="Times New Roman" w:cs="Times New Roman"/>
          <w:lang w:val="pt-BR"/>
        </w:rPr>
        <w:t>sejam desenvolvidas</w:t>
      </w:r>
      <w:r>
        <w:rPr>
          <w:rFonts w:ascii="Times New Roman" w:hAnsi="Times New Roman" w:cs="Times New Roman"/>
          <w:lang w:val="pt-BR"/>
        </w:rPr>
        <w:t xml:space="preserve"> </w:t>
      </w:r>
      <w:r w:rsidR="00EF1829">
        <w:rPr>
          <w:rFonts w:ascii="Times New Roman" w:hAnsi="Times New Roman" w:cs="Times New Roman"/>
          <w:lang w:val="pt-BR"/>
        </w:rPr>
        <w:t>de forma contínua</w:t>
      </w:r>
      <w:r>
        <w:rPr>
          <w:rFonts w:ascii="Times New Roman" w:hAnsi="Times New Roman" w:cs="Times New Roman"/>
          <w:lang w:val="pt-BR"/>
        </w:rPr>
        <w:t xml:space="preserve">, é necessário que haja regularidade </w:t>
      </w:r>
      <w:r w:rsidR="00EF1829">
        <w:rPr>
          <w:rFonts w:ascii="Times New Roman" w:hAnsi="Times New Roman" w:cs="Times New Roman"/>
          <w:lang w:val="pt-BR"/>
        </w:rPr>
        <w:t>na</w:t>
      </w:r>
      <w:r>
        <w:rPr>
          <w:rFonts w:ascii="Times New Roman" w:hAnsi="Times New Roman" w:cs="Times New Roman"/>
          <w:lang w:val="pt-BR"/>
        </w:rPr>
        <w:t xml:space="preserve"> disponibilidade de recursos financeiros, </w:t>
      </w:r>
      <w:r w:rsidR="00EF1829">
        <w:rPr>
          <w:rFonts w:ascii="Times New Roman" w:hAnsi="Times New Roman" w:cs="Times New Roman"/>
          <w:lang w:val="pt-BR"/>
        </w:rPr>
        <w:t xml:space="preserve">uma vez que a instabilidade orçamentária pode comprometer </w:t>
      </w:r>
      <w:r>
        <w:rPr>
          <w:rFonts w:ascii="Times New Roman" w:hAnsi="Times New Roman" w:cs="Times New Roman"/>
          <w:lang w:val="pt-BR"/>
        </w:rPr>
        <w:t xml:space="preserve">a capacidade institucional de planejar e </w:t>
      </w:r>
      <w:r w:rsidR="00EF1829">
        <w:rPr>
          <w:rFonts w:ascii="Times New Roman" w:hAnsi="Times New Roman" w:cs="Times New Roman"/>
          <w:lang w:val="pt-BR"/>
        </w:rPr>
        <w:t xml:space="preserve">de </w:t>
      </w:r>
      <w:r>
        <w:rPr>
          <w:rFonts w:ascii="Times New Roman" w:hAnsi="Times New Roman" w:cs="Times New Roman"/>
          <w:lang w:val="pt-BR"/>
        </w:rPr>
        <w:t xml:space="preserve">executar </w:t>
      </w:r>
      <w:r w:rsidR="00EF1829">
        <w:rPr>
          <w:rFonts w:ascii="Times New Roman" w:hAnsi="Times New Roman" w:cs="Times New Roman"/>
          <w:lang w:val="pt-BR"/>
        </w:rPr>
        <w:t>atividades dessa</w:t>
      </w:r>
      <w:r>
        <w:rPr>
          <w:rFonts w:ascii="Times New Roman" w:hAnsi="Times New Roman" w:cs="Times New Roman"/>
          <w:lang w:val="pt-BR"/>
        </w:rPr>
        <w:t xml:space="preserve"> natureza.</w:t>
      </w:r>
    </w:p>
    <w:p w14:paraId="3EA0E7A8" w14:textId="43B70DDF" w:rsidR="00AC7572" w:rsidRDefault="00AC7572" w:rsidP="00987AB6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Dessa forma, a discussão sobre o orçamento destinado às universidades públicas não se limita </w:t>
      </w:r>
      <w:r w:rsidR="002A3286">
        <w:rPr>
          <w:rFonts w:ascii="Times New Roman" w:hAnsi="Times New Roman" w:cs="Times New Roman"/>
          <w:lang w:val="pt-BR"/>
        </w:rPr>
        <w:t>aos aspectos</w:t>
      </w:r>
      <w:r>
        <w:rPr>
          <w:rFonts w:ascii="Times New Roman" w:hAnsi="Times New Roman" w:cs="Times New Roman"/>
          <w:lang w:val="pt-BR"/>
        </w:rPr>
        <w:t xml:space="preserve"> administrativ</w:t>
      </w:r>
      <w:r w:rsidR="002A3286">
        <w:rPr>
          <w:rFonts w:ascii="Times New Roman" w:hAnsi="Times New Roman" w:cs="Times New Roman"/>
          <w:lang w:val="pt-BR"/>
        </w:rPr>
        <w:t xml:space="preserve">os e </w:t>
      </w:r>
      <w:r>
        <w:rPr>
          <w:rFonts w:ascii="Times New Roman" w:hAnsi="Times New Roman" w:cs="Times New Roman"/>
          <w:lang w:val="pt-BR"/>
        </w:rPr>
        <w:t>contáb</w:t>
      </w:r>
      <w:r w:rsidR="002A3286">
        <w:rPr>
          <w:rFonts w:ascii="Times New Roman" w:hAnsi="Times New Roman" w:cs="Times New Roman"/>
          <w:lang w:val="pt-BR"/>
        </w:rPr>
        <w:t>eis</w:t>
      </w:r>
      <w:r>
        <w:rPr>
          <w:rFonts w:ascii="Times New Roman" w:hAnsi="Times New Roman" w:cs="Times New Roman"/>
          <w:lang w:val="pt-BR"/>
        </w:rPr>
        <w:t xml:space="preserve">, </w:t>
      </w:r>
      <w:r w:rsidR="002A3286">
        <w:rPr>
          <w:rFonts w:ascii="Times New Roman" w:hAnsi="Times New Roman" w:cs="Times New Roman"/>
          <w:lang w:val="pt-BR"/>
        </w:rPr>
        <w:t>pois</w:t>
      </w:r>
      <w:r>
        <w:rPr>
          <w:rFonts w:ascii="Times New Roman" w:hAnsi="Times New Roman" w:cs="Times New Roman"/>
          <w:lang w:val="pt-BR"/>
        </w:rPr>
        <w:t xml:space="preserve"> envolve </w:t>
      </w:r>
      <w:r w:rsidR="002A3286">
        <w:rPr>
          <w:rFonts w:ascii="Times New Roman" w:hAnsi="Times New Roman" w:cs="Times New Roman"/>
          <w:lang w:val="pt-BR"/>
        </w:rPr>
        <w:t xml:space="preserve">decisões </w:t>
      </w:r>
      <w:r>
        <w:rPr>
          <w:rFonts w:ascii="Times New Roman" w:hAnsi="Times New Roman" w:cs="Times New Roman"/>
          <w:lang w:val="pt-BR"/>
        </w:rPr>
        <w:t xml:space="preserve">relacionadas ao próprio </w:t>
      </w:r>
      <w:r w:rsidR="002A3286">
        <w:rPr>
          <w:rFonts w:ascii="Times New Roman" w:hAnsi="Times New Roman" w:cs="Times New Roman"/>
          <w:lang w:val="pt-BR"/>
        </w:rPr>
        <w:t>projeto</w:t>
      </w:r>
      <w:r>
        <w:rPr>
          <w:rFonts w:ascii="Times New Roman" w:hAnsi="Times New Roman" w:cs="Times New Roman"/>
          <w:lang w:val="pt-BR"/>
        </w:rPr>
        <w:t xml:space="preserve"> de desenvolvimento de uma nação. </w:t>
      </w:r>
      <w:r w:rsidR="002A3286" w:rsidRPr="002A3286">
        <w:rPr>
          <w:rFonts w:ascii="Times New Roman" w:hAnsi="Times New Roman" w:cs="Times New Roman"/>
          <w:lang w:val="pt-BR"/>
        </w:rPr>
        <w:t xml:space="preserve">O crescimento de um país não pode ser compreendido apenas a partir de indicadores econômicos, como o PIB, considerando que também depende da capacidade de responder às demandas sociais, científicas e tecnológicas. Nesse processo, as universidades participam </w:t>
      </w:r>
      <w:r w:rsidR="002A3286">
        <w:rPr>
          <w:rFonts w:ascii="Times New Roman" w:hAnsi="Times New Roman" w:cs="Times New Roman"/>
          <w:lang w:val="pt-BR"/>
        </w:rPr>
        <w:t>de maneira</w:t>
      </w:r>
      <w:r w:rsidR="002A3286" w:rsidRPr="002A3286">
        <w:rPr>
          <w:rFonts w:ascii="Times New Roman" w:hAnsi="Times New Roman" w:cs="Times New Roman"/>
          <w:lang w:val="pt-BR"/>
        </w:rPr>
        <w:t xml:space="preserve"> </w:t>
      </w:r>
      <w:r w:rsidR="002A3286">
        <w:rPr>
          <w:rFonts w:ascii="Times New Roman" w:hAnsi="Times New Roman" w:cs="Times New Roman"/>
          <w:lang w:val="pt-BR"/>
        </w:rPr>
        <w:t>n</w:t>
      </w:r>
      <w:r w:rsidR="002A3286" w:rsidRPr="002A3286">
        <w:rPr>
          <w:rFonts w:ascii="Times New Roman" w:hAnsi="Times New Roman" w:cs="Times New Roman"/>
          <w:lang w:val="pt-BR"/>
        </w:rPr>
        <w:t xml:space="preserve">a construção de condições que </w:t>
      </w:r>
      <w:r w:rsidR="002A3286">
        <w:rPr>
          <w:rFonts w:ascii="Times New Roman" w:hAnsi="Times New Roman" w:cs="Times New Roman"/>
          <w:lang w:val="pt-BR"/>
        </w:rPr>
        <w:t xml:space="preserve">possam </w:t>
      </w:r>
      <w:r w:rsidR="002A3286" w:rsidRPr="002A3286">
        <w:rPr>
          <w:rFonts w:ascii="Times New Roman" w:hAnsi="Times New Roman" w:cs="Times New Roman"/>
          <w:lang w:val="pt-BR"/>
        </w:rPr>
        <w:t>contribu</w:t>
      </w:r>
      <w:r w:rsidR="002A3286">
        <w:rPr>
          <w:rFonts w:ascii="Times New Roman" w:hAnsi="Times New Roman" w:cs="Times New Roman"/>
          <w:lang w:val="pt-BR"/>
        </w:rPr>
        <w:t>ir</w:t>
      </w:r>
      <w:r w:rsidR="002A3286" w:rsidRPr="002A3286">
        <w:rPr>
          <w:rFonts w:ascii="Times New Roman" w:hAnsi="Times New Roman" w:cs="Times New Roman"/>
          <w:lang w:val="pt-BR"/>
        </w:rPr>
        <w:t xml:space="preserve"> para a transformação da realidade social e para a ampliação do bem-estar coletivo (Cerqueira, 2006; </w:t>
      </w:r>
      <w:r w:rsidR="00405741">
        <w:rPr>
          <w:rFonts w:ascii="Times New Roman" w:hAnsi="Times New Roman" w:cs="Times New Roman"/>
          <w:lang w:val="pt-BR"/>
        </w:rPr>
        <w:t xml:space="preserve">Rossi; </w:t>
      </w:r>
      <w:r w:rsidR="002A3286" w:rsidRPr="002A3286">
        <w:rPr>
          <w:rFonts w:ascii="Times New Roman" w:hAnsi="Times New Roman" w:cs="Times New Roman"/>
          <w:lang w:val="pt-BR"/>
        </w:rPr>
        <w:t>Mello, 2016).</w:t>
      </w:r>
    </w:p>
    <w:p w14:paraId="4E82EAB2" w14:textId="19997731" w:rsidR="0077525D" w:rsidRPr="0077525D" w:rsidRDefault="0077525D" w:rsidP="0077525D">
      <w:pPr>
        <w:spacing w:line="240" w:lineRule="auto"/>
        <w:jc w:val="both"/>
        <w:rPr>
          <w:rFonts w:ascii="Times New Roman" w:hAnsi="Times New Roman" w:cs="Times New Roman"/>
        </w:rPr>
      </w:pPr>
      <w:r w:rsidRPr="0077525D">
        <w:rPr>
          <w:rFonts w:ascii="Times New Roman" w:hAnsi="Times New Roman" w:cs="Times New Roman"/>
        </w:rPr>
        <w:t>O financiamento das universidades públicas é parte relevante do desenvolvimento social, científico, tecnológico e econômico, pois essas instituições atuam na formação, na pesquisa, na extensão, na produção de conhecimento e na prestação de serviços à sociedade. Sua função, portanto, ultrapassa a preparação profissional e se relaciona à formação humana, à circulação do saber e à ampliação das capacidades coletivas de intervenção sobre a realidade (K</w:t>
      </w:r>
      <w:proofErr w:type="spellStart"/>
      <w:r w:rsidR="00405741">
        <w:rPr>
          <w:rFonts w:ascii="Times New Roman" w:hAnsi="Times New Roman" w:cs="Times New Roman"/>
          <w:lang w:val="pt-BR"/>
        </w:rPr>
        <w:t>awasaki</w:t>
      </w:r>
      <w:proofErr w:type="spellEnd"/>
      <w:r w:rsidRPr="0077525D">
        <w:rPr>
          <w:rFonts w:ascii="Times New Roman" w:hAnsi="Times New Roman" w:cs="Times New Roman"/>
        </w:rPr>
        <w:t>, 1997; C</w:t>
      </w:r>
      <w:proofErr w:type="spellStart"/>
      <w:r w:rsidR="00405741">
        <w:rPr>
          <w:rFonts w:ascii="Times New Roman" w:hAnsi="Times New Roman" w:cs="Times New Roman"/>
          <w:lang w:val="pt-BR"/>
        </w:rPr>
        <w:t>erqueira</w:t>
      </w:r>
      <w:proofErr w:type="spellEnd"/>
      <w:r w:rsidRPr="0077525D">
        <w:rPr>
          <w:rFonts w:ascii="Times New Roman" w:hAnsi="Times New Roman" w:cs="Times New Roman"/>
        </w:rPr>
        <w:t xml:space="preserve">, 2006; </w:t>
      </w:r>
      <w:r w:rsidR="00405741">
        <w:rPr>
          <w:rFonts w:ascii="Times New Roman" w:hAnsi="Times New Roman" w:cs="Times New Roman"/>
          <w:lang w:val="pt-BR"/>
        </w:rPr>
        <w:t xml:space="preserve">Rossi; </w:t>
      </w:r>
      <w:r w:rsidRPr="0077525D">
        <w:rPr>
          <w:rFonts w:ascii="Times New Roman" w:hAnsi="Times New Roman" w:cs="Times New Roman"/>
        </w:rPr>
        <w:t>M</w:t>
      </w:r>
      <w:proofErr w:type="spellStart"/>
      <w:r w:rsidR="00405741">
        <w:rPr>
          <w:rFonts w:ascii="Times New Roman" w:hAnsi="Times New Roman" w:cs="Times New Roman"/>
          <w:lang w:val="pt-BR"/>
        </w:rPr>
        <w:t>ello</w:t>
      </w:r>
      <w:proofErr w:type="spellEnd"/>
      <w:r w:rsidRPr="0077525D">
        <w:rPr>
          <w:rFonts w:ascii="Times New Roman" w:hAnsi="Times New Roman" w:cs="Times New Roman"/>
        </w:rPr>
        <w:t>, 2016).</w:t>
      </w:r>
    </w:p>
    <w:p w14:paraId="52B500BC" w14:textId="6D945C7F" w:rsidR="0077525D" w:rsidRDefault="0077525D" w:rsidP="0077525D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77525D">
        <w:rPr>
          <w:rFonts w:ascii="Times New Roman" w:hAnsi="Times New Roman" w:cs="Times New Roman"/>
        </w:rPr>
        <w:t>Essa perspectiva reconhece que as possibilidades de ação dos indivíduos são condicionadas pelo contexto histórico, social e econômico em que vivem. Nesse sentido, a universidade pública contribui para democratizar o conhecimento, fortalecer a autonomia intelectual e produzir saberes orientados por finalidades coletivas, para além da lógica estrita do mercado (P</w:t>
      </w:r>
      <w:proofErr w:type="spellStart"/>
      <w:r w:rsidR="00405741">
        <w:rPr>
          <w:rFonts w:ascii="Times New Roman" w:hAnsi="Times New Roman" w:cs="Times New Roman"/>
          <w:lang w:val="pt-BR"/>
        </w:rPr>
        <w:t>aulani</w:t>
      </w:r>
      <w:proofErr w:type="spellEnd"/>
      <w:r w:rsidRPr="0077525D">
        <w:rPr>
          <w:rFonts w:ascii="Times New Roman" w:hAnsi="Times New Roman" w:cs="Times New Roman"/>
        </w:rPr>
        <w:t>, 1996; 1999; C</w:t>
      </w:r>
      <w:proofErr w:type="spellStart"/>
      <w:r w:rsidR="00405741">
        <w:rPr>
          <w:rFonts w:ascii="Times New Roman" w:hAnsi="Times New Roman" w:cs="Times New Roman"/>
          <w:lang w:val="pt-BR"/>
        </w:rPr>
        <w:t>erqueira</w:t>
      </w:r>
      <w:proofErr w:type="spellEnd"/>
      <w:r w:rsidRPr="0077525D">
        <w:rPr>
          <w:rFonts w:ascii="Times New Roman" w:hAnsi="Times New Roman" w:cs="Times New Roman"/>
        </w:rPr>
        <w:t>, 2006; G</w:t>
      </w:r>
      <w:proofErr w:type="spellStart"/>
      <w:r w:rsidR="00405741">
        <w:rPr>
          <w:rFonts w:ascii="Times New Roman" w:hAnsi="Times New Roman" w:cs="Times New Roman"/>
          <w:lang w:val="pt-BR"/>
        </w:rPr>
        <w:t>anem</w:t>
      </w:r>
      <w:proofErr w:type="spellEnd"/>
      <w:r w:rsidRPr="0077525D">
        <w:rPr>
          <w:rFonts w:ascii="Times New Roman" w:hAnsi="Times New Roman" w:cs="Times New Roman"/>
        </w:rPr>
        <w:t>, 2012).</w:t>
      </w:r>
    </w:p>
    <w:p w14:paraId="5BE95178" w14:textId="74A0AA5F" w:rsidR="00987AB6" w:rsidRPr="00987AB6" w:rsidRDefault="00987AB6" w:rsidP="0077525D">
      <w:pPr>
        <w:spacing w:line="240" w:lineRule="auto"/>
        <w:jc w:val="both"/>
        <w:rPr>
          <w:rFonts w:ascii="Times New Roman" w:hAnsi="Times New Roman" w:cs="Times New Roman"/>
        </w:rPr>
      </w:pPr>
      <w:r w:rsidRPr="00987AB6">
        <w:rPr>
          <w:rFonts w:ascii="Times New Roman" w:hAnsi="Times New Roman" w:cs="Times New Roman"/>
        </w:rPr>
        <w:t xml:space="preserve">Na perspectiva de Marx, o desenvolvimento não se reduz ao aumento da riqueza nem à ampliação das escolhas individuais de consumo (Harvey, 2013). Ele se refere à transformação histórica das condições sociais de existência, o que exige pensar a liberdade a partir das condições concretas de produção da vida (Bonente; Medeiros, 2016). Enquanto a lógica capitalista prioriza a expansão do valor em detrimento das </w:t>
      </w:r>
      <w:r w:rsidRPr="00987AB6">
        <w:rPr>
          <w:rFonts w:ascii="Times New Roman" w:hAnsi="Times New Roman" w:cs="Times New Roman"/>
        </w:rPr>
        <w:lastRenderedPageBreak/>
        <w:t xml:space="preserve">necessidades humanas (Hunt, 1985), as universidades públicas podem orientar sua atuação para a produção de valores de uso vinculados às demandas da sociedade. </w:t>
      </w:r>
    </w:p>
    <w:p w14:paraId="20E75A69" w14:textId="77777777" w:rsidR="00987AB6" w:rsidRPr="00987AB6" w:rsidRDefault="00987AB6" w:rsidP="00987AB6">
      <w:pPr>
        <w:spacing w:line="240" w:lineRule="auto"/>
        <w:jc w:val="both"/>
        <w:rPr>
          <w:rFonts w:ascii="Times New Roman" w:hAnsi="Times New Roman" w:cs="Times New Roman"/>
        </w:rPr>
      </w:pPr>
      <w:r w:rsidRPr="00987AB6">
        <w:rPr>
          <w:rFonts w:ascii="Times New Roman" w:hAnsi="Times New Roman" w:cs="Times New Roman"/>
        </w:rPr>
        <w:t xml:space="preserve">A dinâmica do capital é marcada por uma inversão na qual relações entre pessoas aparecem como relações entre coisas, encobrindo a estrutura social que sustenta a circulação de mercadorias (Hunt, 1985). A universidade, enquanto espaço de ensino, pesquisa e extensão, pode recolocar as relações sociais no centro da análise e questionar a neutralidade aparente do mercado. Esse papel se torna relevante diante de uma lógica de valorização que subordina a vida social ao lucro e à exploração da força de trabalho (Harvey, 2013). </w:t>
      </w:r>
    </w:p>
    <w:p w14:paraId="6684449C" w14:textId="77777777" w:rsidR="00987AB6" w:rsidRPr="00987AB6" w:rsidRDefault="00987AB6" w:rsidP="00987AB6">
      <w:pPr>
        <w:spacing w:line="240" w:lineRule="auto"/>
        <w:jc w:val="both"/>
        <w:rPr>
          <w:rFonts w:ascii="Times New Roman" w:hAnsi="Times New Roman" w:cs="Times New Roman"/>
        </w:rPr>
      </w:pPr>
      <w:r w:rsidRPr="00987AB6">
        <w:rPr>
          <w:rFonts w:ascii="Times New Roman" w:hAnsi="Times New Roman" w:cs="Times New Roman"/>
        </w:rPr>
        <w:t>Em sentido próximo, se a formação do capitalismo dependeu da expropriação e da separação entre trabalhadores e meios de produção, processo ligado à acumulação primitiva, a universidade pública, em sentido contrário, representa um esforço de reconexão da sociedade com os meios de produção intelectual e técnica que enfrenta a desigualdade na distribuição da liberdade, que no sistema capitalista tende a ser limitada e subordinada à dinâmica da acumulação (Hunt, 1985; Harvey, 2013; Bonente; Medeiros, 2016).</w:t>
      </w:r>
    </w:p>
    <w:p w14:paraId="7B490609" w14:textId="0701CAC4" w:rsidR="00987AB6" w:rsidRPr="00987AB6" w:rsidRDefault="00987AB6" w:rsidP="00987AB6">
      <w:pPr>
        <w:spacing w:line="240" w:lineRule="auto"/>
        <w:jc w:val="both"/>
        <w:rPr>
          <w:rFonts w:ascii="Times New Roman" w:hAnsi="Times New Roman" w:cs="Times New Roman"/>
        </w:rPr>
      </w:pPr>
      <w:r w:rsidRPr="00987AB6">
        <w:rPr>
          <w:rFonts w:ascii="Times New Roman" w:hAnsi="Times New Roman" w:cs="Times New Roman"/>
        </w:rPr>
        <w:t>Essa discussão também alcança o campo da inovação. Em Schumpeter, o desenvolvimento decorre de mudanças que alteram a estrutura econômica por meio da introdução de novidades, em um processo de “destruição criadora” (Schumpeter, 1984). Esse movimento depende de condições materiais e institucionais que sustentem a ruptura com rotinas produtivas estabelecidas (Schumpeter, 198</w:t>
      </w:r>
      <w:r w:rsidR="00405741">
        <w:rPr>
          <w:rFonts w:ascii="Times New Roman" w:hAnsi="Times New Roman" w:cs="Times New Roman"/>
          <w:lang w:val="pt-BR"/>
        </w:rPr>
        <w:t>2</w:t>
      </w:r>
      <w:r w:rsidRPr="00987AB6">
        <w:rPr>
          <w:rFonts w:ascii="Times New Roman" w:hAnsi="Times New Roman" w:cs="Times New Roman"/>
        </w:rPr>
        <w:t>). Nessa direção, a pesquisa universitária participa da geração de novas possibilidades técnicas e produtivas. Além disso, a inovação tecnológica constitui processo de longo prazo, baseado em aprendizado acumulado, experiência e pesquisa (Possas, 1989).</w:t>
      </w:r>
    </w:p>
    <w:p w14:paraId="3B7980A7" w14:textId="77777777" w:rsidR="00575289" w:rsidRDefault="00987AB6" w:rsidP="00987AB6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987AB6">
        <w:rPr>
          <w:rFonts w:ascii="Times New Roman" w:hAnsi="Times New Roman" w:cs="Times New Roman"/>
        </w:rPr>
        <w:t xml:space="preserve">O progresso técnico, portanto, não decorre de esforço isolado, mas da articulação entre empresas, universidades e instituições públicas. As trajetórias tecnológicas dependem de arranjos institucionais, interações organizacionais e mecanismos de cooperação que as universidades ajudam a formar e sustentar, com efeitos sobre inovação, competitividade e desenvolvimento econômico e social baseado no conhecimento. </w:t>
      </w:r>
    </w:p>
    <w:p w14:paraId="3F496A66" w14:textId="77777777" w:rsidR="00987AB6" w:rsidRPr="00987AB6" w:rsidRDefault="00987AB6" w:rsidP="00987AB6">
      <w:pPr>
        <w:spacing w:line="240" w:lineRule="auto"/>
        <w:jc w:val="both"/>
        <w:rPr>
          <w:rFonts w:ascii="Times New Roman" w:hAnsi="Times New Roman" w:cs="Times New Roman"/>
        </w:rPr>
      </w:pPr>
      <w:r w:rsidRPr="00987AB6">
        <w:rPr>
          <w:rFonts w:ascii="Times New Roman" w:hAnsi="Times New Roman" w:cs="Times New Roman"/>
        </w:rPr>
        <w:t>É nesse horizonte que se insere o modelo da Hélice Tríplice, no qual universidade, indústria e governo atuam como esferas relativamente independentes e interativas, em um “processo dinâmico para a inovação interminável que se vale dos três espaços da Hélice Tríplice: conhecimento, consenso e inovação” (Etzkowitz; Zhou, 2017, p. 30).</w:t>
      </w:r>
    </w:p>
    <w:p w14:paraId="7E839BD3" w14:textId="77777777" w:rsidR="00987AB6" w:rsidRDefault="00987AB6" w:rsidP="00987AB6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987AB6">
        <w:rPr>
          <w:rFonts w:ascii="Times New Roman" w:hAnsi="Times New Roman" w:cs="Times New Roman"/>
        </w:rPr>
        <w:t xml:space="preserve">No capitalismo periférico, essa agenda assume sentido mais amplo e a dependência tecnológica constitui entrave ao desenvolvimento social, pois os países centrais preservam sua posição por meio do controle da inovação tecnológica, do poder financeiro e do poder político-militar (Furtado, 1992). Assim considerado, sem universidades públicas com capacidade de produzir ciência e tecnologia, as economias periféricas permanecem subordinadas a uma ordem internacional que reproduz desigualdades sob o discurso da livre concorrência. </w:t>
      </w:r>
    </w:p>
    <w:p w14:paraId="19FDE684" w14:textId="77777777" w:rsidR="00987AB6" w:rsidRPr="00987AB6" w:rsidRDefault="00987AB6" w:rsidP="00987AB6">
      <w:pPr>
        <w:spacing w:line="240" w:lineRule="auto"/>
        <w:jc w:val="both"/>
        <w:rPr>
          <w:rFonts w:ascii="Times New Roman" w:hAnsi="Times New Roman" w:cs="Times New Roman"/>
        </w:rPr>
      </w:pPr>
      <w:r w:rsidRPr="00987AB6">
        <w:rPr>
          <w:rFonts w:ascii="Times New Roman" w:hAnsi="Times New Roman" w:cs="Times New Roman"/>
        </w:rPr>
        <w:lastRenderedPageBreak/>
        <w:t>A própria teoria das vantagens comparativas, quando convertida em fundamento para a especialização primária, contribui para manter países em desenvolvimento presos a bens de baixo valor agregado. O enfrentamento desse quadro exige estrutura produtiva mais densa e capacidade tecnológica, o que depende de investimento em educação e pesquisa. Economias assentadas apenas em commodities ficam expostas a crises e encontram limites para transformar crescimento econômico em bem-estar social de caráter sustentável (Carneiro, 2006).</w:t>
      </w:r>
    </w:p>
    <w:p w14:paraId="3C8108FB" w14:textId="68BC954F" w:rsidR="00987AB6" w:rsidRPr="00405741" w:rsidRDefault="00987AB6" w:rsidP="00987AB6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987AB6">
        <w:rPr>
          <w:rFonts w:ascii="Times New Roman" w:hAnsi="Times New Roman" w:cs="Times New Roman"/>
        </w:rPr>
        <w:t>A experiência histórica dos países hoje desenvolvidos reforça esse argumento, pois eles recorreram à proteção da indústria nacional e à intervenção estatal para alcançar outro patamar de desenvolvimento. Ha-Joon Chang (2002) descreve esse movimento como o ato de “chutar a escada”, por meio do qual as potências centrais passam a desaconselhar aos países pobres as mesmas estratégias que utilizaram para se desenvolver, entre elas o apoio estatal à ciência e à tecnologia. Com isso, o financiamento público das universidades brasileiras é, portanto, o uso de uma "escada" necessária para o "catch-up" tecnológico e social, uma maneira própria de trilhar seu desenvolvimento.</w:t>
      </w:r>
    </w:p>
    <w:p w14:paraId="3D425369" w14:textId="77777777" w:rsidR="00987AB6" w:rsidRDefault="00987AB6" w:rsidP="00987AB6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987AB6">
        <w:rPr>
          <w:rFonts w:ascii="Times New Roman" w:hAnsi="Times New Roman" w:cs="Times New Roman"/>
        </w:rPr>
        <w:t xml:space="preserve">Essa questão também dialoga com o debate sobre o papel do Estado. A reforma proposta por Bresser-Pereira (1995) situou o ensino superior e a pesquisa entre os serviços “não exclusivos”, nos quais o Estado deveria atuar no financiamento e na regulação. Ainda que essa formulação busque redefinir formas de gestão, permanece o risco de enfraquecimento do serviço público quando se reduz a responsabilidade estatal na garantia de direitos sociais (Ibid.). Isso porque o desenvolvimento não resulta automaticamente das forças de mercado, mas das escolhas políticas, da capacidade de planejamento e da definição de prioridades públicas (Fiori, 2000). </w:t>
      </w:r>
    </w:p>
    <w:p w14:paraId="3486AEE6" w14:textId="77777777" w:rsidR="00987AB6" w:rsidRPr="00987AB6" w:rsidRDefault="00987AB6" w:rsidP="00987AB6">
      <w:pPr>
        <w:spacing w:line="240" w:lineRule="auto"/>
        <w:jc w:val="both"/>
        <w:rPr>
          <w:rFonts w:ascii="Times New Roman" w:hAnsi="Times New Roman" w:cs="Times New Roman"/>
        </w:rPr>
      </w:pPr>
      <w:r w:rsidRPr="00987AB6">
        <w:rPr>
          <w:rFonts w:ascii="Times New Roman" w:hAnsi="Times New Roman" w:cs="Times New Roman"/>
        </w:rPr>
        <w:t>Nessa direção, a universidade pública não pode ser reduzida a uma questão meramente administrativa, já que seu financiamento integra a própria capacidade estatal de produzir conhecimento e orientar processos de transformação.</w:t>
      </w:r>
    </w:p>
    <w:p w14:paraId="481CE667" w14:textId="7D3C9C53" w:rsidR="00987AB6" w:rsidRDefault="0077525D" w:rsidP="0077525D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77525D">
        <w:rPr>
          <w:rFonts w:ascii="Times New Roman" w:hAnsi="Times New Roman" w:cs="Times New Roman"/>
        </w:rPr>
        <w:t>Em um contexto de disputas econômicas e tecnológicas, a universidade pública ocupa posição estratégica na produção de conhecimento, na formação de capacidades e na redução de dependências. Seu financiamento, portanto, deve ser compreendido como parte das condições necessárias para promover mudanças estruturais, enfrentar desigualdades e ampliar a capacidade de resposta do país às demandas sociais, econômicas e institucionais (F</w:t>
      </w:r>
      <w:proofErr w:type="spellStart"/>
      <w:r w:rsidR="00405741">
        <w:rPr>
          <w:rFonts w:ascii="Times New Roman" w:hAnsi="Times New Roman" w:cs="Times New Roman"/>
          <w:lang w:val="pt-BR"/>
        </w:rPr>
        <w:t>errari</w:t>
      </w:r>
      <w:proofErr w:type="spellEnd"/>
      <w:r w:rsidRPr="0077525D">
        <w:rPr>
          <w:rFonts w:ascii="Times New Roman" w:hAnsi="Times New Roman" w:cs="Times New Roman"/>
        </w:rPr>
        <w:t xml:space="preserve"> F</w:t>
      </w:r>
      <w:r w:rsidR="00405741">
        <w:rPr>
          <w:rFonts w:ascii="Times New Roman" w:hAnsi="Times New Roman" w:cs="Times New Roman"/>
          <w:lang w:val="pt-BR"/>
        </w:rPr>
        <w:t>ilho</w:t>
      </w:r>
      <w:r w:rsidRPr="0077525D">
        <w:rPr>
          <w:rFonts w:ascii="Times New Roman" w:hAnsi="Times New Roman" w:cs="Times New Roman"/>
        </w:rPr>
        <w:t>, 2006).</w:t>
      </w:r>
    </w:p>
    <w:p w14:paraId="1CC2347C" w14:textId="77777777" w:rsidR="0077525D" w:rsidRPr="0077525D" w:rsidRDefault="0077525D" w:rsidP="0077525D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lang w:val="pt-BR" w:eastAsia="zh-CN"/>
        </w:rPr>
      </w:pPr>
    </w:p>
    <w:p w14:paraId="17BFD310" w14:textId="77777777" w:rsidR="00987AB6" w:rsidRDefault="00987AB6" w:rsidP="00987AB6">
      <w:pPr>
        <w:spacing w:line="240" w:lineRule="auto"/>
        <w:rPr>
          <w:rFonts w:ascii="Times New Roman" w:eastAsiaTheme="minorEastAsia" w:hAnsi="Times New Roman" w:cs="Times New Roman"/>
          <w:b/>
          <w:bCs/>
          <w:lang w:eastAsia="zh-CN"/>
        </w:rPr>
      </w:pPr>
      <w:r w:rsidRPr="00987AB6">
        <w:rPr>
          <w:rFonts w:ascii="Times New Roman" w:hAnsi="Times New Roman" w:cs="Times New Roman"/>
          <w:b/>
          <w:bCs/>
        </w:rPr>
        <w:t>Orçamento Público em Universidades Federais</w:t>
      </w:r>
    </w:p>
    <w:p w14:paraId="3510D7E4" w14:textId="77777777" w:rsidR="00575289" w:rsidRPr="00575289" w:rsidRDefault="00575289" w:rsidP="00987AB6">
      <w:pPr>
        <w:spacing w:line="240" w:lineRule="auto"/>
        <w:rPr>
          <w:rFonts w:ascii="Times New Roman" w:eastAsiaTheme="minorEastAsia" w:hAnsi="Times New Roman" w:cs="Times New Roman"/>
          <w:b/>
          <w:bCs/>
          <w:lang w:eastAsia="zh-CN"/>
        </w:rPr>
      </w:pPr>
    </w:p>
    <w:p w14:paraId="62371FD1" w14:textId="77777777" w:rsidR="00987AB6" w:rsidRPr="00987AB6" w:rsidRDefault="00987AB6" w:rsidP="00987AB6">
      <w:pPr>
        <w:spacing w:line="240" w:lineRule="auto"/>
        <w:jc w:val="both"/>
        <w:rPr>
          <w:rFonts w:ascii="Times New Roman" w:hAnsi="Times New Roman" w:cs="Times New Roman"/>
        </w:rPr>
      </w:pPr>
      <w:r w:rsidRPr="00987AB6">
        <w:rPr>
          <w:rFonts w:ascii="Times New Roman" w:hAnsi="Times New Roman" w:cs="Times New Roman"/>
        </w:rPr>
        <w:t xml:space="preserve">A discussão sobre o financiamento das universidades públicas exige compreender o orçamento para além de sua forma contábil. O orçamento público consiste no instrumento por meio do qual o Estado organiza, em cada exercício, a previsão de receitas e a autorização de despesas financiadas pelos tributos arrecadados da sociedade, definindo a destinação de recursos para áreas e ações de interesse coletivo e, quando necessário, </w:t>
      </w:r>
      <w:r w:rsidRPr="00987AB6">
        <w:rPr>
          <w:rFonts w:ascii="Times New Roman" w:hAnsi="Times New Roman" w:cs="Times New Roman"/>
        </w:rPr>
        <w:lastRenderedPageBreak/>
        <w:t>recorrendo a operações de crédito e à emissão de títulos para ampliar a capacidade de financiamento (Gadelha, 2017). Nessa perspectiva, o orçamento expressa prioridades governamentais e orienta a execução das políticas públicas.</w:t>
      </w:r>
    </w:p>
    <w:p w14:paraId="77CC7488" w14:textId="77777777" w:rsidR="00987AB6" w:rsidRPr="00020753" w:rsidRDefault="00987AB6" w:rsidP="00987AB6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987AB6">
        <w:rPr>
          <w:rFonts w:ascii="Times New Roman" w:hAnsi="Times New Roman" w:cs="Times New Roman"/>
        </w:rPr>
        <w:t xml:space="preserve">Também pode ser compreendido como o instrumento central de organização das receitas e despesas do Estado, por meio do qual se definem metas, prioridades e a destinação dos recursos arrecadados para a execução de serviços, investimentos e ações governamentais (Brasil, [s.d.]; TCU, 2020). Trata-se, ainda, do ato em que o Poder Executivo estima despesas e prevê receitas, cabendo ao Poder Legislativo autorizar sua execução por período determinado e com a discriminação prevista em lei, o que estrutura o financiamento das atividades estatais (Baleeiro, 2002). Nessa condição, o orçamento define escolhas, distribui capacidades de ação e condiciona objetivos institucionais. </w:t>
      </w:r>
    </w:p>
    <w:p w14:paraId="38CAEB07" w14:textId="77777777" w:rsidR="0077525D" w:rsidRDefault="00987AB6" w:rsidP="0077525D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987AB6">
        <w:rPr>
          <w:rFonts w:ascii="Times New Roman" w:hAnsi="Times New Roman" w:cs="Times New Roman"/>
        </w:rPr>
        <w:t xml:space="preserve">Nas universidades federais, essa discussão se expressa no impacto da disponibilidade orçamentária sobre o funcionamento acadêmico, administrativo e social (Tuckumantel; Nunes, 2025). </w:t>
      </w:r>
      <w:r w:rsidR="0077525D" w:rsidRPr="0077525D">
        <w:rPr>
          <w:rFonts w:ascii="Times New Roman" w:hAnsi="Times New Roman" w:cs="Times New Roman"/>
        </w:rPr>
        <w:t>Considerando a autonomia universitária prevista no artigo 207 da Constituição, compreender o financiamento das universidades requer observar como os recursos disponíveis sustentam ou limitam suas atividades acadêmicas, sociais e estruturais (BRASIL, 1988).</w:t>
      </w:r>
    </w:p>
    <w:p w14:paraId="5D3784FC" w14:textId="3295D2F6" w:rsidR="00987AB6" w:rsidRPr="00987AB6" w:rsidRDefault="00987AB6" w:rsidP="0077525D">
      <w:pPr>
        <w:spacing w:line="240" w:lineRule="auto"/>
        <w:jc w:val="both"/>
        <w:rPr>
          <w:rFonts w:ascii="Times New Roman" w:hAnsi="Times New Roman" w:cs="Times New Roman"/>
        </w:rPr>
      </w:pPr>
      <w:r w:rsidRPr="00987AB6">
        <w:rPr>
          <w:rFonts w:ascii="Times New Roman" w:hAnsi="Times New Roman" w:cs="Times New Roman"/>
        </w:rPr>
        <w:t xml:space="preserve">A evolução do orçamento público no Brasil permite compreender a passagem de um modelo centrado no controle contábil do gasto para outro orientado pelo planejamento, pelo desempenho e pelos resultados. Essa mudança mostra que o orçamento deixou de ser tratado como simples autorização anual de despesa e passou a operar como instrumento de direção da ação estatal. No caso brasileiro, o orçamento-programa consolidou essa lógica ao vincular recursos, programas e ações a finalidades definidas pelo planejamento governamental e ao articular execução e objetivos públicos (Silva, 2019). </w:t>
      </w:r>
    </w:p>
    <w:p w14:paraId="7463960B" w14:textId="77777777" w:rsidR="006F3A71" w:rsidRPr="006F3A71" w:rsidRDefault="006F3A71" w:rsidP="006F3A71">
      <w:pPr>
        <w:spacing w:line="240" w:lineRule="auto"/>
        <w:jc w:val="both"/>
        <w:rPr>
          <w:rFonts w:ascii="Times New Roman" w:hAnsi="Times New Roman" w:cs="Times New Roman"/>
        </w:rPr>
      </w:pPr>
      <w:r w:rsidRPr="006F3A71">
        <w:rPr>
          <w:rFonts w:ascii="Times New Roman" w:hAnsi="Times New Roman" w:cs="Times New Roman"/>
        </w:rPr>
        <w:t>O planejamento público brasileiro se estrutura por meio do Plano Plurianual, da Lei de Diretrizes Orçamentárias e da Lei Orçamentária Anual. Esses instrumentos atuam de forma articulada: o PPA estabelece diretrizes, objetivos e metas para um período mais amplo, a LDO define prioridades e orienta a elaboração do orçamento, enquanto a LOA estima as receitas e fixa as despesas de cada exercício (BRASIL, 1988; BRASIL, 2000).</w:t>
      </w:r>
    </w:p>
    <w:p w14:paraId="6EBA21AF" w14:textId="2E9A8DF7" w:rsidR="006F3A71" w:rsidRPr="006F3A71" w:rsidRDefault="006F3A71" w:rsidP="006F3A71">
      <w:pPr>
        <w:spacing w:line="240" w:lineRule="auto"/>
        <w:jc w:val="both"/>
        <w:rPr>
          <w:rFonts w:ascii="Times New Roman" w:hAnsi="Times New Roman" w:cs="Times New Roman"/>
        </w:rPr>
      </w:pPr>
      <w:r w:rsidRPr="006F3A71">
        <w:rPr>
          <w:rFonts w:ascii="Times New Roman" w:hAnsi="Times New Roman" w:cs="Times New Roman"/>
        </w:rPr>
        <w:t>Essa organização permite aproximar planejamento e execução, já que as decisões anuais dependem de definições formuladas anteriormente. No caso das universidades federais, essa articulação é especialmente relevante, pois a continuidade do ensino, da pesquisa, da assistência estudantil, dos serviços e dos investimentos em infraestrutura exige previsão orçamentária e capacidade de execução ao longo do tempo (T</w:t>
      </w:r>
      <w:proofErr w:type="spellStart"/>
      <w:r w:rsidR="00405741">
        <w:rPr>
          <w:rFonts w:ascii="Times New Roman" w:hAnsi="Times New Roman" w:cs="Times New Roman"/>
          <w:lang w:val="pt-BR"/>
        </w:rPr>
        <w:t>uckumantel</w:t>
      </w:r>
      <w:proofErr w:type="spellEnd"/>
      <w:r w:rsidRPr="006F3A71">
        <w:rPr>
          <w:rFonts w:ascii="Times New Roman" w:hAnsi="Times New Roman" w:cs="Times New Roman"/>
        </w:rPr>
        <w:t>; N</w:t>
      </w:r>
      <w:r w:rsidR="00405741">
        <w:rPr>
          <w:rFonts w:ascii="Times New Roman" w:hAnsi="Times New Roman" w:cs="Times New Roman"/>
          <w:lang w:val="pt-BR"/>
        </w:rPr>
        <w:t>unes</w:t>
      </w:r>
      <w:r w:rsidRPr="006F3A71">
        <w:rPr>
          <w:rFonts w:ascii="Times New Roman" w:hAnsi="Times New Roman" w:cs="Times New Roman"/>
        </w:rPr>
        <w:t>, 2025).</w:t>
      </w:r>
    </w:p>
    <w:p w14:paraId="3F849A1D" w14:textId="77777777" w:rsidR="006F3A71" w:rsidRPr="006F3A71" w:rsidRDefault="006F3A71" w:rsidP="006F3A71">
      <w:pPr>
        <w:spacing w:line="240" w:lineRule="auto"/>
        <w:jc w:val="both"/>
        <w:rPr>
          <w:rFonts w:ascii="Times New Roman" w:hAnsi="Times New Roman" w:cs="Times New Roman"/>
        </w:rPr>
      </w:pPr>
      <w:r w:rsidRPr="006F3A71">
        <w:rPr>
          <w:rFonts w:ascii="Times New Roman" w:hAnsi="Times New Roman" w:cs="Times New Roman"/>
        </w:rPr>
        <w:t>O processo orçamentário também envolve a atuação do Congresso Nacional, inclusive por meio da apresentação de emendas, e o acompanhamento da Comissão Mista de Orçamento. Além disso, sua elaboração e execução devem observar princípios como unidade, universalidade, anualidade, exclusividade e orçamento bruto, que orientam a organização da LOA e o uso dos recursos públicos (BRASIL, 1988; BRASIL, [s.d.]; BRASIL, 2024).</w:t>
      </w:r>
    </w:p>
    <w:p w14:paraId="66F0A3AF" w14:textId="195B7195" w:rsidR="006F3A71" w:rsidRDefault="006F3A71" w:rsidP="006F3A71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6F3A71">
        <w:rPr>
          <w:rFonts w:ascii="Times New Roman" w:hAnsi="Times New Roman" w:cs="Times New Roman"/>
        </w:rPr>
        <w:lastRenderedPageBreak/>
        <w:t xml:space="preserve">A execução segue ainda as regras da Lei nº 4.320/1964 e da Lei de Responsabilidade Fiscal, que tratam da classificação das receitas e despesas, do equilíbrio fiscal, da transparência e do controle da gestão pública. Nesse sentido, o ciclo orçamentário compreende elaboração, discussão, aprovação, execução, avaliação e revisão, com acompanhamento dos órgãos de controle e possibilidade de ajustes ao longo do exercício (BRASIL, 1964; BRASIL, 2000; </w:t>
      </w:r>
      <w:r w:rsidR="00405741" w:rsidRPr="00405741">
        <w:rPr>
          <w:rFonts w:ascii="Times New Roman" w:hAnsi="Times New Roman" w:cs="Times New Roman"/>
        </w:rPr>
        <w:t>Fernandes</w:t>
      </w:r>
      <w:r w:rsidR="00405741">
        <w:rPr>
          <w:rFonts w:ascii="Times New Roman" w:hAnsi="Times New Roman" w:cs="Times New Roman"/>
          <w:lang w:val="pt-BR"/>
        </w:rPr>
        <w:t>;</w:t>
      </w:r>
      <w:r w:rsidR="00405741" w:rsidRPr="00405741">
        <w:rPr>
          <w:rFonts w:ascii="Times New Roman" w:hAnsi="Times New Roman" w:cs="Times New Roman"/>
        </w:rPr>
        <w:t xml:space="preserve"> Souza (2019)</w:t>
      </w:r>
      <w:r w:rsidRPr="006F3A71">
        <w:rPr>
          <w:rFonts w:ascii="Times New Roman" w:hAnsi="Times New Roman" w:cs="Times New Roman"/>
        </w:rPr>
        <w:t>.</w:t>
      </w:r>
    </w:p>
    <w:p w14:paraId="2CBDBA5D" w14:textId="77777777" w:rsidR="0077525D" w:rsidRDefault="0077525D" w:rsidP="00987AB6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77525D">
        <w:rPr>
          <w:rFonts w:ascii="Times New Roman" w:hAnsi="Times New Roman" w:cs="Times New Roman"/>
        </w:rPr>
        <w:t xml:space="preserve">Os créditos adicionais permitem ajustar o orçamento ao longo da execução, seja para reforçar dotações existentes, criar novas despesas ou atender situações imprevistas. Sua abertura, porém, depende de autorização legal e da existência de recursos, como superávit financeiro, excesso de arrecadação, reserva de contingência ou anulação de outras dotações. </w:t>
      </w:r>
    </w:p>
    <w:p w14:paraId="5FC7FB0B" w14:textId="193F5EAC" w:rsidR="00020753" w:rsidRDefault="0077525D" w:rsidP="00987AB6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77525D">
        <w:rPr>
          <w:rFonts w:ascii="Times New Roman" w:hAnsi="Times New Roman" w:cs="Times New Roman"/>
        </w:rPr>
        <w:t>Nas universidades federais</w:t>
      </w:r>
      <w:r>
        <w:rPr>
          <w:rFonts w:ascii="Times New Roman" w:hAnsi="Times New Roman" w:cs="Times New Roman"/>
          <w:lang w:val="pt-BR"/>
        </w:rPr>
        <w:t xml:space="preserve"> brasileiras</w:t>
      </w:r>
      <w:r w:rsidRPr="0077525D">
        <w:rPr>
          <w:rFonts w:ascii="Times New Roman" w:hAnsi="Times New Roman" w:cs="Times New Roman"/>
        </w:rPr>
        <w:t>, esse mecanismo é relevante porque a ampliação de programas, serviços e investimentos exige mais do que decisão administrativa: requer disponibilidade financeira, previsão orçamentária e respaldo jurídico. O orçamento, portanto, integra a base que viabiliza e limita a atuação institucional.</w:t>
      </w:r>
    </w:p>
    <w:p w14:paraId="6FA97F99" w14:textId="77777777" w:rsidR="0077525D" w:rsidRPr="0077525D" w:rsidRDefault="0077525D" w:rsidP="00987AB6">
      <w:pPr>
        <w:spacing w:line="240" w:lineRule="auto"/>
        <w:jc w:val="both"/>
        <w:rPr>
          <w:rFonts w:ascii="Times New Roman" w:eastAsiaTheme="minorEastAsia" w:hAnsi="Times New Roman" w:cs="Times New Roman"/>
          <w:lang w:val="pt-BR" w:eastAsia="zh-CN"/>
        </w:rPr>
      </w:pPr>
    </w:p>
    <w:p w14:paraId="15F6BD73" w14:textId="77777777" w:rsidR="00020753" w:rsidRDefault="00020753" w:rsidP="00987AB6">
      <w:pPr>
        <w:spacing w:line="240" w:lineRule="auto"/>
        <w:jc w:val="both"/>
        <w:rPr>
          <w:rFonts w:eastAsiaTheme="minorEastAsia"/>
          <w:b/>
          <w:bCs/>
          <w:color w:val="000000"/>
          <w:lang w:eastAsia="zh-CN"/>
        </w:rPr>
      </w:pPr>
      <w:r>
        <w:rPr>
          <w:b/>
          <w:bCs/>
          <w:color w:val="000000"/>
        </w:rPr>
        <w:t>Avaliação das universidades federais: análise dos dados orçamentários</w:t>
      </w:r>
    </w:p>
    <w:p w14:paraId="35CEA032" w14:textId="77777777" w:rsidR="00020753" w:rsidRPr="00020753" w:rsidRDefault="00020753" w:rsidP="00987AB6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</w:p>
    <w:p w14:paraId="52E47993" w14:textId="77777777" w:rsidR="00020753" w:rsidRPr="00020753" w:rsidRDefault="00020753" w:rsidP="00020753">
      <w:pPr>
        <w:spacing w:line="240" w:lineRule="auto"/>
        <w:jc w:val="both"/>
        <w:rPr>
          <w:rFonts w:ascii="Times New Roman" w:hAnsi="Times New Roman" w:cs="Times New Roman"/>
        </w:rPr>
      </w:pPr>
      <w:r w:rsidRPr="00020753">
        <w:rPr>
          <w:rFonts w:ascii="Times New Roman" w:hAnsi="Times New Roman" w:cs="Times New Roman"/>
        </w:rPr>
        <w:t>Avaliar os orçamentos das universidades federais constitui um passo necessário para compreender as condições que sustentam seu funcionamento. O exame desses dados permite observar como os recursos públicos se organizam e se distribuem entre custeio, investimento e diferentes áreas de atuação universitária. Com isso, a análise orçamentária oferece uma base para examinar a relação entre financiamento, funcionamento institucional e capacidade de execução (ANDIFES, 2018; 2025).</w:t>
      </w:r>
    </w:p>
    <w:p w14:paraId="2218ED52" w14:textId="77777777" w:rsidR="00020753" w:rsidRPr="00020753" w:rsidRDefault="00020753" w:rsidP="00020753">
      <w:pPr>
        <w:spacing w:line="240" w:lineRule="auto"/>
        <w:jc w:val="both"/>
        <w:rPr>
          <w:rFonts w:ascii="Times New Roman" w:hAnsi="Times New Roman" w:cs="Times New Roman"/>
        </w:rPr>
      </w:pPr>
      <w:r w:rsidRPr="00020753">
        <w:rPr>
          <w:rFonts w:ascii="Times New Roman" w:hAnsi="Times New Roman" w:cs="Times New Roman"/>
        </w:rPr>
        <w:t>Essa leitura também permite identificar como o orçamento incide sobre ensino, pesquisa, extensão e assistência estudantil. Ao acompanhar a alocação dos recursos, torna-se possível perceber quais áreas encontram suporte para sua continuidade e quais passam a operar sob restrições, o que interfere nas condições materiais de funcionamento das universidades federais (ANDIFES, 2025). O orçamento, nesse sentido, integra o conjunto de condições que sustentam a realização das ações universitárias.</w:t>
      </w:r>
    </w:p>
    <w:p w14:paraId="5CF45943" w14:textId="3EF9D562" w:rsidR="004E363F" w:rsidRDefault="00020753" w:rsidP="006F3A71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020753">
        <w:rPr>
          <w:rFonts w:ascii="Times New Roman" w:hAnsi="Times New Roman" w:cs="Times New Roman"/>
        </w:rPr>
        <w:t xml:space="preserve">A importância dessa avaliação também decorre do fato de que os dados orçamentários não expressam apenas valores, mas prioridades institucionais. Examinar o orçamento significa observar como se distribuem as capacidades de ação no interior das universidades e como essa distribuição interfere na execução de programas, serviços e investimentos. </w:t>
      </w:r>
    </w:p>
    <w:p w14:paraId="58EF2D75" w14:textId="0B662E14" w:rsidR="006F3A71" w:rsidRPr="006F3A71" w:rsidRDefault="006F3A71" w:rsidP="006F3A71">
      <w:pPr>
        <w:spacing w:line="240" w:lineRule="auto"/>
        <w:jc w:val="both"/>
        <w:rPr>
          <w:rFonts w:ascii="Times New Roman" w:eastAsiaTheme="minorEastAsia" w:hAnsi="Times New Roman" w:cs="Times New Roman"/>
          <w:lang w:val="pt-BR" w:eastAsia="zh-CN"/>
        </w:rPr>
      </w:pPr>
      <w:r w:rsidRPr="006F3A71">
        <w:rPr>
          <w:rFonts w:ascii="Times New Roman" w:eastAsiaTheme="minorEastAsia" w:hAnsi="Times New Roman" w:cs="Times New Roman"/>
          <w:lang w:val="pt-BR" w:eastAsia="zh-CN"/>
        </w:rPr>
        <w:t>A análise do financiamento permite compreender como os recursos e as prioridades institucionais condicionam o funcionamento das universidades federais (ANDIFES, 2018; 2025). Nesse sentido, a Tabela 1 reúne os dados de custeio e capital entre 2015 e 2024, evidenciando a base financeira destinada à manutenção das atividades e aos investimentos institucionais (BRASIL, 1964; BRASIL, 1988; BRASIL, 2024).</w:t>
      </w:r>
    </w:p>
    <w:p w14:paraId="251146F8" w14:textId="77777777" w:rsidR="00020753" w:rsidRPr="00020753" w:rsidRDefault="00020753" w:rsidP="000207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pt-BR" w:eastAsia="pt-BR"/>
          <w14:ligatures w14:val="none"/>
        </w:rPr>
      </w:pPr>
      <w:r w:rsidRPr="0002075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pt-BR" w:eastAsia="pt-BR"/>
          <w14:ligatures w14:val="none"/>
        </w:rPr>
        <w:lastRenderedPageBreak/>
        <w:t>Tabela 1:</w:t>
      </w:r>
      <w:r w:rsidRPr="0002075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pt-BR" w:eastAsia="pt-BR"/>
          <w14:ligatures w14:val="none"/>
        </w:rPr>
        <w:t xml:space="preserve"> Orçamento de Custeio, Capital e Total (2015-2024) - Valores em reais corrigidos pelo IPCA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1843"/>
        <w:gridCol w:w="1701"/>
        <w:gridCol w:w="1984"/>
        <w:gridCol w:w="1985"/>
      </w:tblGrid>
      <w:tr w:rsidR="00020753" w:rsidRPr="00020753" w14:paraId="1CC71A29" w14:textId="77777777" w:rsidTr="00020753">
        <w:trPr>
          <w:trHeight w:val="497"/>
        </w:trPr>
        <w:tc>
          <w:tcPr>
            <w:tcW w:w="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1F4E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DC5397" w14:textId="77777777" w:rsidR="00020753" w:rsidRPr="00020753" w:rsidRDefault="00020753" w:rsidP="0002075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Anos</w:t>
            </w:r>
          </w:p>
        </w:tc>
        <w:tc>
          <w:tcPr>
            <w:tcW w:w="1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1F4E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7F83DF" w14:textId="77777777" w:rsidR="00020753" w:rsidRPr="00020753" w:rsidRDefault="00020753" w:rsidP="0002075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Orçamento de Custeio</w:t>
            </w:r>
          </w:p>
        </w:tc>
        <w:tc>
          <w:tcPr>
            <w:tcW w:w="1701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1F4E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F2EECF" w14:textId="77777777" w:rsidR="00020753" w:rsidRPr="00020753" w:rsidRDefault="00020753" w:rsidP="0002075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Orçamento de Capital</w:t>
            </w:r>
          </w:p>
        </w:tc>
        <w:tc>
          <w:tcPr>
            <w:tcW w:w="1984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1F4E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C04B26" w14:textId="77777777" w:rsidR="00020753" w:rsidRPr="00020753" w:rsidRDefault="00020753" w:rsidP="0002075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Total dos Orçamentos</w:t>
            </w:r>
          </w:p>
        </w:tc>
        <w:tc>
          <w:tcPr>
            <w:tcW w:w="1985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1F4E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0FC360" w14:textId="77777777" w:rsidR="00020753" w:rsidRPr="00020753" w:rsidRDefault="00020753" w:rsidP="0002075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Evolução percentual acumulada*</w:t>
            </w:r>
          </w:p>
        </w:tc>
      </w:tr>
      <w:tr w:rsidR="00020753" w:rsidRPr="00020753" w14:paraId="26543267" w14:textId="77777777" w:rsidTr="00020753">
        <w:trPr>
          <w:trHeight w:val="45"/>
        </w:trPr>
        <w:tc>
          <w:tcPr>
            <w:tcW w:w="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1D435A08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2015</w:t>
            </w:r>
          </w:p>
        </w:tc>
        <w:tc>
          <w:tcPr>
            <w:tcW w:w="1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3BE1B528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R$ 8.709.150.295</w:t>
            </w:r>
          </w:p>
        </w:tc>
        <w:tc>
          <w:tcPr>
            <w:tcW w:w="1701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5CEF879C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R$ 4.421.927.370</w:t>
            </w:r>
          </w:p>
        </w:tc>
        <w:tc>
          <w:tcPr>
            <w:tcW w:w="1984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6C3261D5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R$ 13.131.077.665</w:t>
            </w:r>
          </w:p>
        </w:tc>
        <w:tc>
          <w:tcPr>
            <w:tcW w:w="1985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63E01360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</w:t>
            </w:r>
          </w:p>
        </w:tc>
      </w:tr>
      <w:tr w:rsidR="00020753" w:rsidRPr="00020753" w14:paraId="65055363" w14:textId="77777777" w:rsidTr="00020753">
        <w:trPr>
          <w:trHeight w:val="25"/>
        </w:trPr>
        <w:tc>
          <w:tcPr>
            <w:tcW w:w="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071E5BCF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2016</w:t>
            </w:r>
          </w:p>
        </w:tc>
        <w:tc>
          <w:tcPr>
            <w:tcW w:w="1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32B4C521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R$ 8.398.988.773</w:t>
            </w:r>
          </w:p>
        </w:tc>
        <w:tc>
          <w:tcPr>
            <w:tcW w:w="1701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5BFB4DEA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R$ 2.464.828.928</w:t>
            </w:r>
          </w:p>
        </w:tc>
        <w:tc>
          <w:tcPr>
            <w:tcW w:w="1984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52E8FC6C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R$ 10.863.817.701</w:t>
            </w:r>
          </w:p>
        </w:tc>
        <w:tc>
          <w:tcPr>
            <w:tcW w:w="1985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4F28A316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0"/>
                <w:szCs w:val="20"/>
                <w:lang w:val="pt-BR" w:eastAsia="pt-BR"/>
                <w14:ligatures w14:val="none"/>
              </w:rPr>
              <w:t>-17,27%</w:t>
            </w:r>
          </w:p>
        </w:tc>
      </w:tr>
      <w:tr w:rsidR="00020753" w:rsidRPr="00020753" w14:paraId="47389596" w14:textId="77777777" w:rsidTr="00020753">
        <w:trPr>
          <w:trHeight w:val="129"/>
        </w:trPr>
        <w:tc>
          <w:tcPr>
            <w:tcW w:w="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185CF959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2017</w:t>
            </w:r>
          </w:p>
        </w:tc>
        <w:tc>
          <w:tcPr>
            <w:tcW w:w="1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41D692E4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R$ 7.368.151.103</w:t>
            </w:r>
          </w:p>
        </w:tc>
        <w:tc>
          <w:tcPr>
            <w:tcW w:w="1701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5FCDFA36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R$ 1.523.824.496</w:t>
            </w:r>
          </w:p>
        </w:tc>
        <w:tc>
          <w:tcPr>
            <w:tcW w:w="1984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7C04CB18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R$ 8.891.975.599</w:t>
            </w:r>
          </w:p>
        </w:tc>
        <w:tc>
          <w:tcPr>
            <w:tcW w:w="1985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5EF063FC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0"/>
                <w:szCs w:val="20"/>
                <w:lang w:val="pt-BR" w:eastAsia="pt-BR"/>
                <w14:ligatures w14:val="none"/>
              </w:rPr>
              <w:t>-32,28%</w:t>
            </w:r>
          </w:p>
        </w:tc>
      </w:tr>
      <w:tr w:rsidR="00020753" w:rsidRPr="00020753" w14:paraId="45A4F889" w14:textId="77777777" w:rsidTr="00020753">
        <w:trPr>
          <w:trHeight w:val="121"/>
        </w:trPr>
        <w:tc>
          <w:tcPr>
            <w:tcW w:w="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60CF6991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1011C3DC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R$ 7.322.818.788</w:t>
            </w:r>
          </w:p>
        </w:tc>
        <w:tc>
          <w:tcPr>
            <w:tcW w:w="1701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14937CC8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R$ 612.032.461</w:t>
            </w:r>
          </w:p>
        </w:tc>
        <w:tc>
          <w:tcPr>
            <w:tcW w:w="1984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7926BE6C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R$ 7.934.851.249</w:t>
            </w:r>
          </w:p>
        </w:tc>
        <w:tc>
          <w:tcPr>
            <w:tcW w:w="1985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5E643729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0"/>
                <w:szCs w:val="20"/>
                <w:lang w:val="pt-BR" w:eastAsia="pt-BR"/>
                <w14:ligatures w14:val="none"/>
              </w:rPr>
              <w:t>-39,57%</w:t>
            </w:r>
          </w:p>
        </w:tc>
      </w:tr>
      <w:tr w:rsidR="00020753" w:rsidRPr="00020753" w14:paraId="61382922" w14:textId="77777777" w:rsidTr="00020753">
        <w:trPr>
          <w:trHeight w:val="98"/>
        </w:trPr>
        <w:tc>
          <w:tcPr>
            <w:tcW w:w="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64DF7509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6B99CF3B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R$ 7.128.212.754</w:t>
            </w:r>
          </w:p>
        </w:tc>
        <w:tc>
          <w:tcPr>
            <w:tcW w:w="1701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06AFF908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R$ 432.943.624</w:t>
            </w:r>
          </w:p>
        </w:tc>
        <w:tc>
          <w:tcPr>
            <w:tcW w:w="1984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27F15F48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R$ 7.561.156.378</w:t>
            </w:r>
          </w:p>
        </w:tc>
        <w:tc>
          <w:tcPr>
            <w:tcW w:w="1985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71E1098C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0"/>
                <w:szCs w:val="20"/>
                <w:lang w:val="pt-BR" w:eastAsia="pt-BR"/>
                <w14:ligatures w14:val="none"/>
              </w:rPr>
              <w:t>-42,42%</w:t>
            </w:r>
          </w:p>
        </w:tc>
      </w:tr>
      <w:tr w:rsidR="00020753" w:rsidRPr="00020753" w14:paraId="7E8D4756" w14:textId="77777777" w:rsidTr="00020753">
        <w:trPr>
          <w:trHeight w:val="25"/>
        </w:trPr>
        <w:tc>
          <w:tcPr>
            <w:tcW w:w="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428EDF22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7E12F6C3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R$ 6.490.178.718</w:t>
            </w:r>
          </w:p>
        </w:tc>
        <w:tc>
          <w:tcPr>
            <w:tcW w:w="1701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389187C2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R$ 708.990.671</w:t>
            </w:r>
          </w:p>
        </w:tc>
        <w:tc>
          <w:tcPr>
            <w:tcW w:w="1984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4211ED20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R$ 7.199.169.389</w:t>
            </w:r>
          </w:p>
        </w:tc>
        <w:tc>
          <w:tcPr>
            <w:tcW w:w="1985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44C2C1B0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0"/>
                <w:szCs w:val="20"/>
                <w:lang w:val="pt-BR" w:eastAsia="pt-BR"/>
                <w14:ligatures w14:val="none"/>
              </w:rPr>
              <w:t>-45,17%</w:t>
            </w:r>
          </w:p>
        </w:tc>
      </w:tr>
      <w:tr w:rsidR="00020753" w:rsidRPr="00020753" w14:paraId="59624583" w14:textId="77777777" w:rsidTr="00020753">
        <w:trPr>
          <w:trHeight w:val="69"/>
        </w:trPr>
        <w:tc>
          <w:tcPr>
            <w:tcW w:w="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0CF6BC9C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70AE64A4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R$ 4.935.811.936</w:t>
            </w:r>
          </w:p>
        </w:tc>
        <w:tc>
          <w:tcPr>
            <w:tcW w:w="1701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6D57DBB7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R$ 436.333.039</w:t>
            </w:r>
          </w:p>
        </w:tc>
        <w:tc>
          <w:tcPr>
            <w:tcW w:w="1984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5E94EA4C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R$ 5.372.144.976</w:t>
            </w:r>
          </w:p>
        </w:tc>
        <w:tc>
          <w:tcPr>
            <w:tcW w:w="1985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11ED5854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0"/>
                <w:szCs w:val="20"/>
                <w:lang w:val="pt-BR" w:eastAsia="pt-BR"/>
                <w14:ligatures w14:val="none"/>
              </w:rPr>
              <w:t>-59,09%</w:t>
            </w:r>
          </w:p>
        </w:tc>
      </w:tr>
      <w:tr w:rsidR="00020753" w:rsidRPr="00020753" w14:paraId="07F7087C" w14:textId="77777777" w:rsidTr="00020753">
        <w:trPr>
          <w:trHeight w:val="47"/>
        </w:trPr>
        <w:tc>
          <w:tcPr>
            <w:tcW w:w="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2A1198DE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2022</w:t>
            </w:r>
          </w:p>
        </w:tc>
        <w:tc>
          <w:tcPr>
            <w:tcW w:w="1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0022542B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R$ 5.249.008.891</w:t>
            </w:r>
          </w:p>
        </w:tc>
        <w:tc>
          <w:tcPr>
            <w:tcW w:w="1701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4003AF17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R$ 476.694.155</w:t>
            </w:r>
          </w:p>
        </w:tc>
        <w:tc>
          <w:tcPr>
            <w:tcW w:w="1984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6860EB68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R$ 5.725.703.046</w:t>
            </w:r>
          </w:p>
        </w:tc>
        <w:tc>
          <w:tcPr>
            <w:tcW w:w="1985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6933EC24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0"/>
                <w:szCs w:val="20"/>
                <w:lang w:val="pt-BR" w:eastAsia="pt-BR"/>
                <w14:ligatures w14:val="none"/>
              </w:rPr>
              <w:t>-56,40%</w:t>
            </w:r>
          </w:p>
        </w:tc>
      </w:tr>
      <w:tr w:rsidR="00020753" w:rsidRPr="00020753" w14:paraId="44935527" w14:textId="77777777" w:rsidTr="00020753">
        <w:trPr>
          <w:trHeight w:val="25"/>
        </w:trPr>
        <w:tc>
          <w:tcPr>
            <w:tcW w:w="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2B0D23A3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2023</w:t>
            </w:r>
          </w:p>
        </w:tc>
        <w:tc>
          <w:tcPr>
            <w:tcW w:w="1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321CEC99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R$ 6.057.992.619</w:t>
            </w:r>
          </w:p>
        </w:tc>
        <w:tc>
          <w:tcPr>
            <w:tcW w:w="1701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1AAD6EE5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R$ 452.518.626</w:t>
            </w:r>
          </w:p>
        </w:tc>
        <w:tc>
          <w:tcPr>
            <w:tcW w:w="1984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0A83FB58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R$ 6.510.511.246</w:t>
            </w:r>
          </w:p>
        </w:tc>
        <w:tc>
          <w:tcPr>
            <w:tcW w:w="1985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044E22A2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0"/>
                <w:szCs w:val="20"/>
                <w:lang w:val="pt-BR" w:eastAsia="pt-BR"/>
                <w14:ligatures w14:val="none"/>
              </w:rPr>
              <w:t>-50,42%</w:t>
            </w:r>
          </w:p>
        </w:tc>
      </w:tr>
      <w:tr w:rsidR="00020753" w:rsidRPr="00020753" w14:paraId="1C42C626" w14:textId="77777777" w:rsidTr="00020753">
        <w:trPr>
          <w:trHeight w:val="25"/>
        </w:trPr>
        <w:tc>
          <w:tcPr>
            <w:tcW w:w="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63368AC3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2024</w:t>
            </w:r>
          </w:p>
        </w:tc>
        <w:tc>
          <w:tcPr>
            <w:tcW w:w="1843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3E7653A0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R$ 5.858.787.449</w:t>
            </w:r>
          </w:p>
        </w:tc>
        <w:tc>
          <w:tcPr>
            <w:tcW w:w="1701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5C72F378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R$ 177.274.002</w:t>
            </w:r>
          </w:p>
        </w:tc>
        <w:tc>
          <w:tcPr>
            <w:tcW w:w="1984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40F33456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R$ 6.036.061.451</w:t>
            </w:r>
          </w:p>
        </w:tc>
        <w:tc>
          <w:tcPr>
            <w:tcW w:w="1985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4D2B96BE" w14:textId="77777777" w:rsidR="00020753" w:rsidRPr="00020753" w:rsidRDefault="00020753" w:rsidP="0002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20753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0"/>
                <w:szCs w:val="20"/>
                <w:lang w:val="pt-BR" w:eastAsia="pt-BR"/>
                <w14:ligatures w14:val="none"/>
              </w:rPr>
              <w:t>-54,03%</w:t>
            </w:r>
          </w:p>
        </w:tc>
      </w:tr>
    </w:tbl>
    <w:p w14:paraId="48B87273" w14:textId="77777777" w:rsidR="00020753" w:rsidRPr="00020753" w:rsidRDefault="00020753" w:rsidP="000207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pt-BR" w:eastAsia="pt-BR"/>
          <w14:ligatures w14:val="none"/>
        </w:rPr>
      </w:pPr>
      <w:r w:rsidRPr="0002075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pt-BR" w:eastAsia="pt-BR"/>
          <w14:ligatures w14:val="none"/>
        </w:rPr>
        <w:t>Fonte:</w:t>
      </w:r>
      <w:r w:rsidRPr="0002075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pt-BR" w:eastAsia="pt-BR"/>
          <w14:ligatures w14:val="none"/>
        </w:rPr>
        <w:t xml:space="preserve"> Adaptado de FORPLAD/ANDIFES, 2025.</w:t>
      </w:r>
    </w:p>
    <w:p w14:paraId="670B8D07" w14:textId="77777777" w:rsidR="004E363F" w:rsidRDefault="004E363F" w:rsidP="00020753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</w:p>
    <w:p w14:paraId="2331705C" w14:textId="5F90EE1D" w:rsidR="004E363F" w:rsidRDefault="006F3A71" w:rsidP="006F3A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pt-BR" w:eastAsia="pt-BR"/>
          <w14:ligatures w14:val="none"/>
        </w:rPr>
      </w:pPr>
      <w:r w:rsidRPr="006F3A71">
        <w:rPr>
          <w:rFonts w:ascii="Times New Roman" w:hAnsi="Times New Roman" w:cs="Times New Roman"/>
        </w:rPr>
        <w:t>A retração e as oscilações do orçamento discricionário das IFES pressionam as despesas de custeio e capital, afetam serviços ligados à permanência estudantil, à infraestrutura, à pesquisa e à extensão e reduzem a capacidade das universidades, sobretudo das que dispõem de menor margem financeira, de responder às demandas acadêmicas e sociais.</w:t>
      </w:r>
      <w:r w:rsidR="004E363F">
        <w:rPr>
          <w:b/>
          <w:bCs/>
          <w:color w:val="000000"/>
          <w:sz w:val="20"/>
          <w:szCs w:val="20"/>
        </w:rPr>
        <w:br w:type="page"/>
      </w:r>
    </w:p>
    <w:p w14:paraId="3AB03DFB" w14:textId="77777777" w:rsidR="00020753" w:rsidRDefault="00020753" w:rsidP="00020753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  <w:sz w:val="20"/>
          <w:szCs w:val="20"/>
        </w:rPr>
        <w:lastRenderedPageBreak/>
        <w:t xml:space="preserve">Gráfico 1. </w:t>
      </w:r>
      <w:r>
        <w:rPr>
          <w:color w:val="000000"/>
          <w:sz w:val="20"/>
          <w:szCs w:val="20"/>
        </w:rPr>
        <w:t>Trajetória do Orçamento nas Universidades Federais (2015-2024) </w:t>
      </w:r>
    </w:p>
    <w:p w14:paraId="1646A7BE" w14:textId="77777777" w:rsidR="00020753" w:rsidRDefault="00020753" w:rsidP="00020753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valores corrigido</w:t>
      </w:r>
      <w:proofErr w:type="gramEnd"/>
      <w:r>
        <w:rPr>
          <w:color w:val="000000"/>
          <w:sz w:val="20"/>
          <w:szCs w:val="20"/>
        </w:rPr>
        <w:t xml:space="preserve"> pelo IPCA (base 2024)</w:t>
      </w:r>
    </w:p>
    <w:p w14:paraId="2F9DEA88" w14:textId="77777777" w:rsidR="00020753" w:rsidRDefault="00020753" w:rsidP="00020753">
      <w:pPr>
        <w:pStyle w:val="NormalWeb"/>
        <w:spacing w:before="0" w:beforeAutospacing="0" w:after="0" w:afterAutospacing="0"/>
        <w:jc w:val="center"/>
      </w:pPr>
      <w:r w:rsidRPr="00020753">
        <w:rPr>
          <w:noProof/>
        </w:rPr>
        <w:drawing>
          <wp:inline distT="0" distB="0" distL="0" distR="0" wp14:anchorId="4029A4A4" wp14:editId="712F19CC">
            <wp:extent cx="4705350" cy="2855898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4310" cy="287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B3A52" w14:textId="77777777" w:rsidR="00020753" w:rsidRDefault="00020753" w:rsidP="00020753">
      <w:pPr>
        <w:pStyle w:val="NormalWeb"/>
        <w:spacing w:before="0" w:beforeAutospacing="0" w:after="0" w:afterAutospacing="0"/>
        <w:jc w:val="center"/>
      </w:pPr>
    </w:p>
    <w:p w14:paraId="73395099" w14:textId="77777777" w:rsidR="00020753" w:rsidRDefault="00020753" w:rsidP="00020753">
      <w:pPr>
        <w:pStyle w:val="NormalWeb"/>
        <w:spacing w:before="0" w:beforeAutospacing="0" w:after="0" w:afterAutospacing="0"/>
        <w:jc w:val="center"/>
      </w:pPr>
      <w:r>
        <w:rPr>
          <w:color w:val="000000"/>
          <w:sz w:val="20"/>
          <w:szCs w:val="20"/>
        </w:rPr>
        <w:t>Fonte: Adaptado de Tuckumantel; Nunes, 2025.</w:t>
      </w:r>
    </w:p>
    <w:p w14:paraId="78D6049A" w14:textId="77777777" w:rsidR="00020753" w:rsidRDefault="00020753" w:rsidP="00020753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</w:p>
    <w:p w14:paraId="2B3A988F" w14:textId="5E9BD851" w:rsidR="004E363F" w:rsidRPr="004E363F" w:rsidRDefault="006F3A71" w:rsidP="004E363F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6F3A71">
        <w:rPr>
          <w:rFonts w:ascii="Times New Roman" w:eastAsiaTheme="minorEastAsia" w:hAnsi="Times New Roman" w:cs="Times New Roman"/>
          <w:lang w:eastAsia="zh-CN"/>
        </w:rPr>
        <w:t>A análise dos valores corrigidos pelo IPCA evidencia a retração do orçamento das IFES, sobretudo dos recursos de capital, que passaram de R$ 4,421 bilhões em 2015 para R$ 177 milhões ao final da série, limitando investimentos em infraestrutura, inovação e modernização institucional. No custeio, a queda de R$ 8,7 bilhões em 2015 para R$ 4,9 bilhões em 2021 foi seguida de recomposição em 2022 e 2023, ainda insuficiente diante do aumento dos custos operacionais e da inflação, o que compromete a continuidade das atividades acadêmicas, científicas e sociais e reduz a capacidade das universidades de sustentar ensino, pesquisa, extensão e assistência estudantil (ANDIFES, 2024).</w:t>
      </w:r>
    </w:p>
    <w:p w14:paraId="01FB6EA2" w14:textId="77777777" w:rsidR="004E363F" w:rsidRPr="004E363F" w:rsidRDefault="004E363F" w:rsidP="004E363F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4E363F">
        <w:rPr>
          <w:rFonts w:ascii="Times New Roman" w:eastAsiaTheme="minorEastAsia" w:hAnsi="Times New Roman" w:cs="Times New Roman"/>
          <w:lang w:eastAsia="zh-CN"/>
        </w:rPr>
        <w:t>É nesse quadro que se insere a UFSC. A observação de sua trajetória orçamentária permite deslocar a análise do plano geral das universidades federais para uma realidade institucional determinada, tornando visíveis os efeitos da compressão orçamentária sobre o funcionamento cotidiano da universidade. Com isso, o exame do orçamento da UFSC estabelece uma ponte entre a dinâmica observada no conjunto do sistema federal e seus desdobramentos sobre manutenção, investimento, atendimento das demandas acadêmicas e capacidade de resposta institucional.</w:t>
      </w:r>
    </w:p>
    <w:p w14:paraId="25CFF7AC" w14:textId="77777777" w:rsidR="00020753" w:rsidRPr="004E363F" w:rsidRDefault="004E363F" w:rsidP="004E363F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4E363F">
        <w:rPr>
          <w:rFonts w:ascii="Times New Roman" w:eastAsiaTheme="minorEastAsia" w:hAnsi="Times New Roman" w:cs="Times New Roman"/>
          <w:lang w:eastAsia="zh-CN"/>
        </w:rPr>
        <w:t>A leitura desse caso contribui para mostrar que a restrição orçamentária não se expressa apenas na redução de valores, mas na redefinição das possibilidades de ação da universidade. Quando os recursos perdem capacidade de sustentar custeio e capital, ampliam-se os limites para a continuidade das atividades e para a realização de escolhas institucionais. Nessa direção, a Tabela 2 apresenta a série histórica orçamentária de custeio e capital da UFSC entre 2015 e 2024, oferecendo base para examinar como essa trajetória se constituiu ao longo do período.</w:t>
      </w:r>
    </w:p>
    <w:p w14:paraId="365D4B84" w14:textId="77777777" w:rsidR="00FC2309" w:rsidRDefault="00FC2309" w:rsidP="004E36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pt-BR" w:eastAsia="pt-BR"/>
          <w14:ligatures w14:val="none"/>
        </w:rPr>
      </w:pPr>
    </w:p>
    <w:p w14:paraId="3426E31E" w14:textId="77777777" w:rsidR="004E363F" w:rsidRPr="004E363F" w:rsidRDefault="004E363F" w:rsidP="00FC23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pt-BR" w:eastAsia="pt-BR"/>
          <w14:ligatures w14:val="none"/>
        </w:rPr>
      </w:pPr>
      <w:r w:rsidRPr="004E363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pt-BR" w:eastAsia="pt-BR"/>
          <w14:ligatures w14:val="none"/>
        </w:rPr>
        <w:t>Tabela 2:</w:t>
      </w:r>
      <w:r w:rsidRPr="004E363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pt-BR" w:eastAsia="pt-BR"/>
          <w14:ligatures w14:val="none"/>
        </w:rPr>
        <w:t xml:space="preserve"> Orçamento Custeio, Capital e Total UFSC (2015-2024) - Valores em reais corrigidos pelo IPCA</w:t>
      </w:r>
    </w:p>
    <w:tbl>
      <w:tblPr>
        <w:tblW w:w="8789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1484"/>
        <w:gridCol w:w="1169"/>
        <w:gridCol w:w="1559"/>
        <w:gridCol w:w="992"/>
        <w:gridCol w:w="1559"/>
        <w:gridCol w:w="1276"/>
      </w:tblGrid>
      <w:tr w:rsidR="002D14EC" w:rsidRPr="004E363F" w14:paraId="3D94E03B" w14:textId="77777777" w:rsidTr="002D14EC">
        <w:trPr>
          <w:trHeight w:val="19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52E3B968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Ano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054CBDE0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Custeio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</w:tcPr>
          <w:p w14:paraId="6C1CEDD9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% Custeio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2CDD95DE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Capital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</w:tcPr>
          <w:p w14:paraId="4BCB3F30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% Capital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4F43F099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Total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C720774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% Total</w:t>
            </w:r>
          </w:p>
        </w:tc>
      </w:tr>
      <w:tr w:rsidR="002D14EC" w:rsidRPr="004E363F" w14:paraId="550D3239" w14:textId="77777777" w:rsidTr="002D14EC">
        <w:trPr>
          <w:trHeight w:val="1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136B1147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b/>
                <w:bCs/>
                <w:color w:val="EFEFEF"/>
                <w:kern w:val="0"/>
                <w:sz w:val="20"/>
                <w:szCs w:val="20"/>
                <w:lang w:val="pt-BR" w:eastAsia="pt-BR"/>
                <w14:ligatures w14:val="none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0D827C1B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R$ 213.523.122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FCAD5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0,00%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617541F7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R$ 91.835.735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092D8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0,00%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BBE5ACE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R$ 305.358.857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50AE9815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0,00%</w:t>
            </w:r>
          </w:p>
        </w:tc>
      </w:tr>
      <w:tr w:rsidR="002D14EC" w:rsidRPr="004E363F" w14:paraId="650CFF40" w14:textId="77777777" w:rsidTr="002D14EC">
        <w:trPr>
          <w:trHeight w:val="1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64C9151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b/>
                <w:bCs/>
                <w:color w:val="EFEFEF"/>
                <w:kern w:val="0"/>
                <w:sz w:val="20"/>
                <w:szCs w:val="20"/>
                <w:lang w:val="pt-BR" w:eastAsia="pt-BR"/>
                <w14:ligatures w14:val="none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26FBDBE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R$ 224.468.141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</w:tcPr>
          <w:p w14:paraId="43CF22D3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5,13%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C77DBC7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R$ 43.527.946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</w:tcPr>
          <w:p w14:paraId="1D376D69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-52,60%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26D2265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R$ 267.996.086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5FCD60F2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-12,24%</w:t>
            </w:r>
          </w:p>
        </w:tc>
      </w:tr>
      <w:tr w:rsidR="002D14EC" w:rsidRPr="004E363F" w14:paraId="6FAC26C2" w14:textId="77777777" w:rsidTr="002D14EC">
        <w:trPr>
          <w:trHeight w:val="1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3EA92433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b/>
                <w:bCs/>
                <w:color w:val="EFEFEF"/>
                <w:kern w:val="0"/>
                <w:sz w:val="20"/>
                <w:szCs w:val="20"/>
                <w:lang w:val="pt-BR" w:eastAsia="pt-BR"/>
                <w14:ligatures w14:val="none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9DE8C38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R$ 196.103.420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63C6C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-8,16%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0F38F3A6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R$ 37.670.299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7D6D0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-58,98%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5728A32E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R$ 233.773.719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4D090FB3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-23,44%</w:t>
            </w:r>
          </w:p>
        </w:tc>
      </w:tr>
      <w:tr w:rsidR="002D14EC" w:rsidRPr="004E363F" w14:paraId="11E834C1" w14:textId="77777777" w:rsidTr="002D14EC">
        <w:trPr>
          <w:trHeight w:val="1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3A57CD6C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b/>
                <w:bCs/>
                <w:color w:val="EFEFEF"/>
                <w:kern w:val="0"/>
                <w:sz w:val="20"/>
                <w:szCs w:val="20"/>
                <w:lang w:val="pt-BR" w:eastAsia="pt-BR"/>
                <w14:ligatures w14:val="none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55708645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R$ 194.466.952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</w:tcPr>
          <w:p w14:paraId="58DBDD55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-8,92%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05C6DEAC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R$ 8.318.046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</w:tcPr>
          <w:p w14:paraId="39592954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-90,94%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2C9341E0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R$ 202.784.998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2852F75B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-33,59%</w:t>
            </w:r>
          </w:p>
        </w:tc>
      </w:tr>
      <w:tr w:rsidR="002D14EC" w:rsidRPr="004E363F" w14:paraId="7A8C073E" w14:textId="77777777" w:rsidTr="002D14EC">
        <w:trPr>
          <w:trHeight w:val="1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143C89A9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b/>
                <w:bCs/>
                <w:color w:val="EFEFEF"/>
                <w:kern w:val="0"/>
                <w:sz w:val="20"/>
                <w:szCs w:val="20"/>
                <w:lang w:val="pt-BR" w:eastAsia="pt-BR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179DF0D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R$ 193.253.124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EDA93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-9,49%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16C42620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R$ 6.772.102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762AD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-92,63%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16918AE0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R$ 200.025.226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688968F2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-34,50%</w:t>
            </w:r>
          </w:p>
        </w:tc>
      </w:tr>
      <w:tr w:rsidR="002D14EC" w:rsidRPr="004E363F" w14:paraId="4E441A96" w14:textId="77777777" w:rsidTr="002D14EC">
        <w:trPr>
          <w:trHeight w:val="1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68FED4F9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b/>
                <w:bCs/>
                <w:color w:val="EFEFEF"/>
                <w:kern w:val="0"/>
                <w:sz w:val="20"/>
                <w:szCs w:val="20"/>
                <w:lang w:val="pt-BR" w:eastAsia="pt-BR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133D539D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R$ 177.055.747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</w:tcPr>
          <w:p w14:paraId="32BD6AE1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-17,08%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27BA0019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R$ 10.415.487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</w:tcPr>
          <w:p w14:paraId="25A28810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-88,66%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674AA481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R$ 187.421.233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3595C8C6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-38,62%</w:t>
            </w:r>
          </w:p>
        </w:tc>
      </w:tr>
      <w:tr w:rsidR="002D14EC" w:rsidRPr="004E363F" w14:paraId="1520F914" w14:textId="77777777" w:rsidTr="002D14EC">
        <w:trPr>
          <w:trHeight w:val="1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25BCD159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b/>
                <w:bCs/>
                <w:color w:val="EFEFEF"/>
                <w:kern w:val="0"/>
                <w:sz w:val="20"/>
                <w:szCs w:val="20"/>
                <w:lang w:val="pt-BR" w:eastAsia="pt-BR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57B8098A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R$ 133.437.739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2D48A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-37,51%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66B09111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R$ 9.457.639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A1856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-89,70%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644468F1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R$ 142.895.377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2F7ACD41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-53,20%</w:t>
            </w:r>
          </w:p>
        </w:tc>
      </w:tr>
      <w:tr w:rsidR="002D14EC" w:rsidRPr="004E363F" w14:paraId="30D3EC75" w14:textId="77777777" w:rsidTr="002D14EC">
        <w:trPr>
          <w:trHeight w:val="3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2D002C2A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b/>
                <w:bCs/>
                <w:color w:val="EFEFEF"/>
                <w:kern w:val="0"/>
                <w:sz w:val="20"/>
                <w:szCs w:val="20"/>
                <w:lang w:val="pt-BR" w:eastAsia="pt-BR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AAB0E10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R$ 130.451.185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</w:tcPr>
          <w:p w14:paraId="0F476E9B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-38,91%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426AEE46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R$ 5.089.070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</w:tcPr>
          <w:p w14:paraId="1B43D597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-94,46%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1465B363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R$ 135.540.256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1C9F92EA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-55,61%</w:t>
            </w:r>
          </w:p>
        </w:tc>
      </w:tr>
      <w:tr w:rsidR="002D14EC" w:rsidRPr="004E363F" w14:paraId="3B079FD2" w14:textId="77777777" w:rsidTr="002D14EC">
        <w:trPr>
          <w:trHeight w:val="1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4D2308FD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b/>
                <w:bCs/>
                <w:color w:val="EFEFEF"/>
                <w:kern w:val="0"/>
                <w:sz w:val="20"/>
                <w:szCs w:val="20"/>
                <w:lang w:val="pt-BR" w:eastAsia="pt-BR"/>
                <w14:ligatures w14:val="none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541CAC7F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R$ 151.639.103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27520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-28,98%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3E244988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R$ 5.777.954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5B875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-93,71%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6F221002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R$ 157.417.057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08CCFCB7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-48,45%</w:t>
            </w:r>
          </w:p>
        </w:tc>
      </w:tr>
      <w:tr w:rsidR="002D14EC" w:rsidRPr="004E363F" w14:paraId="0F583643" w14:textId="77777777" w:rsidTr="002D14EC">
        <w:trPr>
          <w:trHeight w:val="1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2E8AFCA1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b/>
                <w:bCs/>
                <w:color w:val="EFEFEF"/>
                <w:kern w:val="0"/>
                <w:sz w:val="20"/>
                <w:szCs w:val="20"/>
                <w:lang w:val="pt-BR" w:eastAsia="pt-BR"/>
                <w14:ligatures w14:val="none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250A6EF4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R$ 155.805.188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</w:tcPr>
          <w:p w14:paraId="1C4F3E8A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-27,03%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271EFAF1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R$ 6.553.220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</w:tcPr>
          <w:p w14:paraId="6A8DBBFA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-92,86%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5A714A26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R$ 162.358.388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9FC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473675F6" w14:textId="77777777" w:rsidR="002D14EC" w:rsidRPr="004E363F" w:rsidRDefault="002D14EC" w:rsidP="002D14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4E36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-46,83%</w:t>
            </w:r>
          </w:p>
        </w:tc>
      </w:tr>
    </w:tbl>
    <w:p w14:paraId="46265E4A" w14:textId="77777777" w:rsidR="004E363F" w:rsidRPr="004E363F" w:rsidRDefault="004E363F" w:rsidP="00FC2309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lang w:val="pt-BR" w:eastAsia="pt-BR"/>
          <w14:ligatures w14:val="none"/>
        </w:rPr>
      </w:pPr>
      <w:r w:rsidRPr="004E363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pt-BR" w:eastAsia="pt-BR"/>
          <w14:ligatures w14:val="none"/>
        </w:rPr>
        <w:t>Fonte</w:t>
      </w:r>
      <w:r w:rsidRPr="004E363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pt-BR" w:eastAsia="pt-BR"/>
          <w14:ligatures w14:val="none"/>
        </w:rPr>
        <w:t>: Adaptado de UFSC-SEPLAN, 2025.</w:t>
      </w:r>
    </w:p>
    <w:p w14:paraId="48FC0E54" w14:textId="77777777" w:rsidR="00020753" w:rsidRPr="004E363F" w:rsidRDefault="00020753" w:rsidP="00020753">
      <w:pPr>
        <w:spacing w:line="240" w:lineRule="auto"/>
        <w:jc w:val="both"/>
        <w:rPr>
          <w:rFonts w:ascii="Times New Roman" w:eastAsiaTheme="minorEastAsia" w:hAnsi="Times New Roman" w:cs="Times New Roman"/>
          <w:lang w:val="pt-BR" w:eastAsia="zh-CN"/>
        </w:rPr>
      </w:pPr>
    </w:p>
    <w:p w14:paraId="08BE975E" w14:textId="77777777" w:rsidR="004E363F" w:rsidRPr="004E363F" w:rsidRDefault="004E363F" w:rsidP="004E363F">
      <w:pPr>
        <w:spacing w:line="240" w:lineRule="auto"/>
        <w:jc w:val="both"/>
        <w:rPr>
          <w:rFonts w:ascii="Times New Roman" w:eastAsiaTheme="minorEastAsia" w:hAnsi="Times New Roman" w:cs="Times New Roman"/>
          <w:lang w:val="pt-BR" w:eastAsia="zh-CN"/>
        </w:rPr>
      </w:pPr>
      <w:r w:rsidRPr="004E363F">
        <w:rPr>
          <w:rFonts w:ascii="Times New Roman" w:eastAsiaTheme="minorEastAsia" w:hAnsi="Times New Roman" w:cs="Times New Roman"/>
          <w:lang w:val="pt-BR" w:eastAsia="zh-CN"/>
        </w:rPr>
        <w:t xml:space="preserve">A leitura dos dados orçamentários da UFSC, com base no orçamento discricionário corrigido pelo IPCA e restrito aos repasses do Tesouro Nacional, mostra redução entre 2015 e 2024. No custeio, a série registra queda entre 2015 e 2022 e recomposição nos anos seguintes. Mesmo com essa variação, os valores não retornam ao patamar necessário ao funcionamento da universidade. </w:t>
      </w:r>
    </w:p>
    <w:p w14:paraId="12C1A560" w14:textId="77777777" w:rsidR="004E363F" w:rsidRPr="004E363F" w:rsidRDefault="004E363F" w:rsidP="004E363F">
      <w:pPr>
        <w:spacing w:line="240" w:lineRule="auto"/>
        <w:jc w:val="both"/>
        <w:rPr>
          <w:rFonts w:ascii="Times New Roman" w:eastAsiaTheme="minorEastAsia" w:hAnsi="Times New Roman" w:cs="Times New Roman"/>
          <w:lang w:val="pt-BR" w:eastAsia="zh-CN"/>
        </w:rPr>
      </w:pPr>
      <w:r w:rsidRPr="004E363F">
        <w:rPr>
          <w:rFonts w:ascii="Times New Roman" w:eastAsiaTheme="minorEastAsia" w:hAnsi="Times New Roman" w:cs="Times New Roman"/>
          <w:lang w:val="pt-BR" w:eastAsia="zh-CN"/>
        </w:rPr>
        <w:t xml:space="preserve">No capital, a redução ocorre em escala maior, com perda superior a 90% no período. Esse movimento limita despesas com infraestrutura, modernização e aquisição de equipamentos. Com isso, a universidade passa a operar com menor capacidade para realizar investimentos. </w:t>
      </w:r>
    </w:p>
    <w:p w14:paraId="29F21E81" w14:textId="77777777" w:rsidR="004E363F" w:rsidRPr="004E363F" w:rsidRDefault="004E363F" w:rsidP="004E363F">
      <w:pPr>
        <w:spacing w:line="240" w:lineRule="auto"/>
        <w:jc w:val="both"/>
        <w:rPr>
          <w:rFonts w:ascii="Times New Roman" w:eastAsiaTheme="minorEastAsia" w:hAnsi="Times New Roman" w:cs="Times New Roman"/>
          <w:lang w:val="pt-BR" w:eastAsia="zh-CN"/>
        </w:rPr>
      </w:pPr>
      <w:r w:rsidRPr="004E363F">
        <w:rPr>
          <w:rFonts w:ascii="Times New Roman" w:eastAsiaTheme="minorEastAsia" w:hAnsi="Times New Roman" w:cs="Times New Roman"/>
          <w:lang w:val="pt-BR" w:eastAsia="zh-CN"/>
        </w:rPr>
        <w:t xml:space="preserve">No orçamento total, os dados também mostram retração em termos reais, ainda que haja recomposição nos anos finais da série. Esse resultado indica que a recuperação recente não recompôs a capacidade orçamentária da instituição. Assim, a redução de recursos atingiu a manutenção das atividades e os investimentos, com efeitos sobre o funcionamento institucional e sobre a oferta de serviços acadêmicos. </w:t>
      </w:r>
    </w:p>
    <w:p w14:paraId="48891168" w14:textId="77777777" w:rsidR="004E363F" w:rsidRDefault="004E363F" w:rsidP="00020753">
      <w:pPr>
        <w:spacing w:line="240" w:lineRule="auto"/>
        <w:jc w:val="both"/>
        <w:rPr>
          <w:rFonts w:ascii="Times New Roman" w:eastAsiaTheme="minorEastAsia" w:hAnsi="Times New Roman" w:cs="Times New Roman"/>
          <w:lang w:val="pt-BR" w:eastAsia="zh-CN"/>
        </w:rPr>
      </w:pPr>
      <w:r w:rsidRPr="004E363F">
        <w:rPr>
          <w:rFonts w:ascii="Times New Roman" w:eastAsiaTheme="minorEastAsia" w:hAnsi="Times New Roman" w:cs="Times New Roman"/>
          <w:lang w:val="pt-BR" w:eastAsia="zh-CN"/>
        </w:rPr>
        <w:t>O Gráfico 2 apresenta a trajetória dos recursos do Tesouro destinados ao custeio e ao capital da UFSC entre 2015 e 2024, em valores corrigidos pelo IPCA, com base em 2024.</w:t>
      </w:r>
    </w:p>
    <w:p w14:paraId="4D6D94C1" w14:textId="77777777" w:rsidR="004E363F" w:rsidRDefault="004E363F" w:rsidP="00020753">
      <w:pPr>
        <w:spacing w:line="240" w:lineRule="auto"/>
        <w:jc w:val="both"/>
        <w:rPr>
          <w:rFonts w:ascii="Times New Roman" w:eastAsiaTheme="minorEastAsia" w:hAnsi="Times New Roman" w:cs="Times New Roman"/>
          <w:lang w:val="pt-BR" w:eastAsia="zh-CN"/>
        </w:rPr>
      </w:pPr>
    </w:p>
    <w:p w14:paraId="7FF07F02" w14:textId="77777777" w:rsidR="004E363F" w:rsidRPr="004E363F" w:rsidRDefault="004E363F" w:rsidP="004E363F">
      <w:pPr>
        <w:spacing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val="pt-BR" w:eastAsia="zh-CN"/>
        </w:rPr>
      </w:pPr>
      <w:r w:rsidRPr="004E363F">
        <w:rPr>
          <w:rFonts w:ascii="Times New Roman" w:eastAsiaTheme="minorEastAsia" w:hAnsi="Times New Roman" w:cs="Times New Roman"/>
          <w:b/>
          <w:sz w:val="20"/>
          <w:szCs w:val="20"/>
          <w:lang w:val="pt-BR" w:eastAsia="zh-CN"/>
        </w:rPr>
        <w:t>Gráfico 2</w:t>
      </w:r>
      <w:r w:rsidRPr="004E363F">
        <w:rPr>
          <w:rFonts w:ascii="Times New Roman" w:eastAsiaTheme="minorEastAsia" w:hAnsi="Times New Roman" w:cs="Times New Roman"/>
          <w:sz w:val="20"/>
          <w:szCs w:val="20"/>
          <w:lang w:val="pt-BR" w:eastAsia="zh-CN"/>
        </w:rPr>
        <w:t>. Trajetória histórica: Custeio vs. Capital (UFSC, 2015-2024) - IPCA (base 2024)</w:t>
      </w:r>
    </w:p>
    <w:p w14:paraId="48457A32" w14:textId="77777777" w:rsidR="004E363F" w:rsidRPr="004E363F" w:rsidRDefault="004E363F" w:rsidP="00FC2309">
      <w:pPr>
        <w:spacing w:line="240" w:lineRule="auto"/>
        <w:jc w:val="center"/>
        <w:rPr>
          <w:rFonts w:ascii="Times New Roman" w:eastAsiaTheme="minorEastAsia" w:hAnsi="Times New Roman" w:cs="Times New Roman"/>
          <w:lang w:val="pt-BR" w:eastAsia="zh-CN"/>
        </w:rPr>
      </w:pPr>
      <w:r w:rsidRPr="004E363F">
        <w:rPr>
          <w:rFonts w:ascii="Times New Roman" w:eastAsiaTheme="minorEastAsia" w:hAnsi="Times New Roman" w:cs="Times New Roman"/>
          <w:noProof/>
          <w:lang w:val="pt-BR" w:eastAsia="pt-BR"/>
        </w:rPr>
        <w:lastRenderedPageBreak/>
        <w:drawing>
          <wp:inline distT="0" distB="0" distL="0" distR="0" wp14:anchorId="67A1EB67" wp14:editId="694EAA0C">
            <wp:extent cx="4247887" cy="2728570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9865" cy="276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D9D6B" w14:textId="77777777" w:rsidR="004E363F" w:rsidRPr="00FC2309" w:rsidRDefault="004E363F" w:rsidP="00FC2309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  <w:r w:rsidRPr="00FC2309">
        <w:rPr>
          <w:rFonts w:ascii="Times New Roman" w:eastAsiaTheme="minorEastAsia" w:hAnsi="Times New Roman" w:cs="Times New Roman"/>
          <w:b/>
          <w:sz w:val="20"/>
          <w:szCs w:val="20"/>
          <w:lang w:eastAsia="zh-CN"/>
        </w:rPr>
        <w:t>Fonte</w:t>
      </w:r>
      <w:r w:rsidRPr="00FC2309">
        <w:rPr>
          <w:rFonts w:ascii="Times New Roman" w:eastAsiaTheme="minorEastAsia" w:hAnsi="Times New Roman" w:cs="Times New Roman"/>
          <w:sz w:val="20"/>
          <w:szCs w:val="20"/>
          <w:lang w:eastAsia="zh-CN"/>
        </w:rPr>
        <w:t>: Adaptado de Tuckumantel; Nunes, 2025.</w:t>
      </w:r>
    </w:p>
    <w:p w14:paraId="1FBFA51B" w14:textId="77777777" w:rsidR="006F3A71" w:rsidRDefault="00FC2309" w:rsidP="006F3A71">
      <w:pPr>
        <w:spacing w:line="240" w:lineRule="auto"/>
        <w:jc w:val="both"/>
        <w:rPr>
          <w:rFonts w:ascii="Times New Roman" w:eastAsiaTheme="minorEastAsia" w:hAnsi="Times New Roman" w:cs="Times New Roman"/>
          <w:lang w:val="pt-BR" w:eastAsia="zh-CN"/>
        </w:rPr>
      </w:pPr>
      <w:r w:rsidRPr="00FC2309">
        <w:rPr>
          <w:rFonts w:ascii="Times New Roman" w:eastAsiaTheme="minorEastAsia" w:hAnsi="Times New Roman" w:cs="Times New Roman"/>
          <w:lang w:val="pt-BR" w:eastAsia="zh-CN"/>
        </w:rPr>
        <w:t xml:space="preserve">O gráfico mostra a redução dos repasses do Tesouro Nacional à UFSC entre 2015 e 2024 no custeio, no capital e no total dos recursos, com efeitos sobre despesas de funcionamento e investimentos. </w:t>
      </w:r>
      <w:r w:rsidR="006F3A71" w:rsidRPr="006F3A71">
        <w:rPr>
          <w:rFonts w:ascii="Times New Roman" w:eastAsiaTheme="minorEastAsia" w:hAnsi="Times New Roman" w:cs="Times New Roman"/>
          <w:lang w:val="pt-BR" w:eastAsia="zh-CN"/>
        </w:rPr>
        <w:t>Em 2023, a UFSC recebeu R$ 158,1 milhões após suplementações, remanejamentos e transferências, dos quais R$ 148,6 milhões foram destinados ao custeio e R$ 9,6 milhões ao capital. Consideradas também as receitas próprias e as emendas parlamentares, o orçamento chegou a R$ 209,2 milhões, embora a universidade tenha mantido déficit de R$ 17 milhões e projetado nova insuficiência para 2024, evidenciando a continuidade do subfinanciamento institucional (APUFSC, 2025; BRASIL, 2023; UFSC, 2024).</w:t>
      </w:r>
    </w:p>
    <w:p w14:paraId="04552A87" w14:textId="141FB717" w:rsidR="004E363F" w:rsidRPr="00FC2309" w:rsidRDefault="006F3A71" w:rsidP="006F3A71">
      <w:pPr>
        <w:spacing w:line="240" w:lineRule="auto"/>
        <w:jc w:val="both"/>
        <w:rPr>
          <w:rFonts w:ascii="Times New Roman" w:eastAsiaTheme="minorEastAsia" w:hAnsi="Times New Roman" w:cs="Times New Roman"/>
          <w:lang w:val="pt-BR" w:eastAsia="zh-CN"/>
        </w:rPr>
      </w:pPr>
      <w:r w:rsidRPr="006F3A71">
        <w:rPr>
          <w:rFonts w:ascii="Times New Roman" w:eastAsiaTheme="minorEastAsia" w:hAnsi="Times New Roman" w:cs="Times New Roman"/>
          <w:lang w:val="pt-BR" w:eastAsia="zh-CN"/>
        </w:rPr>
        <w:t>Diante desse cenário, a gestão adotou medidas como revisão de contratos, remanejamento de recursos e articulação pela recomposição orçamentária, ao mesmo tempo que a receita própria ganhou maior peso como fonte complementar, passando de R$ 17,9 milhões em 2015 para R$ 47,7 milhões em 2024. Parte dessas receitas decorre de serviços, rendimentos patrimoniais e concessões de espaços, incluindo cobranças de água, energia e despesas condominiais, cujos valores podem ser destinados a ações de assistência estudantil, sem substituir a necessidade de financiamento público adequado (APUFSC, 2025; BRASIL, 2023; UFSC, 2015–2025; UFSC, 2016).</w:t>
      </w:r>
    </w:p>
    <w:p w14:paraId="524D2BA6" w14:textId="77777777" w:rsidR="00FC2309" w:rsidRDefault="00FC2309" w:rsidP="00020753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</w:p>
    <w:p w14:paraId="75905864" w14:textId="77777777" w:rsidR="00FC2309" w:rsidRPr="00FC2309" w:rsidRDefault="00FC2309" w:rsidP="00020753">
      <w:pPr>
        <w:spacing w:line="240" w:lineRule="auto"/>
        <w:jc w:val="both"/>
        <w:rPr>
          <w:b/>
          <w:bCs/>
          <w:color w:val="000000"/>
        </w:rPr>
      </w:pPr>
      <w:r w:rsidRPr="00FC2309">
        <w:rPr>
          <w:b/>
          <w:bCs/>
          <w:color w:val="000000"/>
        </w:rPr>
        <w:t>Orçamento da Assistência Estudantil</w:t>
      </w:r>
    </w:p>
    <w:p w14:paraId="3D9BF368" w14:textId="77777777" w:rsidR="00FC2309" w:rsidRDefault="00FC2309" w:rsidP="00020753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</w:p>
    <w:p w14:paraId="22D5B905" w14:textId="77777777" w:rsidR="00AD1566" w:rsidRPr="00AD1566" w:rsidRDefault="00AD1566" w:rsidP="00AD1566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AD1566">
        <w:rPr>
          <w:rFonts w:ascii="Times New Roman" w:eastAsiaTheme="minorEastAsia" w:hAnsi="Times New Roman" w:cs="Times New Roman"/>
          <w:lang w:eastAsia="zh-CN"/>
        </w:rPr>
        <w:t xml:space="preserve">No campo da assistência estudantil, o financiamento envolve fontes distintas e formas de distribuição que incidem sobre a execução das ações universitárias. Na UFSC, parte da receita arrecadada com aluguéis e concessões de uso de espaços integra o financiamento de ações executadas pela PRAE. No plano nacional, a distribuição dos recursos discricionários entre as universidades federais segue critérios de rateio definidos pelo </w:t>
      </w:r>
      <w:r w:rsidRPr="00AD1566">
        <w:rPr>
          <w:rFonts w:ascii="Times New Roman" w:eastAsiaTheme="minorEastAsia" w:hAnsi="Times New Roman" w:cs="Times New Roman"/>
          <w:lang w:eastAsia="zh-CN"/>
        </w:rPr>
        <w:lastRenderedPageBreak/>
        <w:t>Ministério da Educação. Nesse arranjo, a Matriz OCC orienta a repartição dos recursos de custeio e capital, enquanto a Matriz PNAES orienta a distribuição dos valores destinados à assistência estudantil.</w:t>
      </w:r>
    </w:p>
    <w:p w14:paraId="7C27BF4B" w14:textId="77777777" w:rsidR="00AD1566" w:rsidRPr="00AD1566" w:rsidRDefault="00AD1566" w:rsidP="00AD1566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AD1566">
        <w:rPr>
          <w:rFonts w:ascii="Times New Roman" w:eastAsiaTheme="minorEastAsia" w:hAnsi="Times New Roman" w:cs="Times New Roman"/>
          <w:lang w:eastAsia="zh-CN"/>
        </w:rPr>
        <w:t>Essas duas matrizes integram o debate sobre financiamento institucional porque influenciam a forma de alocação dos recursos no conjunto das universidades federais. Seu efeito alcança tanto a distribuição do orçamento quanto as condições de funcionamento das instituições e de execução das políticas de permanência. Por isso, a análise do orçamento da assistência estudantil exige considerar não apenas os valores recebidos, mas também os critérios que organizam sua repartição. É nesse ponto que a discussão sobre rateio se conecta ao debate sobre permanência estudantil.</w:t>
      </w:r>
    </w:p>
    <w:p w14:paraId="1BE28F38" w14:textId="77777777" w:rsidR="00AD1566" w:rsidRPr="00AD1566" w:rsidRDefault="00AD1566" w:rsidP="00AD1566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AD1566">
        <w:rPr>
          <w:rFonts w:ascii="Times New Roman" w:eastAsiaTheme="minorEastAsia" w:hAnsi="Times New Roman" w:cs="Times New Roman"/>
          <w:lang w:eastAsia="zh-CN"/>
        </w:rPr>
        <w:t>No plano nacional, a distribuição dos recursos discricionários das universidades federais segue critérios de rateio definidos pelo Ministério da Educação, com destaque para a Matriz OCC e a Matriz PNAES. A Portaria nº 748/2021 reorganizou essas matrizes conforme a destinação dos recursos. Na assistência estudantil, a distribuição permaneceu baseada no estudante equivalente. Na OCC, a repartição seguiu vinculada a indicadores acadêmicos registrados nos sistemas do Ministério da Educação (BRASIL, 2021; ANDIFES, 2015, 2018, 2022, 2025).</w:t>
      </w:r>
    </w:p>
    <w:p w14:paraId="5D9D0B45" w14:textId="77777777" w:rsidR="00AD1566" w:rsidRPr="00AD1566" w:rsidRDefault="00AD1566" w:rsidP="00AD1566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AD1566">
        <w:rPr>
          <w:rFonts w:ascii="Times New Roman" w:eastAsiaTheme="minorEastAsia" w:hAnsi="Times New Roman" w:cs="Times New Roman"/>
          <w:lang w:eastAsia="zh-CN"/>
        </w:rPr>
        <w:t>O montante do PNAES é definido a cada ano pelo Ministério da Educação e sua distribuição pode sofrer ajustes em razão de cortes ou da ausência de atualização dos valores. Esse ponto ajuda a explicar a instabilidade do financiamento da assistência estudantil no período recente. No debate sobre o tema, destaca-se a proposta de revisão da Matriz PNAES, formulada com base em indicadores de demanda social e trajetória acadêmica para orientar o rateio dos recursos entre as universidades (ANDIFES, 2018). A discussão sobre essa revisão mostra que o volume de recursos não esgota o problema, pois a forma de distribuição também interfere na capacidade de atendimento das instituições.</w:t>
      </w:r>
    </w:p>
    <w:p w14:paraId="6CC62B2F" w14:textId="77777777" w:rsidR="00AD1566" w:rsidRPr="00AD1566" w:rsidRDefault="00AD1566" w:rsidP="00AD1566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AD1566">
        <w:rPr>
          <w:rFonts w:ascii="Times New Roman" w:eastAsiaTheme="minorEastAsia" w:hAnsi="Times New Roman" w:cs="Times New Roman"/>
          <w:lang w:eastAsia="zh-CN"/>
        </w:rPr>
        <w:t>A comparação entre as matrizes OCC e PNAES mostra que ambas utilizam o TAEGj como referência para a distribuição de recursos discricionários entre as instituições federais. Ainda assim, esse indicador é aplicado com bases de cálculo distintas conforme a finalidade do rateio. Na OCC, o TAEGj se vincula a fatores acadêmicos e institucionais ligados à oferta de graduação. Na PNAES, o cálculo incorpora elementos ligados às condições dos territórios atendidos, o que repercute na alocação dos recursos destinados à permanência estudantil (ANDIFES, 2025; BRASIL, 2021).</w:t>
      </w:r>
    </w:p>
    <w:p w14:paraId="0973911B" w14:textId="33E32302" w:rsidR="00AD1566" w:rsidRDefault="006F3A71" w:rsidP="00AD1566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6F3A71">
        <w:rPr>
          <w:rFonts w:ascii="Times New Roman" w:eastAsiaTheme="minorEastAsia" w:hAnsi="Times New Roman" w:cs="Times New Roman"/>
          <w:lang w:eastAsia="zh-CN"/>
        </w:rPr>
        <w:t>Na UFSC, as ações da PRAE estão vinculadas ao Programa Nacional de Assistência Estudantil, regulamentado pelo Decreto nº 7.234/2010 e consolidado como política pela Lei nº 14.914/2024, reconhecendo que a permanência estudantil envolve tanto a formação acadêmica quanto as condições sociais dos estudantes (BRASIL, 2010; BRASIL, 2024).</w:t>
      </w:r>
      <w:r>
        <w:rPr>
          <w:rFonts w:ascii="Times New Roman" w:eastAsiaTheme="minorEastAsia" w:hAnsi="Times New Roman" w:cs="Times New Roman"/>
          <w:lang w:val="pt-BR" w:eastAsia="zh-CN"/>
        </w:rPr>
        <w:t xml:space="preserve"> </w:t>
      </w:r>
      <w:r w:rsidR="00AD1566" w:rsidRPr="00A25179">
        <w:rPr>
          <w:rFonts w:ascii="Times New Roman" w:eastAsiaTheme="minorEastAsia" w:hAnsi="Times New Roman" w:cs="Times New Roman"/>
          <w:lang w:eastAsia="zh-CN"/>
        </w:rPr>
        <w:t>Por isso, a análise do orçamento da assistência estudantil exige observar tanto a lógica de distribuição nacional quanto as formas locais de composição de recursos. É nessa articulação que se insere a leitura da Tabela 3.</w:t>
      </w:r>
    </w:p>
    <w:p w14:paraId="319262FF" w14:textId="77777777" w:rsidR="00AD1566" w:rsidRDefault="00AD1566" w:rsidP="00AD1566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</w:p>
    <w:p w14:paraId="57EC8E3A" w14:textId="77777777" w:rsidR="00AD1566" w:rsidRPr="00AD1566" w:rsidRDefault="00AD1566" w:rsidP="00AD15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pt-BR" w:eastAsia="pt-BR"/>
          <w14:ligatures w14:val="none"/>
        </w:rPr>
      </w:pPr>
      <w:r w:rsidRPr="00AD156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pt-BR" w:eastAsia="pt-BR"/>
          <w14:ligatures w14:val="none"/>
        </w:rPr>
        <w:lastRenderedPageBreak/>
        <w:t>Tabela 3:</w:t>
      </w:r>
      <w:r w:rsidRPr="00AD15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pt-BR" w:eastAsia="pt-BR"/>
          <w14:ligatures w14:val="none"/>
        </w:rPr>
        <w:t xml:space="preserve"> PNAES Valores em reais corrigidos pelo IPCA e Receita própria de aluguéis e concessões  </w:t>
      </w:r>
    </w:p>
    <w:tbl>
      <w:tblPr>
        <w:tblW w:w="778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2119"/>
        <w:gridCol w:w="1275"/>
        <w:gridCol w:w="1985"/>
        <w:gridCol w:w="1276"/>
      </w:tblGrid>
      <w:tr w:rsidR="00AD1566" w:rsidRPr="00AD1566" w14:paraId="1445D3EF" w14:textId="77777777" w:rsidTr="00AD1566">
        <w:trPr>
          <w:trHeight w:val="174"/>
          <w:jc w:val="center"/>
        </w:trPr>
        <w:tc>
          <w:tcPr>
            <w:tcW w:w="1134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shd w:val="clear" w:color="auto" w:fill="1F497D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9192CC0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Ano</w:t>
            </w:r>
          </w:p>
        </w:tc>
        <w:tc>
          <w:tcPr>
            <w:tcW w:w="2119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shd w:val="clear" w:color="auto" w:fill="1F497D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45D687E2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Recurso PNAES UFSC</w:t>
            </w:r>
          </w:p>
        </w:tc>
        <w:tc>
          <w:tcPr>
            <w:tcW w:w="127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shd w:val="clear" w:color="auto" w:fill="1F497D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227C38A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% PNAES</w:t>
            </w:r>
          </w:p>
        </w:tc>
        <w:tc>
          <w:tcPr>
            <w:tcW w:w="198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shd w:val="clear" w:color="auto" w:fill="1F497D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A856830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Receita de Aluguéis e Concessões</w:t>
            </w:r>
          </w:p>
        </w:tc>
        <w:tc>
          <w:tcPr>
            <w:tcW w:w="1276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shd w:val="clear" w:color="auto" w:fill="1F497D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4AFAD839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% Aluguéis</w:t>
            </w:r>
          </w:p>
        </w:tc>
      </w:tr>
      <w:tr w:rsidR="00AD1566" w:rsidRPr="00AD1566" w14:paraId="44410028" w14:textId="77777777" w:rsidTr="00AD1566">
        <w:trPr>
          <w:trHeight w:val="14"/>
          <w:jc w:val="center"/>
        </w:trPr>
        <w:tc>
          <w:tcPr>
            <w:tcW w:w="1134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shd w:val="clear" w:color="auto" w:fill="1F497D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5E02767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2015</w:t>
            </w:r>
          </w:p>
        </w:tc>
        <w:tc>
          <w:tcPr>
            <w:tcW w:w="2119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354815F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R$ 29.823.208</w:t>
            </w:r>
          </w:p>
        </w:tc>
        <w:tc>
          <w:tcPr>
            <w:tcW w:w="127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BF3E305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</w:t>
            </w:r>
          </w:p>
        </w:tc>
        <w:tc>
          <w:tcPr>
            <w:tcW w:w="198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4658F18F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R$ 1.756.746</w:t>
            </w:r>
          </w:p>
        </w:tc>
        <w:tc>
          <w:tcPr>
            <w:tcW w:w="1276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D37E45F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</w:t>
            </w:r>
          </w:p>
        </w:tc>
      </w:tr>
      <w:tr w:rsidR="00AD1566" w:rsidRPr="00AD1566" w14:paraId="75EB8EFB" w14:textId="77777777" w:rsidTr="00AD1566">
        <w:trPr>
          <w:trHeight w:val="48"/>
          <w:jc w:val="center"/>
        </w:trPr>
        <w:tc>
          <w:tcPr>
            <w:tcW w:w="1134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shd w:val="clear" w:color="auto" w:fill="1F497D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0CAFCABD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2016</w:t>
            </w:r>
          </w:p>
        </w:tc>
        <w:tc>
          <w:tcPr>
            <w:tcW w:w="2119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4F015DB8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R$ 45.271.709</w:t>
            </w:r>
          </w:p>
        </w:tc>
        <w:tc>
          <w:tcPr>
            <w:tcW w:w="127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02754A5E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+51,80%</w:t>
            </w:r>
          </w:p>
        </w:tc>
        <w:tc>
          <w:tcPr>
            <w:tcW w:w="198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8B2A88D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R$ 2.616.979</w:t>
            </w:r>
          </w:p>
        </w:tc>
        <w:tc>
          <w:tcPr>
            <w:tcW w:w="1276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8F9101A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+48,97%</w:t>
            </w:r>
          </w:p>
        </w:tc>
      </w:tr>
      <w:tr w:rsidR="00AD1566" w:rsidRPr="00AD1566" w14:paraId="2EA7D847" w14:textId="77777777" w:rsidTr="00AD1566">
        <w:trPr>
          <w:trHeight w:val="14"/>
          <w:jc w:val="center"/>
        </w:trPr>
        <w:tc>
          <w:tcPr>
            <w:tcW w:w="1134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shd w:val="clear" w:color="auto" w:fill="1F497D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8D935B5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2017</w:t>
            </w:r>
          </w:p>
        </w:tc>
        <w:tc>
          <w:tcPr>
            <w:tcW w:w="2119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FEE4AC6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R$ 52.325.307</w:t>
            </w:r>
          </w:p>
        </w:tc>
        <w:tc>
          <w:tcPr>
            <w:tcW w:w="127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3B78EF5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+15,58%</w:t>
            </w:r>
          </w:p>
        </w:tc>
        <w:tc>
          <w:tcPr>
            <w:tcW w:w="198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3F41EC0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R$ 4.509.296</w:t>
            </w:r>
          </w:p>
        </w:tc>
        <w:tc>
          <w:tcPr>
            <w:tcW w:w="1276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74C8C1B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+72,31%</w:t>
            </w:r>
          </w:p>
        </w:tc>
      </w:tr>
      <w:tr w:rsidR="00AD1566" w:rsidRPr="00AD1566" w14:paraId="2090D04F" w14:textId="77777777" w:rsidTr="00AD1566">
        <w:trPr>
          <w:trHeight w:val="14"/>
          <w:jc w:val="center"/>
        </w:trPr>
        <w:tc>
          <w:tcPr>
            <w:tcW w:w="1134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shd w:val="clear" w:color="auto" w:fill="1F497D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7820E7EB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2018</w:t>
            </w:r>
          </w:p>
        </w:tc>
        <w:tc>
          <w:tcPr>
            <w:tcW w:w="2119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16E1131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R$ 43.992.552</w:t>
            </w:r>
          </w:p>
        </w:tc>
        <w:tc>
          <w:tcPr>
            <w:tcW w:w="127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6965128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-15,92%</w:t>
            </w:r>
          </w:p>
        </w:tc>
        <w:tc>
          <w:tcPr>
            <w:tcW w:w="198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FB42288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R$ 4.664.742</w:t>
            </w:r>
          </w:p>
        </w:tc>
        <w:tc>
          <w:tcPr>
            <w:tcW w:w="1276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C9D7B52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+3,45%</w:t>
            </w:r>
          </w:p>
        </w:tc>
      </w:tr>
      <w:tr w:rsidR="00AD1566" w:rsidRPr="00AD1566" w14:paraId="5DD4C596" w14:textId="77777777" w:rsidTr="00AD1566">
        <w:trPr>
          <w:trHeight w:val="125"/>
          <w:jc w:val="center"/>
        </w:trPr>
        <w:tc>
          <w:tcPr>
            <w:tcW w:w="1134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shd w:val="clear" w:color="auto" w:fill="1F497D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E94202B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2019</w:t>
            </w:r>
          </w:p>
        </w:tc>
        <w:tc>
          <w:tcPr>
            <w:tcW w:w="2119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43A2F7AC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R$ 51.550.824</w:t>
            </w:r>
          </w:p>
        </w:tc>
        <w:tc>
          <w:tcPr>
            <w:tcW w:w="127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E046A9B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+17,18%</w:t>
            </w:r>
          </w:p>
        </w:tc>
        <w:tc>
          <w:tcPr>
            <w:tcW w:w="198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A7AB670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R$ 4.993.959</w:t>
            </w:r>
          </w:p>
        </w:tc>
        <w:tc>
          <w:tcPr>
            <w:tcW w:w="1276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00B5E9BE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+7,06%</w:t>
            </w:r>
          </w:p>
        </w:tc>
      </w:tr>
      <w:tr w:rsidR="00AD1566" w:rsidRPr="00AD1566" w14:paraId="781DB06C" w14:textId="77777777" w:rsidTr="00AD1566">
        <w:trPr>
          <w:trHeight w:val="14"/>
          <w:jc w:val="center"/>
        </w:trPr>
        <w:tc>
          <w:tcPr>
            <w:tcW w:w="1134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shd w:val="clear" w:color="auto" w:fill="1F497D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46ACE1BC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2020</w:t>
            </w:r>
          </w:p>
        </w:tc>
        <w:tc>
          <w:tcPr>
            <w:tcW w:w="2119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715CD138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R$ 27.518.416</w:t>
            </w:r>
          </w:p>
        </w:tc>
        <w:tc>
          <w:tcPr>
            <w:tcW w:w="127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0D34F14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-46,62%</w:t>
            </w:r>
          </w:p>
        </w:tc>
        <w:tc>
          <w:tcPr>
            <w:tcW w:w="198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58D5DF4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R$ 2.202.997</w:t>
            </w:r>
          </w:p>
        </w:tc>
        <w:tc>
          <w:tcPr>
            <w:tcW w:w="1276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B5A0925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-55,89%</w:t>
            </w:r>
          </w:p>
        </w:tc>
      </w:tr>
      <w:tr w:rsidR="00AD1566" w:rsidRPr="00AD1566" w14:paraId="1427D039" w14:textId="77777777" w:rsidTr="00AD1566">
        <w:trPr>
          <w:trHeight w:val="14"/>
          <w:jc w:val="center"/>
        </w:trPr>
        <w:tc>
          <w:tcPr>
            <w:tcW w:w="1134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shd w:val="clear" w:color="auto" w:fill="1F497D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606134D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2021</w:t>
            </w:r>
          </w:p>
        </w:tc>
        <w:tc>
          <w:tcPr>
            <w:tcW w:w="2119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21F3262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R$ 20.797.192</w:t>
            </w:r>
          </w:p>
        </w:tc>
        <w:tc>
          <w:tcPr>
            <w:tcW w:w="127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1DCC966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-24,42%</w:t>
            </w:r>
          </w:p>
        </w:tc>
        <w:tc>
          <w:tcPr>
            <w:tcW w:w="198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E2701D4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R$ 2.332.317</w:t>
            </w:r>
          </w:p>
        </w:tc>
        <w:tc>
          <w:tcPr>
            <w:tcW w:w="1276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97E0F90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+5,87%</w:t>
            </w:r>
          </w:p>
        </w:tc>
      </w:tr>
      <w:tr w:rsidR="00AD1566" w:rsidRPr="00AD1566" w14:paraId="4C25E5EE" w14:textId="77777777" w:rsidTr="00AD1566">
        <w:trPr>
          <w:trHeight w:val="14"/>
          <w:jc w:val="center"/>
        </w:trPr>
        <w:tc>
          <w:tcPr>
            <w:tcW w:w="1134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shd w:val="clear" w:color="auto" w:fill="1F497D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66BC411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2022</w:t>
            </w:r>
          </w:p>
        </w:tc>
        <w:tc>
          <w:tcPr>
            <w:tcW w:w="2119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7F4DA434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R$ 28.804.987</w:t>
            </w:r>
          </w:p>
        </w:tc>
        <w:tc>
          <w:tcPr>
            <w:tcW w:w="127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0A14B89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+38,50%</w:t>
            </w:r>
          </w:p>
        </w:tc>
        <w:tc>
          <w:tcPr>
            <w:tcW w:w="198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6DBAF4C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R$ 3.306.855</w:t>
            </w:r>
          </w:p>
        </w:tc>
        <w:tc>
          <w:tcPr>
            <w:tcW w:w="1276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4E0B8FF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+41,78%</w:t>
            </w:r>
          </w:p>
        </w:tc>
      </w:tr>
      <w:tr w:rsidR="00AD1566" w:rsidRPr="00AD1566" w14:paraId="0F0A56E9" w14:textId="77777777" w:rsidTr="00AD1566">
        <w:trPr>
          <w:trHeight w:val="14"/>
          <w:jc w:val="center"/>
        </w:trPr>
        <w:tc>
          <w:tcPr>
            <w:tcW w:w="1134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shd w:val="clear" w:color="auto" w:fill="1F497D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4F2A663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2023</w:t>
            </w:r>
          </w:p>
        </w:tc>
        <w:tc>
          <w:tcPr>
            <w:tcW w:w="2119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4BE61661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R$ 33.830.925</w:t>
            </w:r>
          </w:p>
        </w:tc>
        <w:tc>
          <w:tcPr>
            <w:tcW w:w="127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4F56F17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+17,45%</w:t>
            </w:r>
          </w:p>
        </w:tc>
        <w:tc>
          <w:tcPr>
            <w:tcW w:w="198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6B395C0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R$ 4.361.741</w:t>
            </w:r>
          </w:p>
        </w:tc>
        <w:tc>
          <w:tcPr>
            <w:tcW w:w="1276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284E322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+31,90%</w:t>
            </w:r>
          </w:p>
        </w:tc>
      </w:tr>
      <w:tr w:rsidR="00AD1566" w:rsidRPr="00AD1566" w14:paraId="7BFCF857" w14:textId="77777777" w:rsidTr="00AD1566">
        <w:trPr>
          <w:trHeight w:val="14"/>
          <w:jc w:val="center"/>
        </w:trPr>
        <w:tc>
          <w:tcPr>
            <w:tcW w:w="1134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shd w:val="clear" w:color="auto" w:fill="1F497D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AB4EE08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2024</w:t>
            </w:r>
          </w:p>
        </w:tc>
        <w:tc>
          <w:tcPr>
            <w:tcW w:w="2119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A1C6407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R$ 36.208.746</w:t>
            </w:r>
          </w:p>
        </w:tc>
        <w:tc>
          <w:tcPr>
            <w:tcW w:w="127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E362016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+7,03%</w:t>
            </w:r>
          </w:p>
        </w:tc>
        <w:tc>
          <w:tcPr>
            <w:tcW w:w="1985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D79A0AB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R$ 4.163.043</w:t>
            </w:r>
          </w:p>
        </w:tc>
        <w:tc>
          <w:tcPr>
            <w:tcW w:w="1276" w:type="dxa"/>
            <w:tcBorders>
              <w:top w:val="single" w:sz="6" w:space="0" w:color="AAB7C8"/>
              <w:left w:val="single" w:sz="6" w:space="0" w:color="AAB7C8"/>
              <w:bottom w:val="single" w:sz="6" w:space="0" w:color="AAB7C8"/>
              <w:right w:val="single" w:sz="6" w:space="0" w:color="AAB7C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E158E32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-4,56%</w:t>
            </w:r>
          </w:p>
        </w:tc>
      </w:tr>
    </w:tbl>
    <w:p w14:paraId="32D01C30" w14:textId="33B002B0" w:rsidR="00AD1566" w:rsidRPr="00AD1566" w:rsidRDefault="00AD1566" w:rsidP="00AD1566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lang w:val="pt-BR" w:eastAsia="pt-BR"/>
          <w14:ligatures w14:val="none"/>
        </w:rPr>
      </w:pPr>
      <w:r w:rsidRPr="00AD1566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val="pt-BR" w:eastAsia="pt-BR"/>
          <w14:ligatures w14:val="none"/>
        </w:rPr>
        <w:t>Fonte</w:t>
      </w:r>
      <w:r w:rsidRPr="00AD15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pt-BR" w:eastAsia="pt-BR"/>
          <w14:ligatures w14:val="none"/>
        </w:rPr>
        <w:t>: Adaptado de SIOP, 2025</w:t>
      </w:r>
      <w:r w:rsidR="006F3A7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pt-BR" w:eastAsia="pt-BR"/>
          <w14:ligatures w14:val="none"/>
        </w:rPr>
        <w:t xml:space="preserve"> adaptado de Tuckumantel; Nunes (2025).</w:t>
      </w:r>
    </w:p>
    <w:p w14:paraId="74D63D91" w14:textId="77777777" w:rsidR="00AD1566" w:rsidRDefault="00AD1566" w:rsidP="00AD1566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</w:p>
    <w:p w14:paraId="7AEB147B" w14:textId="1CC2FA86" w:rsidR="006F3A71" w:rsidRPr="006F3A71" w:rsidRDefault="006F3A71" w:rsidP="006F3A71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6F3A71">
        <w:rPr>
          <w:rFonts w:ascii="Times New Roman" w:eastAsiaTheme="minorEastAsia" w:hAnsi="Times New Roman" w:cs="Times New Roman"/>
          <w:lang w:eastAsia="zh-CN"/>
        </w:rPr>
        <w:t>Os dados da Tabela 3 mostram oscilações nos recursos do PNAES e nas receitas próprias da UFSC entre 2015 e 2024. Após crescimento até 2019, houve queda acentuada em 2020 e recuperação parcial nos anos seguintes, sem retorno aos níveis anteriores. A receita de aluguéis e concessões apresentou trajetória semelhante.</w:t>
      </w:r>
    </w:p>
    <w:p w14:paraId="08E91D97" w14:textId="277DB62F" w:rsidR="00AD1566" w:rsidRPr="00AD1566" w:rsidRDefault="006F3A71" w:rsidP="006F3A71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6F3A71">
        <w:rPr>
          <w:rFonts w:ascii="Times New Roman" w:eastAsiaTheme="minorEastAsia" w:hAnsi="Times New Roman" w:cs="Times New Roman"/>
          <w:lang w:eastAsia="zh-CN"/>
        </w:rPr>
        <w:t>Nesse período, a Ação 4002, responsável pela execução do PNAES, evidencia redução da capacidade de financiamento da permanência estudantil na universidade, especialmente após 2019.</w:t>
      </w:r>
      <w:r w:rsidR="00AD1566" w:rsidRPr="00AD1566">
        <w:rPr>
          <w:rFonts w:ascii="Times New Roman" w:eastAsiaTheme="minorEastAsia" w:hAnsi="Times New Roman" w:cs="Times New Roman"/>
          <w:lang w:eastAsia="zh-CN"/>
        </w:rPr>
        <w:t xml:space="preserve"> Esse quadro ajuda a explicar a necessidade de remanejamento de outros recursos discricionários para sustentar ações de assistência estudantil. Embora exista esforço institucional de arrecadação por meio de aluguéis e concessões, esses valores permanecem inferiores ao volume do PNAES. Além disso, apenas parte dessa receita é destinada a essas ações, o que reforça o limite do financiamento regular da política.</w:t>
      </w:r>
    </w:p>
    <w:p w14:paraId="7220D8C2" w14:textId="77777777" w:rsidR="00AD1566" w:rsidRDefault="00AD1566" w:rsidP="00AD1566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AD1566">
        <w:rPr>
          <w:rFonts w:ascii="Times New Roman" w:eastAsiaTheme="minorEastAsia" w:hAnsi="Times New Roman" w:cs="Times New Roman"/>
          <w:lang w:eastAsia="zh-CN"/>
        </w:rPr>
        <w:t>A variação percentual do PNAES e da receita própria também mostra oscilações ao longo da série, o que indica instabilidade no financiamento da assistência estudantil. Essa oscilação repercute sobre a capacidade de planejamento e sobre a continuidade das ações executadas pela PRAE. Nesse sentido, o orçamento da assistência estudantil não pode ser lido apenas como registro financeiro, pois ele expressa as condições materiais de sustentação da permanência universitária. A Tabela 3, portanto, permite observar como a composição e a trajetória desses recursos incidem sobre a execução da política de assistência estudantil na UFSC.</w:t>
      </w:r>
    </w:p>
    <w:p w14:paraId="71287F70" w14:textId="77777777" w:rsidR="00AD1566" w:rsidRDefault="00AD1566" w:rsidP="00AD1566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</w:p>
    <w:p w14:paraId="39ADDA5B" w14:textId="77777777" w:rsidR="00AD1566" w:rsidRDefault="00AD1566" w:rsidP="00AD1566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>
        <w:rPr>
          <w:b/>
          <w:bCs/>
          <w:color w:val="000000"/>
        </w:rPr>
        <w:lastRenderedPageBreak/>
        <w:t>Ações de Assistência Estudantil: Viagens de Estudos e Participação Coletiva em Eventos</w:t>
      </w:r>
    </w:p>
    <w:p w14:paraId="5D9EB9D6" w14:textId="77777777" w:rsidR="00AD1566" w:rsidRDefault="00AD1566" w:rsidP="00AD1566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</w:p>
    <w:p w14:paraId="76749C90" w14:textId="77777777" w:rsidR="006F3A71" w:rsidRPr="006F3A71" w:rsidRDefault="006F3A71" w:rsidP="006F3A71">
      <w:pPr>
        <w:spacing w:line="240" w:lineRule="auto"/>
        <w:jc w:val="both"/>
        <w:rPr>
          <w:rFonts w:ascii="Times New Roman" w:hAnsi="Times New Roman" w:cs="Times New Roman"/>
        </w:rPr>
      </w:pPr>
      <w:r w:rsidRPr="006F3A71">
        <w:rPr>
          <w:rFonts w:ascii="Times New Roman" w:hAnsi="Times New Roman" w:cs="Times New Roman"/>
        </w:rPr>
        <w:t>Na UFSC, a política de permanência estudantil é conduzida pela Pró-Reitoria de Permanência e Assuntos Estudantis (PRAE) e abrange ações destinadas, sobretudo, a estudantes em situação de vulnerabilidade socioeconômica. Entre essas iniciativas estão bolsas, auxílios, moradia, alimentação, transporte, apoio à saúde mental, acompanhamento pedagógico e acesso a recursos digitais. A manutenção e a ampliação desses serviços dependem da capacidade de gestão dos recursos disponíveis, em um cenário marcado pelo crescimento da demanda e por limitações financeiras (UFSC, 2025).</w:t>
      </w:r>
    </w:p>
    <w:p w14:paraId="16BBCA2F" w14:textId="77777777" w:rsidR="006F3A71" w:rsidRPr="006F3A71" w:rsidRDefault="006F3A71" w:rsidP="006F3A71">
      <w:pPr>
        <w:spacing w:line="240" w:lineRule="auto"/>
        <w:jc w:val="both"/>
        <w:rPr>
          <w:rFonts w:ascii="Times New Roman" w:hAnsi="Times New Roman" w:cs="Times New Roman"/>
        </w:rPr>
      </w:pPr>
      <w:r w:rsidRPr="006F3A71">
        <w:rPr>
          <w:rFonts w:ascii="Times New Roman" w:hAnsi="Times New Roman" w:cs="Times New Roman"/>
        </w:rPr>
        <w:t>O financiamento federal dessas ações tem como principal referência o Programa Nacional de Assistência Estudantil. Criado pela Portaria Normativa nº 39/2007, regulamentado pelo Decreto nº 7.234/2010 e posteriormente reformulado pela Lei nº 14.914/2024, o PNAES fornece a base normativa e orçamentária para a assistência estudantil nas instituições federais de ensino (BRASIL, 2007, 2010, 2024). Na UFSC, essa política é articulada pela PRAE em conjunto com outros setores e, no ciclo 2020–2024, passou a integrar o Plano de Desenvolvimento Institucional, aproximando as ações de permanência do planejamento acadêmico, da definição orçamentária e das estratégias de redução das desigualdades e de acompanhamento do desempenho estudantil (UFSC, [s.d.]; UFSC, 2020).</w:t>
      </w:r>
    </w:p>
    <w:p w14:paraId="225AF05A" w14:textId="14B38046" w:rsidR="00AD1566" w:rsidRPr="00AD1566" w:rsidRDefault="006F3A71" w:rsidP="006F3A71">
      <w:pPr>
        <w:spacing w:line="240" w:lineRule="auto"/>
        <w:jc w:val="both"/>
        <w:rPr>
          <w:rFonts w:ascii="Times New Roman" w:hAnsi="Times New Roman" w:cs="Times New Roman"/>
        </w:rPr>
      </w:pPr>
      <w:r w:rsidRPr="006F3A71">
        <w:rPr>
          <w:rFonts w:ascii="Times New Roman" w:hAnsi="Times New Roman" w:cs="Times New Roman"/>
        </w:rPr>
        <w:t>No mesmo período, a execução dessas ações também foi relacionada às diretrizes institucionais de integridade, governança, controle, gestão de riscos e monitoramento dos recursos públicos. No âmbito da PRAE, as iniciativas se organizam entre Programas de Permanência e Programas Acadêmicos. Este artigo concentra-se nos Programas Acadêmicos, especialmente nas ações de Viagens de Estudo e Participação Coletiva em Eventos, examinadas a partir de documentos institucionais e de entrevista com gestor da área. As solicitações de apoio seguem os editais vigentes e são encaminhadas conforme a natureza da atividade e os sujeitos envolvidos (UFSC, 2020; CGU, 2019; UFSC, [s.d.]).</w:t>
      </w:r>
      <w:r w:rsidR="00AD1566" w:rsidRPr="00AD1566">
        <w:rPr>
          <w:rFonts w:ascii="Times New Roman" w:hAnsi="Times New Roman" w:cs="Times New Roman"/>
        </w:rPr>
        <w:t>A análise considera objetivos, planejamento, número de participantes e uso dos recursos, e esse apoio se organiza em programas voltados a viagens de estudo e à participação coletiva em eventos, disciplinados por normas institucionais que estabeleceram critérios de solicitação, execução e prestação de informações sobre as atividades realizadas (UFSC, 2015; UFSC, [s.d.]).</w:t>
      </w:r>
    </w:p>
    <w:p w14:paraId="36E579A5" w14:textId="77777777" w:rsidR="00576B9A" w:rsidRDefault="00576B9A" w:rsidP="00AD1566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576B9A">
        <w:rPr>
          <w:rFonts w:ascii="Times New Roman" w:hAnsi="Times New Roman" w:cs="Times New Roman"/>
        </w:rPr>
        <w:t>Em 2016 e 2017, a UFSC ajustou a operacionalização do Programa de Viagens de Estudo diante das restrições ao uso da frota institucional e à contratação de transporte. As mudanças envolveram contrato emergencial, novos critérios de análise, possibilidade de transporte institucional ou terceirizado e regras sobre participação, recursos, divulgação e cancelamentos (BRASIL, 2015; UFSC, 2016; UFSC, 2017; UFSC, [s.d.]).</w:t>
      </w:r>
    </w:p>
    <w:p w14:paraId="42A631C2" w14:textId="017C09B8" w:rsidR="00AD1566" w:rsidRDefault="00576B9A" w:rsidP="00AD1566">
      <w:pPr>
        <w:spacing w:line="240" w:lineRule="auto"/>
        <w:jc w:val="both"/>
        <w:rPr>
          <w:rFonts w:ascii="Times New Roman" w:hAnsi="Times New Roman" w:cs="Times New Roman"/>
        </w:rPr>
      </w:pPr>
      <w:r w:rsidRPr="00576B9A">
        <w:rPr>
          <w:rFonts w:ascii="Times New Roman" w:hAnsi="Times New Roman" w:cs="Times New Roman"/>
        </w:rPr>
        <w:t xml:space="preserve">No PDI 2020–2024, a universidade manteve a permanência estudantil e a qualificação da formação como diretrizes e previu a continuidade e o aperfeiçoamento das ações de apoio a eventos científicos e viagens de estudo, com articulação entre diferentes unidades. Apesar disso, os indicadores do período apontaram redução no número de pedidos </w:t>
      </w:r>
      <w:r w:rsidRPr="00576B9A">
        <w:rPr>
          <w:rFonts w:ascii="Times New Roman" w:hAnsi="Times New Roman" w:cs="Times New Roman"/>
        </w:rPr>
        <w:lastRenderedPageBreak/>
        <w:t>aprovados e nos valores investidos nos dois programas (UFSC, 2020; PRAE-UFSC, 2016–2025).</w:t>
      </w:r>
      <w:r>
        <w:rPr>
          <w:rFonts w:ascii="Times New Roman" w:hAnsi="Times New Roman" w:cs="Times New Roman"/>
          <w:lang w:val="pt-BR"/>
        </w:rPr>
        <w:t xml:space="preserve"> </w:t>
      </w:r>
      <w:r w:rsidR="00AD1566" w:rsidRPr="00AD1566">
        <w:rPr>
          <w:rFonts w:ascii="Times New Roman" w:hAnsi="Times New Roman" w:cs="Times New Roman"/>
        </w:rPr>
        <w:t xml:space="preserve">Ainda assim, os indicadores do período registraram redução no número de pedidos aprovados e nos valores investidos nos dois programas, como se verifica a seguir: </w:t>
      </w:r>
    </w:p>
    <w:p w14:paraId="7CCFBFC2" w14:textId="77777777" w:rsidR="00AD1566" w:rsidRDefault="00AD15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8FC5EFA" w14:textId="77777777" w:rsidR="00AD1566" w:rsidRPr="00AD1566" w:rsidRDefault="00AD1566" w:rsidP="00AD156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pt-BR" w:eastAsia="pt-BR"/>
          <w14:ligatures w14:val="none"/>
        </w:rPr>
      </w:pPr>
      <w:r w:rsidRPr="00AD156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pt-BR" w:eastAsia="pt-BR"/>
          <w14:ligatures w14:val="none"/>
        </w:rPr>
        <w:lastRenderedPageBreak/>
        <w:t>Tabela 4:</w:t>
      </w:r>
      <w:r w:rsidRPr="00AD15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pt-BR" w:eastAsia="pt-BR"/>
          <w14:ligatures w14:val="none"/>
        </w:rPr>
        <w:t xml:space="preserve"> Programas Participação Coletiva em Eventos e Viagens de Estudo</w:t>
      </w:r>
    </w:p>
    <w:tbl>
      <w:tblPr>
        <w:tblW w:w="84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1124"/>
        <w:gridCol w:w="1569"/>
        <w:gridCol w:w="1134"/>
        <w:gridCol w:w="1417"/>
        <w:gridCol w:w="2268"/>
      </w:tblGrid>
      <w:tr w:rsidR="00AD1566" w:rsidRPr="00AD1566" w14:paraId="4EBB7E70" w14:textId="77777777" w:rsidTr="00135EA3">
        <w:trPr>
          <w:trHeight w:val="555"/>
        </w:trPr>
        <w:tc>
          <w:tcPr>
            <w:tcW w:w="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D46D12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Ano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69139F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Programa Participação Coletiva em Eventos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228A90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Viagens de Estudo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2A7AF2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Status</w:t>
            </w:r>
          </w:p>
        </w:tc>
      </w:tr>
      <w:tr w:rsidR="00135EA3" w:rsidRPr="00AD1566" w14:paraId="5693B60E" w14:textId="77777777" w:rsidTr="00135EA3">
        <w:trPr>
          <w:trHeight w:val="555"/>
        </w:trPr>
        <w:tc>
          <w:tcPr>
            <w:tcW w:w="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EE7771" w14:textId="77777777" w:rsidR="00AD1566" w:rsidRPr="00AD1566" w:rsidRDefault="00AD1566" w:rsidP="00AD15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68DAFB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Pedidos Aprovados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A59A1C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Valor Investido (R$)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161696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Pedidos Aprovados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6D606B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Valor Investido (R$)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8C03D" w14:textId="77777777" w:rsidR="00AD1566" w:rsidRPr="00AD1566" w:rsidRDefault="00AD1566" w:rsidP="00AD15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</w:p>
        </w:tc>
      </w:tr>
      <w:tr w:rsidR="00AD1566" w:rsidRPr="00AD1566" w14:paraId="01205122" w14:textId="77777777" w:rsidTr="00135EA3">
        <w:trPr>
          <w:trHeight w:val="40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BC2561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2015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F2E276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E6BC2F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R$ 624.377,00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CE1F88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646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9C70B0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R$ 779.864,00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9BBFF7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Ativo</w:t>
            </w:r>
          </w:p>
        </w:tc>
      </w:tr>
      <w:tr w:rsidR="00AD1566" w:rsidRPr="00AD1566" w14:paraId="4171F0BC" w14:textId="77777777" w:rsidTr="00135EA3">
        <w:trPr>
          <w:trHeight w:val="55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D53621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2016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8A7358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22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77D6B9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R$ 32.000,00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757CA7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274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3BFFD6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R$ 423.726,00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D2A789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Ativo, com restrição</w:t>
            </w: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br/>
              <w:t xml:space="preserve"> orçamentária</w:t>
            </w:r>
          </w:p>
        </w:tc>
      </w:tr>
      <w:tr w:rsidR="00AD1566" w:rsidRPr="00AD1566" w14:paraId="216812CF" w14:textId="77777777" w:rsidTr="00135EA3">
        <w:trPr>
          <w:trHeight w:val="55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2D3E74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2017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C1C009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F0CF38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R$ 67.979,51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4A68CA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48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A2F83B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R$ 129.774,87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19CA06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Ativo, com restrição</w:t>
            </w: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br/>
              <w:t xml:space="preserve"> orçamentária</w:t>
            </w:r>
          </w:p>
        </w:tc>
      </w:tr>
      <w:tr w:rsidR="00AD1566" w:rsidRPr="00AD1566" w14:paraId="09809ACD" w14:textId="77777777" w:rsidTr="00135EA3">
        <w:trPr>
          <w:trHeight w:val="55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A665BE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2018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99FBFE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33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65348A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R$ 112.463,52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9D4FF3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10F180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R$ 135.920,77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0D83A9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Ativo, com restrição</w:t>
            </w: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br/>
              <w:t xml:space="preserve"> orçamentária</w:t>
            </w:r>
          </w:p>
        </w:tc>
      </w:tr>
      <w:tr w:rsidR="00AD1566" w:rsidRPr="00AD1566" w14:paraId="73323FD9" w14:textId="77777777" w:rsidTr="00135EA3">
        <w:trPr>
          <w:trHeight w:val="55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BF6AFD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2019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782E72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37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9AB0A5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R$ 12.526,89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776CA1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8F2949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2FDCB1" w14:textId="77777777" w:rsidR="00AD1566" w:rsidRPr="00AD1566" w:rsidRDefault="00AD1566" w:rsidP="00135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Suspenso em virtude de restrição orçamentária</w:t>
            </w:r>
          </w:p>
        </w:tc>
      </w:tr>
      <w:tr w:rsidR="00AD1566" w:rsidRPr="00AD1566" w14:paraId="235146DC" w14:textId="77777777" w:rsidTr="00135EA3">
        <w:trPr>
          <w:trHeight w:val="55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C867F5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2020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491338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7336CB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R$ 4.681,65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09CF5A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64A614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444D2B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Suspenso devido à</w:t>
            </w: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br/>
              <w:t xml:space="preserve"> pandemia de COVID-19</w:t>
            </w:r>
          </w:p>
        </w:tc>
      </w:tr>
      <w:tr w:rsidR="00AD1566" w:rsidRPr="00AD1566" w14:paraId="2EF1D788" w14:textId="77777777" w:rsidTr="00135EA3">
        <w:trPr>
          <w:trHeight w:val="55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183068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2021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05A806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0BC865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13A67A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E683B7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57E4D1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Suspenso devido à</w:t>
            </w: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br/>
              <w:t xml:space="preserve"> pandemia de COVID-19</w:t>
            </w:r>
          </w:p>
        </w:tc>
      </w:tr>
      <w:tr w:rsidR="00AD1566" w:rsidRPr="00AD1566" w14:paraId="33D5E8C7" w14:textId="77777777" w:rsidTr="00135EA3">
        <w:trPr>
          <w:trHeight w:val="55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E63954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2022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31F27B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301D8A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EA3491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EF54B3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912F71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Suspenso por ausência de</w:t>
            </w: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br/>
              <w:t xml:space="preserve"> licitação (em trâmite)</w:t>
            </w:r>
          </w:p>
        </w:tc>
      </w:tr>
      <w:tr w:rsidR="00AD1566" w:rsidRPr="00AD1566" w14:paraId="7DDEC1E1" w14:textId="77777777" w:rsidTr="00135EA3">
        <w:trPr>
          <w:trHeight w:val="55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4FF542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2023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80AC16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5689EF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F6434E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80EAFD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C3DC15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Suspenso por ausência de</w:t>
            </w: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br/>
              <w:t xml:space="preserve"> licitação (em trâmite)</w:t>
            </w:r>
          </w:p>
        </w:tc>
      </w:tr>
      <w:tr w:rsidR="00AD1566" w:rsidRPr="00AD1566" w14:paraId="7B0720FB" w14:textId="77777777" w:rsidTr="00135EA3">
        <w:trPr>
          <w:trHeight w:val="55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C0D40A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pt-BR" w:eastAsia="pt-BR"/>
                <w14:ligatures w14:val="none"/>
              </w:rPr>
              <w:t>2024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9374DA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F69449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A353C5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D1563B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R$ 0,00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E5D41D" w14:textId="77777777" w:rsidR="00AD1566" w:rsidRPr="00AD1566" w:rsidRDefault="00AD1566" w:rsidP="00AD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pt-BR" w:eastAsia="pt-BR"/>
                <w14:ligatures w14:val="none"/>
              </w:rPr>
            </w:pP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Suspenso por ausência de</w:t>
            </w:r>
            <w:r w:rsidRPr="00AD15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br/>
              <w:t xml:space="preserve"> licitação (em trâmite)</w:t>
            </w:r>
          </w:p>
        </w:tc>
      </w:tr>
    </w:tbl>
    <w:p w14:paraId="5B89276E" w14:textId="77777777" w:rsidR="00AD1566" w:rsidRPr="00AD1566" w:rsidRDefault="00AD1566" w:rsidP="00AD1566">
      <w:pPr>
        <w:spacing w:before="120" w:after="200" w:line="240" w:lineRule="auto"/>
        <w:jc w:val="center"/>
        <w:rPr>
          <w:rFonts w:ascii="Times New Roman" w:eastAsia="Times New Roman" w:hAnsi="Times New Roman" w:cs="Times New Roman"/>
          <w:kern w:val="0"/>
          <w:lang w:val="pt-BR" w:eastAsia="pt-BR"/>
          <w14:ligatures w14:val="none"/>
        </w:rPr>
      </w:pPr>
      <w:r w:rsidRPr="00AD156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pt-BR" w:eastAsia="pt-BR"/>
          <w14:ligatures w14:val="none"/>
        </w:rPr>
        <w:t>Fonte</w:t>
      </w:r>
      <w:r w:rsidRPr="00AD15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pt-BR" w:eastAsia="pt-BR"/>
          <w14:ligatures w14:val="none"/>
        </w:rPr>
        <w:t>: Adaptado de PRAE-UFSC, 2016-2025.</w:t>
      </w:r>
    </w:p>
    <w:p w14:paraId="13CBBD79" w14:textId="77777777" w:rsidR="00576B9A" w:rsidRDefault="00576B9A" w:rsidP="00135EA3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576B9A">
        <w:rPr>
          <w:rFonts w:ascii="Times New Roman" w:hAnsi="Times New Roman" w:cs="Times New Roman"/>
        </w:rPr>
        <w:t>Entre 2015 e 2019, os programas registraram queda no número de pedidos aprovados e nos valores aplicados. Em algumas ações, essa redução foi mais acentuada, chegando à ausência de execução no último ano analisado.</w:t>
      </w:r>
    </w:p>
    <w:p w14:paraId="0C336463" w14:textId="31C2A8A0" w:rsidR="00135EA3" w:rsidRDefault="00135EA3" w:rsidP="00135EA3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405741">
        <w:rPr>
          <w:rFonts w:ascii="Times New Roman" w:hAnsi="Times New Roman" w:cs="Times New Roman"/>
        </w:rPr>
        <w:t>A partir de 2020, as atividades foram interrompidas, primeiro em razão da pandemia de COVID-19 e, desde 2022, por ausência de processo licitatório, situação que permaneceu até o pri</w:t>
      </w:r>
      <w:r w:rsidRPr="00135EA3">
        <w:rPr>
          <w:rFonts w:ascii="Times New Roman" w:hAnsi="Times New Roman" w:cs="Times New Roman"/>
        </w:rPr>
        <w:t xml:space="preserve">meiro semestre de 2025. Embora o Relatório de Gestão de 2022 tenha registrado intenção de reestruturar os programas e prever sua retomada no planejamento institucional, o Relatório de Gestão de 2024 manteve o registro de inviabilidade de execução em razão das restrições orçamentárias e da falta de dotação para essas iniciativas. Dessa maneira, os programas Viagens de Estudo e Participação Coletiva em </w:t>
      </w:r>
      <w:r w:rsidRPr="00135EA3">
        <w:rPr>
          <w:rFonts w:ascii="Times New Roman" w:hAnsi="Times New Roman" w:cs="Times New Roman"/>
        </w:rPr>
        <w:lastRenderedPageBreak/>
        <w:t xml:space="preserve">Eventos se inserem na relação entre assistência estudantil, formação acadêmica e indisponibilidade orçamentária, o que situa essas ações no debate sobre o uso e direcionamento dos recursos públicos (UFSC, [s.d.]; UFSC, 2025). </w:t>
      </w:r>
    </w:p>
    <w:p w14:paraId="2A9ECEE8" w14:textId="77777777" w:rsidR="00C87FA9" w:rsidRDefault="00C87FA9" w:rsidP="00C87FA9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lang w:eastAsia="zh-CN"/>
        </w:rPr>
      </w:pPr>
    </w:p>
    <w:p w14:paraId="297462D0" w14:textId="77777777" w:rsidR="00C87FA9" w:rsidRDefault="00C87FA9" w:rsidP="00C87FA9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lang w:eastAsia="zh-CN"/>
        </w:rPr>
      </w:pPr>
      <w:r w:rsidRPr="00C87FA9">
        <w:rPr>
          <w:rFonts w:ascii="Times New Roman" w:hAnsi="Times New Roman" w:cs="Times New Roman"/>
          <w:b/>
          <w:bCs/>
        </w:rPr>
        <w:t>Considerações finais</w:t>
      </w:r>
    </w:p>
    <w:p w14:paraId="70FF98CE" w14:textId="77777777" w:rsidR="00C87FA9" w:rsidRDefault="00C87FA9" w:rsidP="00C87FA9">
      <w:pPr>
        <w:spacing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</w:p>
    <w:p w14:paraId="18960F79" w14:textId="77777777" w:rsidR="00C87FA9" w:rsidRPr="00C87FA9" w:rsidRDefault="00C87FA9" w:rsidP="00C87FA9">
      <w:pPr>
        <w:spacing w:line="240" w:lineRule="auto"/>
        <w:jc w:val="both"/>
        <w:rPr>
          <w:rFonts w:ascii="Times New Roman" w:hAnsi="Times New Roman" w:cs="Times New Roman"/>
        </w:rPr>
      </w:pPr>
      <w:r w:rsidRPr="00C87FA9">
        <w:rPr>
          <w:rFonts w:ascii="Times New Roman" w:hAnsi="Times New Roman" w:cs="Times New Roman"/>
        </w:rPr>
        <w:t xml:space="preserve">A análise desenvolvida ao longo deste artigo mostra que orçamento, finanças e tomada de decisão não se separam no funcionamento das universidades federais, porque a forma de distribuir, priorizar e executar os recursos interfere no alcance das políticas institucionais e nas condições materiais de sua continuidade. </w:t>
      </w:r>
    </w:p>
    <w:p w14:paraId="4FDC5984" w14:textId="77777777" w:rsidR="00C87FA9" w:rsidRPr="00C87FA9" w:rsidRDefault="00C87FA9" w:rsidP="00C87FA9">
      <w:pPr>
        <w:spacing w:line="240" w:lineRule="auto"/>
        <w:jc w:val="both"/>
        <w:rPr>
          <w:rFonts w:ascii="Times New Roman" w:hAnsi="Times New Roman" w:cs="Times New Roman"/>
        </w:rPr>
      </w:pPr>
      <w:r w:rsidRPr="00C87FA9">
        <w:rPr>
          <w:rFonts w:ascii="Times New Roman" w:hAnsi="Times New Roman" w:cs="Times New Roman"/>
        </w:rPr>
        <w:t>No caso da UFSC, a trajetória observada indica que a restrição orçamentária atingiu não apenas a manutenção das atividades e a assistência estudantil em seu núcleo mais imediato, mas também programas acadêmicos vinculados à formação, como Viagens de Estudo e Participação Coletiva em Eventos. Isso permite concluir que a discussão sobre financiamento universitário não se limita ao volume de recursos, mas envolve a capacidade institucional de sustentar escolhas, responder a demandas e preservar a integridade das ações previstas no plano acadêmico e administrativo.</w:t>
      </w:r>
    </w:p>
    <w:p w14:paraId="5362FE82" w14:textId="77777777" w:rsidR="00C87FA9" w:rsidRPr="00C87FA9" w:rsidRDefault="00C87FA9" w:rsidP="00C87FA9">
      <w:pPr>
        <w:spacing w:line="240" w:lineRule="auto"/>
        <w:jc w:val="both"/>
        <w:rPr>
          <w:rFonts w:ascii="Times New Roman" w:hAnsi="Times New Roman" w:cs="Times New Roman"/>
        </w:rPr>
      </w:pPr>
      <w:r w:rsidRPr="00C87FA9">
        <w:rPr>
          <w:rFonts w:ascii="Times New Roman" w:hAnsi="Times New Roman" w:cs="Times New Roman"/>
        </w:rPr>
        <w:t xml:space="preserve">Os dados e documentos examinados indicam que a descontinuidade desses programas compromete dimensões da formação que não se esgotam na sala de aula, pois reduz o acesso dos estudantes a experiências práticas, espaços de circulação acadêmica, vivências institucionais e contatos com realidades profissionais, científicas e sociais. Ainda que não se situem no campo da permanência básica, essas ações integram o percurso formativo e afetam as condições de inserção acadêmica, desenvolvimento de competências e ampliação de oportunidades, com efeitos sobre qualidade da formação, equidade no acesso às experiências universitárias e produção de valor social pela instituição. </w:t>
      </w:r>
    </w:p>
    <w:p w14:paraId="17CAAE1A" w14:textId="77777777" w:rsidR="00C87FA9" w:rsidRPr="00C87FA9" w:rsidRDefault="00C87FA9" w:rsidP="00C87FA9">
      <w:pPr>
        <w:spacing w:line="240" w:lineRule="auto"/>
        <w:jc w:val="both"/>
        <w:rPr>
          <w:rFonts w:ascii="Times New Roman" w:hAnsi="Times New Roman" w:cs="Times New Roman"/>
        </w:rPr>
      </w:pPr>
      <w:r w:rsidRPr="00C87FA9">
        <w:rPr>
          <w:rFonts w:ascii="Times New Roman" w:hAnsi="Times New Roman" w:cs="Times New Roman"/>
        </w:rPr>
        <w:t>Nesse sentido, a interrupção prolongada desses programas expressa uma dificuldade operacional, pois revela como a compressão orçamentária e os entraves administrativos podem estreitar o alcance da universidade pública em suas funções de formação, inclusão e articulação com a sociedade.</w:t>
      </w:r>
    </w:p>
    <w:p w14:paraId="08EFEA74" w14:textId="29C177C4" w:rsidR="00C87FA9" w:rsidRPr="00C87FA9" w:rsidRDefault="00576B9A" w:rsidP="00C87FA9">
      <w:pPr>
        <w:spacing w:line="240" w:lineRule="auto"/>
        <w:jc w:val="both"/>
        <w:rPr>
          <w:rFonts w:ascii="Times New Roman" w:hAnsi="Times New Roman" w:cs="Times New Roman"/>
        </w:rPr>
      </w:pPr>
      <w:r w:rsidRPr="00576B9A">
        <w:rPr>
          <w:rFonts w:ascii="Times New Roman" w:hAnsi="Times New Roman" w:cs="Times New Roman"/>
        </w:rPr>
        <w:t>Para trabalhos futuros, recomenda-se ampliar a análise para outras universidades federais brasileiras, a fim de comparar desafios, estratégias de implementação e impactos institucionais. Nesse contexto, a retomada dessas ações depende do fortalecimento das condições de financiamento, planejamento e gestão.</w:t>
      </w:r>
      <w:r w:rsidR="00C87FA9" w:rsidRPr="00C87FA9">
        <w:rPr>
          <w:rFonts w:ascii="Times New Roman" w:hAnsi="Times New Roman" w:cs="Times New Roman"/>
        </w:rPr>
        <w:t xml:space="preserve"> É relevante, também, examinar a demanda necessária ao cumprimento da política de assistência estudantil em sua integralidade, bem como os efeitos da restrição orçamentária sobre evasão, retenção, permanência, formação acadêmica e acesso a oportunidades de desenvolvimento científico. </w:t>
      </w:r>
    </w:p>
    <w:p w14:paraId="77021E6F" w14:textId="77777777" w:rsidR="00B9043A" w:rsidRDefault="00C87FA9" w:rsidP="00C87FA9">
      <w:pPr>
        <w:spacing w:line="240" w:lineRule="auto"/>
        <w:jc w:val="both"/>
        <w:rPr>
          <w:rFonts w:ascii="Times New Roman" w:hAnsi="Times New Roman" w:cs="Times New Roman"/>
        </w:rPr>
      </w:pPr>
      <w:r w:rsidRPr="00C87FA9">
        <w:rPr>
          <w:rFonts w:ascii="Times New Roman" w:hAnsi="Times New Roman" w:cs="Times New Roman"/>
        </w:rPr>
        <w:t xml:space="preserve">Com isso, novas investigações poderão aprofundar a relação entre financiamento, governança institucional e desigualdades na trajetória estudantil, contribuindo para uma </w:t>
      </w:r>
      <w:r w:rsidRPr="00C87FA9">
        <w:rPr>
          <w:rFonts w:ascii="Times New Roman" w:hAnsi="Times New Roman" w:cs="Times New Roman"/>
        </w:rPr>
        <w:lastRenderedPageBreak/>
        <w:t>leitura mais ampla dos limites e das possibilidades das políticas universitárias no sistema federal de ensino superior brasileiro.</w:t>
      </w:r>
    </w:p>
    <w:p w14:paraId="5610643A" w14:textId="77777777" w:rsidR="00405741" w:rsidRDefault="00405741" w:rsidP="00405741">
      <w:pPr>
        <w:spacing w:after="0" w:line="240" w:lineRule="auto"/>
        <w:rPr>
          <w:rFonts w:ascii="Times New Roman" w:hAnsi="Times New Roman" w:cs="Times New Roman"/>
          <w:b/>
          <w:bCs/>
          <w:lang w:val="pt-BR"/>
        </w:rPr>
      </w:pPr>
    </w:p>
    <w:p w14:paraId="7A523AE5" w14:textId="5A5DA85A" w:rsidR="00BB2579" w:rsidRPr="00405741" w:rsidRDefault="00405741" w:rsidP="0040574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pt-BR"/>
        </w:rPr>
        <w:t>R</w:t>
      </w:r>
      <w:r w:rsidR="00BB2579" w:rsidRPr="00BB2579">
        <w:rPr>
          <w:rFonts w:ascii="Times New Roman" w:hAnsi="Times New Roman" w:cs="Times New Roman"/>
          <w:b/>
          <w:bCs/>
          <w:lang w:val="pt-BR"/>
        </w:rPr>
        <w:t>eferências bibliográficas (APA 7ª edição)</w:t>
      </w:r>
    </w:p>
    <w:p w14:paraId="70985B21" w14:textId="77777777" w:rsidR="00405741" w:rsidRDefault="00405741" w:rsidP="00BB2579">
      <w:pPr>
        <w:spacing w:line="240" w:lineRule="auto"/>
        <w:jc w:val="both"/>
        <w:rPr>
          <w:rFonts w:ascii="Times New Roman" w:hAnsi="Times New Roman" w:cs="Times New Roman"/>
          <w:lang w:val="pt-BR" w:eastAsia="zh-CN"/>
        </w:rPr>
      </w:pPr>
    </w:p>
    <w:p w14:paraId="3FAA6A23" w14:textId="4DE1F59D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Associação Nacional dos Dirigentes das Instituições Federais de Ensino Superior. (2018). Matriz PNAES: Versão atualizada.</w:t>
      </w:r>
      <w:r w:rsidR="007F1F9D">
        <w:rPr>
          <w:rFonts w:ascii="Times New Roman" w:hAnsi="Times New Roman" w:cs="Times New Roman"/>
          <w:lang w:val="pt-BR"/>
        </w:rPr>
        <w:t xml:space="preserve"> </w:t>
      </w:r>
      <w:r w:rsidR="007F1F9D" w:rsidRPr="007F1F9D">
        <w:rPr>
          <w:rFonts w:ascii="Times New Roman" w:hAnsi="Times New Roman" w:cs="Times New Roman"/>
          <w:lang w:val="pt-BR"/>
        </w:rPr>
        <w:t>https://www.andifes.org.br/wp-content/uploads/2018/06/TIAGO-matriz-pnaes_versao-atual-08052018-anilton.pdf</w:t>
      </w:r>
    </w:p>
    <w:p w14:paraId="07B69FCD" w14:textId="77777777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Associação Nacional dos Dirigentes das Instituições Federais de Ensino Superior. (2021). Andifes debate os impactos dos cortes no orçamento da educação na Câmara dos Deputados. https://www.andifes.org.br/?p=88195</w:t>
      </w:r>
    </w:p>
    <w:p w14:paraId="7D4A4919" w14:textId="77777777" w:rsidR="00893458" w:rsidRDefault="00893458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893458">
        <w:rPr>
          <w:rFonts w:ascii="Times New Roman" w:hAnsi="Times New Roman" w:cs="Times New Roman"/>
          <w:lang w:val="pt-BR"/>
        </w:rPr>
        <w:t>Associação Nacional dos Dirigentes das Instituições Federais de Ensino Superior. (2024). Relatório de gestão 2023–2024. ANDIFES.</w:t>
      </w:r>
    </w:p>
    <w:p w14:paraId="14AB8D3E" w14:textId="78FD3909" w:rsidR="00F40AAC" w:rsidRDefault="00F40AAC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40AAC">
        <w:rPr>
          <w:rFonts w:ascii="Times New Roman" w:hAnsi="Times New Roman" w:cs="Times New Roman"/>
          <w:lang w:val="pt-BR"/>
        </w:rPr>
        <w:t>Associação Nacional dos Dirigentes das Instituições Federais de Ensino Superior. Fórum Nacional de Pró-Reitores de Planejamento e Administração. (2025). Painel da execução orçamentária das universidades federais. https://www.andifes.org.br/</w:t>
      </w:r>
      <w:r w:rsidRPr="00F40AAC">
        <w:rPr>
          <w:rFonts w:ascii="Times New Roman" w:hAnsi="Times New Roman" w:cs="Times New Roman"/>
          <w:lang w:val="pt-BR"/>
        </w:rPr>
        <w:t xml:space="preserve"> </w:t>
      </w:r>
    </w:p>
    <w:p w14:paraId="041D4235" w14:textId="461E54E4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Associação dos Professores da Universidade Federal de Santa Catarina. UFSC receberá R$ 8 milhões a menos que o previsto para o orçamento de 2025. https://www.apufsc.org.br/2025/04/11/ufsc-recebera-r-8-milhoes-a-menos-que-o-previsto-para-o-orcamento-de-2025/</w:t>
      </w:r>
    </w:p>
    <w:p w14:paraId="7181B0B6" w14:textId="77777777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Baleeiro, A. (2002). Uma introdução à ciência das finanças (16ª ed., rev. e atual. por D. de Campos). Forense.</w:t>
      </w:r>
    </w:p>
    <w:p w14:paraId="17651E92" w14:textId="6CBE2C49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proofErr w:type="spellStart"/>
      <w:r w:rsidRPr="00BB2579">
        <w:rPr>
          <w:rFonts w:ascii="Times New Roman" w:hAnsi="Times New Roman" w:cs="Times New Roman"/>
          <w:lang w:val="pt-BR"/>
        </w:rPr>
        <w:t>Bonente</w:t>
      </w:r>
      <w:proofErr w:type="spellEnd"/>
      <w:r w:rsidRPr="00BB2579">
        <w:rPr>
          <w:rFonts w:ascii="Times New Roman" w:hAnsi="Times New Roman" w:cs="Times New Roman"/>
          <w:lang w:val="pt-BR"/>
        </w:rPr>
        <w:t>, B., &amp; Medeiros, J. L. (2016). Desenvolvimento como ausência de liberdade: Marx contra Sen. Revista da Sociedade Brasileira de Economia Política.</w:t>
      </w:r>
      <w:r w:rsidR="007F1F9D" w:rsidRPr="007F1F9D">
        <w:t xml:space="preserve"> </w:t>
      </w:r>
      <w:r w:rsidR="007F1F9D" w:rsidRPr="007F1F9D">
        <w:rPr>
          <w:rFonts w:ascii="Times New Roman" w:hAnsi="Times New Roman" w:cs="Times New Roman"/>
          <w:lang w:val="pt-BR"/>
        </w:rPr>
        <w:t>https://revistasep.org.br/index.php/SEP/article/view/263</w:t>
      </w:r>
    </w:p>
    <w:p w14:paraId="1D52829C" w14:textId="77777777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Brasil. (1964). Lei nº 4.320, de 17 de março de 1964. Estatui normas gerais de direito financeiro para elaboração e controle dos orçamentos e balanços da União, dos Estados, dos Municípios e do Distrito Federal. Presidência da República. https://www.planalto.gov.br/ccivil_03/leis/l4320.htm</w:t>
      </w:r>
    </w:p>
    <w:p w14:paraId="01695DA9" w14:textId="77777777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Brasil. (1988). Constituição da República Federativa do Brasil de 1988. Presidência da República. https://www.planalto.gov.br/ccivil_03/constituicao/constituicao.htm</w:t>
      </w:r>
    </w:p>
    <w:p w14:paraId="423ADEB5" w14:textId="77777777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Brasil. (2000). Lei Complementar nº 101, de 4 de maio de 2000. Estabelece normas de finanças públicas voltadas para a responsabilidade na gestão fiscal e dá outras providências. Presidência da República. https://www.planalto.gov.br/ccivil_03/leis/lcp/lcp101.htm</w:t>
      </w:r>
    </w:p>
    <w:p w14:paraId="677E9613" w14:textId="77777777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Brasil. (2007). Portaria Normativa nº 39, de 12 de dezembro de 2007. Institui o Programa Nacional de Assistência Estudantil—PNAES. Ministério da Educação.</w:t>
      </w:r>
    </w:p>
    <w:p w14:paraId="7E5057C7" w14:textId="77777777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lastRenderedPageBreak/>
        <w:t>Brasil. (2010). Decreto nº 7.234, de 19 de julho de 2010. Dispõe sobre o Programa Nacional de Assistência Estudantil—PNAES. Presidência da República. https://www.planalto.gov.br/ccivil_03/_ato2007-2010/2010/decreto/d7234.htm</w:t>
      </w:r>
    </w:p>
    <w:p w14:paraId="6B445750" w14:textId="77777777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Brasil. (2014). Lei nº 13.005, de 25 de junho de 2014. Aprova o Plano Nacional de Educação—PNE e dá outras providências. Presidência da República. https://www.planalto.gov.br/ccivil_03/_ato2011-2014/2014/lei/l13005.htm</w:t>
      </w:r>
    </w:p>
    <w:p w14:paraId="37D6992A" w14:textId="77777777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Brasil. (2015). Decreto nº 8.540, de 9 de outubro de 2015. Estabelece, no âmbito da administração pública federal direta, autárquica e fundacional, medidas de racionalização do gasto público nas contratações para aquisição de bens e prestação de serviços e na utilização de telefones celulares corporativos e outros dispositivos. Presidência da República.</w:t>
      </w:r>
    </w:p>
    <w:p w14:paraId="3EBEB8E6" w14:textId="77777777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Brasil. (2021). Lei nº 14.194, de 20 de agosto de 2021. Lei de Diretrizes Orçamentárias de 2022. Presidência da República.</w:t>
      </w:r>
    </w:p>
    <w:p w14:paraId="35C824D3" w14:textId="77777777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Brasil. (2023). Lei Complementar nº 200, de 30 de agosto de 2023. Institui regime fiscal sustentável para garantir a estabilidade macroeconômica do País e criar as condições adequadas ao crescimento socioeconômico. Presidência da República. https://www.planalto.gov.br/ccivil_03/leis/lcp/lcp200.htm</w:t>
      </w:r>
    </w:p>
    <w:p w14:paraId="5A398140" w14:textId="77777777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Brasil. (2024a). Lei nº 14.914, de 3 de julho de 2024. Institui a Política Nacional de Assistência Estudantil—PNAES. Presidência da República. https://www.planalto.gov.br/ccivil_03/_ato2023-2026/2024/lei/l14914.htm</w:t>
      </w:r>
    </w:p>
    <w:p w14:paraId="6B2062D8" w14:textId="77777777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Brasil. Ministério do Planejamento e Orçamento. (2024b). Manual técnico de orçamento: MTO 2025. Secretaria de Orçamento Federal.</w:t>
      </w:r>
    </w:p>
    <w:p w14:paraId="4DE67591" w14:textId="77777777" w:rsidR="00F40AAC" w:rsidRDefault="00F40AAC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40AAC">
        <w:rPr>
          <w:rFonts w:ascii="Times New Roman" w:hAnsi="Times New Roman" w:cs="Times New Roman"/>
          <w:lang w:val="pt-BR"/>
        </w:rPr>
        <w:t>Brasil. Ministério do Planejamento e Orçamento. Secretaria de Orçamento Federal. (2025). Painel do Orçamento Federal. Sistema Integrado de Planejamento e Orçamento. https://www1.siop.planejamento.gov.br/painelorcamento/</w:t>
      </w:r>
    </w:p>
    <w:p w14:paraId="547CD634" w14:textId="7FBB422B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Bresser-Pereira, L. C. (1997). A reforma do Estado dos anos 90: Lógica e mecanismos de controle. Ministério da Administração Federal e Reforma do Estado.</w:t>
      </w:r>
      <w:r w:rsidR="007F1F9D">
        <w:rPr>
          <w:rFonts w:ascii="Times New Roman" w:hAnsi="Times New Roman" w:cs="Times New Roman"/>
          <w:lang w:val="pt-BR"/>
        </w:rPr>
        <w:t xml:space="preserve"> </w:t>
      </w:r>
      <w:r w:rsidR="007F1F9D" w:rsidRPr="007F1F9D">
        <w:rPr>
          <w:rFonts w:ascii="Times New Roman" w:hAnsi="Times New Roman" w:cs="Times New Roman"/>
          <w:lang w:val="pt-BR"/>
        </w:rPr>
        <w:t>https://doi.org/10.1590/S0102-64451998000300004</w:t>
      </w:r>
    </w:p>
    <w:p w14:paraId="4DE27E13" w14:textId="77777777" w:rsidR="00405741" w:rsidRDefault="00405741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405741">
        <w:rPr>
          <w:rFonts w:ascii="Times New Roman" w:hAnsi="Times New Roman" w:cs="Times New Roman"/>
          <w:lang w:val="pt-BR"/>
        </w:rPr>
        <w:t>Carneiro, R. (Org.). (2006). A supremacia dos mercados e a política econômica do governo Lula. Editora Unesp.</w:t>
      </w:r>
    </w:p>
    <w:p w14:paraId="64125245" w14:textId="75801640" w:rsidR="00E57C93" w:rsidRDefault="00E57C93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E57C93">
        <w:rPr>
          <w:rFonts w:ascii="Times New Roman" w:hAnsi="Times New Roman" w:cs="Times New Roman"/>
          <w:lang w:val="pt-BR"/>
        </w:rPr>
        <w:t>Castro, A. B. de. (2000). Brasil: O desenvolvimento renegado. In J. P. dos R. Velloso (Coord.), A crise mundial e a nova agenda de crescimento. José Olympio.</w:t>
      </w:r>
    </w:p>
    <w:p w14:paraId="54326BB8" w14:textId="21DADB0D" w:rsidR="00BB2579" w:rsidRPr="007F1F9D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 xml:space="preserve">Cerqueira, H. E. A. da G. (2006). Adam Smith e seu contexto: O iluminismo escocês. </w:t>
      </w:r>
      <w:r w:rsidRPr="007F1F9D">
        <w:rPr>
          <w:rFonts w:ascii="Times New Roman" w:hAnsi="Times New Roman" w:cs="Times New Roman"/>
          <w:lang w:val="pt-BR"/>
        </w:rPr>
        <w:t>Economia e Sociedade.</w:t>
      </w:r>
      <w:r w:rsidR="007F1F9D" w:rsidRPr="007F1F9D">
        <w:rPr>
          <w:rFonts w:ascii="Times New Roman" w:hAnsi="Times New Roman" w:cs="Times New Roman"/>
          <w:lang w:val="pt-BR"/>
        </w:rPr>
        <w:t xml:space="preserve"> </w:t>
      </w:r>
      <w:r w:rsidR="007F1F9D" w:rsidRPr="007F1F9D">
        <w:rPr>
          <w:rFonts w:ascii="Times New Roman" w:hAnsi="Times New Roman" w:cs="Times New Roman"/>
          <w:lang w:val="pt-BR"/>
        </w:rPr>
        <w:t>https://www.eco.unicamp.br/images/arquivos/artigos/600/02_Hugo_Cerqueira.pdf</w:t>
      </w:r>
    </w:p>
    <w:p w14:paraId="2D5B6216" w14:textId="313839C5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en-US"/>
        </w:rPr>
        <w:t xml:space="preserve">Chang, H.-J. (2002). Kicking away the ladder: Development strategy in historical perspective. </w:t>
      </w:r>
    </w:p>
    <w:p w14:paraId="25CEC394" w14:textId="1EBF5BCF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lastRenderedPageBreak/>
        <w:t>Controladoria-Geral da União. (2019). Portaria nº 57, de 4 de janeiro de 2019. Estabelece orientações para a estruturação de programas de integridade nos órgãos e entidades do Poder Executivo federal.</w:t>
      </w:r>
      <w:r w:rsidR="00576B9A">
        <w:rPr>
          <w:rFonts w:ascii="Times New Roman" w:hAnsi="Times New Roman" w:cs="Times New Roman"/>
          <w:lang w:val="pt-BR"/>
        </w:rPr>
        <w:t xml:space="preserve"> </w:t>
      </w:r>
      <w:r w:rsidR="00576B9A" w:rsidRPr="00576B9A">
        <w:rPr>
          <w:rFonts w:ascii="Times New Roman" w:hAnsi="Times New Roman" w:cs="Times New Roman"/>
          <w:lang w:val="pt-BR"/>
        </w:rPr>
        <w:t>https://basedeconhecimento.cgu.gov.br/handle/1/4070</w:t>
      </w:r>
    </w:p>
    <w:p w14:paraId="0831D997" w14:textId="77777777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proofErr w:type="spellStart"/>
      <w:r w:rsidRPr="00BB2579">
        <w:rPr>
          <w:rFonts w:ascii="Times New Roman" w:hAnsi="Times New Roman" w:cs="Times New Roman"/>
          <w:lang w:val="pt-BR"/>
        </w:rPr>
        <w:t>Etzkowitz</w:t>
      </w:r>
      <w:proofErr w:type="spellEnd"/>
      <w:r w:rsidRPr="00BB2579">
        <w:rPr>
          <w:rFonts w:ascii="Times New Roman" w:hAnsi="Times New Roman" w:cs="Times New Roman"/>
          <w:lang w:val="pt-BR"/>
        </w:rPr>
        <w:t>, H., &amp; Zhou, C. (2017). Hélice tríplice: Inovação e empreendedorismo universidade-indústria-governo. Estudos Avançados, 31(90), 23–48. https://doi.org/10.1590/s0103-40142017.3190003</w:t>
      </w:r>
    </w:p>
    <w:p w14:paraId="63E2DDAA" w14:textId="77777777" w:rsidR="00E57C93" w:rsidRDefault="00E57C93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E57C93">
        <w:rPr>
          <w:rFonts w:ascii="Times New Roman" w:hAnsi="Times New Roman" w:cs="Times New Roman"/>
          <w:lang w:val="pt-BR"/>
        </w:rPr>
        <w:t>Fernandes, A. S. A., &amp; Souza, T. S. (2019). Ciclo orçamentário brasileiro. Escola Nacional de Administração Pública.</w:t>
      </w:r>
    </w:p>
    <w:p w14:paraId="560DF4DA" w14:textId="77777777" w:rsidR="00405741" w:rsidRDefault="00405741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405741">
        <w:rPr>
          <w:rFonts w:ascii="Times New Roman" w:hAnsi="Times New Roman" w:cs="Times New Roman"/>
          <w:lang w:val="pt-BR"/>
        </w:rPr>
        <w:t>Fiori, J. L. (2000). A propósito de uma “construção interrompida”. Economia e Sociedade, 9(1), 1–19.</w:t>
      </w:r>
    </w:p>
    <w:p w14:paraId="3C6CFF62" w14:textId="32788EE0" w:rsidR="00E57C93" w:rsidRDefault="00E57C93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E57C93">
        <w:rPr>
          <w:rFonts w:ascii="Times New Roman" w:hAnsi="Times New Roman" w:cs="Times New Roman"/>
          <w:lang w:val="pt-BR"/>
        </w:rPr>
        <w:t>Furtado, C. (1992). Brasil: A construção interrompida. Paz e Terra.</w:t>
      </w:r>
    </w:p>
    <w:p w14:paraId="6A9EB023" w14:textId="1F24D12F" w:rsidR="00893458" w:rsidRDefault="00893458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893458">
        <w:rPr>
          <w:rFonts w:ascii="Times New Roman" w:hAnsi="Times New Roman" w:cs="Times New Roman"/>
          <w:lang w:val="pt-BR"/>
        </w:rPr>
        <w:t>Furtado, C., &amp; Furtado, R. F. d’Aguiar (</w:t>
      </w:r>
      <w:proofErr w:type="spellStart"/>
      <w:r w:rsidRPr="00893458">
        <w:rPr>
          <w:rFonts w:ascii="Times New Roman" w:hAnsi="Times New Roman" w:cs="Times New Roman"/>
          <w:lang w:val="pt-BR"/>
        </w:rPr>
        <w:t>Orgs</w:t>
      </w:r>
      <w:proofErr w:type="spellEnd"/>
      <w:r w:rsidRPr="00893458">
        <w:rPr>
          <w:rFonts w:ascii="Times New Roman" w:hAnsi="Times New Roman" w:cs="Times New Roman"/>
          <w:lang w:val="pt-BR"/>
        </w:rPr>
        <w:t>.). (2009). Formação econômica do Brasil: Edição comemorativa de 50 anos. Companhia das Letras.</w:t>
      </w:r>
    </w:p>
    <w:p w14:paraId="7B751AA4" w14:textId="603BA10F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Gadelha, S. R. de B. (2017). Entendendo o orçamento público. Escola Nacional de Administração Pública. https://repositorio.enap.gov.br/handle/1/3167</w:t>
      </w:r>
    </w:p>
    <w:p w14:paraId="568C0CE6" w14:textId="2AFB4675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 xml:space="preserve">Ganem, A. (2012). O mercado como ordem social em Adam Smith, </w:t>
      </w:r>
      <w:proofErr w:type="spellStart"/>
      <w:r w:rsidRPr="00BB2579">
        <w:rPr>
          <w:rFonts w:ascii="Times New Roman" w:hAnsi="Times New Roman" w:cs="Times New Roman"/>
          <w:lang w:val="pt-BR"/>
        </w:rPr>
        <w:t>Walras</w:t>
      </w:r>
      <w:proofErr w:type="spellEnd"/>
      <w:r w:rsidRPr="00BB2579">
        <w:rPr>
          <w:rFonts w:ascii="Times New Roman" w:hAnsi="Times New Roman" w:cs="Times New Roman"/>
          <w:lang w:val="pt-BR"/>
        </w:rPr>
        <w:t xml:space="preserve"> e Hayek. Economia e Sociedade, 21(número especial), 143–164.</w:t>
      </w:r>
      <w:r w:rsidR="00576B9A">
        <w:rPr>
          <w:rFonts w:ascii="Times New Roman" w:hAnsi="Times New Roman" w:cs="Times New Roman"/>
          <w:lang w:val="pt-BR"/>
        </w:rPr>
        <w:t xml:space="preserve"> </w:t>
      </w:r>
      <w:r w:rsidR="00576B9A" w:rsidRPr="00576B9A">
        <w:rPr>
          <w:rFonts w:ascii="Times New Roman" w:hAnsi="Times New Roman" w:cs="Times New Roman"/>
          <w:lang w:val="pt-BR"/>
        </w:rPr>
        <w:t>https://www.scielo.br/j/ecos/a/dx6nGSMKW4sYPBtrvj3G8Jb/?format=pdf&amp;lang=pt</w:t>
      </w:r>
    </w:p>
    <w:p w14:paraId="55D7AF31" w14:textId="219E079D" w:rsidR="00BB2579" w:rsidRPr="00576B9A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BB2579">
        <w:rPr>
          <w:rFonts w:ascii="Times New Roman" w:hAnsi="Times New Roman" w:cs="Times New Roman"/>
          <w:lang w:val="pt-BR"/>
        </w:rPr>
        <w:t xml:space="preserve">Gil, A. C. (2008). Métodos e técnicas de pesquisa social (6ª ed.). </w:t>
      </w:r>
      <w:r w:rsidRPr="00576B9A">
        <w:rPr>
          <w:rFonts w:ascii="Times New Roman" w:hAnsi="Times New Roman" w:cs="Times New Roman"/>
          <w:lang w:val="en-US"/>
        </w:rPr>
        <w:t>Atlas.</w:t>
      </w:r>
      <w:r w:rsidR="00576B9A" w:rsidRPr="00576B9A">
        <w:rPr>
          <w:rFonts w:ascii="Times New Roman" w:hAnsi="Times New Roman" w:cs="Times New Roman"/>
          <w:lang w:val="en-US"/>
        </w:rPr>
        <w:t xml:space="preserve"> </w:t>
      </w:r>
      <w:r w:rsidR="00576B9A" w:rsidRPr="00576B9A">
        <w:rPr>
          <w:rFonts w:ascii="Times New Roman" w:hAnsi="Times New Roman" w:cs="Times New Roman"/>
          <w:lang w:val="en-US"/>
        </w:rPr>
        <w:t>https://pdfdocumento.com/gil-a-c-metodos-e-tecnicas-de-pesquisa-social-blog-do-professor-_59f7b94d1723ddde0f3dc077.html</w:t>
      </w:r>
    </w:p>
    <w:p w14:paraId="4E68CA42" w14:textId="77777777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Harvey, D. (2013). Os limites do capital. Boitempo.</w:t>
      </w:r>
    </w:p>
    <w:p w14:paraId="25242F8D" w14:textId="77777777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Hunt, E. K. (1985). História do pensamento econômico: Uma perspectiva crítica. Elsevier.</w:t>
      </w:r>
    </w:p>
    <w:p w14:paraId="78410B70" w14:textId="5148907B" w:rsid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Instituto Nacional de Estudos e Pesquisas Educacionais Anísio Teixeira. (2024). Relatório do 5º ciclo de monitoramento das metas do Plano Nacional de Educação—2024. Inep.</w:t>
      </w:r>
      <w:r w:rsidR="00CD4FA4" w:rsidRPr="00CD4FA4">
        <w:t xml:space="preserve"> </w:t>
      </w:r>
      <w:r w:rsidR="00CD4FA4" w:rsidRPr="00CD4FA4">
        <w:rPr>
          <w:rFonts w:ascii="Times New Roman" w:hAnsi="Times New Roman" w:cs="Times New Roman"/>
          <w:lang w:val="pt-BR"/>
        </w:rPr>
        <w:t>https://www.gov.br/inep/pt-br/centrais-de-conteudo/noticias/estudos-educacionais/inep-lanca-relatorio-do-5o-ciclo-de-monitoramento-do-pne</w:t>
      </w:r>
    </w:p>
    <w:p w14:paraId="79961D9A" w14:textId="75D03D75" w:rsidR="00E57C93" w:rsidRPr="00BB2579" w:rsidRDefault="00E57C93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E57C93">
        <w:rPr>
          <w:rFonts w:ascii="Times New Roman" w:hAnsi="Times New Roman" w:cs="Times New Roman"/>
          <w:lang w:val="pt-BR"/>
        </w:rPr>
        <w:t>Kawasaki, C. S. (1997). Universidades públicas e sociedade: Uma parceria necessária. Revista da Faculdade de Educação, 23(1–2), 239–257. https://doi.org/10.1590/S0102-25551997000100013</w:t>
      </w:r>
    </w:p>
    <w:p w14:paraId="7260B202" w14:textId="00303109" w:rsidR="00BB2579" w:rsidRPr="00E57C93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 xml:space="preserve">Marconi, M. de A., &amp; Lakatos, E. M. (2003). Fundamentos de metodologia científica (5ª ed.). </w:t>
      </w:r>
      <w:r w:rsidRPr="00E57C93">
        <w:rPr>
          <w:rFonts w:ascii="Times New Roman" w:hAnsi="Times New Roman" w:cs="Times New Roman"/>
          <w:lang w:val="pt-BR"/>
        </w:rPr>
        <w:t>Atlas.</w:t>
      </w:r>
      <w:r w:rsidR="00CD4FA4" w:rsidRPr="00E57C93">
        <w:rPr>
          <w:rFonts w:ascii="Times New Roman" w:hAnsi="Times New Roman" w:cs="Times New Roman"/>
          <w:lang w:val="pt-BR"/>
        </w:rPr>
        <w:t xml:space="preserve"> </w:t>
      </w:r>
      <w:r w:rsidR="00CD4FA4" w:rsidRPr="00E57C93">
        <w:rPr>
          <w:rFonts w:ascii="Times New Roman" w:hAnsi="Times New Roman" w:cs="Times New Roman"/>
          <w:lang w:val="pt-BR"/>
        </w:rPr>
        <w:t>https://cursosextensao.usp.br/pluginfile.php/300164/mod_resource</w:t>
      </w:r>
      <w:r w:rsidR="00CD4FA4" w:rsidRPr="00E57C93">
        <w:rPr>
          <w:rFonts w:ascii="Times New Roman" w:hAnsi="Times New Roman" w:cs="Times New Roman"/>
          <w:lang w:val="pt-BR"/>
        </w:rPr>
        <w:t xml:space="preserve"> </w:t>
      </w:r>
      <w:r w:rsidR="00CD4FA4" w:rsidRPr="00E57C93">
        <w:rPr>
          <w:rFonts w:ascii="Times New Roman" w:hAnsi="Times New Roman" w:cs="Times New Roman"/>
          <w:lang w:val="pt-BR"/>
        </w:rPr>
        <w:t>/</w:t>
      </w:r>
      <w:proofErr w:type="spellStart"/>
      <w:r w:rsidR="00CD4FA4" w:rsidRPr="00E57C93">
        <w:rPr>
          <w:rFonts w:ascii="Times New Roman" w:hAnsi="Times New Roman" w:cs="Times New Roman"/>
          <w:lang w:val="pt-BR"/>
        </w:rPr>
        <w:t>content</w:t>
      </w:r>
      <w:proofErr w:type="spellEnd"/>
      <w:r w:rsidR="00CD4FA4" w:rsidRPr="00E57C93">
        <w:rPr>
          <w:rFonts w:ascii="Times New Roman" w:hAnsi="Times New Roman" w:cs="Times New Roman"/>
          <w:lang w:val="pt-BR"/>
        </w:rPr>
        <w:t>/1/MC2019%20Marconi%20Lakatos-met%20cient.pdf</w:t>
      </w:r>
    </w:p>
    <w:p w14:paraId="5438DD0C" w14:textId="77777777" w:rsidR="00E57C93" w:rsidRDefault="00E57C93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E57C93">
        <w:rPr>
          <w:rFonts w:ascii="Times New Roman" w:hAnsi="Times New Roman" w:cs="Times New Roman"/>
          <w:lang w:val="pt-BR"/>
        </w:rPr>
        <w:t>Martins, M., &amp; Pereira, M. R. (2025). Reuni e os impactos da interiorização das universidades federais no país. Revista Ibero-Americana de Humanidades, Ciências e Educação, 11(3), 1404–1418. https://doi.org/10.51891/rease.v11i3.18405</w:t>
      </w:r>
    </w:p>
    <w:p w14:paraId="0299ED58" w14:textId="7F53FDB4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BB2579">
        <w:rPr>
          <w:rFonts w:ascii="Times New Roman" w:hAnsi="Times New Roman" w:cs="Times New Roman"/>
          <w:lang w:val="pt-BR"/>
        </w:rPr>
        <w:lastRenderedPageBreak/>
        <w:t xml:space="preserve">Maslow, A. H. (1954). </w:t>
      </w:r>
      <w:proofErr w:type="spellStart"/>
      <w:r w:rsidRPr="00BB2579">
        <w:rPr>
          <w:rFonts w:ascii="Times New Roman" w:hAnsi="Times New Roman" w:cs="Times New Roman"/>
          <w:lang w:val="pt-BR"/>
        </w:rPr>
        <w:t>Motivation</w:t>
      </w:r>
      <w:proofErr w:type="spellEnd"/>
      <w:r w:rsidRPr="00BB2579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BB2579">
        <w:rPr>
          <w:rFonts w:ascii="Times New Roman" w:hAnsi="Times New Roman" w:cs="Times New Roman"/>
          <w:lang w:val="pt-BR"/>
        </w:rPr>
        <w:t>and</w:t>
      </w:r>
      <w:proofErr w:type="spellEnd"/>
      <w:r w:rsidRPr="00BB2579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BB2579">
        <w:rPr>
          <w:rFonts w:ascii="Times New Roman" w:hAnsi="Times New Roman" w:cs="Times New Roman"/>
          <w:lang w:val="pt-BR"/>
        </w:rPr>
        <w:t>personality</w:t>
      </w:r>
      <w:proofErr w:type="spellEnd"/>
      <w:r w:rsidRPr="00BB2579">
        <w:rPr>
          <w:rFonts w:ascii="Times New Roman" w:hAnsi="Times New Roman" w:cs="Times New Roman"/>
          <w:lang w:val="pt-BR"/>
        </w:rPr>
        <w:t xml:space="preserve">. </w:t>
      </w:r>
      <w:r w:rsidRPr="00BB2579">
        <w:rPr>
          <w:rFonts w:ascii="Times New Roman" w:hAnsi="Times New Roman" w:cs="Times New Roman"/>
          <w:lang w:val="en-US"/>
        </w:rPr>
        <w:t>Harper &amp; Brothers.</w:t>
      </w:r>
      <w:r w:rsidR="00CD4FA4">
        <w:rPr>
          <w:rFonts w:ascii="Times New Roman" w:hAnsi="Times New Roman" w:cs="Times New Roman"/>
          <w:lang w:val="en-US"/>
        </w:rPr>
        <w:t xml:space="preserve"> </w:t>
      </w:r>
      <w:r w:rsidR="00CD4FA4" w:rsidRPr="00CD4FA4">
        <w:rPr>
          <w:rFonts w:ascii="Times New Roman" w:hAnsi="Times New Roman" w:cs="Times New Roman"/>
          <w:lang w:val="en-US"/>
        </w:rPr>
        <w:t>https://www.holybooks.com/wp-content/uploads/Motivation-and-Personality-Maslow.pdf</w:t>
      </w:r>
    </w:p>
    <w:p w14:paraId="6632EAC2" w14:textId="77777777" w:rsid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en-US"/>
        </w:rPr>
        <w:t xml:space="preserve">Paulani, L. M. (1996). </w:t>
      </w:r>
      <w:r w:rsidRPr="00BB2579">
        <w:rPr>
          <w:rFonts w:ascii="Times New Roman" w:hAnsi="Times New Roman" w:cs="Times New Roman"/>
          <w:lang w:val="pt-BR"/>
        </w:rPr>
        <w:t>Hayek e o individualismo no discurso econômico. Lua Nova: Revista de Cultura e Política, (38), 97–124. https://doi.org/10.1590/S0102-64451996000200007</w:t>
      </w:r>
    </w:p>
    <w:p w14:paraId="2C2C767F" w14:textId="5EE5288D" w:rsidR="00E57C93" w:rsidRPr="00BB2579" w:rsidRDefault="00E57C93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E57C93">
        <w:rPr>
          <w:rFonts w:ascii="Times New Roman" w:hAnsi="Times New Roman" w:cs="Times New Roman"/>
          <w:lang w:val="pt-BR"/>
        </w:rPr>
        <w:t xml:space="preserve">Paulani, L. M. (1999). Modernidade e discurso econômico: Ainda sobre </w:t>
      </w:r>
      <w:proofErr w:type="spellStart"/>
      <w:r w:rsidRPr="00E57C93">
        <w:rPr>
          <w:rFonts w:ascii="Times New Roman" w:hAnsi="Times New Roman" w:cs="Times New Roman"/>
          <w:lang w:val="pt-BR"/>
        </w:rPr>
        <w:t>McCloskey</w:t>
      </w:r>
      <w:proofErr w:type="spellEnd"/>
      <w:r w:rsidRPr="00E57C93">
        <w:rPr>
          <w:rFonts w:ascii="Times New Roman" w:hAnsi="Times New Roman" w:cs="Times New Roman"/>
          <w:lang w:val="pt-BR"/>
        </w:rPr>
        <w:t>. Revista de Economia Política, 19(4), 647–665. https://doi.org/10.1590/0101-31571999-1098</w:t>
      </w:r>
    </w:p>
    <w:p w14:paraId="5FE7AD42" w14:textId="1D4F7FCE" w:rsidR="00CD4FA4" w:rsidRDefault="00CD4FA4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D4FA4">
        <w:rPr>
          <w:rFonts w:ascii="Times New Roman" w:hAnsi="Times New Roman" w:cs="Times New Roman"/>
          <w:lang w:val="pt-BR"/>
        </w:rPr>
        <w:t>Paulani, L. M. (2016). Neoliberalismo e individualismo. Economia E Sociedade, 8(2), 115-127. https://periodicos.sbu.unicamp.br/ojs/index.php/ecos/article/view/8643138</w:t>
      </w:r>
    </w:p>
    <w:p w14:paraId="17A63C05" w14:textId="77777777" w:rsidR="00E57C93" w:rsidRDefault="00E57C93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E57C93">
        <w:rPr>
          <w:rFonts w:ascii="Times New Roman" w:hAnsi="Times New Roman" w:cs="Times New Roman"/>
          <w:lang w:val="pt-BR"/>
        </w:rPr>
        <w:t>Possas, M. L. (1989). Dinâmica e concorrência capitalista: Uma interpretação a partir de Marx. Hucitec; Editora da Unicamp.</w:t>
      </w:r>
    </w:p>
    <w:p w14:paraId="420978D9" w14:textId="2E1E34DB" w:rsidR="00405741" w:rsidRDefault="00405741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405741">
        <w:rPr>
          <w:rFonts w:ascii="Times New Roman" w:hAnsi="Times New Roman" w:cs="Times New Roman"/>
          <w:lang w:val="pt-BR"/>
        </w:rPr>
        <w:t xml:space="preserve">Rossi, P., &amp; Mello, G. (2016). Componentes macroeconômicos e estruturais da crise brasileira: O subdesenvolvimento revisitado. </w:t>
      </w:r>
      <w:proofErr w:type="spellStart"/>
      <w:r w:rsidRPr="00405741">
        <w:rPr>
          <w:rFonts w:ascii="Times New Roman" w:hAnsi="Times New Roman" w:cs="Times New Roman"/>
          <w:lang w:val="pt-BR"/>
        </w:rPr>
        <w:t>Brazilian</w:t>
      </w:r>
      <w:proofErr w:type="spellEnd"/>
      <w:r w:rsidRPr="00405741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405741">
        <w:rPr>
          <w:rFonts w:ascii="Times New Roman" w:hAnsi="Times New Roman" w:cs="Times New Roman"/>
          <w:lang w:val="pt-BR"/>
        </w:rPr>
        <w:t>Keynesian</w:t>
      </w:r>
      <w:proofErr w:type="spellEnd"/>
      <w:r w:rsidRPr="00405741">
        <w:rPr>
          <w:rFonts w:ascii="Times New Roman" w:hAnsi="Times New Roman" w:cs="Times New Roman"/>
          <w:lang w:val="pt-BR"/>
        </w:rPr>
        <w:t xml:space="preserve"> Review, 2(2), 252–263.</w:t>
      </w:r>
    </w:p>
    <w:p w14:paraId="7649ADFF" w14:textId="6ACC7DF8" w:rsidR="00405741" w:rsidRDefault="00405741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405741">
        <w:rPr>
          <w:rFonts w:ascii="Times New Roman" w:hAnsi="Times New Roman" w:cs="Times New Roman"/>
          <w:lang w:val="pt-BR"/>
        </w:rPr>
        <w:t>Schumpeter, J. A. (1982). Teoria do desenvolvimento econômico: Uma investigação sobre lucros, capital, crédito, juro e o ciclo econômico (M. S. Possas, Trad.). Abril Cultural.</w:t>
      </w:r>
    </w:p>
    <w:p w14:paraId="22616531" w14:textId="1D4835EE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 xml:space="preserve">Schumpeter, J. A. (1984). Capitalismo, socialismo e democracia. </w:t>
      </w:r>
      <w:r w:rsidR="00CD4FA4" w:rsidRPr="00CD4FA4">
        <w:rPr>
          <w:rFonts w:ascii="Times New Roman" w:hAnsi="Times New Roman" w:cs="Times New Roman"/>
          <w:lang w:val="pt-BR"/>
        </w:rPr>
        <w:t>https://lburlamaqui.com.br/wp-content/uploads/2021/02/14_Schumpeter-Capitalismo-socialismo-e-democracia-.pdf</w:t>
      </w:r>
    </w:p>
    <w:p w14:paraId="0D73C246" w14:textId="0554AFFF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 xml:space="preserve">Secretaria de Modalidades Especializadas de Educação. (2024). Mapa do ensino superior no Brasil 2024. Instituto </w:t>
      </w:r>
      <w:proofErr w:type="spellStart"/>
      <w:r w:rsidRPr="00BB2579">
        <w:rPr>
          <w:rFonts w:ascii="Times New Roman" w:hAnsi="Times New Roman" w:cs="Times New Roman"/>
          <w:lang w:val="pt-BR"/>
        </w:rPr>
        <w:t>Semesp</w:t>
      </w:r>
      <w:proofErr w:type="spellEnd"/>
      <w:r w:rsidRPr="00BB2579">
        <w:rPr>
          <w:rFonts w:ascii="Times New Roman" w:hAnsi="Times New Roman" w:cs="Times New Roman"/>
          <w:lang w:val="pt-BR"/>
        </w:rPr>
        <w:t>.</w:t>
      </w:r>
      <w:r w:rsidR="00CD4FA4">
        <w:rPr>
          <w:rFonts w:ascii="Times New Roman" w:hAnsi="Times New Roman" w:cs="Times New Roman"/>
          <w:lang w:val="pt-BR"/>
        </w:rPr>
        <w:t xml:space="preserve"> </w:t>
      </w:r>
      <w:r w:rsidR="00CD4FA4" w:rsidRPr="00CD4FA4">
        <w:rPr>
          <w:rFonts w:ascii="Times New Roman" w:hAnsi="Times New Roman" w:cs="Times New Roman"/>
          <w:lang w:val="pt-BR"/>
        </w:rPr>
        <w:t>https://www.semesp.org.br/wp-content/uploads/2024/04/mapa-ensino-superior-brasil-2024.pdf</w:t>
      </w:r>
    </w:p>
    <w:p w14:paraId="2CF0B71F" w14:textId="34E9A445" w:rsidR="00BB2579" w:rsidRPr="00BB2579" w:rsidRDefault="00BB2579" w:rsidP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proofErr w:type="spellStart"/>
      <w:r w:rsidRPr="00BB2579">
        <w:rPr>
          <w:rFonts w:ascii="Times New Roman" w:hAnsi="Times New Roman" w:cs="Times New Roman"/>
          <w:lang w:val="pt-BR"/>
        </w:rPr>
        <w:t>Sen</w:t>
      </w:r>
      <w:proofErr w:type="spellEnd"/>
      <w:r w:rsidRPr="00BB2579">
        <w:rPr>
          <w:rFonts w:ascii="Times New Roman" w:hAnsi="Times New Roman" w:cs="Times New Roman"/>
          <w:lang w:val="pt-BR"/>
        </w:rPr>
        <w:t>, A. (2010). Desenvolvimento como liberdade. Companhia das Letras.</w:t>
      </w:r>
      <w:r w:rsidR="00CD4FA4">
        <w:rPr>
          <w:rFonts w:ascii="Times New Roman" w:hAnsi="Times New Roman" w:cs="Times New Roman"/>
          <w:lang w:val="pt-BR"/>
        </w:rPr>
        <w:t xml:space="preserve"> </w:t>
      </w:r>
      <w:r w:rsidR="00CD4FA4" w:rsidRPr="00CD4FA4">
        <w:rPr>
          <w:rFonts w:ascii="Times New Roman" w:hAnsi="Times New Roman" w:cs="Times New Roman"/>
          <w:lang w:val="pt-BR"/>
        </w:rPr>
        <w:t>https://dagobah.com.br/wp-content/uploads/2024/11/SEN-Amartya-Desenvolvimento-como-liberdade.pdf</w:t>
      </w:r>
    </w:p>
    <w:p w14:paraId="7B69857E" w14:textId="77777777" w:rsidR="00893458" w:rsidRDefault="00893458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893458">
        <w:rPr>
          <w:rFonts w:ascii="Times New Roman" w:hAnsi="Times New Roman" w:cs="Times New Roman"/>
          <w:lang w:val="pt-BR"/>
        </w:rPr>
        <w:t xml:space="preserve">Soares, P. </w:t>
      </w:r>
      <w:proofErr w:type="spellStart"/>
      <w:r w:rsidRPr="00893458">
        <w:rPr>
          <w:rFonts w:ascii="Times New Roman" w:hAnsi="Times New Roman" w:cs="Times New Roman"/>
          <w:lang w:val="pt-BR"/>
        </w:rPr>
        <w:t>da</w:t>
      </w:r>
      <w:proofErr w:type="spellEnd"/>
      <w:r w:rsidRPr="00893458">
        <w:rPr>
          <w:rFonts w:ascii="Times New Roman" w:hAnsi="Times New Roman" w:cs="Times New Roman"/>
          <w:lang w:val="pt-BR"/>
        </w:rPr>
        <w:t xml:space="preserve"> S., &amp; Amaral, C. de A. (2022). A assistência estudantil no processo educacional: Possibilidades de atuação. Educação e Pesquisa, 48, e238181. https://doi.org/10.1590/S1678-4634202248238181</w:t>
      </w:r>
    </w:p>
    <w:p w14:paraId="5F95B5F2" w14:textId="6C8D14F2" w:rsidR="00BB2579" w:rsidRDefault="00BB2579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B2579">
        <w:rPr>
          <w:rFonts w:ascii="Times New Roman" w:hAnsi="Times New Roman" w:cs="Times New Roman"/>
          <w:lang w:val="pt-BR"/>
        </w:rPr>
        <w:t>Tribunal de Contas da União. (2020). Referencial de controle de políticas públicas. https://portal.tcu.gov.br/data/files/EF/22/A4/9A/235EC710D79E7EB7F18818A8/1_Referencial_controle_politicas_publicas.pdf</w:t>
      </w:r>
    </w:p>
    <w:p w14:paraId="527BDB93" w14:textId="40E005D6" w:rsidR="00893458" w:rsidRDefault="00893458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893458">
        <w:rPr>
          <w:rFonts w:ascii="Times New Roman" w:hAnsi="Times New Roman" w:cs="Times New Roman"/>
        </w:rPr>
        <w:t>Tuckumantel, H. L. (2025). Políticas de assistência estudantil em instituições de educação superior: Uma avaliação dos orçamentos [Dissertação de mestrado profissional, Universidade Federal de Santa Catarina]. Repositório Institucional da UFSC.</w:t>
      </w:r>
    </w:p>
    <w:p w14:paraId="467BE1EF" w14:textId="77777777" w:rsidR="00E56EC7" w:rsidRPr="00F40AAC" w:rsidRDefault="00E56EC7" w:rsidP="00E56EC7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40AAC">
        <w:rPr>
          <w:rFonts w:ascii="Times New Roman" w:hAnsi="Times New Roman" w:cs="Times New Roman"/>
          <w:lang w:val="pt-BR"/>
        </w:rPr>
        <w:t>Universidade Federal de Santa Catarina. (s.d.). Observatório de Inteligência da UFSC. https://observatoriodeinteligencia.ufsc.br/observatorio/portal/</w:t>
      </w:r>
    </w:p>
    <w:p w14:paraId="61598BF4" w14:textId="77777777" w:rsidR="00E56EC7" w:rsidRDefault="00E56EC7" w:rsidP="00F40AAC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</w:p>
    <w:p w14:paraId="62F1627E" w14:textId="49454117" w:rsidR="00E56EC7" w:rsidRDefault="00E56EC7" w:rsidP="00F40AAC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E56EC7">
        <w:rPr>
          <w:rFonts w:ascii="Times New Roman" w:hAnsi="Times New Roman" w:cs="Times New Roman"/>
          <w:lang w:val="pt-BR"/>
        </w:rPr>
        <w:t xml:space="preserve">Universidade Federal de Santa Catarina. </w:t>
      </w:r>
      <w:proofErr w:type="spellStart"/>
      <w:r w:rsidRPr="00E56EC7">
        <w:rPr>
          <w:rFonts w:ascii="Times New Roman" w:hAnsi="Times New Roman" w:cs="Times New Roman"/>
          <w:lang w:val="pt-BR"/>
        </w:rPr>
        <w:t>Pró-Reitoria</w:t>
      </w:r>
      <w:proofErr w:type="spellEnd"/>
      <w:r w:rsidRPr="00E56EC7">
        <w:rPr>
          <w:rFonts w:ascii="Times New Roman" w:hAnsi="Times New Roman" w:cs="Times New Roman"/>
          <w:lang w:val="pt-BR"/>
        </w:rPr>
        <w:t xml:space="preserve"> de Permanência e Assuntos Estudantis. (s.d.). </w:t>
      </w:r>
      <w:proofErr w:type="spellStart"/>
      <w:r w:rsidRPr="00E56EC7">
        <w:rPr>
          <w:rFonts w:ascii="Times New Roman" w:hAnsi="Times New Roman" w:cs="Times New Roman"/>
          <w:lang w:val="pt-BR"/>
        </w:rPr>
        <w:t>Pró-Reitoria</w:t>
      </w:r>
      <w:proofErr w:type="spellEnd"/>
      <w:r w:rsidRPr="00E56EC7">
        <w:rPr>
          <w:rFonts w:ascii="Times New Roman" w:hAnsi="Times New Roman" w:cs="Times New Roman"/>
          <w:lang w:val="pt-BR"/>
        </w:rPr>
        <w:t xml:space="preserve"> de Permanência e Assuntos Estudantis. https://prae.ufsc.br/</w:t>
      </w:r>
    </w:p>
    <w:p w14:paraId="3072B761" w14:textId="66A4FFAC" w:rsidR="00F40AAC" w:rsidRPr="00F40AAC" w:rsidRDefault="00F40AAC" w:rsidP="00F40AAC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40AAC">
        <w:rPr>
          <w:rFonts w:ascii="Times New Roman" w:hAnsi="Times New Roman" w:cs="Times New Roman"/>
          <w:lang w:val="pt-BR"/>
        </w:rPr>
        <w:t>Universidade Federal de Santa Catarina. (2015). Relatório de gestão 2015. https://dpgi-seplan.ufsc.br/relatorio-de-gestao/</w:t>
      </w:r>
    </w:p>
    <w:p w14:paraId="47EA420F" w14:textId="77777777" w:rsidR="00F40AAC" w:rsidRPr="00F40AAC" w:rsidRDefault="00F40AAC" w:rsidP="00F40AAC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40AAC">
        <w:rPr>
          <w:rFonts w:ascii="Times New Roman" w:hAnsi="Times New Roman" w:cs="Times New Roman"/>
          <w:lang w:val="pt-BR"/>
        </w:rPr>
        <w:t>Universidade Federal de Santa Catarina. (2016). Relatório de gestão 2016. https://dpgi-seplan.ufsc.br/relatorio-de-gestao/</w:t>
      </w:r>
    </w:p>
    <w:p w14:paraId="563F408D" w14:textId="77777777" w:rsidR="00F40AAC" w:rsidRPr="00F40AAC" w:rsidRDefault="00F40AAC" w:rsidP="00F40AAC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40AAC">
        <w:rPr>
          <w:rFonts w:ascii="Times New Roman" w:hAnsi="Times New Roman" w:cs="Times New Roman"/>
          <w:lang w:val="pt-BR"/>
        </w:rPr>
        <w:t>Universidade Federal de Santa Catarina. (2017). Relatório de gestão 2017. https://dpgi-seplan.ufsc.br/relatorio-de-gestao/</w:t>
      </w:r>
    </w:p>
    <w:p w14:paraId="2E9ACF08" w14:textId="77777777" w:rsidR="00F40AAC" w:rsidRPr="00F40AAC" w:rsidRDefault="00F40AAC" w:rsidP="00F40AAC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40AAC">
        <w:rPr>
          <w:rFonts w:ascii="Times New Roman" w:hAnsi="Times New Roman" w:cs="Times New Roman"/>
          <w:lang w:val="pt-BR"/>
        </w:rPr>
        <w:t>Universidade Federal de Santa Catarina. (2018). Relatório de gestão 2018. https://dpgi-seplan.ufsc.br/relatorio-de-gestao/</w:t>
      </w:r>
    </w:p>
    <w:p w14:paraId="5720C2EE" w14:textId="77777777" w:rsidR="00F40AAC" w:rsidRPr="00F40AAC" w:rsidRDefault="00F40AAC" w:rsidP="00F40AAC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40AAC">
        <w:rPr>
          <w:rFonts w:ascii="Times New Roman" w:hAnsi="Times New Roman" w:cs="Times New Roman"/>
          <w:lang w:val="pt-BR"/>
        </w:rPr>
        <w:t>Universidade Federal de Santa Catarina. (2019). Relatório de gestão 2019. https://dpgi-seplan.ufsc.br/relatorio-de-gestao/</w:t>
      </w:r>
    </w:p>
    <w:p w14:paraId="0739AB04" w14:textId="77777777" w:rsidR="00F40AAC" w:rsidRPr="00F40AAC" w:rsidRDefault="00F40AAC" w:rsidP="00F40AAC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40AAC">
        <w:rPr>
          <w:rFonts w:ascii="Times New Roman" w:hAnsi="Times New Roman" w:cs="Times New Roman"/>
          <w:lang w:val="pt-BR"/>
        </w:rPr>
        <w:t>Universidade Federal de Santa Catarina. (2020). Relatório de gestão 2020. https://dpgi-seplan.ufsc.br/relatorio-de-gestao/</w:t>
      </w:r>
    </w:p>
    <w:p w14:paraId="3DEA2E97" w14:textId="77777777" w:rsidR="00F40AAC" w:rsidRPr="00F40AAC" w:rsidRDefault="00F40AAC" w:rsidP="00F40AAC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40AAC">
        <w:rPr>
          <w:rFonts w:ascii="Times New Roman" w:hAnsi="Times New Roman" w:cs="Times New Roman"/>
          <w:lang w:val="pt-BR"/>
        </w:rPr>
        <w:t>Universidade Federal de Santa Catarina. (2021). Relatório de gestão 2021. https://dpgi-seplan.ufsc.br/relatorio-de-gestao/</w:t>
      </w:r>
    </w:p>
    <w:p w14:paraId="0B7FAAEC" w14:textId="77777777" w:rsidR="00F40AAC" w:rsidRPr="00F40AAC" w:rsidRDefault="00F40AAC" w:rsidP="00F40AAC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40AAC">
        <w:rPr>
          <w:rFonts w:ascii="Times New Roman" w:hAnsi="Times New Roman" w:cs="Times New Roman"/>
          <w:lang w:val="pt-BR"/>
        </w:rPr>
        <w:t>Universidade Federal de Santa Catarina. (2022). Relatório de gestão 2022. https://dpgi-seplan.ufsc.br/relatorio-de-gestao/</w:t>
      </w:r>
    </w:p>
    <w:p w14:paraId="3A400244" w14:textId="77777777" w:rsidR="00F40AAC" w:rsidRPr="00F40AAC" w:rsidRDefault="00F40AAC" w:rsidP="00F40AAC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40AAC">
        <w:rPr>
          <w:rFonts w:ascii="Times New Roman" w:hAnsi="Times New Roman" w:cs="Times New Roman"/>
          <w:lang w:val="pt-BR"/>
        </w:rPr>
        <w:t>Universidade Federal de Santa Catarina. (2023). Relatório de gestão 2023. https://dpgi-seplan.ufsc.br/relatorio-de-gestao/</w:t>
      </w:r>
    </w:p>
    <w:p w14:paraId="5941FF78" w14:textId="77777777" w:rsidR="00F40AAC" w:rsidRPr="00F40AAC" w:rsidRDefault="00F40AAC" w:rsidP="00F40AAC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40AAC">
        <w:rPr>
          <w:rFonts w:ascii="Times New Roman" w:hAnsi="Times New Roman" w:cs="Times New Roman"/>
          <w:lang w:val="pt-BR"/>
        </w:rPr>
        <w:t>Universidade Federal de Santa Catarina. (2024). Relatório de gestão 2024. https://dpgi-seplan.ufsc.br/relatorio-de-gestao/</w:t>
      </w:r>
    </w:p>
    <w:p w14:paraId="064E8F3F" w14:textId="1A44D201" w:rsidR="00F40AAC" w:rsidRDefault="00F40AAC" w:rsidP="00F40AAC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40AAC">
        <w:rPr>
          <w:rFonts w:ascii="Times New Roman" w:hAnsi="Times New Roman" w:cs="Times New Roman"/>
          <w:lang w:val="pt-BR"/>
        </w:rPr>
        <w:t>Universidade Federal de Santa Catarina. (2025). Relatório de gestão 2025. https://dpgi-seplan.ufsc.br/relatorio-de-gestao/</w:t>
      </w:r>
    </w:p>
    <w:p w14:paraId="3D92F7C4" w14:textId="4A38013B" w:rsidR="00E56EC7" w:rsidRDefault="00E56EC7" w:rsidP="00F40AAC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E56EC7">
        <w:rPr>
          <w:rFonts w:ascii="Times New Roman" w:hAnsi="Times New Roman" w:cs="Times New Roman"/>
          <w:lang w:val="pt-BR"/>
        </w:rPr>
        <w:t>Universidade Federal de Santa Catarina. Secretaria de Planejamento e Orçamento. (2025). Orçamentos anuais: Quadro demonstrativo do orçamento de 2025. https://so.seplan.ufsc.br/orcamentos-anuais/</w:t>
      </w:r>
      <w:r w:rsidRPr="00E56EC7">
        <w:rPr>
          <w:rFonts w:ascii="Times New Roman" w:hAnsi="Times New Roman" w:cs="Times New Roman"/>
          <w:lang w:val="pt-BR"/>
        </w:rPr>
        <w:t xml:space="preserve"> </w:t>
      </w:r>
    </w:p>
    <w:sectPr w:rsidR="00E56EC7">
      <w:headerReference w:type="default" r:id="rId9"/>
      <w:footerReference w:type="default" r:id="rId10"/>
      <w:pgSz w:w="11906" w:h="16838"/>
      <w:pgMar w:top="2410" w:right="1701" w:bottom="1843" w:left="1701" w:header="284" w:footer="0" w:gutter="0"/>
      <w:pgBorders w:offsetFrom="page">
        <w:left w:val="single" w:sz="48" w:space="12" w:color="00B0F0"/>
        <w:right w:val="single" w:sz="48" w:space="12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7709D" w14:textId="77777777" w:rsidR="007E2F6A" w:rsidRDefault="007E2F6A">
      <w:pPr>
        <w:spacing w:line="240" w:lineRule="auto"/>
      </w:pPr>
      <w:r>
        <w:separator/>
      </w:r>
    </w:p>
  </w:endnote>
  <w:endnote w:type="continuationSeparator" w:id="0">
    <w:p w14:paraId="3186AB1E" w14:textId="77777777" w:rsidR="007E2F6A" w:rsidRDefault="007E2F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C059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5DDE9" w14:textId="77777777" w:rsidR="00B9043A" w:rsidRDefault="006F097A">
    <w:pPr>
      <w:pStyle w:val="Rodap"/>
    </w:pPr>
    <w:r>
      <w:rPr>
        <w:noProof/>
        <w:lang w:val="pt-BR" w:eastAsia="pt-BR"/>
      </w:rPr>
      <w:drawing>
        <wp:inline distT="0" distB="0" distL="0" distR="0" wp14:anchorId="6846AE76" wp14:editId="7A9FDDCC">
          <wp:extent cx="5400040" cy="428625"/>
          <wp:effectExtent l="0" t="0" r="0" b="9525"/>
          <wp:docPr id="14201570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157093" name="Imagen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0F2D67" w14:textId="77777777" w:rsidR="00B9043A" w:rsidRDefault="00B9043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93041" w14:textId="77777777" w:rsidR="007E2F6A" w:rsidRDefault="007E2F6A">
      <w:pPr>
        <w:spacing w:after="0"/>
      </w:pPr>
      <w:r>
        <w:separator/>
      </w:r>
    </w:p>
  </w:footnote>
  <w:footnote w:type="continuationSeparator" w:id="0">
    <w:p w14:paraId="707B4675" w14:textId="77777777" w:rsidR="007E2F6A" w:rsidRDefault="007E2F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DA699" w14:textId="77777777" w:rsidR="00B9043A" w:rsidRDefault="006F097A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79793F4A" wp14:editId="3B7DE854">
          <wp:extent cx="2595245" cy="1082040"/>
          <wp:effectExtent l="0" t="0" r="0" b="3810"/>
          <wp:docPr id="18644905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490592" name="Imagen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7939" cy="1091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3DC"/>
    <w:rsid w:val="00020753"/>
    <w:rsid w:val="001010DB"/>
    <w:rsid w:val="00135EA3"/>
    <w:rsid w:val="001816D6"/>
    <w:rsid w:val="00185F5E"/>
    <w:rsid w:val="001923DC"/>
    <w:rsid w:val="002327C3"/>
    <w:rsid w:val="00293B6B"/>
    <w:rsid w:val="002A3286"/>
    <w:rsid w:val="002B0027"/>
    <w:rsid w:val="002B1AE0"/>
    <w:rsid w:val="002D14EC"/>
    <w:rsid w:val="002F493B"/>
    <w:rsid w:val="00312392"/>
    <w:rsid w:val="00380F3D"/>
    <w:rsid w:val="004040C0"/>
    <w:rsid w:val="00405741"/>
    <w:rsid w:val="0040636F"/>
    <w:rsid w:val="00437E9C"/>
    <w:rsid w:val="00485C92"/>
    <w:rsid w:val="004E0A40"/>
    <w:rsid w:val="004E363F"/>
    <w:rsid w:val="00550766"/>
    <w:rsid w:val="00575289"/>
    <w:rsid w:val="00576B9A"/>
    <w:rsid w:val="005F3B2E"/>
    <w:rsid w:val="006810B5"/>
    <w:rsid w:val="006F097A"/>
    <w:rsid w:val="006F3A71"/>
    <w:rsid w:val="00701F64"/>
    <w:rsid w:val="0075164E"/>
    <w:rsid w:val="0077525D"/>
    <w:rsid w:val="007B5B5F"/>
    <w:rsid w:val="007D233B"/>
    <w:rsid w:val="007E2F6A"/>
    <w:rsid w:val="007F1F9D"/>
    <w:rsid w:val="0085070B"/>
    <w:rsid w:val="00893458"/>
    <w:rsid w:val="00987AB6"/>
    <w:rsid w:val="009E1B77"/>
    <w:rsid w:val="00A14C05"/>
    <w:rsid w:val="00A17247"/>
    <w:rsid w:val="00A23F5A"/>
    <w:rsid w:val="00A25179"/>
    <w:rsid w:val="00AC7572"/>
    <w:rsid w:val="00AD1566"/>
    <w:rsid w:val="00B9043A"/>
    <w:rsid w:val="00BA642E"/>
    <w:rsid w:val="00BB2579"/>
    <w:rsid w:val="00BC236F"/>
    <w:rsid w:val="00BF6D3D"/>
    <w:rsid w:val="00C32B5A"/>
    <w:rsid w:val="00C32D07"/>
    <w:rsid w:val="00C40C50"/>
    <w:rsid w:val="00C709C8"/>
    <w:rsid w:val="00C802F5"/>
    <w:rsid w:val="00C87FA9"/>
    <w:rsid w:val="00C96B2C"/>
    <w:rsid w:val="00CB3E5E"/>
    <w:rsid w:val="00CC04C1"/>
    <w:rsid w:val="00CD07E6"/>
    <w:rsid w:val="00CD4FA4"/>
    <w:rsid w:val="00D26728"/>
    <w:rsid w:val="00D843EC"/>
    <w:rsid w:val="00DA242A"/>
    <w:rsid w:val="00E56EC7"/>
    <w:rsid w:val="00E57C93"/>
    <w:rsid w:val="00E75EA7"/>
    <w:rsid w:val="00EA3426"/>
    <w:rsid w:val="00EF1829"/>
    <w:rsid w:val="00F40AAC"/>
    <w:rsid w:val="00FC2309"/>
    <w:rsid w:val="F9E7E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D92B0"/>
  <w15:docId w15:val="{B9F7E9A6-8034-49DC-AD53-DD8EFB62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rFonts w:eastAsiaTheme="minorHAnsi"/>
      <w:kern w:val="2"/>
      <w:sz w:val="24"/>
      <w:szCs w:val="24"/>
      <w:lang w:val="zh-CN" w:eastAsia="en-US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Subttulo">
    <w:name w:val="Subtitle"/>
    <w:basedOn w:val="Normal"/>
    <w:next w:val="Normal"/>
    <w:link w:val="Subttulo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tuloChar">
    <w:name w:val="Título Char"/>
    <w:basedOn w:val="Fontepargpadro"/>
    <w:link w:val="Ttu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eIntensa1">
    <w:name w:val="Ênfase Intensa1"/>
    <w:basedOn w:val="Fontepargpadro"/>
    <w:uiPriority w:val="21"/>
    <w:qFormat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i/>
      <w:iCs/>
      <w:color w:val="2F5496" w:themeColor="accent1" w:themeShade="BF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32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CD4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1273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4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8936</Words>
  <Characters>48260</Characters>
  <Application>Microsoft Office Word</Application>
  <DocSecurity>0</DocSecurity>
  <Lines>402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Daniel Garcia</dc:creator>
  <cp:lastModifiedBy>Hugo Tück</cp:lastModifiedBy>
  <cp:revision>2</cp:revision>
  <dcterms:created xsi:type="dcterms:W3CDTF">2026-07-12T21:00:00Z</dcterms:created>
  <dcterms:modified xsi:type="dcterms:W3CDTF">2026-07-12T21:00:00Z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1046-11.1.0.11723</vt:lpwstr>
  </property>
</Properties>
</file>