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1FC468E8" w14:textId="1206FC08" w:rsidR="009618A7" w:rsidRDefault="009618A7" w:rsidP="001923DC">
      <w:pPr>
        <w:jc w:val="center"/>
        <w:rPr>
          <w:rFonts w:ascii="Times New Roman" w:hAnsi="Times New Roman" w:cs="Times New Roman"/>
          <w:b/>
          <w:bCs/>
        </w:rPr>
      </w:pPr>
      <w:r w:rsidRPr="009618A7">
        <w:rPr>
          <w:rFonts w:ascii="Times New Roman" w:hAnsi="Times New Roman" w:cs="Times New Roman"/>
          <w:b/>
          <w:bCs/>
        </w:rPr>
        <w:t xml:space="preserve">MICROCREDENCIALES, EDUCACIÓN TÉCNICO-PROFESIONAL </w:t>
      </w:r>
      <w:r>
        <w:rPr>
          <w:rFonts w:ascii="Times New Roman" w:hAnsi="Times New Roman" w:cs="Times New Roman"/>
          <w:b/>
          <w:bCs/>
        </w:rPr>
        <w:br/>
      </w:r>
      <w:r w:rsidRPr="009618A7">
        <w:rPr>
          <w:rFonts w:ascii="Times New Roman" w:hAnsi="Times New Roman" w:cs="Times New Roman"/>
          <w:b/>
          <w:bCs/>
        </w:rPr>
        <w:t xml:space="preserve">Y CAPACITACIÓN EMPRESARIAL EN AMÉRICA LATINA: </w:t>
      </w:r>
    </w:p>
    <w:p w14:paraId="1DABD42B" w14:textId="4CF94633" w:rsidR="001923DC" w:rsidRPr="00BA642E" w:rsidRDefault="009618A7" w:rsidP="001923DC">
      <w:pPr>
        <w:jc w:val="center"/>
        <w:rPr>
          <w:rFonts w:ascii="Times New Roman" w:hAnsi="Times New Roman" w:cs="Times New Roman"/>
          <w:b/>
          <w:bCs/>
        </w:rPr>
      </w:pPr>
      <w:r w:rsidRPr="009618A7">
        <w:rPr>
          <w:rFonts w:ascii="Times New Roman" w:hAnsi="Times New Roman" w:cs="Times New Roman"/>
          <w:b/>
          <w:bCs/>
        </w:rPr>
        <w:t xml:space="preserve">Reconfiguraciones formativas, disputas de legitimidad </w:t>
      </w:r>
      <w:r>
        <w:rPr>
          <w:rFonts w:ascii="Times New Roman" w:hAnsi="Times New Roman" w:cs="Times New Roman"/>
          <w:b/>
          <w:bCs/>
        </w:rPr>
        <w:br/>
      </w:r>
      <w:r w:rsidRPr="009618A7">
        <w:rPr>
          <w:rFonts w:ascii="Times New Roman" w:hAnsi="Times New Roman" w:cs="Times New Roman"/>
          <w:b/>
          <w:bCs/>
        </w:rPr>
        <w:t>y condiciones estructurales para una gobernanza justa de las competencias</w:t>
      </w:r>
    </w:p>
    <w:p w14:paraId="43C49479" w14:textId="77777777" w:rsidR="005F3B2E" w:rsidRPr="00BA642E" w:rsidRDefault="005F3B2E" w:rsidP="001923DC">
      <w:pPr>
        <w:jc w:val="center"/>
        <w:rPr>
          <w:rFonts w:ascii="Times New Roman" w:hAnsi="Times New Roman" w:cs="Times New Roman"/>
        </w:rPr>
      </w:pPr>
    </w:p>
    <w:p w14:paraId="4E738780" w14:textId="3A036925" w:rsidR="005F3B2E" w:rsidRDefault="009618A7" w:rsidP="005F3B2E">
      <w:pPr>
        <w:spacing w:after="0" w:line="240" w:lineRule="auto"/>
        <w:jc w:val="right"/>
        <w:rPr>
          <w:rFonts w:ascii="Times New Roman" w:hAnsi="Times New Roman" w:cs="Times New Roman"/>
        </w:rPr>
      </w:pPr>
      <w:r>
        <w:rPr>
          <w:rFonts w:ascii="Times New Roman" w:hAnsi="Times New Roman" w:cs="Times New Roman"/>
        </w:rPr>
        <w:t>Babenco Maschke, Julián G.</w:t>
      </w:r>
    </w:p>
    <w:p w14:paraId="2FE58A48" w14:textId="0867CBE9" w:rsidR="009618A7" w:rsidRPr="00BA642E" w:rsidRDefault="009618A7" w:rsidP="005F3B2E">
      <w:pPr>
        <w:spacing w:after="0" w:line="240" w:lineRule="auto"/>
        <w:jc w:val="right"/>
        <w:rPr>
          <w:rFonts w:ascii="Times New Roman" w:hAnsi="Times New Roman" w:cs="Times New Roman"/>
        </w:rPr>
      </w:pPr>
      <w:r w:rsidRPr="009618A7">
        <w:rPr>
          <w:rFonts w:ascii="Times New Roman" w:hAnsi="Times New Roman" w:cs="Times New Roman"/>
        </w:rPr>
        <w:t>Doctor(c) en Educación, Máster en Gestión Educacional, MBA</w:t>
      </w:r>
    </w:p>
    <w:p w14:paraId="6C2AECCA" w14:textId="69F1CC05" w:rsidR="005F3B2E" w:rsidRPr="00BA642E" w:rsidRDefault="009618A7" w:rsidP="005F3B2E">
      <w:pPr>
        <w:spacing w:after="0" w:line="240" w:lineRule="auto"/>
        <w:jc w:val="right"/>
        <w:rPr>
          <w:rFonts w:ascii="Times New Roman" w:hAnsi="Times New Roman" w:cs="Times New Roman"/>
        </w:rPr>
      </w:pPr>
      <w:r>
        <w:rPr>
          <w:rFonts w:ascii="Times New Roman" w:hAnsi="Times New Roman" w:cs="Times New Roman"/>
        </w:rPr>
        <w:t>QUALIS Educativa, Para Duoc UC</w:t>
      </w:r>
    </w:p>
    <w:p w14:paraId="7D0026CD" w14:textId="70AFC8CD" w:rsidR="005F3B2E" w:rsidRPr="00BA642E" w:rsidRDefault="009618A7" w:rsidP="005F3B2E">
      <w:pPr>
        <w:spacing w:after="0" w:line="240" w:lineRule="auto"/>
        <w:jc w:val="right"/>
        <w:rPr>
          <w:rFonts w:ascii="Times New Roman" w:hAnsi="Times New Roman" w:cs="Times New Roman"/>
        </w:rPr>
      </w:pPr>
      <w:r>
        <w:rPr>
          <w:rFonts w:ascii="Times New Roman" w:hAnsi="Times New Roman" w:cs="Times New Roman"/>
        </w:rPr>
        <w:t>j.babenco@profesor.duoc.cl</w:t>
      </w:r>
    </w:p>
    <w:p w14:paraId="1FA0F857" w14:textId="77777777" w:rsidR="005F3B2E" w:rsidRPr="00BA642E" w:rsidRDefault="005F3B2E" w:rsidP="005F3B2E">
      <w:pPr>
        <w:rPr>
          <w:rFonts w:ascii="Times New Roman" w:hAnsi="Times New Roman" w:cs="Times New Roman"/>
        </w:rPr>
      </w:pPr>
    </w:p>
    <w:p w14:paraId="1B43FD84" w14:textId="77777777" w:rsidR="001923DC" w:rsidRPr="00BA642E" w:rsidRDefault="001923DC" w:rsidP="001923DC">
      <w:pPr>
        <w:jc w:val="center"/>
        <w:rPr>
          <w:rFonts w:ascii="Times New Roman" w:hAnsi="Times New Roman" w:cs="Times New Roman"/>
        </w:rPr>
      </w:pPr>
    </w:p>
    <w:p w14:paraId="35A6682C" w14:textId="044949D8" w:rsidR="00BA642E" w:rsidRPr="007B5B5F" w:rsidRDefault="00BA642E" w:rsidP="007B5B5F">
      <w:pPr>
        <w:spacing w:line="240" w:lineRule="auto"/>
        <w:jc w:val="both"/>
        <w:rPr>
          <w:rFonts w:ascii="Times New Roman" w:hAnsi="Times New Roman" w:cs="Times New Roman"/>
          <w:b/>
          <w:bCs/>
        </w:rPr>
      </w:pPr>
      <w:r w:rsidRPr="009A2DA8">
        <w:rPr>
          <w:rFonts w:ascii="Times New Roman" w:hAnsi="Times New Roman" w:cs="Times New Roman"/>
          <w:b/>
          <w:bCs/>
        </w:rPr>
        <w:t>Resumen</w:t>
      </w:r>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245171" w:rsidRPr="00245171">
        <w:rPr>
          <w:rFonts w:ascii="Times New Roman" w:hAnsi="Times New Roman" w:cs="Times New Roman"/>
          <w:lang w:val="en-US"/>
        </w:rPr>
        <w:t xml:space="preserve">La </w:t>
      </w:r>
      <w:r w:rsidR="00245171" w:rsidRPr="009A2DA8">
        <w:rPr>
          <w:rFonts w:ascii="Times New Roman" w:hAnsi="Times New Roman" w:cs="Times New Roman"/>
        </w:rPr>
        <w:t>expansión</w:t>
      </w:r>
      <w:r w:rsidR="00245171" w:rsidRPr="00245171">
        <w:rPr>
          <w:rFonts w:ascii="Times New Roman" w:hAnsi="Times New Roman" w:cs="Times New Roman"/>
          <w:lang w:val="en-US"/>
        </w:rPr>
        <w:t xml:space="preserve"> de las microcredenciales </w:t>
      </w:r>
      <w:r w:rsidR="00245171" w:rsidRPr="009A2DA8">
        <w:rPr>
          <w:rFonts w:ascii="Times New Roman" w:hAnsi="Times New Roman" w:cs="Times New Roman"/>
        </w:rPr>
        <w:t>en</w:t>
      </w:r>
      <w:r w:rsidR="00245171" w:rsidRPr="00245171">
        <w:rPr>
          <w:rFonts w:ascii="Times New Roman" w:hAnsi="Times New Roman" w:cs="Times New Roman"/>
          <w:lang w:val="en-US"/>
        </w:rPr>
        <w:t xml:space="preserve"> América Latina se produce </w:t>
      </w:r>
      <w:r w:rsidR="00245171" w:rsidRPr="00AD555C">
        <w:rPr>
          <w:rFonts w:ascii="Times New Roman" w:hAnsi="Times New Roman" w:cs="Times New Roman"/>
        </w:rPr>
        <w:t>en</w:t>
      </w:r>
      <w:r w:rsidR="00245171" w:rsidRPr="00245171">
        <w:rPr>
          <w:rFonts w:ascii="Times New Roman" w:hAnsi="Times New Roman" w:cs="Times New Roman"/>
          <w:lang w:val="en-US"/>
        </w:rPr>
        <w:t xml:space="preserve"> un </w:t>
      </w:r>
      <w:r w:rsidR="00245171" w:rsidRPr="00B51E2D">
        <w:rPr>
          <w:rFonts w:ascii="Times New Roman" w:hAnsi="Times New Roman" w:cs="Times New Roman"/>
        </w:rPr>
        <w:t>contexto</w:t>
      </w:r>
      <w:r w:rsidR="00245171" w:rsidRPr="00245171">
        <w:rPr>
          <w:rFonts w:ascii="Times New Roman" w:hAnsi="Times New Roman" w:cs="Times New Roman"/>
          <w:lang w:val="en-US"/>
        </w:rPr>
        <w:t xml:space="preserve"> de transformación acelerada de los sistemas de educación superior, reconfiguración del trabajo y creciente presión sobre las </w:t>
      </w:r>
      <w:r w:rsidR="00245171" w:rsidRPr="00C1065E">
        <w:rPr>
          <w:rFonts w:ascii="Times New Roman" w:hAnsi="Times New Roman" w:cs="Times New Roman"/>
        </w:rPr>
        <w:t>universidades</w:t>
      </w:r>
      <w:r w:rsidR="00245171" w:rsidRPr="00245171">
        <w:rPr>
          <w:rFonts w:ascii="Times New Roman" w:hAnsi="Times New Roman" w:cs="Times New Roman"/>
          <w:lang w:val="en-US"/>
        </w:rPr>
        <w:t xml:space="preserve"> para responder con mayor </w:t>
      </w:r>
      <w:proofErr w:type="spellStart"/>
      <w:r w:rsidR="00245171" w:rsidRPr="00245171">
        <w:rPr>
          <w:rFonts w:ascii="Times New Roman" w:hAnsi="Times New Roman" w:cs="Times New Roman"/>
          <w:lang w:val="en-US"/>
        </w:rPr>
        <w:t>flexibilidad</w:t>
      </w:r>
      <w:proofErr w:type="spellEnd"/>
      <w:r w:rsidR="00245171" w:rsidRPr="00245171">
        <w:rPr>
          <w:rFonts w:ascii="Times New Roman" w:hAnsi="Times New Roman" w:cs="Times New Roman"/>
          <w:lang w:val="en-US"/>
        </w:rPr>
        <w:t xml:space="preserve"> a </w:t>
      </w:r>
      <w:proofErr w:type="spellStart"/>
      <w:r w:rsidR="00245171" w:rsidRPr="00245171">
        <w:rPr>
          <w:rFonts w:ascii="Times New Roman" w:hAnsi="Times New Roman" w:cs="Times New Roman"/>
          <w:lang w:val="en-US"/>
        </w:rPr>
        <w:t>nuevas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demandas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sociales</w:t>
      </w:r>
      <w:proofErr w:type="spellEnd"/>
      <w:r w:rsidR="00245171" w:rsidRPr="00245171">
        <w:rPr>
          <w:rFonts w:ascii="Times New Roman" w:hAnsi="Times New Roman" w:cs="Times New Roman"/>
          <w:lang w:val="en-US"/>
        </w:rPr>
        <w:t xml:space="preserve"> y </w:t>
      </w:r>
      <w:proofErr w:type="spellStart"/>
      <w:r w:rsidR="00245171" w:rsidRPr="00245171">
        <w:rPr>
          <w:rFonts w:ascii="Times New Roman" w:hAnsi="Times New Roman" w:cs="Times New Roman"/>
          <w:lang w:val="en-US"/>
        </w:rPr>
        <w:t>productivas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En</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este</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escenario</w:t>
      </w:r>
      <w:proofErr w:type="spellEnd"/>
      <w:r w:rsidR="00245171" w:rsidRPr="00245171">
        <w:rPr>
          <w:rFonts w:ascii="Times New Roman" w:hAnsi="Times New Roman" w:cs="Times New Roman"/>
          <w:lang w:val="en-US"/>
        </w:rPr>
        <w:t xml:space="preserve">, las microcredenciales </w:t>
      </w:r>
      <w:proofErr w:type="spellStart"/>
      <w:r w:rsidR="00245171" w:rsidRPr="00245171">
        <w:rPr>
          <w:rFonts w:ascii="Times New Roman" w:hAnsi="Times New Roman" w:cs="Times New Roman"/>
          <w:lang w:val="en-US"/>
        </w:rPr>
        <w:t>emergen</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como</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dispositivos</w:t>
      </w:r>
      <w:proofErr w:type="spellEnd"/>
      <w:r w:rsidR="00245171" w:rsidRPr="00245171">
        <w:rPr>
          <w:rFonts w:ascii="Times New Roman" w:hAnsi="Times New Roman" w:cs="Times New Roman"/>
          <w:lang w:val="en-US"/>
        </w:rPr>
        <w:t xml:space="preserve"> de </w:t>
      </w:r>
      <w:proofErr w:type="spellStart"/>
      <w:r w:rsidR="00245171" w:rsidRPr="00245171">
        <w:rPr>
          <w:rFonts w:ascii="Times New Roman" w:hAnsi="Times New Roman" w:cs="Times New Roman"/>
          <w:lang w:val="en-US"/>
        </w:rPr>
        <w:t>certificación</w:t>
      </w:r>
      <w:proofErr w:type="spellEnd"/>
      <w:r w:rsidR="00245171" w:rsidRPr="00245171">
        <w:rPr>
          <w:rFonts w:ascii="Times New Roman" w:hAnsi="Times New Roman" w:cs="Times New Roman"/>
          <w:lang w:val="en-US"/>
        </w:rPr>
        <w:t xml:space="preserve"> alternativos o </w:t>
      </w:r>
      <w:proofErr w:type="spellStart"/>
      <w:r w:rsidR="00245171" w:rsidRPr="00245171">
        <w:rPr>
          <w:rFonts w:ascii="Times New Roman" w:hAnsi="Times New Roman" w:cs="Times New Roman"/>
          <w:lang w:val="en-US"/>
        </w:rPr>
        <w:t>complementarios</w:t>
      </w:r>
      <w:proofErr w:type="spellEnd"/>
      <w:r w:rsidR="00245171" w:rsidRPr="00245171">
        <w:rPr>
          <w:rFonts w:ascii="Times New Roman" w:hAnsi="Times New Roman" w:cs="Times New Roman"/>
          <w:lang w:val="en-US"/>
        </w:rPr>
        <w:t xml:space="preserve"> a los </w:t>
      </w:r>
      <w:proofErr w:type="spellStart"/>
      <w:r w:rsidR="00245171" w:rsidRPr="00245171">
        <w:rPr>
          <w:rFonts w:ascii="Times New Roman" w:hAnsi="Times New Roman" w:cs="Times New Roman"/>
          <w:lang w:val="en-US"/>
        </w:rPr>
        <w:t>títulos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tradicionales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particularmente</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relevantes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en</w:t>
      </w:r>
      <w:proofErr w:type="spellEnd"/>
      <w:r w:rsidR="00245171" w:rsidRPr="00245171">
        <w:rPr>
          <w:rFonts w:ascii="Times New Roman" w:hAnsi="Times New Roman" w:cs="Times New Roman"/>
          <w:lang w:val="en-US"/>
        </w:rPr>
        <w:t xml:space="preserve"> la educación </w:t>
      </w:r>
      <w:proofErr w:type="spellStart"/>
      <w:r w:rsidR="00245171" w:rsidRPr="00245171">
        <w:rPr>
          <w:rFonts w:ascii="Times New Roman" w:hAnsi="Times New Roman" w:cs="Times New Roman"/>
          <w:lang w:val="en-US"/>
        </w:rPr>
        <w:t>técnico-profesional</w:t>
      </w:r>
      <w:proofErr w:type="spellEnd"/>
      <w:r w:rsidR="00245171" w:rsidRPr="00245171">
        <w:rPr>
          <w:rFonts w:ascii="Times New Roman" w:hAnsi="Times New Roman" w:cs="Times New Roman"/>
          <w:lang w:val="en-US"/>
        </w:rPr>
        <w:t xml:space="preserve"> y </w:t>
      </w:r>
      <w:proofErr w:type="spellStart"/>
      <w:r w:rsidR="00245171" w:rsidRPr="00245171">
        <w:rPr>
          <w:rFonts w:ascii="Times New Roman" w:hAnsi="Times New Roman" w:cs="Times New Roman"/>
          <w:lang w:val="en-US"/>
        </w:rPr>
        <w:t>en</w:t>
      </w:r>
      <w:proofErr w:type="spellEnd"/>
      <w:r w:rsidR="00245171" w:rsidRPr="00245171">
        <w:rPr>
          <w:rFonts w:ascii="Times New Roman" w:hAnsi="Times New Roman" w:cs="Times New Roman"/>
          <w:lang w:val="en-US"/>
        </w:rPr>
        <w:t xml:space="preserve"> la </w:t>
      </w:r>
      <w:proofErr w:type="spellStart"/>
      <w:r w:rsidR="00245171" w:rsidRPr="00245171">
        <w:rPr>
          <w:rFonts w:ascii="Times New Roman" w:hAnsi="Times New Roman" w:cs="Times New Roman"/>
          <w:lang w:val="en-US"/>
        </w:rPr>
        <w:t>capacitación</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empresarial</w:t>
      </w:r>
      <w:proofErr w:type="spellEnd"/>
      <w:r w:rsidR="00245171" w:rsidRPr="00245171">
        <w:rPr>
          <w:rFonts w:ascii="Times New Roman" w:hAnsi="Times New Roman" w:cs="Times New Roman"/>
          <w:lang w:val="en-US"/>
        </w:rPr>
        <w:t xml:space="preserve">. El </w:t>
      </w:r>
      <w:proofErr w:type="spellStart"/>
      <w:r w:rsidR="00245171" w:rsidRPr="00245171">
        <w:rPr>
          <w:rFonts w:ascii="Times New Roman" w:hAnsi="Times New Roman" w:cs="Times New Roman"/>
          <w:lang w:val="en-US"/>
        </w:rPr>
        <w:t>presente</w:t>
      </w:r>
      <w:proofErr w:type="spellEnd"/>
      <w:r w:rsidR="00245171" w:rsidRPr="00245171">
        <w:rPr>
          <w:rFonts w:ascii="Times New Roman" w:hAnsi="Times New Roman" w:cs="Times New Roman"/>
          <w:lang w:val="en-US"/>
        </w:rPr>
        <w:t xml:space="preserve"> trabajo </w:t>
      </w:r>
      <w:proofErr w:type="spellStart"/>
      <w:r w:rsidR="00245171" w:rsidRPr="00245171">
        <w:rPr>
          <w:rFonts w:ascii="Times New Roman" w:hAnsi="Times New Roman" w:cs="Times New Roman"/>
          <w:lang w:val="en-US"/>
        </w:rPr>
        <w:t>analiza</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críticamente</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su</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desarrollo</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en</w:t>
      </w:r>
      <w:proofErr w:type="spellEnd"/>
      <w:r w:rsidR="00245171" w:rsidRPr="00245171">
        <w:rPr>
          <w:rFonts w:ascii="Times New Roman" w:hAnsi="Times New Roman" w:cs="Times New Roman"/>
          <w:lang w:val="en-US"/>
        </w:rPr>
        <w:t xml:space="preserve"> América Latina, </w:t>
      </w:r>
      <w:proofErr w:type="spellStart"/>
      <w:r w:rsidR="00245171" w:rsidRPr="00245171">
        <w:rPr>
          <w:rFonts w:ascii="Times New Roman" w:hAnsi="Times New Roman" w:cs="Times New Roman"/>
          <w:lang w:val="en-US"/>
        </w:rPr>
        <w:t>sosteniendo</w:t>
      </w:r>
      <w:proofErr w:type="spellEnd"/>
      <w:r w:rsidR="00245171" w:rsidRPr="00245171">
        <w:rPr>
          <w:rFonts w:ascii="Times New Roman" w:hAnsi="Times New Roman" w:cs="Times New Roman"/>
          <w:lang w:val="en-US"/>
        </w:rPr>
        <w:t xml:space="preserve"> que las microcredenciales no </w:t>
      </w:r>
      <w:proofErr w:type="spellStart"/>
      <w:r w:rsidR="00245171" w:rsidRPr="00245171">
        <w:rPr>
          <w:rFonts w:ascii="Times New Roman" w:hAnsi="Times New Roman" w:cs="Times New Roman"/>
          <w:lang w:val="en-US"/>
        </w:rPr>
        <w:t>constituyen</w:t>
      </w:r>
      <w:proofErr w:type="spellEnd"/>
      <w:r w:rsidR="00245171" w:rsidRPr="00245171">
        <w:rPr>
          <w:rFonts w:ascii="Times New Roman" w:hAnsi="Times New Roman" w:cs="Times New Roman"/>
          <w:lang w:val="en-US"/>
        </w:rPr>
        <w:t xml:space="preserve"> una </w:t>
      </w:r>
      <w:proofErr w:type="spellStart"/>
      <w:r w:rsidR="00245171" w:rsidRPr="00245171">
        <w:rPr>
          <w:rFonts w:ascii="Times New Roman" w:hAnsi="Times New Roman" w:cs="Times New Roman"/>
          <w:lang w:val="en-US"/>
        </w:rPr>
        <w:t>innovación</w:t>
      </w:r>
      <w:proofErr w:type="spellEnd"/>
      <w:r w:rsidR="00245171" w:rsidRPr="00245171">
        <w:rPr>
          <w:rFonts w:ascii="Times New Roman" w:hAnsi="Times New Roman" w:cs="Times New Roman"/>
          <w:lang w:val="en-US"/>
        </w:rPr>
        <w:t xml:space="preserve"> neutral, </w:t>
      </w:r>
      <w:proofErr w:type="spellStart"/>
      <w:r w:rsidR="00245171" w:rsidRPr="00245171">
        <w:rPr>
          <w:rFonts w:ascii="Times New Roman" w:hAnsi="Times New Roman" w:cs="Times New Roman"/>
          <w:lang w:val="en-US"/>
        </w:rPr>
        <w:t>sino</w:t>
      </w:r>
      <w:proofErr w:type="spellEnd"/>
      <w:r w:rsidR="00245171" w:rsidRPr="00245171">
        <w:rPr>
          <w:rFonts w:ascii="Times New Roman" w:hAnsi="Times New Roman" w:cs="Times New Roman"/>
          <w:lang w:val="en-US"/>
        </w:rPr>
        <w:t xml:space="preserve"> un </w:t>
      </w:r>
      <w:proofErr w:type="spellStart"/>
      <w:r w:rsidR="00245171" w:rsidRPr="00245171">
        <w:rPr>
          <w:rFonts w:ascii="Times New Roman" w:hAnsi="Times New Roman" w:cs="Times New Roman"/>
          <w:lang w:val="en-US"/>
        </w:rPr>
        <w:t>mecanismo</w:t>
      </w:r>
      <w:proofErr w:type="spellEnd"/>
      <w:r w:rsidR="00245171" w:rsidRPr="00245171">
        <w:rPr>
          <w:rFonts w:ascii="Times New Roman" w:hAnsi="Times New Roman" w:cs="Times New Roman"/>
          <w:lang w:val="en-US"/>
        </w:rPr>
        <w:t xml:space="preserve"> que redefine la </w:t>
      </w:r>
      <w:proofErr w:type="spellStart"/>
      <w:r w:rsidR="00245171" w:rsidRPr="00245171">
        <w:rPr>
          <w:rFonts w:ascii="Times New Roman" w:hAnsi="Times New Roman" w:cs="Times New Roman"/>
          <w:lang w:val="en-US"/>
        </w:rPr>
        <w:t>gobernanza</w:t>
      </w:r>
      <w:proofErr w:type="spellEnd"/>
      <w:r w:rsidR="00245171" w:rsidRPr="00245171">
        <w:rPr>
          <w:rFonts w:ascii="Times New Roman" w:hAnsi="Times New Roman" w:cs="Times New Roman"/>
          <w:lang w:val="en-US"/>
        </w:rPr>
        <w:t xml:space="preserve"> de las </w:t>
      </w:r>
      <w:proofErr w:type="spellStart"/>
      <w:r w:rsidR="00245171" w:rsidRPr="00245171">
        <w:rPr>
          <w:rFonts w:ascii="Times New Roman" w:hAnsi="Times New Roman" w:cs="Times New Roman"/>
          <w:lang w:val="en-US"/>
        </w:rPr>
        <w:t>competencias</w:t>
      </w:r>
      <w:proofErr w:type="spellEnd"/>
      <w:r w:rsidR="00245171" w:rsidRPr="00245171">
        <w:rPr>
          <w:rFonts w:ascii="Times New Roman" w:hAnsi="Times New Roman" w:cs="Times New Roman"/>
          <w:lang w:val="en-US"/>
        </w:rPr>
        <w:t xml:space="preserve">, la </w:t>
      </w:r>
      <w:proofErr w:type="spellStart"/>
      <w:r w:rsidR="00245171" w:rsidRPr="00245171">
        <w:rPr>
          <w:rFonts w:ascii="Times New Roman" w:hAnsi="Times New Roman" w:cs="Times New Roman"/>
          <w:lang w:val="en-US"/>
        </w:rPr>
        <w:t>legitimidad</w:t>
      </w:r>
      <w:proofErr w:type="spellEnd"/>
      <w:r w:rsidR="00245171" w:rsidRPr="00245171">
        <w:rPr>
          <w:rFonts w:ascii="Times New Roman" w:hAnsi="Times New Roman" w:cs="Times New Roman"/>
          <w:lang w:val="en-US"/>
        </w:rPr>
        <w:t xml:space="preserve"> del saber </w:t>
      </w:r>
      <w:proofErr w:type="spellStart"/>
      <w:r w:rsidR="00245171" w:rsidRPr="00245171">
        <w:rPr>
          <w:rFonts w:ascii="Times New Roman" w:hAnsi="Times New Roman" w:cs="Times New Roman"/>
          <w:lang w:val="en-US"/>
        </w:rPr>
        <w:t>técnico</w:t>
      </w:r>
      <w:proofErr w:type="spellEnd"/>
      <w:r w:rsidR="00245171" w:rsidRPr="00245171">
        <w:rPr>
          <w:rFonts w:ascii="Times New Roman" w:hAnsi="Times New Roman" w:cs="Times New Roman"/>
          <w:lang w:val="en-US"/>
        </w:rPr>
        <w:t xml:space="preserve"> y las </w:t>
      </w:r>
      <w:proofErr w:type="spellStart"/>
      <w:r w:rsidR="00245171" w:rsidRPr="00245171">
        <w:rPr>
          <w:rFonts w:ascii="Times New Roman" w:hAnsi="Times New Roman" w:cs="Times New Roman"/>
          <w:lang w:val="en-US"/>
        </w:rPr>
        <w:t>relaciones</w:t>
      </w:r>
      <w:proofErr w:type="spellEnd"/>
      <w:r w:rsidR="00245171" w:rsidRPr="00245171">
        <w:rPr>
          <w:rFonts w:ascii="Times New Roman" w:hAnsi="Times New Roman" w:cs="Times New Roman"/>
          <w:lang w:val="en-US"/>
        </w:rPr>
        <w:t xml:space="preserve"> entre </w:t>
      </w:r>
      <w:proofErr w:type="spellStart"/>
      <w:r w:rsidR="00245171" w:rsidRPr="00245171">
        <w:rPr>
          <w:rFonts w:ascii="Times New Roman" w:hAnsi="Times New Roman" w:cs="Times New Roman"/>
          <w:lang w:val="en-US"/>
        </w:rPr>
        <w:t>universidad</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empresa</w:t>
      </w:r>
      <w:proofErr w:type="spellEnd"/>
      <w:r w:rsidR="00245171" w:rsidRPr="00245171">
        <w:rPr>
          <w:rFonts w:ascii="Times New Roman" w:hAnsi="Times New Roman" w:cs="Times New Roman"/>
          <w:lang w:val="en-US"/>
        </w:rPr>
        <w:t xml:space="preserve"> y Estado. </w:t>
      </w:r>
      <w:proofErr w:type="spellStart"/>
      <w:r w:rsidR="00245171" w:rsidRPr="00245171">
        <w:rPr>
          <w:rFonts w:ascii="Times New Roman" w:hAnsi="Times New Roman" w:cs="Times New Roman"/>
          <w:lang w:val="en-US"/>
        </w:rPr>
        <w:t>Asimismo</w:t>
      </w:r>
      <w:proofErr w:type="spellEnd"/>
      <w:r w:rsidR="00245171" w:rsidRPr="00245171">
        <w:rPr>
          <w:rFonts w:ascii="Times New Roman" w:hAnsi="Times New Roman" w:cs="Times New Roman"/>
          <w:lang w:val="en-US"/>
        </w:rPr>
        <w:t xml:space="preserve">, se argumenta que </w:t>
      </w:r>
      <w:proofErr w:type="spellStart"/>
      <w:r w:rsidR="00245171" w:rsidRPr="00245171">
        <w:rPr>
          <w:rFonts w:ascii="Times New Roman" w:hAnsi="Times New Roman" w:cs="Times New Roman"/>
          <w:lang w:val="en-US"/>
        </w:rPr>
        <w:t>este</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fenómeno</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evidencia</w:t>
      </w:r>
      <w:proofErr w:type="spellEnd"/>
      <w:r w:rsidR="00245171" w:rsidRPr="00245171">
        <w:rPr>
          <w:rFonts w:ascii="Times New Roman" w:hAnsi="Times New Roman" w:cs="Times New Roman"/>
          <w:lang w:val="en-US"/>
        </w:rPr>
        <w:t xml:space="preserve"> los </w:t>
      </w:r>
      <w:proofErr w:type="spellStart"/>
      <w:r w:rsidR="00245171" w:rsidRPr="00245171">
        <w:rPr>
          <w:rFonts w:ascii="Times New Roman" w:hAnsi="Times New Roman" w:cs="Times New Roman"/>
          <w:lang w:val="en-US"/>
        </w:rPr>
        <w:t>límites</w:t>
      </w:r>
      <w:proofErr w:type="spellEnd"/>
      <w:r w:rsidR="00245171" w:rsidRPr="00245171">
        <w:rPr>
          <w:rFonts w:ascii="Times New Roman" w:hAnsi="Times New Roman" w:cs="Times New Roman"/>
          <w:lang w:val="en-US"/>
        </w:rPr>
        <w:t xml:space="preserve"> de </w:t>
      </w:r>
      <w:proofErr w:type="spellStart"/>
      <w:r w:rsidR="00245171" w:rsidRPr="00245171">
        <w:rPr>
          <w:rFonts w:ascii="Times New Roman" w:hAnsi="Times New Roman" w:cs="Times New Roman"/>
          <w:lang w:val="en-US"/>
        </w:rPr>
        <w:t>modelos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tradicionales</w:t>
      </w:r>
      <w:proofErr w:type="spellEnd"/>
      <w:r w:rsidR="00245171" w:rsidRPr="00245171">
        <w:rPr>
          <w:rFonts w:ascii="Times New Roman" w:hAnsi="Times New Roman" w:cs="Times New Roman"/>
          <w:lang w:val="en-US"/>
        </w:rPr>
        <w:t xml:space="preserve"> de </w:t>
      </w:r>
      <w:proofErr w:type="spellStart"/>
      <w:r w:rsidR="00245171" w:rsidRPr="00245171">
        <w:rPr>
          <w:rFonts w:ascii="Times New Roman" w:hAnsi="Times New Roman" w:cs="Times New Roman"/>
          <w:lang w:val="en-US"/>
        </w:rPr>
        <w:t>evaluación</w:t>
      </w:r>
      <w:proofErr w:type="spellEnd"/>
      <w:r w:rsidR="00245171" w:rsidRPr="00245171">
        <w:rPr>
          <w:rFonts w:ascii="Times New Roman" w:hAnsi="Times New Roman" w:cs="Times New Roman"/>
          <w:lang w:val="en-US"/>
        </w:rPr>
        <w:t xml:space="preserve"> de la </w:t>
      </w:r>
      <w:proofErr w:type="spellStart"/>
      <w:r w:rsidR="00245171" w:rsidRPr="00245171">
        <w:rPr>
          <w:rFonts w:ascii="Times New Roman" w:hAnsi="Times New Roman" w:cs="Times New Roman"/>
          <w:lang w:val="en-US"/>
        </w:rPr>
        <w:t>calidad</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universitaria</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centrados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exclusivamente</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en</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prestigio</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productividad</w:t>
      </w:r>
      <w:proofErr w:type="spellEnd"/>
      <w:r w:rsidR="00245171" w:rsidRPr="00245171">
        <w:rPr>
          <w:rFonts w:ascii="Times New Roman" w:hAnsi="Times New Roman" w:cs="Times New Roman"/>
          <w:lang w:val="en-US"/>
        </w:rPr>
        <w:t xml:space="preserve"> o </w:t>
      </w:r>
      <w:proofErr w:type="spellStart"/>
      <w:r w:rsidR="00245171" w:rsidRPr="00245171">
        <w:rPr>
          <w:rFonts w:ascii="Times New Roman" w:hAnsi="Times New Roman" w:cs="Times New Roman"/>
          <w:lang w:val="en-US"/>
        </w:rPr>
        <w:t>duración</w:t>
      </w:r>
      <w:proofErr w:type="spellEnd"/>
      <w:r w:rsidR="00245171" w:rsidRPr="00245171">
        <w:rPr>
          <w:rFonts w:ascii="Times New Roman" w:hAnsi="Times New Roman" w:cs="Times New Roman"/>
          <w:lang w:val="en-US"/>
        </w:rPr>
        <w:t xml:space="preserve"> de </w:t>
      </w:r>
      <w:proofErr w:type="spellStart"/>
      <w:r w:rsidR="00245171" w:rsidRPr="00245171">
        <w:rPr>
          <w:rFonts w:ascii="Times New Roman" w:hAnsi="Times New Roman" w:cs="Times New Roman"/>
          <w:lang w:val="en-US"/>
        </w:rPr>
        <w:t>programas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reforzando</w:t>
      </w:r>
      <w:proofErr w:type="spellEnd"/>
      <w:r w:rsidR="00245171" w:rsidRPr="00245171">
        <w:rPr>
          <w:rFonts w:ascii="Times New Roman" w:hAnsi="Times New Roman" w:cs="Times New Roman"/>
          <w:lang w:val="en-US"/>
        </w:rPr>
        <w:t xml:space="preserve"> la </w:t>
      </w:r>
      <w:proofErr w:type="spellStart"/>
      <w:r w:rsidR="00245171" w:rsidRPr="00245171">
        <w:rPr>
          <w:rFonts w:ascii="Times New Roman" w:hAnsi="Times New Roman" w:cs="Times New Roman"/>
          <w:lang w:val="en-US"/>
        </w:rPr>
        <w:t>necesidad</w:t>
      </w:r>
      <w:proofErr w:type="spellEnd"/>
      <w:r w:rsidR="00245171" w:rsidRPr="00245171">
        <w:rPr>
          <w:rFonts w:ascii="Times New Roman" w:hAnsi="Times New Roman" w:cs="Times New Roman"/>
          <w:lang w:val="en-US"/>
        </w:rPr>
        <w:t xml:space="preserve"> de </w:t>
      </w:r>
      <w:proofErr w:type="spellStart"/>
      <w:r w:rsidR="00245171" w:rsidRPr="00245171">
        <w:rPr>
          <w:rFonts w:ascii="Times New Roman" w:hAnsi="Times New Roman" w:cs="Times New Roman"/>
          <w:lang w:val="en-US"/>
        </w:rPr>
        <w:t>marcos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contextualizados</w:t>
      </w:r>
      <w:proofErr w:type="spellEnd"/>
      <w:r w:rsidR="00245171" w:rsidRPr="00245171">
        <w:rPr>
          <w:rFonts w:ascii="Times New Roman" w:hAnsi="Times New Roman" w:cs="Times New Roman"/>
          <w:lang w:val="en-US"/>
        </w:rPr>
        <w:t xml:space="preserve"> para la </w:t>
      </w:r>
      <w:proofErr w:type="spellStart"/>
      <w:r w:rsidR="00245171" w:rsidRPr="00245171">
        <w:rPr>
          <w:rFonts w:ascii="Times New Roman" w:hAnsi="Times New Roman" w:cs="Times New Roman"/>
          <w:lang w:val="en-US"/>
        </w:rPr>
        <w:t>región</w:t>
      </w:r>
      <w:proofErr w:type="spellEnd"/>
      <w:r w:rsidR="00245171" w:rsidRPr="00245171">
        <w:rPr>
          <w:rFonts w:ascii="Times New Roman" w:hAnsi="Times New Roman" w:cs="Times New Roman"/>
          <w:lang w:val="en-US"/>
        </w:rPr>
        <w:t xml:space="preserve">. A </w:t>
      </w:r>
      <w:proofErr w:type="spellStart"/>
      <w:r w:rsidR="00245171" w:rsidRPr="00245171">
        <w:rPr>
          <w:rFonts w:ascii="Times New Roman" w:hAnsi="Times New Roman" w:cs="Times New Roman"/>
          <w:lang w:val="en-US"/>
        </w:rPr>
        <w:t>partir</w:t>
      </w:r>
      <w:proofErr w:type="spellEnd"/>
      <w:r w:rsidR="00245171" w:rsidRPr="00245171">
        <w:rPr>
          <w:rFonts w:ascii="Times New Roman" w:hAnsi="Times New Roman" w:cs="Times New Roman"/>
          <w:lang w:val="en-US"/>
        </w:rPr>
        <w:t xml:space="preserve"> de </w:t>
      </w:r>
      <w:proofErr w:type="spellStart"/>
      <w:r w:rsidR="00245171" w:rsidRPr="00245171">
        <w:rPr>
          <w:rFonts w:ascii="Times New Roman" w:hAnsi="Times New Roman" w:cs="Times New Roman"/>
          <w:lang w:val="en-US"/>
        </w:rPr>
        <w:t>revisión</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bibliográfica</w:t>
      </w:r>
      <w:proofErr w:type="spellEnd"/>
      <w:r w:rsidR="00245171" w:rsidRPr="00245171">
        <w:rPr>
          <w:rFonts w:ascii="Times New Roman" w:hAnsi="Times New Roman" w:cs="Times New Roman"/>
          <w:lang w:val="en-US"/>
        </w:rPr>
        <w:t xml:space="preserve"> y </w:t>
      </w:r>
      <w:proofErr w:type="spellStart"/>
      <w:r w:rsidR="00245171" w:rsidRPr="00245171">
        <w:rPr>
          <w:rFonts w:ascii="Times New Roman" w:hAnsi="Times New Roman" w:cs="Times New Roman"/>
          <w:lang w:val="en-US"/>
        </w:rPr>
        <w:t>análisis</w:t>
      </w:r>
      <w:proofErr w:type="spellEnd"/>
      <w:r w:rsidR="00245171" w:rsidRPr="00245171">
        <w:rPr>
          <w:rFonts w:ascii="Times New Roman" w:hAnsi="Times New Roman" w:cs="Times New Roman"/>
          <w:lang w:val="en-US"/>
        </w:rPr>
        <w:t xml:space="preserve"> documental, se </w:t>
      </w:r>
      <w:proofErr w:type="spellStart"/>
      <w:r w:rsidR="00245171" w:rsidRPr="00245171">
        <w:rPr>
          <w:rFonts w:ascii="Times New Roman" w:hAnsi="Times New Roman" w:cs="Times New Roman"/>
          <w:lang w:val="en-US"/>
        </w:rPr>
        <w:t>examinan</w:t>
      </w:r>
      <w:proofErr w:type="spellEnd"/>
      <w:r w:rsidR="00245171" w:rsidRPr="00245171">
        <w:rPr>
          <w:rFonts w:ascii="Times New Roman" w:hAnsi="Times New Roman" w:cs="Times New Roman"/>
          <w:lang w:val="en-US"/>
        </w:rPr>
        <w:t xml:space="preserve"> sus </w:t>
      </w:r>
      <w:proofErr w:type="spellStart"/>
      <w:r w:rsidR="00245171" w:rsidRPr="00245171">
        <w:rPr>
          <w:rFonts w:ascii="Times New Roman" w:hAnsi="Times New Roman" w:cs="Times New Roman"/>
          <w:lang w:val="en-US"/>
        </w:rPr>
        <w:t>potencialidades</w:t>
      </w:r>
      <w:proofErr w:type="spellEnd"/>
      <w:r w:rsidR="00245171" w:rsidRPr="00245171">
        <w:rPr>
          <w:rFonts w:ascii="Times New Roman" w:hAnsi="Times New Roman" w:cs="Times New Roman"/>
          <w:lang w:val="en-US"/>
        </w:rPr>
        <w:t xml:space="preserve"> y </w:t>
      </w:r>
      <w:proofErr w:type="spellStart"/>
      <w:r w:rsidR="00245171" w:rsidRPr="00245171">
        <w:rPr>
          <w:rFonts w:ascii="Times New Roman" w:hAnsi="Times New Roman" w:cs="Times New Roman"/>
          <w:lang w:val="en-US"/>
        </w:rPr>
        <w:t>riesgos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en</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contextos</w:t>
      </w:r>
      <w:proofErr w:type="spellEnd"/>
      <w:r w:rsidR="00245171" w:rsidRPr="00245171">
        <w:rPr>
          <w:rFonts w:ascii="Times New Roman" w:hAnsi="Times New Roman" w:cs="Times New Roman"/>
          <w:lang w:val="en-US"/>
        </w:rPr>
        <w:t xml:space="preserve"> de </w:t>
      </w:r>
      <w:proofErr w:type="spellStart"/>
      <w:r w:rsidR="00245171" w:rsidRPr="00245171">
        <w:rPr>
          <w:rFonts w:ascii="Times New Roman" w:hAnsi="Times New Roman" w:cs="Times New Roman"/>
          <w:lang w:val="en-US"/>
        </w:rPr>
        <w:t>desigualdad</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estructural</w:t>
      </w:r>
      <w:proofErr w:type="spellEnd"/>
      <w:r w:rsidR="00245171" w:rsidRPr="00245171">
        <w:rPr>
          <w:rFonts w:ascii="Times New Roman" w:hAnsi="Times New Roman" w:cs="Times New Roman"/>
          <w:lang w:val="en-US"/>
        </w:rPr>
        <w:t xml:space="preserve">. Se </w:t>
      </w:r>
      <w:proofErr w:type="spellStart"/>
      <w:r w:rsidR="00245171" w:rsidRPr="00245171">
        <w:rPr>
          <w:rFonts w:ascii="Times New Roman" w:hAnsi="Times New Roman" w:cs="Times New Roman"/>
          <w:lang w:val="en-US"/>
        </w:rPr>
        <w:t>concluye</w:t>
      </w:r>
      <w:proofErr w:type="spellEnd"/>
      <w:r w:rsidR="00245171" w:rsidRPr="00245171">
        <w:rPr>
          <w:rFonts w:ascii="Times New Roman" w:hAnsi="Times New Roman" w:cs="Times New Roman"/>
          <w:lang w:val="en-US"/>
        </w:rPr>
        <w:t xml:space="preserve"> que </w:t>
      </w:r>
      <w:proofErr w:type="spellStart"/>
      <w:r w:rsidR="00245171" w:rsidRPr="00245171">
        <w:rPr>
          <w:rFonts w:ascii="Times New Roman" w:hAnsi="Times New Roman" w:cs="Times New Roman"/>
          <w:lang w:val="en-US"/>
        </w:rPr>
        <w:t>su</w:t>
      </w:r>
      <w:proofErr w:type="spellEnd"/>
      <w:r w:rsidR="00245171" w:rsidRPr="00245171">
        <w:rPr>
          <w:rFonts w:ascii="Times New Roman" w:hAnsi="Times New Roman" w:cs="Times New Roman"/>
          <w:lang w:val="en-US"/>
        </w:rPr>
        <w:t xml:space="preserve"> valor </w:t>
      </w:r>
      <w:proofErr w:type="spellStart"/>
      <w:r w:rsidR="00245171" w:rsidRPr="00245171">
        <w:rPr>
          <w:rFonts w:ascii="Times New Roman" w:hAnsi="Times New Roman" w:cs="Times New Roman"/>
          <w:lang w:val="en-US"/>
        </w:rPr>
        <w:t>depende</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menos</w:t>
      </w:r>
      <w:proofErr w:type="spellEnd"/>
      <w:r w:rsidR="00245171" w:rsidRPr="00245171">
        <w:rPr>
          <w:rFonts w:ascii="Times New Roman" w:hAnsi="Times New Roman" w:cs="Times New Roman"/>
          <w:lang w:val="en-US"/>
        </w:rPr>
        <w:t xml:space="preserve"> de </w:t>
      </w:r>
      <w:proofErr w:type="spellStart"/>
      <w:r w:rsidR="00245171" w:rsidRPr="00245171">
        <w:rPr>
          <w:rFonts w:ascii="Times New Roman" w:hAnsi="Times New Roman" w:cs="Times New Roman"/>
          <w:lang w:val="en-US"/>
        </w:rPr>
        <w:t>su</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formato</w:t>
      </w:r>
      <w:proofErr w:type="spellEnd"/>
      <w:r w:rsidR="00245171" w:rsidRPr="00245171">
        <w:rPr>
          <w:rFonts w:ascii="Times New Roman" w:hAnsi="Times New Roman" w:cs="Times New Roman"/>
          <w:lang w:val="en-US"/>
        </w:rPr>
        <w:t xml:space="preserve"> que de las </w:t>
      </w:r>
      <w:proofErr w:type="spellStart"/>
      <w:r w:rsidR="00245171" w:rsidRPr="00245171">
        <w:rPr>
          <w:rFonts w:ascii="Times New Roman" w:hAnsi="Times New Roman" w:cs="Times New Roman"/>
          <w:lang w:val="en-US"/>
        </w:rPr>
        <w:t>condiciones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institucionales</w:t>
      </w:r>
      <w:proofErr w:type="spellEnd"/>
      <w:r w:rsidR="00245171" w:rsidRPr="00245171">
        <w:rPr>
          <w:rFonts w:ascii="Times New Roman" w:hAnsi="Times New Roman" w:cs="Times New Roman"/>
          <w:lang w:val="en-US"/>
        </w:rPr>
        <w:t xml:space="preserve"> que </w:t>
      </w:r>
      <w:proofErr w:type="spellStart"/>
      <w:r w:rsidR="00245171" w:rsidRPr="00245171">
        <w:rPr>
          <w:rFonts w:ascii="Times New Roman" w:hAnsi="Times New Roman" w:cs="Times New Roman"/>
          <w:lang w:val="en-US"/>
        </w:rPr>
        <w:t>regulan</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su</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articulación</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reconocimiento</w:t>
      </w:r>
      <w:proofErr w:type="spellEnd"/>
      <w:r w:rsidR="00245171" w:rsidRPr="00245171">
        <w:rPr>
          <w:rFonts w:ascii="Times New Roman" w:hAnsi="Times New Roman" w:cs="Times New Roman"/>
          <w:lang w:val="en-US"/>
        </w:rPr>
        <w:t xml:space="preserve"> y </w:t>
      </w:r>
      <w:proofErr w:type="spellStart"/>
      <w:r w:rsidR="00245171" w:rsidRPr="00245171">
        <w:rPr>
          <w:rFonts w:ascii="Times New Roman" w:hAnsi="Times New Roman" w:cs="Times New Roman"/>
          <w:lang w:val="en-US"/>
        </w:rPr>
        <w:t>acumulabilidad</w:t>
      </w:r>
      <w:proofErr w:type="spellEnd"/>
      <w:r w:rsidR="00245171" w:rsidRPr="00245171">
        <w:rPr>
          <w:rFonts w:ascii="Times New Roman" w:hAnsi="Times New Roman" w:cs="Times New Roman"/>
          <w:lang w:val="en-US"/>
        </w:rPr>
        <w:t xml:space="preserve"> dentro de </w:t>
      </w:r>
      <w:proofErr w:type="spellStart"/>
      <w:r w:rsidR="00245171" w:rsidRPr="00245171">
        <w:rPr>
          <w:rFonts w:ascii="Times New Roman" w:hAnsi="Times New Roman" w:cs="Times New Roman"/>
          <w:lang w:val="en-US"/>
        </w:rPr>
        <w:t>trayectorias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educativas</w:t>
      </w:r>
      <w:proofErr w:type="spellEnd"/>
      <w:r w:rsidR="00245171" w:rsidRPr="00245171">
        <w:rPr>
          <w:rFonts w:ascii="Times New Roman" w:hAnsi="Times New Roman" w:cs="Times New Roman"/>
          <w:lang w:val="en-US"/>
        </w:rPr>
        <w:t xml:space="preserve"> </w:t>
      </w:r>
      <w:proofErr w:type="spellStart"/>
      <w:r w:rsidR="00245171" w:rsidRPr="00245171">
        <w:rPr>
          <w:rFonts w:ascii="Times New Roman" w:hAnsi="Times New Roman" w:cs="Times New Roman"/>
          <w:lang w:val="en-US"/>
        </w:rPr>
        <w:t>legítimas</w:t>
      </w:r>
      <w:proofErr w:type="spellEnd"/>
      <w:r w:rsidR="00245171" w:rsidRPr="00245171">
        <w:rPr>
          <w:rFonts w:ascii="Times New Roman" w:hAnsi="Times New Roman" w:cs="Times New Roman"/>
          <w:lang w:val="en-US"/>
        </w:rPr>
        <w:t>.</w:t>
      </w:r>
    </w:p>
    <w:p w14:paraId="2994BAB3" w14:textId="2E97C409"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245171" w:rsidRPr="00245171">
        <w:rPr>
          <w:rFonts w:ascii="Times New Roman" w:hAnsi="Times New Roman" w:cs="Times New Roman"/>
        </w:rPr>
        <w:t>microcredenciales; educación técnico-profesional; universidad; calidad universitaria; América Latina.</w:t>
      </w:r>
    </w:p>
    <w:p w14:paraId="3F319D46" w14:textId="77777777" w:rsidR="009618A7" w:rsidRDefault="009618A7" w:rsidP="007B5B5F">
      <w:pPr>
        <w:spacing w:line="240" w:lineRule="auto"/>
        <w:rPr>
          <w:rFonts w:ascii="Times New Roman" w:hAnsi="Times New Roman" w:cs="Times New Roman"/>
          <w:b/>
          <w:bCs/>
        </w:rPr>
      </w:pPr>
    </w:p>
    <w:p w14:paraId="6A5547A1" w14:textId="11067134"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28D6AFCE"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Las universidades latinoamericanas atraviesan un momento de redefinición histórica. La digitalización de la economía, la automatización de procesos, la aceleración del cambio tecnológico y la expansión de nuevas modalidades de aprendizaje están alterando las formas tradicionales de producir, transmitir y certificar conocimiento. En este contexto, </w:t>
      </w:r>
      <w:r w:rsidRPr="009A2DA8">
        <w:rPr>
          <w:rFonts w:ascii="Times New Roman" w:hAnsi="Times New Roman" w:cs="Times New Roman"/>
        </w:rPr>
        <w:lastRenderedPageBreak/>
        <w:t>los sistemas universitarios enfrentan una pregunta estratégica: si los títulos tradicionales continúan siendo suficientes como principal mecanismo de validación académica y profesional o si deben coexistir con nuevas formas de certificación más flexibles, específicas y continuas (OECD, 2023).</w:t>
      </w:r>
    </w:p>
    <w:p w14:paraId="4F2332B9"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Uno de los fenómenos más visibles en este proceso es la expansión de las microcredenciales. Generalmente definidas como certificaciones breves, focalizadas en competencias delimitadas y potencialmente acumulables, estas credenciales han ganado terreno en múltiples regiones del mundo como respuesta a demandas de actualización permanente, empleabilidad y formación continua (UNESCO, 2022). Su crecimiento ha sido particularmente intenso en sectores vinculados con habilidades digitales, análisis de datos, automatización, innovación y gestión organizacional.</w:t>
      </w:r>
    </w:p>
    <w:p w14:paraId="145DC897"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Sin embargo, en América Latina la discusión presenta características particulares. La región combina sistemas universitarios heterogéneos, persistentes desigualdades socioeducativas, altos niveles de informalidad laboral y una educación técnico-profesional (ETP) que históricamente ha ocupado posiciones subordinadas respecto de la educación universitaria clásica (Jacinto, 2018). Por ello, las microcredenciales no pueden analizarse solo como innovación pedagógica o tecnológica. Constituyen también una disputa por el valor social de las credenciales, por la legitimidad del saber técnico y por la redefinición de las relaciones entre universidad, empresa y Estado.</w:t>
      </w:r>
    </w:p>
    <w:p w14:paraId="6CE4F31D"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Adicionalmente, la expansión de estos nuevos dispositivos de certificación reabre una discusión mayor sobre la calidad universitaria. Si emergen credenciales valoradas por empleadores fuera de los esquemas tradicionales, ello sugiere que los actuales sistemas de evaluación institucional pueden estar dejando fuera dimensiones decisivas como pertinencia territorial, capacidad de respuesta social, articulación con trayectorias flexibles e impacto real en oportunidades de aprendizaje. En este sentido, las microcredenciales constituyen también un síntoma de la insuficiencia de ciertos paradigmas convencionales de calidad en educación superior.</w:t>
      </w:r>
    </w:p>
    <w:p w14:paraId="264F8A76"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La hipótesis central de esta ponencia sostiene que las microcredenciales actúan como un amplificador de fortalezas y debilidades estructurales de los sistemas formativos latinoamericanos. Allí donde existen trayectorias claras, marcos de cualificaciones y gobernanza pública, pueden fortalecer la formación continua y la articulación con el trabajo. Allí donde predominan fragmentación institucional y desigualdad, pueden profundizar segmentaciones históricas. A la vez, su irrupción confirma la necesidad de modelos latinoamericanos de calidad universitaria más contextualizados, capaces de integrar excelencia académica con pertinencia social, diversidad territorial y justicia educativa.</w:t>
      </w:r>
    </w:p>
    <w:p w14:paraId="4C7E3B8C" w14:textId="3C2FE831" w:rsidR="009618A7" w:rsidRDefault="009A2DA8" w:rsidP="009A2DA8">
      <w:pPr>
        <w:spacing w:line="240" w:lineRule="auto"/>
        <w:jc w:val="both"/>
        <w:rPr>
          <w:rFonts w:ascii="Times New Roman" w:hAnsi="Times New Roman" w:cs="Times New Roman"/>
        </w:rPr>
      </w:pPr>
      <w:r w:rsidRPr="009A2DA8">
        <w:rPr>
          <w:rFonts w:ascii="Times New Roman" w:hAnsi="Times New Roman" w:cs="Times New Roman"/>
        </w:rPr>
        <w:t>Para desarrollar este argumento, el trabajo aborda sucesivamente el cambio de paradigma en la certificación del conocimiento, la relación entre microcredenciales y ETP, su expansión en la capacitación empresarial, los desafíos de gobernanza y las implicancias en términos de calidad y justicia educativa.</w:t>
      </w:r>
    </w:p>
    <w:p w14:paraId="14EB7299" w14:textId="77777777" w:rsidR="009A2DA8" w:rsidRDefault="009A2DA8" w:rsidP="009A2DA8">
      <w:pPr>
        <w:spacing w:line="240" w:lineRule="auto"/>
        <w:rPr>
          <w:rFonts w:ascii="Times New Roman" w:hAnsi="Times New Roman" w:cs="Times New Roman"/>
          <w:b/>
          <w:bCs/>
        </w:rPr>
      </w:pPr>
    </w:p>
    <w:p w14:paraId="5BF4BF76" w14:textId="77777777" w:rsidR="009A2DA8" w:rsidRPr="009A2DA8" w:rsidRDefault="009A2DA8" w:rsidP="009A2DA8">
      <w:pPr>
        <w:spacing w:line="240" w:lineRule="auto"/>
        <w:jc w:val="both"/>
        <w:rPr>
          <w:rFonts w:ascii="Times New Roman" w:hAnsi="Times New Roman" w:cs="Times New Roman"/>
          <w:b/>
          <w:bCs/>
        </w:rPr>
      </w:pPr>
      <w:r w:rsidRPr="009A2DA8">
        <w:rPr>
          <w:rFonts w:ascii="Times New Roman" w:hAnsi="Times New Roman" w:cs="Times New Roman"/>
          <w:b/>
          <w:bCs/>
        </w:rPr>
        <w:lastRenderedPageBreak/>
        <w:t>1. Universidad y cambio de paradigma en la certificación del conocimiento</w:t>
      </w:r>
    </w:p>
    <w:p w14:paraId="5761E8B5"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Durante gran parte del siglo XX, la universidad ocupó una posición privilegiada en la certificación del conocimiento avanzado. Los títulos profesionales, licenciaturas y grados académicos funcionaron como señales institucionales robustas frente al mercado laboral y como mecanismos socialmente legitimados de acceso a profesiones, movilidad social y diferenciación ocupacional (Bourdieu, 1986).</w:t>
      </w:r>
    </w:p>
    <w:p w14:paraId="62295599"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Este predominio descansaba en tres supuestos relativamente estables. Primero, que el conocimiento especializado tenía ciclos largos de renovación. Segundo, que las trayectorias laborales se organizaban en torno a profesiones relativamente definidas. Tercero, que las instituciones universitarias concentraban la autoridad legítima para validar saberes complejos.</w:t>
      </w:r>
    </w:p>
    <w:p w14:paraId="66C5B35C"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las últimas décadas, dichos supuestos comenzaron a erosionarse. La aceleración tecnológica redujo la vida útil de ciertas competencias; nuevas ocupaciones emergieron con rapidez; y plataformas privadas, empresas tecnológicas y proveedores globales comenzaron a ofrecer certificaciones altamente valoradas por sectores productivos específicos (Gallagher, 2018). El conocimiento dejó de percibirse exclusivamente como acumulación prolongada y pasó a valorarse también como actualización continua.</w:t>
      </w:r>
    </w:p>
    <w:p w14:paraId="497EB606"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Es precisamente en este punto donde las microcredenciales adquieren relevancia. No surgen simplemente como innovación metodológica, sino como respuesta institucional a un cambio profundo en la temporalidad del conocimiento. Frente a saberes que se transforman con rapidez, los títulos extensos aparecen, para ciertos sectores, menos ágiles que certificaciones modulares y actualizables.</w:t>
      </w:r>
    </w:p>
    <w:p w14:paraId="1D19E9B6"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No obstante, este diagnóstico requiere matices. Que los mercados laborales demanden rapidez no implica que toda formación deba reducirse a unidades breves. Las universidades siguen cumpliendo funciones irremplazables: pensamiento crítico, investigación, formación ética, capacidad analítica compleja y construcción disciplinar de largo plazo. Por ello, la discusión no debe plantearse como oposición binaria entre títulos y microcredenciales, sino como redefinición del ecosistema de certificación.</w:t>
      </w:r>
    </w:p>
    <w:p w14:paraId="0627A351" w14:textId="28290DD6"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Este desplazamiento también tensiona los criterios tradicionales de calidad universitaria. Si la legitimidad de una institución se evaluaba históricamente por selectividad, duración de programas o productividad científica, hoy resulta necesario incorporar nuevas variables: adaptabilidad curricular, reconocimiento de aprendizajes diversos, vinculación con necesidades territoriales y capacidad de aprendizaje permanente. La universidad latinoamericana enfrenta así el desafío de revisar no solo qué certifica, sino también cómo demuestra calidad en un escenario cambiante</w:t>
      </w:r>
      <w:r w:rsidR="009B0B3F">
        <w:rPr>
          <w:rFonts w:ascii="Times New Roman" w:hAnsi="Times New Roman" w:cs="Times New Roman"/>
        </w:rPr>
        <w:t>, con variables ajenas a su realidad</w:t>
      </w:r>
      <w:r w:rsidRPr="009A2DA8">
        <w:rPr>
          <w:rFonts w:ascii="Times New Roman" w:hAnsi="Times New Roman" w:cs="Times New Roman"/>
        </w:rPr>
        <w:t>.</w:t>
      </w:r>
    </w:p>
    <w:p w14:paraId="39B116BE" w14:textId="77777777" w:rsidR="009A2DA8" w:rsidRPr="009A2DA8" w:rsidRDefault="009A2DA8" w:rsidP="009A2DA8">
      <w:pPr>
        <w:spacing w:line="240" w:lineRule="auto"/>
        <w:jc w:val="both"/>
        <w:rPr>
          <w:rFonts w:ascii="Times New Roman" w:hAnsi="Times New Roman" w:cs="Times New Roman"/>
        </w:rPr>
      </w:pPr>
    </w:p>
    <w:p w14:paraId="59C25954" w14:textId="77777777" w:rsidR="009A2DA8" w:rsidRPr="009A2DA8" w:rsidRDefault="009A2DA8" w:rsidP="009A2DA8">
      <w:pPr>
        <w:spacing w:line="240" w:lineRule="auto"/>
        <w:jc w:val="both"/>
        <w:rPr>
          <w:rFonts w:ascii="Times New Roman" w:hAnsi="Times New Roman" w:cs="Times New Roman"/>
          <w:b/>
          <w:bCs/>
        </w:rPr>
      </w:pPr>
      <w:r w:rsidRPr="009A2DA8">
        <w:rPr>
          <w:rFonts w:ascii="Times New Roman" w:hAnsi="Times New Roman" w:cs="Times New Roman"/>
          <w:b/>
          <w:bCs/>
        </w:rPr>
        <w:t>2. Microcredenciales y educación técnico-profesional en América Latina</w:t>
      </w:r>
    </w:p>
    <w:p w14:paraId="0FE9D159"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Si la sección anterior mostró que las microcredenciales cuestionan la centralidad tradicional del título universitario, su impacto resulta aún más visible en la educación técnico-profesional. La ETP ha sido históricamente presentada como estratégica para el </w:t>
      </w:r>
      <w:r w:rsidRPr="009A2DA8">
        <w:rPr>
          <w:rFonts w:ascii="Times New Roman" w:hAnsi="Times New Roman" w:cs="Times New Roman"/>
        </w:rPr>
        <w:lastRenderedPageBreak/>
        <w:t>desarrollo productivo, pero frecuentemente relegada a posiciones secundarias dentro de las jerarquías educativas regionales (CEPAL, 2020).</w:t>
      </w:r>
    </w:p>
    <w:p w14:paraId="1810F10B"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Esta subordinación se expresa en múltiples dimensiones: menor prestigio social, financiamiento limitado, débil articulación con educación superior, currículos rezagados y percepción de “segunda opción” frente a estudios universitarios tradicionales (Jacinto y Millenaar, 2018). En consecuencia, muchos estudiantes ingresan a la ETP buscando movilidad social, pero enfrentan trayectorias institucionales más frágiles.</w:t>
      </w:r>
    </w:p>
    <w:p w14:paraId="5CFBDED4"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apariencia, las microcredenciales dialogan naturalmente con la ETP. Ambas comparten énfasis en competencias aplicadas, cercanía con el mundo del trabajo, modularidad curricular y necesidad de actualización frecuente. Bajo esta lógica, podrían transformarse en una herramienta poderosa para renovar la formación técnica, reconocer aprendizajes previos y responder con rapidez a sectores productivos dinámicos (OEI, 2024).</w:t>
      </w:r>
    </w:p>
    <w:p w14:paraId="45A04ED2"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Sin embargo, esta afinidad aparente puede resultar engañosa si no se examinan sus condiciones estructurales. Cuando las microcredenciales se insertan en sistemas débiles, sin trayectorias acumulables ni reconocimiento claro, pueden reforzar la histórica fragmentación de la ETP. En lugar de ampliar oportunidades, consolidan itinerarios cortos, de baja densidad formativa y limitado prestigio social.</w:t>
      </w:r>
    </w:p>
    <w:p w14:paraId="31FCA608"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Dicho de otro modo, la microcredencial puede ser puente o puede ser techo. Puede abrir caminos hacia títulos superiores o transformarse en credencial terminal destinada a poblaciones específicas. El resultado depende menos del formato y más del diseño institucional.</w:t>
      </w:r>
    </w:p>
    <w:p w14:paraId="447A4F48"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Esta constatación conecta directamente con la discusión sobre calidad universitaria contextualizada. Una educación superior pertinente para América Latina no puede medir éxito únicamente por indicadores académicos tradicionales si mantiene fracturas profundas con la formación técnica y con las trayectorias reales de amplios sectores sociales. Las microcredenciales revelan precisamente esa necesidad de articulación entre universidad, ETP y desarrollo territorial.</w:t>
      </w:r>
    </w:p>
    <w:p w14:paraId="5C28829A" w14:textId="77777777" w:rsidR="009A2DA8" w:rsidRDefault="009A2DA8" w:rsidP="009A2DA8">
      <w:pPr>
        <w:spacing w:line="240" w:lineRule="auto"/>
        <w:jc w:val="both"/>
        <w:rPr>
          <w:rFonts w:ascii="Times New Roman" w:hAnsi="Times New Roman" w:cs="Times New Roman"/>
        </w:rPr>
      </w:pPr>
    </w:p>
    <w:p w14:paraId="234056D9" w14:textId="70287BF6" w:rsidR="009A2DA8" w:rsidRPr="009A2DA8" w:rsidRDefault="009A2DA8" w:rsidP="009A2DA8">
      <w:pPr>
        <w:spacing w:line="240" w:lineRule="auto"/>
        <w:jc w:val="both"/>
        <w:rPr>
          <w:rFonts w:ascii="Times New Roman" w:hAnsi="Times New Roman" w:cs="Times New Roman"/>
          <w:b/>
          <w:bCs/>
        </w:rPr>
      </w:pPr>
      <w:r w:rsidRPr="009A2DA8">
        <w:rPr>
          <w:rFonts w:ascii="Times New Roman" w:hAnsi="Times New Roman" w:cs="Times New Roman"/>
          <w:b/>
          <w:bCs/>
        </w:rPr>
        <w:t>3. Capacitación empresarial y nuevas lógicas de formación</w:t>
      </w:r>
    </w:p>
    <w:p w14:paraId="76508690"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Si en las secciones previas se mostró cómo las microcredenciales tensionan a la universidad y reconfiguran la ETP, corresponde ahora examinar el otro gran motor del fenómeno: la capacitación empresarial.</w:t>
      </w:r>
    </w:p>
    <w:p w14:paraId="0A474A50"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Las organizaciones productivas enfrentan presiones crecientes para actualizar competencias en ciclos cada vez más breves. Transformación digital, inteligencia artificial, automatización, cambios regulatorios y competencia global obligan a formar trabajadores con rapidez. En este escenario, las microcredenciales resultan especialmente atractivas por su focalización, brevedad y trazabilidad (Gauthier, 2020).</w:t>
      </w:r>
    </w:p>
    <w:p w14:paraId="6BFA863F"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lastRenderedPageBreak/>
        <w:t>Desde la gestión de personas, estas credenciales ofrecen ventajas claras. Permiten mapear competencias críticas, personalizar rutas de aprendizaje, registrar avances y vincular formación con desempeño organizacional. Además, facilitan alianzas con plataformas educativas externas y reducen tiempos tradicionales de capacitación.</w:t>
      </w:r>
    </w:p>
    <w:p w14:paraId="04FD1F05"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No obstante, esta lógica introduce tensiones profundas. Cuando la formación se orienta exclusivamente a necesidades inmediatas de productividad, el aprendizaje corre el riesgo de reducirse a resolución de brechas coyunturales. El trabajador aparece entonces como portador de habilidades actualizables, más que como sujeto con trayectoria educativa integral.</w:t>
      </w:r>
    </w:p>
    <w:p w14:paraId="7D9BA74E"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América Latina, donde amplios sectores laborales ya enfrentan precariedad e inestabilidad, esta tendencia puede ser especialmente problemática. La sustitución de procesos formativos robustos por certificaciones breves desconectadas entre sí podría profundizar vulnerabilidades ocupacionales.</w:t>
      </w:r>
    </w:p>
    <w:p w14:paraId="576E46C8" w14:textId="1C0D955B"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Para la universidad, el dilema es evidente. Debe dialogar con el mundo productivo y responder a nuevas demandas, pero sin convertir toda formación en simple servicio corporativo. La vinculación universidad-empresa requiere equilibrio entre pertinencia económica y misión académica</w:t>
      </w:r>
      <w:r w:rsidR="00D829A2">
        <w:rPr>
          <w:rFonts w:ascii="Times New Roman" w:hAnsi="Times New Roman" w:cs="Times New Roman"/>
        </w:rPr>
        <w:t>, asegurando el bienestar para todos los miembros de su ecosistema</w:t>
      </w:r>
      <w:r w:rsidRPr="009A2DA8">
        <w:rPr>
          <w:rFonts w:ascii="Times New Roman" w:hAnsi="Times New Roman" w:cs="Times New Roman"/>
        </w:rPr>
        <w:t>.</w:t>
      </w:r>
    </w:p>
    <w:p w14:paraId="4E468C39" w14:textId="77777777" w:rsidR="009A2DA8" w:rsidRDefault="009A2DA8" w:rsidP="009A2DA8">
      <w:pPr>
        <w:spacing w:line="240" w:lineRule="auto"/>
        <w:jc w:val="both"/>
        <w:rPr>
          <w:rFonts w:ascii="Times New Roman" w:hAnsi="Times New Roman" w:cs="Times New Roman"/>
        </w:rPr>
      </w:pPr>
    </w:p>
    <w:p w14:paraId="3C9E52C7" w14:textId="2B073344" w:rsidR="009A2DA8" w:rsidRPr="009A2DA8" w:rsidRDefault="009A2DA8" w:rsidP="009A2DA8">
      <w:pPr>
        <w:spacing w:line="240" w:lineRule="auto"/>
        <w:jc w:val="both"/>
        <w:rPr>
          <w:rFonts w:ascii="Times New Roman" w:hAnsi="Times New Roman" w:cs="Times New Roman"/>
          <w:b/>
          <w:bCs/>
        </w:rPr>
      </w:pPr>
      <w:r w:rsidRPr="009A2DA8">
        <w:rPr>
          <w:rFonts w:ascii="Times New Roman" w:hAnsi="Times New Roman" w:cs="Times New Roman"/>
          <w:b/>
          <w:bCs/>
        </w:rPr>
        <w:t>4. Gobernanza de las competencias: universidad, Estado y mercado</w:t>
      </w:r>
    </w:p>
    <w:p w14:paraId="20DA7A41" w14:textId="18BF2ACD"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El recorrido anterior permite advertir que el problema de fondo no es la mera existencia de microcredenciales, sino la forma en que estas se gobiernan, </w:t>
      </w:r>
      <w:r w:rsidR="00B51E2D">
        <w:rPr>
          <w:rFonts w:ascii="Times New Roman" w:hAnsi="Times New Roman" w:cs="Times New Roman"/>
        </w:rPr>
        <w:t xml:space="preserve">se </w:t>
      </w:r>
      <w:r w:rsidR="00D829A2" w:rsidRPr="009A2DA8">
        <w:rPr>
          <w:rFonts w:ascii="Times New Roman" w:hAnsi="Times New Roman" w:cs="Times New Roman"/>
        </w:rPr>
        <w:t>reconoce</w:t>
      </w:r>
      <w:r w:rsidRPr="009A2DA8">
        <w:rPr>
          <w:rFonts w:ascii="Times New Roman" w:hAnsi="Times New Roman" w:cs="Times New Roman"/>
        </w:rPr>
        <w:t xml:space="preserve"> </w:t>
      </w:r>
      <w:r w:rsidR="00B51E2D">
        <w:rPr>
          <w:rFonts w:ascii="Times New Roman" w:hAnsi="Times New Roman" w:cs="Times New Roman"/>
        </w:rPr>
        <w:t>y se</w:t>
      </w:r>
      <w:r w:rsidRPr="009A2DA8">
        <w:rPr>
          <w:rFonts w:ascii="Times New Roman" w:hAnsi="Times New Roman" w:cs="Times New Roman"/>
        </w:rPr>
        <w:t xml:space="preserve"> integran en los sistemas educativos. Una vez que múltiples actores emiten certificaciones, emergen preguntas decisivas: ¿quién define </w:t>
      </w:r>
      <w:r w:rsidR="00B51E2D">
        <w:rPr>
          <w:rFonts w:ascii="Times New Roman" w:hAnsi="Times New Roman" w:cs="Times New Roman"/>
        </w:rPr>
        <w:t xml:space="preserve">los </w:t>
      </w:r>
      <w:r w:rsidRPr="009A2DA8">
        <w:rPr>
          <w:rFonts w:ascii="Times New Roman" w:hAnsi="Times New Roman" w:cs="Times New Roman"/>
        </w:rPr>
        <w:t xml:space="preserve">estándares?, ¿cómo se asegura </w:t>
      </w:r>
      <w:r w:rsidR="00B51E2D">
        <w:rPr>
          <w:rFonts w:ascii="Times New Roman" w:hAnsi="Times New Roman" w:cs="Times New Roman"/>
        </w:rPr>
        <w:t xml:space="preserve">la </w:t>
      </w:r>
      <w:r w:rsidRPr="009A2DA8">
        <w:rPr>
          <w:rFonts w:ascii="Times New Roman" w:hAnsi="Times New Roman" w:cs="Times New Roman"/>
        </w:rPr>
        <w:t xml:space="preserve">calidad?, ¿qué credenciales son </w:t>
      </w:r>
      <w:r w:rsidR="00B51E2D">
        <w:rPr>
          <w:rFonts w:ascii="Times New Roman" w:hAnsi="Times New Roman" w:cs="Times New Roman"/>
        </w:rPr>
        <w:t xml:space="preserve">deseadas, necesarias, requeridas, necesarias, </w:t>
      </w:r>
      <w:r w:rsidRPr="009A2DA8">
        <w:rPr>
          <w:rFonts w:ascii="Times New Roman" w:hAnsi="Times New Roman" w:cs="Times New Roman"/>
        </w:rPr>
        <w:t xml:space="preserve">comparables?, ¿quién protege a estudiantes y trabajadores frente a ofertas de bajo valor?, ¿cómo se evita la </w:t>
      </w:r>
      <w:r w:rsidR="00B51E2D">
        <w:rPr>
          <w:rFonts w:ascii="Times New Roman" w:hAnsi="Times New Roman" w:cs="Times New Roman"/>
        </w:rPr>
        <w:t>“</w:t>
      </w:r>
      <w:r w:rsidRPr="009A2DA8">
        <w:rPr>
          <w:rFonts w:ascii="Times New Roman" w:hAnsi="Times New Roman" w:cs="Times New Roman"/>
        </w:rPr>
        <w:t>inflación credencial</w:t>
      </w:r>
      <w:r w:rsidR="00B51E2D">
        <w:rPr>
          <w:rFonts w:ascii="Times New Roman" w:hAnsi="Times New Roman" w:cs="Times New Roman"/>
        </w:rPr>
        <w:t>” (la “titulitis”)</w:t>
      </w:r>
      <w:r w:rsidRPr="009A2DA8">
        <w:rPr>
          <w:rFonts w:ascii="Times New Roman" w:hAnsi="Times New Roman" w:cs="Times New Roman"/>
        </w:rPr>
        <w:t>?</w:t>
      </w:r>
    </w:p>
    <w:p w14:paraId="7890E0E8" w14:textId="1A73EE10"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Tradicionalmente, universidades y Estados compartieron buena parte de estas funciones</w:t>
      </w:r>
      <w:r w:rsidR="00B51E2D">
        <w:rPr>
          <w:rFonts w:ascii="Times New Roman" w:hAnsi="Times New Roman" w:cs="Times New Roman"/>
        </w:rPr>
        <w:t xml:space="preserve"> estratégicas</w:t>
      </w:r>
      <w:r w:rsidRPr="009A2DA8">
        <w:rPr>
          <w:rFonts w:ascii="Times New Roman" w:hAnsi="Times New Roman" w:cs="Times New Roman"/>
        </w:rPr>
        <w:t>. Las instituciones de educación superior otorgaban legitimidad académica, mientras los Estados regulaban reconocimiento oficial, financiamiento y marcos normativos. Sin embargo, la aparición de nuevos actores —plataformas digitales, empresas tecnológicas, cámaras sectoriales y proveedores privados globales— complejiza profundamente este ecosistema.</w:t>
      </w:r>
    </w:p>
    <w:p w14:paraId="6911278E"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regiones con alta capacidad regulatoria, esta pluralidad puede organizarse mediante marcos nacionales de cualificaciones, sistemas de créditos transferibles, catálogos de competencias y mecanismos públicos de aseguramiento de la calidad. En contextos más débiles, en cambio, tienden a proliferar mercados fragmentados de certificaciones heterogéneas, con escasa transparencia y valor incierto (Cedefop, 2023).</w:t>
      </w:r>
    </w:p>
    <w:p w14:paraId="5227556A"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América Latina enfrenta justamente este desafío. Existen avances relevantes en algunos países, especialmente en reconocimiento de aprendizajes previos, sistemas de </w:t>
      </w:r>
      <w:r w:rsidRPr="009A2DA8">
        <w:rPr>
          <w:rFonts w:ascii="Times New Roman" w:hAnsi="Times New Roman" w:cs="Times New Roman"/>
        </w:rPr>
        <w:lastRenderedPageBreak/>
        <w:t>competencias laborales y marcos de cualificaciones. No obstante, persisten fuertes asimetrías regulatorias, limitada interoperabilidad entre instituciones y desigual reconocimiento entre credenciales emitidas por distintos actores. En ausencia de reglas claras, el valor de una microcredencial puede depender más de la reputación comercial del emisor que de aprendizajes efectivamente demostrados.</w:t>
      </w:r>
    </w:p>
    <w:p w14:paraId="4A04B3C0" w14:textId="7CB6E31B"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Este punto enlaza con una discusión más amplia sobre calidad universitaria. Durante décadas, buena parte de los sistemas de aseguramiento de la calidad se concentraron en indicadores clásicos: infraestructura, planta académica, investigación, duración de programas o tasas de titulación. Si bien estas variables siguen siendo relevantes</w:t>
      </w:r>
      <w:r w:rsidR="00B51E2D">
        <w:rPr>
          <w:rFonts w:ascii="Times New Roman" w:hAnsi="Times New Roman" w:cs="Times New Roman"/>
        </w:rPr>
        <w:t xml:space="preserve"> como elementos basales</w:t>
      </w:r>
      <w:r w:rsidRPr="009A2DA8">
        <w:rPr>
          <w:rFonts w:ascii="Times New Roman" w:hAnsi="Times New Roman" w:cs="Times New Roman"/>
        </w:rPr>
        <w:t>, resultan insuficientes para evaluar nuevas formas de certificación modular, trayectorias discontinuas y aprendizaje permanente.</w:t>
      </w:r>
    </w:p>
    <w:p w14:paraId="3170AA56" w14:textId="31332366"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Desde una perspectiva contextualizada, la calidad en educación superior también debería considerar pertinencia territorial, capacidad de articulación con necesidades sociales, reconocimiento de trayectorias diversas e impacto efectivo en oportunidades de aprendizaje</w:t>
      </w:r>
      <w:r w:rsidR="00B51E2D">
        <w:rPr>
          <w:rFonts w:ascii="Times New Roman" w:hAnsi="Times New Roman" w:cs="Times New Roman"/>
        </w:rPr>
        <w:t>…todas estas, variables esenciales para el aseguramiento de una educación pertinente, consecuente y presente en su realidad.</w:t>
      </w:r>
      <w:r w:rsidRPr="009A2DA8">
        <w:rPr>
          <w:rFonts w:ascii="Times New Roman" w:hAnsi="Times New Roman" w:cs="Times New Roman"/>
        </w:rPr>
        <w:t xml:space="preserve"> La expansión de las microcredenciales pone en evidencia esa ampliación necesaria del concepto de calidad.</w:t>
      </w:r>
    </w:p>
    <w:p w14:paraId="4A437A10" w14:textId="02B99DC4"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Aquí la universidad conserva un papel estratégico. No necesariamente como emisora exclusiva de todas las credenciales, sino como institución capaz de aportar legitimidad académica, evaluación rigurosa, investigación sobre resultados de aprendizaje y articulación entre </w:t>
      </w:r>
      <w:r w:rsidR="00B51E2D">
        <w:rPr>
          <w:rFonts w:ascii="Times New Roman" w:hAnsi="Times New Roman" w:cs="Times New Roman"/>
        </w:rPr>
        <w:t xml:space="preserve">los procesos de </w:t>
      </w:r>
      <w:r w:rsidRPr="009A2DA8">
        <w:rPr>
          <w:rFonts w:ascii="Times New Roman" w:hAnsi="Times New Roman" w:cs="Times New Roman"/>
        </w:rPr>
        <w:t xml:space="preserve">formación especializada y </w:t>
      </w:r>
      <w:r w:rsidR="00B51E2D">
        <w:rPr>
          <w:rFonts w:ascii="Times New Roman" w:hAnsi="Times New Roman" w:cs="Times New Roman"/>
        </w:rPr>
        <w:t xml:space="preserve">la </w:t>
      </w:r>
      <w:r w:rsidRPr="009A2DA8">
        <w:rPr>
          <w:rFonts w:ascii="Times New Roman" w:hAnsi="Times New Roman" w:cs="Times New Roman"/>
        </w:rPr>
        <w:t>educación integral</w:t>
      </w:r>
      <w:r w:rsidR="00B51E2D">
        <w:rPr>
          <w:rFonts w:ascii="Times New Roman" w:hAnsi="Times New Roman" w:cs="Times New Roman"/>
        </w:rPr>
        <w:t xml:space="preserve"> que se espera emane desde sus instituciones</w:t>
      </w:r>
      <w:r w:rsidRPr="009A2DA8">
        <w:rPr>
          <w:rFonts w:ascii="Times New Roman" w:hAnsi="Times New Roman" w:cs="Times New Roman"/>
        </w:rPr>
        <w:t>. En otras palabras, la universidad puede ser actor central de la gobernanza, incluso en un ecosistema más abierto y diverso</w:t>
      </w:r>
      <w:r w:rsidR="00B51E2D">
        <w:rPr>
          <w:rFonts w:ascii="Times New Roman" w:hAnsi="Times New Roman" w:cs="Times New Roman"/>
        </w:rPr>
        <w:t xml:space="preserve"> como el actual</w:t>
      </w:r>
      <w:r w:rsidRPr="009A2DA8">
        <w:rPr>
          <w:rFonts w:ascii="Times New Roman" w:hAnsi="Times New Roman" w:cs="Times New Roman"/>
        </w:rPr>
        <w:t>.</w:t>
      </w:r>
    </w:p>
    <w:p w14:paraId="1CDE13C7" w14:textId="77777777" w:rsidR="009A2DA8" w:rsidRDefault="009A2DA8" w:rsidP="009A2DA8">
      <w:pPr>
        <w:spacing w:line="240" w:lineRule="auto"/>
        <w:jc w:val="both"/>
        <w:rPr>
          <w:rFonts w:ascii="Times New Roman" w:hAnsi="Times New Roman" w:cs="Times New Roman"/>
        </w:rPr>
      </w:pPr>
    </w:p>
    <w:p w14:paraId="19AE82F8" w14:textId="037E3C5B" w:rsidR="009A2DA8" w:rsidRPr="009A2DA8" w:rsidRDefault="009A2DA8" w:rsidP="009A2DA8">
      <w:pPr>
        <w:spacing w:line="240" w:lineRule="auto"/>
        <w:jc w:val="both"/>
        <w:rPr>
          <w:rFonts w:ascii="Times New Roman" w:hAnsi="Times New Roman" w:cs="Times New Roman"/>
          <w:b/>
          <w:bCs/>
        </w:rPr>
      </w:pPr>
      <w:r w:rsidRPr="009A2DA8">
        <w:rPr>
          <w:rFonts w:ascii="Times New Roman" w:hAnsi="Times New Roman" w:cs="Times New Roman"/>
          <w:b/>
          <w:bCs/>
        </w:rPr>
        <w:t>5. Microcredenciales, segmentación y justicia educativa</w:t>
      </w:r>
    </w:p>
    <w:p w14:paraId="56E31EB0" w14:textId="18123A6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La discusión sobre gobernanza conduce inevitablemente a una pregunta normativa: ¿las microcredenciales reducen </w:t>
      </w:r>
      <w:r w:rsidR="00B51E2D">
        <w:rPr>
          <w:rFonts w:ascii="Times New Roman" w:hAnsi="Times New Roman" w:cs="Times New Roman"/>
        </w:rPr>
        <w:t xml:space="preserve">las </w:t>
      </w:r>
      <w:r w:rsidRPr="009A2DA8">
        <w:rPr>
          <w:rFonts w:ascii="Times New Roman" w:hAnsi="Times New Roman" w:cs="Times New Roman"/>
        </w:rPr>
        <w:t>desigualdades</w:t>
      </w:r>
      <w:r w:rsidR="00B51E2D">
        <w:rPr>
          <w:rFonts w:ascii="Times New Roman" w:hAnsi="Times New Roman" w:cs="Times New Roman"/>
        </w:rPr>
        <w:t>…</w:t>
      </w:r>
      <w:r w:rsidRPr="009A2DA8">
        <w:rPr>
          <w:rFonts w:ascii="Times New Roman" w:hAnsi="Times New Roman" w:cs="Times New Roman"/>
        </w:rPr>
        <w:t xml:space="preserve"> o las reproducen?</w:t>
      </w:r>
    </w:p>
    <w:p w14:paraId="1298241F" w14:textId="2342AFD0"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La respuesta no puede ser abstracta. Las microcredenciales no son intrínsecamente inclusivas ni excluyentes. Su impacto depende de las estructuras sociales e institucionales en las que operan. En América Latina, donde la desigualdad educativa antecede largamente a este debate, el riesgo principal consiste en consolidar </w:t>
      </w:r>
      <w:r w:rsidR="00B51E2D">
        <w:rPr>
          <w:rFonts w:ascii="Times New Roman" w:hAnsi="Times New Roman" w:cs="Times New Roman"/>
        </w:rPr>
        <w:t>el actual</w:t>
      </w:r>
      <w:r w:rsidRPr="009A2DA8">
        <w:rPr>
          <w:rFonts w:ascii="Times New Roman" w:hAnsi="Times New Roman" w:cs="Times New Roman"/>
        </w:rPr>
        <w:t xml:space="preserve"> régimen dual de formación</w:t>
      </w:r>
      <w:r w:rsidR="00B51E2D">
        <w:rPr>
          <w:rFonts w:ascii="Times New Roman" w:hAnsi="Times New Roman" w:cs="Times New Roman"/>
        </w:rPr>
        <w:t>: p</w:t>
      </w:r>
      <w:r w:rsidRPr="009A2DA8">
        <w:rPr>
          <w:rFonts w:ascii="Times New Roman" w:hAnsi="Times New Roman" w:cs="Times New Roman"/>
        </w:rPr>
        <w:t>or un lado, ciertos grupos continúan accediendo a trayectorias largas, integradas y altamente valorizadas: grados universitarios, posgrados, redes institucionales prestigiosas y capital social acumulado. Por otro, sectores populares reciben ofertas fragmentadas, breves y fuertemente orientadas a empleabilidad inmediata. Las microcredenciales, si se diseñan sin acumulabilidad ni reconocimiento sistémico, pueden insertarse predominantemente en este segundo circuito.</w:t>
      </w:r>
    </w:p>
    <w:p w14:paraId="71AE84B6" w14:textId="1199AC89"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Desde una perspectiva de justicia educativa, ello resulta especialmente problemático. La igualdad no consiste solo en ofrecer oportunidades de aprendizaje, sino en garantizar que dichas oportunidades posean valor social comparable, densidad formativa y horizontes </w:t>
      </w:r>
      <w:r w:rsidRPr="009A2DA8">
        <w:rPr>
          <w:rFonts w:ascii="Times New Roman" w:hAnsi="Times New Roman" w:cs="Times New Roman"/>
        </w:rPr>
        <w:lastRenderedPageBreak/>
        <w:t>reales de movilidad (Sen, 2009). Una oferta masiva de certificaciones breves sin continuidad puede aumentar cobertura estadística</w:t>
      </w:r>
      <w:r w:rsidR="00B51E2D">
        <w:rPr>
          <w:rFonts w:ascii="Times New Roman" w:hAnsi="Times New Roman" w:cs="Times New Roman"/>
        </w:rPr>
        <w:t>, aunque</w:t>
      </w:r>
      <w:r w:rsidRPr="009A2DA8">
        <w:rPr>
          <w:rFonts w:ascii="Times New Roman" w:hAnsi="Times New Roman" w:cs="Times New Roman"/>
        </w:rPr>
        <w:t xml:space="preserve"> sin mejorar </w:t>
      </w:r>
      <w:r w:rsidR="00B51E2D">
        <w:rPr>
          <w:rFonts w:ascii="Times New Roman" w:hAnsi="Times New Roman" w:cs="Times New Roman"/>
        </w:rPr>
        <w:t xml:space="preserve">las </w:t>
      </w:r>
      <w:r w:rsidRPr="009A2DA8">
        <w:rPr>
          <w:rFonts w:ascii="Times New Roman" w:hAnsi="Times New Roman" w:cs="Times New Roman"/>
        </w:rPr>
        <w:t>trayectorias sustantivas</w:t>
      </w:r>
      <w:r w:rsidR="00B51E2D">
        <w:rPr>
          <w:rFonts w:ascii="Times New Roman" w:hAnsi="Times New Roman" w:cs="Times New Roman"/>
        </w:rPr>
        <w:t xml:space="preserve"> para la obtención de mejores profesionales</w:t>
      </w:r>
      <w:r w:rsidRPr="009A2DA8">
        <w:rPr>
          <w:rFonts w:ascii="Times New Roman" w:hAnsi="Times New Roman" w:cs="Times New Roman"/>
        </w:rPr>
        <w:t>.</w:t>
      </w:r>
    </w:p>
    <w:p w14:paraId="4F2636F2" w14:textId="72824199"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Si las microcredenciales se transforman en el principal dispositivo formativo para quienes históricamente ya enfrentan trayectorias precarias, </w:t>
      </w:r>
      <w:r w:rsidR="00B51E2D">
        <w:rPr>
          <w:rFonts w:ascii="Times New Roman" w:hAnsi="Times New Roman" w:cs="Times New Roman"/>
        </w:rPr>
        <w:t xml:space="preserve">estas </w:t>
      </w:r>
      <w:r w:rsidRPr="009A2DA8">
        <w:rPr>
          <w:rFonts w:ascii="Times New Roman" w:hAnsi="Times New Roman" w:cs="Times New Roman"/>
        </w:rPr>
        <w:t>podrían institucionalizar nuevas formas de desigualdad</w:t>
      </w:r>
      <w:r w:rsidR="00B51E2D">
        <w:rPr>
          <w:rFonts w:ascii="Times New Roman" w:hAnsi="Times New Roman" w:cs="Times New Roman"/>
        </w:rPr>
        <w:t>, aún</w:t>
      </w:r>
      <w:r w:rsidRPr="009A2DA8">
        <w:rPr>
          <w:rFonts w:ascii="Times New Roman" w:hAnsi="Times New Roman" w:cs="Times New Roman"/>
        </w:rPr>
        <w:t xml:space="preserve"> bajo </w:t>
      </w:r>
      <w:r w:rsidR="00B51E2D">
        <w:rPr>
          <w:rFonts w:ascii="Times New Roman" w:hAnsi="Times New Roman" w:cs="Times New Roman"/>
        </w:rPr>
        <w:t xml:space="preserve">la </w:t>
      </w:r>
      <w:r w:rsidRPr="009A2DA8">
        <w:rPr>
          <w:rFonts w:ascii="Times New Roman" w:hAnsi="Times New Roman" w:cs="Times New Roman"/>
        </w:rPr>
        <w:t xml:space="preserve">apariencia de innovación. En cambio, si </w:t>
      </w:r>
      <w:r w:rsidR="00B51E2D">
        <w:rPr>
          <w:rFonts w:ascii="Times New Roman" w:hAnsi="Times New Roman" w:cs="Times New Roman"/>
        </w:rPr>
        <w:t xml:space="preserve">acaso </w:t>
      </w:r>
      <w:r w:rsidRPr="009A2DA8">
        <w:rPr>
          <w:rFonts w:ascii="Times New Roman" w:hAnsi="Times New Roman" w:cs="Times New Roman"/>
        </w:rPr>
        <w:t>permit</w:t>
      </w:r>
      <w:r w:rsidR="00B51E2D">
        <w:rPr>
          <w:rFonts w:ascii="Times New Roman" w:hAnsi="Times New Roman" w:cs="Times New Roman"/>
        </w:rPr>
        <w:t>iera</w:t>
      </w:r>
      <w:r w:rsidRPr="009A2DA8">
        <w:rPr>
          <w:rFonts w:ascii="Times New Roman" w:hAnsi="Times New Roman" w:cs="Times New Roman"/>
        </w:rPr>
        <w:t>n reconocer aprendizajes previos, facilitar retornos al sistema educativo, compatibilizar estudio y trabajo, y escalar hacia títulos superiores, p</w:t>
      </w:r>
      <w:r w:rsidR="00B51E2D">
        <w:rPr>
          <w:rFonts w:ascii="Times New Roman" w:hAnsi="Times New Roman" w:cs="Times New Roman"/>
        </w:rPr>
        <w:t>odrían</w:t>
      </w:r>
      <w:r w:rsidRPr="009A2DA8">
        <w:rPr>
          <w:rFonts w:ascii="Times New Roman" w:hAnsi="Times New Roman" w:cs="Times New Roman"/>
        </w:rPr>
        <w:t xml:space="preserve"> convertirse en herramientas democratizadoras.</w:t>
      </w:r>
    </w:p>
    <w:p w14:paraId="0816D36F" w14:textId="59A1736E"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Este debate también interpela a las </w:t>
      </w:r>
      <w:r w:rsidR="00B51E2D">
        <w:rPr>
          <w:rFonts w:ascii="Times New Roman" w:hAnsi="Times New Roman" w:cs="Times New Roman"/>
        </w:rPr>
        <w:t xml:space="preserve">instituciones terciarias, de educación técnico- profesional y hasta a las propias </w:t>
      </w:r>
      <w:r w:rsidRPr="009A2DA8">
        <w:rPr>
          <w:rFonts w:ascii="Times New Roman" w:hAnsi="Times New Roman" w:cs="Times New Roman"/>
        </w:rPr>
        <w:t xml:space="preserve">universidades. La expansión de nuevas credenciales obliga a revisar si </w:t>
      </w:r>
      <w:r w:rsidR="00B51E2D">
        <w:rPr>
          <w:rFonts w:ascii="Times New Roman" w:hAnsi="Times New Roman" w:cs="Times New Roman"/>
        </w:rPr>
        <w:t xml:space="preserve">acaso </w:t>
      </w:r>
      <w:r w:rsidRPr="009A2DA8">
        <w:rPr>
          <w:rFonts w:ascii="Times New Roman" w:hAnsi="Times New Roman" w:cs="Times New Roman"/>
        </w:rPr>
        <w:t>las instituciones están respondiendo solo a estudiantes tradicionales de tiempo completo o también a trabajadores adultos, trayectorias discontinuas, territorios periféricos y demandas emergentes. En este sentido, la justicia educativa contemporánea exige ampliar el sujeto histórico de la educación superior</w:t>
      </w:r>
      <w:r w:rsidR="00B51E2D">
        <w:rPr>
          <w:rFonts w:ascii="Times New Roman" w:hAnsi="Times New Roman" w:cs="Times New Roman"/>
        </w:rPr>
        <w:t>, en pos del beneficio social que esta debiese representar</w:t>
      </w:r>
      <w:r w:rsidRPr="009A2DA8">
        <w:rPr>
          <w:rFonts w:ascii="Times New Roman" w:hAnsi="Times New Roman" w:cs="Times New Roman"/>
        </w:rPr>
        <w:t>.</w:t>
      </w:r>
    </w:p>
    <w:p w14:paraId="6EBA03EA" w14:textId="15FB34D1"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La cuestión central, por tanto, no es si </w:t>
      </w:r>
      <w:r w:rsidR="00B51E2D">
        <w:rPr>
          <w:rFonts w:ascii="Times New Roman" w:hAnsi="Times New Roman" w:cs="Times New Roman"/>
        </w:rPr>
        <w:t xml:space="preserve">acaso </w:t>
      </w:r>
      <w:r w:rsidRPr="009A2DA8">
        <w:rPr>
          <w:rFonts w:ascii="Times New Roman" w:hAnsi="Times New Roman" w:cs="Times New Roman"/>
        </w:rPr>
        <w:t>existen microcredenciales, sino para quiénes, bajo qué condiciones, con qué apoyos institucionales y con qué posibilidades reales de progresión.</w:t>
      </w:r>
      <w:r w:rsidR="00B51E2D">
        <w:rPr>
          <w:rFonts w:ascii="Times New Roman" w:hAnsi="Times New Roman" w:cs="Times New Roman"/>
        </w:rPr>
        <w:t xml:space="preserve"> En suma, asegurar su verdadero aporte de valor a la sociedad.</w:t>
      </w:r>
    </w:p>
    <w:p w14:paraId="14C452FC" w14:textId="77777777" w:rsidR="009A2DA8" w:rsidRDefault="009A2DA8" w:rsidP="009A2DA8">
      <w:pPr>
        <w:spacing w:line="240" w:lineRule="auto"/>
        <w:jc w:val="both"/>
        <w:rPr>
          <w:rFonts w:ascii="Times New Roman" w:hAnsi="Times New Roman" w:cs="Times New Roman"/>
        </w:rPr>
      </w:pPr>
    </w:p>
    <w:p w14:paraId="713529DB" w14:textId="0EA96CEC" w:rsidR="009A2DA8" w:rsidRPr="009A2DA8" w:rsidRDefault="009A2DA8" w:rsidP="009A2DA8">
      <w:pPr>
        <w:spacing w:line="240" w:lineRule="auto"/>
        <w:jc w:val="both"/>
        <w:rPr>
          <w:rFonts w:ascii="Times New Roman" w:hAnsi="Times New Roman" w:cs="Times New Roman"/>
          <w:b/>
          <w:bCs/>
        </w:rPr>
      </w:pPr>
      <w:r w:rsidRPr="009A2DA8">
        <w:rPr>
          <w:rFonts w:ascii="Times New Roman" w:hAnsi="Times New Roman" w:cs="Times New Roman"/>
          <w:b/>
          <w:bCs/>
        </w:rPr>
        <w:t>6. Desafíos para la universidad latinoamericana</w:t>
      </w:r>
    </w:p>
    <w:p w14:paraId="1F93AE85" w14:textId="38E9B680"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A la luz de lo anterior, la universidad latinoamericana </w:t>
      </w:r>
      <w:r w:rsidR="00B51E2D">
        <w:rPr>
          <w:rFonts w:ascii="Times New Roman" w:hAnsi="Times New Roman" w:cs="Times New Roman"/>
        </w:rPr>
        <w:t xml:space="preserve">de hoy </w:t>
      </w:r>
      <w:r w:rsidRPr="009A2DA8">
        <w:rPr>
          <w:rFonts w:ascii="Times New Roman" w:hAnsi="Times New Roman" w:cs="Times New Roman"/>
        </w:rPr>
        <w:t xml:space="preserve">enfrenta una agenda compleja y estratégica. Las microcredenciales no representan simplemente un nuevo producto formativo, sino una presión estructural </w:t>
      </w:r>
      <w:r w:rsidR="00B51E2D">
        <w:rPr>
          <w:rFonts w:ascii="Times New Roman" w:hAnsi="Times New Roman" w:cs="Times New Roman"/>
        </w:rPr>
        <w:t>presente y futura que nos lleva a</w:t>
      </w:r>
      <w:r w:rsidRPr="009A2DA8">
        <w:rPr>
          <w:rFonts w:ascii="Times New Roman" w:hAnsi="Times New Roman" w:cs="Times New Roman"/>
        </w:rPr>
        <w:t xml:space="preserve"> revisar funciones, prioridades y criterios de legitimidad institucional.</w:t>
      </w:r>
    </w:p>
    <w:p w14:paraId="7F9AF6CF"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primer lugar, las universidades deben revisar estructuras curriculares excesivamente rígidas. El aprendizaje a lo largo de la vida exige trayectorias más flexibles, entradas y salidas múltiples, reconocimiento de experiencias laborales y combinaciones entre presencialidad, virtualidad y formación modular. Mantener currículos cerrados y lineales puede profundizar la desconexión con nuevas demandas sociales.</w:t>
      </w:r>
    </w:p>
    <w:p w14:paraId="76FB62E0"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segundo lugar, necesitan redefinir su vínculo con el sector productivo. La pertinencia laboral es necesaria, pero no suficiente. La universidad no puede limitarse a reaccionar ante demandas coyunturales del mercado; debe anticipar cambios, producir conocimiento y formar capacidades transferibles. La articulación con empresas debe realizarse desde cooperación crítica y no desde subordinación funcional.</w:t>
      </w:r>
    </w:p>
    <w:p w14:paraId="250D18FF"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 xml:space="preserve">En tercer lugar, deben innovar en aseguramiento de la calidad. Evaluar carreras largas no es idéntico a evaluar microcredenciales. Se requieren criterios sobre resultados de aprendizaje, verificabilidad, autenticidad de evaluaciones, trazabilidad de competencias, reconocimiento externo y continuidad formativa. Esta discusión es particularmente </w:t>
      </w:r>
      <w:r w:rsidRPr="009A2DA8">
        <w:rPr>
          <w:rFonts w:ascii="Times New Roman" w:hAnsi="Times New Roman" w:cs="Times New Roman"/>
        </w:rPr>
        <w:lastRenderedPageBreak/>
        <w:t>relevante para América Latina, donde muchos sistemas de acreditación fueron diseñados para estructuras académicas tradicionales.</w:t>
      </w:r>
    </w:p>
    <w:p w14:paraId="0284BE97"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cuarto lugar, la educación continua debe dejar de ocupar un lugar periférico. Muchas universidades aún la conciben como extensión secundaria o fuente complementaria de ingresos. En el nuevo escenario, puede transformarse en eje central de vinculación social, aprendizaje permanente y actualización profesional. Ello exige nuevas capacidades institucionales, nuevas unidades académicas y nuevas formas de gestión.</w:t>
      </w:r>
    </w:p>
    <w:p w14:paraId="39905310"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quinto lugar, la universidad debe asumir una responsabilidad ética y política: impedir que la innovación credencial reproduzca desigualdades estructurales. Esto implica diseñar microcredenciales con acumulabilidad, apoyo tutorial, acceso digital inclusivo, financiamiento pertinente y articulación con trayectorias mayores.</w:t>
      </w:r>
    </w:p>
    <w:p w14:paraId="70CF6D18" w14:textId="77777777" w:rsidR="009A2DA8" w:rsidRPr="009A2DA8" w:rsidRDefault="009A2DA8" w:rsidP="009A2DA8">
      <w:pPr>
        <w:spacing w:line="240" w:lineRule="auto"/>
        <w:jc w:val="both"/>
        <w:rPr>
          <w:rFonts w:ascii="Times New Roman" w:hAnsi="Times New Roman" w:cs="Times New Roman"/>
        </w:rPr>
      </w:pPr>
      <w:r w:rsidRPr="009A2DA8">
        <w:rPr>
          <w:rFonts w:ascii="Times New Roman" w:hAnsi="Times New Roman" w:cs="Times New Roman"/>
        </w:rPr>
        <w:t>En sexto lugar, las universidades latinoamericanas tienen la oportunidad de liderar una agenda regional propia. En lugar de importar mecánicamente modelos externos, pueden construir esquemas de certificación acordes con sus realidades sociales, productivas y territoriales. La región requiere soluciones situadas, no meras imitaciones institucionales.</w:t>
      </w:r>
    </w:p>
    <w:p w14:paraId="41C2F9A1" w14:textId="60993238" w:rsidR="009618A7" w:rsidRDefault="009A2DA8" w:rsidP="009A2DA8">
      <w:pPr>
        <w:spacing w:line="240" w:lineRule="auto"/>
        <w:jc w:val="both"/>
        <w:rPr>
          <w:rFonts w:ascii="Times New Roman" w:hAnsi="Times New Roman" w:cs="Times New Roman"/>
          <w:b/>
          <w:bCs/>
        </w:rPr>
      </w:pPr>
      <w:r w:rsidRPr="009A2DA8">
        <w:rPr>
          <w:rFonts w:ascii="Times New Roman" w:hAnsi="Times New Roman" w:cs="Times New Roman"/>
        </w:rPr>
        <w:t>En síntesis, las microcredenciales obligan a la universidad a preguntarse si desea ser actor conductor del cambio o mero espectador de transformaciones lideradas por plataformas globales, empresas tecnológicas y mercados educativos desregulados.</w:t>
      </w:r>
    </w:p>
    <w:p w14:paraId="656DE3DA" w14:textId="77777777" w:rsidR="009A2DA8" w:rsidRDefault="009A2DA8" w:rsidP="007B5B5F">
      <w:pPr>
        <w:spacing w:line="240" w:lineRule="auto"/>
        <w:rPr>
          <w:rFonts w:ascii="Times New Roman" w:hAnsi="Times New Roman" w:cs="Times New Roman"/>
          <w:b/>
          <w:bCs/>
        </w:rPr>
      </w:pPr>
    </w:p>
    <w:p w14:paraId="12CE0BCB" w14:textId="4AB038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6C8F9436"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El desarrollo de las microcredenciales expresa una transformación más amplia en las relaciones entre conocimiento, trabajo e instituciones educativas. No se trata únicamente de nuevas certificaciones, sino de una disputa por quién valida saberes, cómo se organiza la formación continua y qué trayectorias educativas se consideran legítimas en sociedades marcadas por la aceleración tecnológica.</w:t>
      </w:r>
    </w:p>
    <w:p w14:paraId="5B35D91F"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En América Latina, este fenómeno adquiere una densidad particular debido a desigualdades históricas, sistemas universitarios heterogéneos y una educación técnico-profesional frecuentemente subordinada. Por ello, la discusión no puede reducirse a eficiencia operativa ni empleabilidad inmediata.</w:t>
      </w:r>
    </w:p>
    <w:p w14:paraId="3BD75DB1"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El análisis presentado permite sostener que las microcredenciales pueden cumplir funciones altamente positivas cuando se integran en sistemas claros de cualificaciones, con estándares públicos, reconocimiento transparente y acumulabilidad efectiva hacia trayectorias más amplias. Bajo estas condiciones, pueden fortalecer la educación continua, actualizar competencias y articular universidad, ETP y sector productivo.</w:t>
      </w:r>
    </w:p>
    <w:p w14:paraId="50322A90"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Sin embargo, cuando proliferan sin regulación ni proyecto educativo, pueden transformarse en dispositivos de segmentación: credenciales breves para unos y trayectorias robustas para otros. En ese escenario, la innovación formal encubre reproducción de desigualdades sustantivas.</w:t>
      </w:r>
    </w:p>
    <w:p w14:paraId="2F97B94B"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lastRenderedPageBreak/>
        <w:t>Desde una perspectiva doctoral más amplia, este fenómeno confirma que los modelos tradicionales de evaluación de la calidad universitaria resultan cada vez más insuficientes si no incorporan dimensiones como pertinencia social, diversidad territorial, flexibilidad curricular, reconocimiento de nuevas trayectorias e impacto real en movilidad educativa. Las microcredenciales evidencian, en consecuencia, la necesidad de marcos latinoamericanos de calidad más contextualizados y reflexivos.</w:t>
      </w:r>
    </w:p>
    <w:p w14:paraId="544B704F" w14:textId="3EC75520" w:rsidR="00BC236F" w:rsidRPr="00BA642E" w:rsidRDefault="00B51E2D" w:rsidP="00B51E2D">
      <w:pPr>
        <w:spacing w:line="240" w:lineRule="auto"/>
        <w:jc w:val="both"/>
        <w:rPr>
          <w:rFonts w:ascii="Times New Roman" w:hAnsi="Times New Roman" w:cs="Times New Roman"/>
        </w:rPr>
      </w:pPr>
      <w:r w:rsidRPr="00B51E2D">
        <w:rPr>
          <w:rFonts w:ascii="Times New Roman" w:hAnsi="Times New Roman" w:cs="Times New Roman"/>
        </w:rPr>
        <w:t xml:space="preserve">En este sentido, constituyen un punto crítico de inflexión para la </w:t>
      </w:r>
      <w:r w:rsidR="00F90F81">
        <w:rPr>
          <w:rFonts w:ascii="Times New Roman" w:hAnsi="Times New Roman" w:cs="Times New Roman"/>
        </w:rPr>
        <w:t>educación superior y un</w:t>
      </w:r>
      <w:r w:rsidRPr="00B51E2D">
        <w:rPr>
          <w:rFonts w:ascii="Times New Roman" w:hAnsi="Times New Roman" w:cs="Times New Roman"/>
        </w:rPr>
        <w:t>iversi</w:t>
      </w:r>
      <w:r w:rsidR="00F90F81">
        <w:rPr>
          <w:rFonts w:ascii="Times New Roman" w:hAnsi="Times New Roman" w:cs="Times New Roman"/>
        </w:rPr>
        <w:t>taria</w:t>
      </w:r>
      <w:r w:rsidRPr="00B51E2D">
        <w:rPr>
          <w:rFonts w:ascii="Times New Roman" w:hAnsi="Times New Roman" w:cs="Times New Roman"/>
        </w:rPr>
        <w:t xml:space="preserve"> latinoamericana. Su relevancia no radica</w:t>
      </w:r>
      <w:r w:rsidR="009B0B3F">
        <w:rPr>
          <w:rFonts w:ascii="Times New Roman" w:hAnsi="Times New Roman" w:cs="Times New Roman"/>
        </w:rPr>
        <w:t>, entonces,</w:t>
      </w:r>
      <w:r w:rsidRPr="00B51E2D">
        <w:rPr>
          <w:rFonts w:ascii="Times New Roman" w:hAnsi="Times New Roman" w:cs="Times New Roman"/>
        </w:rPr>
        <w:t xml:space="preserve"> en la novedad tecnológica del formato, sino en que obligan a redefinir el </w:t>
      </w:r>
      <w:r w:rsidR="00F90F81">
        <w:rPr>
          <w:rFonts w:ascii="Times New Roman" w:hAnsi="Times New Roman" w:cs="Times New Roman"/>
        </w:rPr>
        <w:t>rol</w:t>
      </w:r>
      <w:r w:rsidRPr="00B51E2D">
        <w:rPr>
          <w:rFonts w:ascii="Times New Roman" w:hAnsi="Times New Roman" w:cs="Times New Roman"/>
        </w:rPr>
        <w:t xml:space="preserve"> universitario </w:t>
      </w:r>
      <w:r w:rsidR="00F90F81">
        <w:rPr>
          <w:rFonts w:ascii="Times New Roman" w:hAnsi="Times New Roman" w:cs="Times New Roman"/>
        </w:rPr>
        <w:t xml:space="preserve">-y su responsabilidad social- </w:t>
      </w:r>
      <w:r w:rsidRPr="00B51E2D">
        <w:rPr>
          <w:rFonts w:ascii="Times New Roman" w:hAnsi="Times New Roman" w:cs="Times New Roman"/>
        </w:rPr>
        <w:t xml:space="preserve">en la certificación del conocimiento, la relación con el trabajo y la producción de justicia educativa. El desafío central </w:t>
      </w:r>
      <w:r w:rsidR="009B0B3F">
        <w:rPr>
          <w:rFonts w:ascii="Times New Roman" w:hAnsi="Times New Roman" w:cs="Times New Roman"/>
        </w:rPr>
        <w:t xml:space="preserve">ya </w:t>
      </w:r>
      <w:r w:rsidRPr="00B51E2D">
        <w:rPr>
          <w:rFonts w:ascii="Times New Roman" w:hAnsi="Times New Roman" w:cs="Times New Roman"/>
        </w:rPr>
        <w:t xml:space="preserve">no </w:t>
      </w:r>
      <w:r w:rsidR="009B0B3F">
        <w:rPr>
          <w:rFonts w:ascii="Times New Roman" w:hAnsi="Times New Roman" w:cs="Times New Roman"/>
        </w:rPr>
        <w:t>se limita, por tanto, a</w:t>
      </w:r>
      <w:r w:rsidRPr="00B51E2D">
        <w:rPr>
          <w:rFonts w:ascii="Times New Roman" w:hAnsi="Times New Roman" w:cs="Times New Roman"/>
        </w:rPr>
        <w:t xml:space="preserve"> adoptarlas o rechazarlas, sino </w:t>
      </w:r>
      <w:r w:rsidR="009B0B3F">
        <w:rPr>
          <w:rFonts w:ascii="Times New Roman" w:hAnsi="Times New Roman" w:cs="Times New Roman"/>
        </w:rPr>
        <w:t xml:space="preserve">que hoy ya se enfoca en </w:t>
      </w:r>
      <w:r w:rsidRPr="00B51E2D">
        <w:rPr>
          <w:rFonts w:ascii="Times New Roman" w:hAnsi="Times New Roman" w:cs="Times New Roman"/>
        </w:rPr>
        <w:t>decidir qué universidad, qué educación técnico-profesional y qué horizonte de movilidad social se desea construir a través de ellas.</w:t>
      </w:r>
      <w:r w:rsidR="0050262A">
        <w:rPr>
          <w:rFonts w:ascii="Times New Roman" w:hAnsi="Times New Roman" w:cs="Times New Roman"/>
        </w:rPr>
        <w:t xml:space="preserve"> Con ello podremos asegurar el </w:t>
      </w:r>
      <w:r w:rsidR="0050262A" w:rsidRPr="0050262A">
        <w:rPr>
          <w:rFonts w:ascii="Times New Roman" w:hAnsi="Times New Roman" w:cs="Times New Roman"/>
          <w:i/>
          <w:iCs/>
        </w:rPr>
        <w:t>leitmotiv</w:t>
      </w:r>
      <w:r w:rsidR="0050262A">
        <w:rPr>
          <w:rFonts w:ascii="Times New Roman" w:hAnsi="Times New Roman" w:cs="Times New Roman"/>
        </w:rPr>
        <w:t xml:space="preserve"> de su existencia: formar personas, para una sociedad mejor.</w:t>
      </w:r>
    </w:p>
    <w:p w14:paraId="5C455D19" w14:textId="77777777" w:rsidR="00B51E2D" w:rsidRDefault="00B51E2D" w:rsidP="007B5B5F">
      <w:pPr>
        <w:spacing w:line="240" w:lineRule="auto"/>
        <w:rPr>
          <w:rFonts w:ascii="Times New Roman" w:hAnsi="Times New Roman" w:cs="Times New Roman"/>
          <w:b/>
          <w:bCs/>
        </w:rPr>
      </w:pPr>
    </w:p>
    <w:p w14:paraId="39B57161" w14:textId="6EA21D2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505DC662"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Bourdieu, P. (1986). The forms of capital. En J. G. Richardson (Ed.), Handbook of theory and research for the sociology of education (pp. 241–258). Greenwood Press.</w:t>
      </w:r>
    </w:p>
    <w:p w14:paraId="1CA714AB"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CEPAL. (2020). Educación técnico-profesional y desarrollo productivo en América Latina. Comisión Económica para América Latina y el Caribe. https://www.cepal.org/</w:t>
      </w:r>
    </w:p>
    <w:p w14:paraId="7079760A"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CEPAL y UNESCO. (2021). La educación técnico-profesional en América Latina y el Caribe. Comisión Económica para América Latina y el Caribe y UNESCO. https://www.cepal.org/</w:t>
      </w:r>
    </w:p>
    <w:p w14:paraId="1B427271"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Cedefop. (2023). Micro-credentials for labour market education and training. Publications Office of the European Union. https://www.cedefop.europa.eu/</w:t>
      </w:r>
    </w:p>
    <w:p w14:paraId="5EED2136"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Gallagher, S. R. (2018). Educational credentials come of age: A survey on the use and value of educational credentials in hiring. Change: The Magazine of Higher Learning, 50(3–4), 8–15. https://doi.org/10.1080/00091383.2018.1483176</w:t>
      </w:r>
    </w:p>
    <w:p w14:paraId="4A671DFF"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Gauthier, T. (2020). Employer-supported micro-credentials and workforce development. Journal of Continuing Higher Education, 68(2), 85–97. https://doi.org/10.1080/07377363.2020.1754664</w:t>
      </w:r>
    </w:p>
    <w:p w14:paraId="4130DA8F"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Jacinto, C. (2018). La formación para el trabajo en América Latina: Entre la fragmentación y la promesa de inclusión. Siglo XXI Editores.</w:t>
      </w:r>
    </w:p>
    <w:p w14:paraId="738D0B04"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Jacinto, C., y Millenaar, V. (2018). Trayectorias educativas y laborales en la educación técnica: desafíos para la inclusión juvenil. Revista de la CEPAL, (125), 75–92. https://www.cepal.org/es/publicaciones/revista-cepal</w:t>
      </w:r>
    </w:p>
    <w:p w14:paraId="0466EE3F"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lastRenderedPageBreak/>
        <w:t>OECD. (2023). Micro-credentials for lifelong learning and employability. OECD Publishing. https://doi.org/10.1787/2649c709-en</w:t>
      </w:r>
    </w:p>
    <w:p w14:paraId="407A8E28"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OEI. (2024). Microcredenciales y educación técnico-profesional en Iberoamérica. Organización de Estados Iberoamericanos. https://oei.int/</w:t>
      </w:r>
    </w:p>
    <w:p w14:paraId="47B19F9A"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Sá, M. J., y Serpa, S. (2021). Micro-credentials and lifelong learning: A changing world. Sustainability, 13(18), Article 10083. https://doi.org/10.3390/su131810083</w:t>
      </w:r>
    </w:p>
    <w:p w14:paraId="0444A7A6" w14:textId="77777777" w:rsidR="00B51E2D" w:rsidRPr="00B51E2D" w:rsidRDefault="00B51E2D" w:rsidP="00B51E2D">
      <w:pPr>
        <w:spacing w:line="240" w:lineRule="auto"/>
        <w:jc w:val="both"/>
        <w:rPr>
          <w:rFonts w:ascii="Times New Roman" w:hAnsi="Times New Roman" w:cs="Times New Roman"/>
        </w:rPr>
      </w:pPr>
    </w:p>
    <w:p w14:paraId="58E03078"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Sen, A. (2009). The idea of justice. Harvard University Press.</w:t>
      </w:r>
    </w:p>
    <w:p w14:paraId="24EE7ECA"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UNESCO. (2022). Towards a common definition of micro-credentials. UNESCO. https://unesdoc.unesco.org/</w:t>
      </w:r>
    </w:p>
    <w:p w14:paraId="73A95880" w14:textId="77777777" w:rsidR="00B51E2D" w:rsidRPr="00B51E2D" w:rsidRDefault="00B51E2D" w:rsidP="00B51E2D">
      <w:pPr>
        <w:spacing w:line="240" w:lineRule="auto"/>
        <w:jc w:val="both"/>
        <w:rPr>
          <w:rFonts w:ascii="Times New Roman" w:hAnsi="Times New Roman" w:cs="Times New Roman"/>
        </w:rPr>
      </w:pPr>
      <w:r w:rsidRPr="00B51E2D">
        <w:rPr>
          <w:rFonts w:ascii="Times New Roman" w:hAnsi="Times New Roman" w:cs="Times New Roman"/>
        </w:rPr>
        <w:t>UNESCO-IESALC. (2025). Mapeo de microcredenciales en América Latina y el Caribe: Hacia un marco común. UNESCO-IESALC. https://www.iesalc.unesco.org/</w:t>
      </w:r>
    </w:p>
    <w:p w14:paraId="7E83515B" w14:textId="36284C5A" w:rsidR="001923DC" w:rsidRPr="009618A7" w:rsidRDefault="00B51E2D" w:rsidP="00B51E2D">
      <w:pPr>
        <w:spacing w:line="240" w:lineRule="auto"/>
        <w:jc w:val="both"/>
        <w:rPr>
          <w:rFonts w:ascii="Times New Roman" w:hAnsi="Times New Roman" w:cs="Times New Roman"/>
          <w:lang w:val="es-419"/>
        </w:rPr>
      </w:pPr>
      <w:r w:rsidRPr="00B51E2D">
        <w:rPr>
          <w:rFonts w:ascii="Times New Roman" w:hAnsi="Times New Roman" w:cs="Times New Roman"/>
        </w:rPr>
        <w:t>Wheelahan, L., y Moodie, G. (2023). The risks of micro-credentials in fragmented qualification systems. Journal of Education and Work, 36(4), 389–403. https://doi.org/10.1080/13639080.2023.2195741</w:t>
      </w:r>
    </w:p>
    <w:sectPr w:rsidR="001923DC" w:rsidRPr="009618A7"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EE9E" w14:textId="77777777" w:rsidR="00DE3043" w:rsidRPr="00BA642E" w:rsidRDefault="00DE3043" w:rsidP="00C802F5">
      <w:pPr>
        <w:spacing w:after="0" w:line="240" w:lineRule="auto"/>
      </w:pPr>
      <w:r w:rsidRPr="00BA642E">
        <w:separator/>
      </w:r>
    </w:p>
  </w:endnote>
  <w:endnote w:type="continuationSeparator" w:id="0">
    <w:p w14:paraId="1ACB16C3" w14:textId="77777777" w:rsidR="00DE3043" w:rsidRPr="00BA642E" w:rsidRDefault="00DE304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9B536" w14:textId="77777777" w:rsidR="00DE3043" w:rsidRPr="00BA642E" w:rsidRDefault="00DE3043" w:rsidP="00C802F5">
      <w:pPr>
        <w:spacing w:after="0" w:line="240" w:lineRule="auto"/>
      </w:pPr>
      <w:r w:rsidRPr="00BA642E">
        <w:separator/>
      </w:r>
    </w:p>
  </w:footnote>
  <w:footnote w:type="continuationSeparator" w:id="0">
    <w:p w14:paraId="781BE514" w14:textId="77777777" w:rsidR="00DE3043" w:rsidRPr="00BA642E" w:rsidRDefault="00DE304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245171"/>
    <w:rsid w:val="00312392"/>
    <w:rsid w:val="004040C0"/>
    <w:rsid w:val="00437E9C"/>
    <w:rsid w:val="0049710D"/>
    <w:rsid w:val="0050262A"/>
    <w:rsid w:val="00550766"/>
    <w:rsid w:val="005F19A8"/>
    <w:rsid w:val="005F3B2E"/>
    <w:rsid w:val="00701F64"/>
    <w:rsid w:val="007B5B5F"/>
    <w:rsid w:val="007D233B"/>
    <w:rsid w:val="0085070B"/>
    <w:rsid w:val="008D6F50"/>
    <w:rsid w:val="009618A7"/>
    <w:rsid w:val="009A2DA8"/>
    <w:rsid w:val="009B0B3F"/>
    <w:rsid w:val="00A17247"/>
    <w:rsid w:val="00AD555C"/>
    <w:rsid w:val="00B51E2D"/>
    <w:rsid w:val="00BA642E"/>
    <w:rsid w:val="00BC236F"/>
    <w:rsid w:val="00C1065E"/>
    <w:rsid w:val="00C802F5"/>
    <w:rsid w:val="00C96B2C"/>
    <w:rsid w:val="00CC04C1"/>
    <w:rsid w:val="00D37A29"/>
    <w:rsid w:val="00D829A2"/>
    <w:rsid w:val="00D843EC"/>
    <w:rsid w:val="00DE3043"/>
    <w:rsid w:val="00F90F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L"/>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10</Pages>
  <Words>4177</Words>
  <Characters>22979</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SSDD</cp:lastModifiedBy>
  <cp:revision>11</cp:revision>
  <dcterms:created xsi:type="dcterms:W3CDTF">2026-04-27T15:52:00Z</dcterms:created>
  <dcterms:modified xsi:type="dcterms:W3CDTF">2026-04-27T16:49:00Z</dcterms:modified>
</cp:coreProperties>
</file>