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1DABD42B" w14:textId="45993296" w:rsidR="001923DC" w:rsidRPr="00BA642E" w:rsidRDefault="00522278" w:rsidP="001923DC">
      <w:pPr>
        <w:jc w:val="center"/>
        <w:rPr>
          <w:rFonts w:ascii="Times New Roman" w:hAnsi="Times New Roman" w:cs="Times New Roman"/>
          <w:b/>
          <w:bCs/>
        </w:rPr>
      </w:pPr>
      <w:r>
        <w:rPr>
          <w:rFonts w:ascii="Times New Roman" w:hAnsi="Times New Roman" w:cs="Times New Roman"/>
          <w:b/>
          <w:bCs/>
        </w:rPr>
        <w:t>Desigualdad en una universidad pública boliviana: origen escolar, acceso y rendimiento académico</w:t>
      </w:r>
    </w:p>
    <w:p w14:paraId="43C49479" w14:textId="77777777" w:rsidR="005F3B2E" w:rsidRPr="00BA642E" w:rsidRDefault="005F3B2E" w:rsidP="001923DC">
      <w:pPr>
        <w:jc w:val="center"/>
        <w:rPr>
          <w:rFonts w:ascii="Times New Roman" w:hAnsi="Times New Roman" w:cs="Times New Roman"/>
        </w:rPr>
      </w:pPr>
    </w:p>
    <w:p w14:paraId="4E738780" w14:textId="596BCFD3" w:rsidR="005F3B2E" w:rsidRPr="00BA642E" w:rsidRDefault="00522278" w:rsidP="005F3B2E">
      <w:pPr>
        <w:spacing w:after="0" w:line="240" w:lineRule="auto"/>
        <w:jc w:val="right"/>
        <w:rPr>
          <w:rFonts w:ascii="Times New Roman" w:hAnsi="Times New Roman" w:cs="Times New Roman"/>
        </w:rPr>
      </w:pPr>
      <w:r>
        <w:rPr>
          <w:rFonts w:ascii="Times New Roman" w:hAnsi="Times New Roman" w:cs="Times New Roman"/>
        </w:rPr>
        <w:t>Mayorga Lazcano, Jorge Antonio</w:t>
      </w:r>
    </w:p>
    <w:p w14:paraId="6C2AECCA" w14:textId="445A5692" w:rsidR="005F3B2E" w:rsidRPr="00BA642E" w:rsidRDefault="00522278" w:rsidP="005F3B2E">
      <w:pPr>
        <w:spacing w:after="0" w:line="240" w:lineRule="auto"/>
        <w:jc w:val="right"/>
        <w:rPr>
          <w:rFonts w:ascii="Times New Roman" w:hAnsi="Times New Roman" w:cs="Times New Roman"/>
        </w:rPr>
      </w:pPr>
      <w:r>
        <w:rPr>
          <w:rFonts w:ascii="Times New Roman" w:hAnsi="Times New Roman" w:cs="Times New Roman"/>
        </w:rPr>
        <w:t>Universidad Mayor de San Simón</w:t>
      </w:r>
    </w:p>
    <w:p w14:paraId="7D0026CD" w14:textId="6BD23373" w:rsidR="005F3B2E" w:rsidRPr="00BA642E" w:rsidRDefault="00522278" w:rsidP="005F3B2E">
      <w:pPr>
        <w:spacing w:after="0" w:line="240" w:lineRule="auto"/>
        <w:jc w:val="right"/>
        <w:rPr>
          <w:rFonts w:ascii="Times New Roman" w:hAnsi="Times New Roman" w:cs="Times New Roman"/>
        </w:rPr>
      </w:pPr>
      <w:r>
        <w:rPr>
          <w:rFonts w:ascii="Times New Roman" w:hAnsi="Times New Roman" w:cs="Times New Roman"/>
        </w:rPr>
        <w:t>mayorgantonio</w:t>
      </w:r>
      <w:r>
        <w:rPr>
          <w:rFonts w:ascii="Sitka Text" w:hAnsi="Sitka Text" w:cs="Times New Roman"/>
        </w:rPr>
        <w:t>@</w:t>
      </w:r>
      <w:r>
        <w:rPr>
          <w:rFonts w:ascii="Times New Roman" w:hAnsi="Times New Roman" w:cs="Times New Roman"/>
        </w:rPr>
        <w:t>gmail.com</w:t>
      </w:r>
    </w:p>
    <w:p w14:paraId="18E8EFAA" w14:textId="77777777" w:rsidR="005065F4" w:rsidRDefault="005065F4" w:rsidP="00522278">
      <w:pPr>
        <w:tabs>
          <w:tab w:val="center" w:pos="4252"/>
          <w:tab w:val="right" w:pos="8504"/>
        </w:tabs>
        <w:spacing w:after="0" w:line="240" w:lineRule="auto"/>
        <w:rPr>
          <w:rFonts w:ascii="Times New Roman" w:hAnsi="Times New Roman" w:cs="Times New Roman"/>
        </w:rPr>
      </w:pPr>
    </w:p>
    <w:p w14:paraId="3D73DB11" w14:textId="05DA0B1C" w:rsidR="005F3B2E" w:rsidRPr="00BA642E" w:rsidRDefault="00C802F5" w:rsidP="00522278">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11847EB8" w14:textId="37B6E11F" w:rsidR="00522278" w:rsidRDefault="00BA642E" w:rsidP="007B5B5F">
      <w:pPr>
        <w:spacing w:line="240" w:lineRule="auto"/>
        <w:jc w:val="both"/>
        <w:rPr>
          <w:rFonts w:ascii="Times New Roman" w:hAnsi="Times New Roman" w:cs="Times New Roman"/>
        </w:rPr>
      </w:pPr>
      <w:r w:rsidRPr="007017D6">
        <w:rPr>
          <w:rFonts w:ascii="Times New Roman" w:hAnsi="Times New Roman" w:cs="Times New Roman"/>
          <w:b/>
          <w:bCs/>
          <w:lang w:val="es-BO"/>
        </w:rPr>
        <w:t>Resumen:</w:t>
      </w:r>
      <w:r w:rsidR="007B5B5F" w:rsidRPr="007017D6">
        <w:rPr>
          <w:rFonts w:ascii="Times New Roman" w:hAnsi="Times New Roman" w:cs="Times New Roman"/>
          <w:b/>
          <w:bCs/>
          <w:lang w:val="es-BO"/>
        </w:rPr>
        <w:t xml:space="preserve"> </w:t>
      </w:r>
      <w:bookmarkStart w:id="0" w:name="_Hlk229475926"/>
      <w:r w:rsidR="00522278" w:rsidRPr="009B4F90">
        <w:rPr>
          <w:rFonts w:ascii="Times New Roman" w:hAnsi="Times New Roman" w:cs="Times New Roman"/>
        </w:rPr>
        <w:t xml:space="preserve">Las instituciones educativas, incluidas las universidades, no son instituciones neutras, sino que son mecanismos reproductores de las desigualdades socioeconómicas. En ese sentido, el sustento teórico de esta ponencia se aleja de los argumentos sobre las instituciones educativas como mecanismos de movilidad e igualdad social. Esta ponencia intenta poner a prueba la idea de que existe una relación estrecha entre las condiciones socioeconómicas de los estudiantes y su rendimiento académico, particularmente la relación entre el origen escolar (tipo y ubicación de colegio de egreso), el acceso y el rendimiento de los estudiantes del primer semestre de la Facultad de Humanidades y Ciencias de la Educación de la Universidad Mayor de San Simón (UMSS). </w:t>
      </w:r>
      <w:r w:rsidR="00522278" w:rsidRPr="009B4F90">
        <w:rPr>
          <w:rFonts w:ascii="Times New Roman" w:hAnsi="Times New Roman" w:cs="Times New Roman"/>
          <w:color w:val="000000"/>
        </w:rPr>
        <w:t>Para est</w:t>
      </w:r>
      <w:r w:rsidR="00522278">
        <w:rPr>
          <w:rFonts w:ascii="Times New Roman" w:hAnsi="Times New Roman" w:cs="Times New Roman"/>
          <w:color w:val="000000"/>
        </w:rPr>
        <w:t xml:space="preserve">a ponencia </w:t>
      </w:r>
      <w:r w:rsidR="00522278" w:rsidRPr="009B4F90">
        <w:rPr>
          <w:rFonts w:ascii="Times New Roman" w:hAnsi="Times New Roman" w:cs="Times New Roman"/>
          <w:color w:val="000000"/>
        </w:rPr>
        <w:t>se trabajó con información proveniente de la Unidad de Tecnologías de Información (UTI) de la Facultad para obtener información sobre los/as postulantes al primer semestre en la gestión 1/2024, que permitió contar con una base de datos en la cual se destaca información sobre ingreso o no a la facultad, carrera, nacionalidad, fecha de nacimiento, lugar de nacimiento, sexo, estado civil, domicilio, condición laboral, año de egreso, unidad educativa de egreso, área de la unidad educativa (rural o urbano), dependencia de la unidad educativa (fiscal, privada, convenio). Estos últimos datos referidos a las características del colegio de egreso permiten aproximarnos al nivel socioeconómicos de los/as postulantes. Lo cual permitirá realizar análisis e interpretaciones sobre la relación entre nivel socioeconómico y diferentes variables como sexo, carrera a</w:t>
      </w:r>
      <w:r w:rsidR="00B04DFE">
        <w:rPr>
          <w:rFonts w:ascii="Times New Roman" w:hAnsi="Times New Roman" w:cs="Times New Roman"/>
          <w:color w:val="000000"/>
        </w:rPr>
        <w:t xml:space="preserve"> </w:t>
      </w:r>
      <w:r w:rsidR="00522278" w:rsidRPr="009B4F90">
        <w:rPr>
          <w:rFonts w:ascii="Times New Roman" w:hAnsi="Times New Roman" w:cs="Times New Roman"/>
          <w:color w:val="000000"/>
        </w:rPr>
        <w:t xml:space="preserve">la que postula, ingreso o no a la facultad, entre otros. También, se obtuvo una base de datos de la UTI facultativa de los estudiantes que ingresaron al primer semestre de la gestión 1/2024 con información similar a la base de datos de postulantes, solamente que ahora se agregaron datos relativos a su desempeño académico como número de materias inscritas, aprobadas, reprobadas, abandonadas, promedio de notas. Esta información también permite realizar análisis e interpretaciones sobre la relación entre nivel socioeconómico y otras variables. En síntesis, se trabajó con dos bases de datos: i) una de postulantes conformada por 1657 casos y </w:t>
      </w:r>
      <w:proofErr w:type="spellStart"/>
      <w:r w:rsidR="00522278" w:rsidRPr="009B4F90">
        <w:rPr>
          <w:rFonts w:ascii="Times New Roman" w:hAnsi="Times New Roman" w:cs="Times New Roman"/>
          <w:color w:val="000000"/>
        </w:rPr>
        <w:t>ii</w:t>
      </w:r>
      <w:proofErr w:type="spellEnd"/>
      <w:r w:rsidR="00522278" w:rsidRPr="009B4F90">
        <w:rPr>
          <w:rFonts w:ascii="Times New Roman" w:hAnsi="Times New Roman" w:cs="Times New Roman"/>
          <w:color w:val="000000"/>
        </w:rPr>
        <w:t xml:space="preserve">) una de estudiantes de primer semestre conformada por 1126 casos. </w:t>
      </w:r>
      <w:r w:rsidR="00522278" w:rsidRPr="009B4F90">
        <w:rPr>
          <w:rFonts w:ascii="Times New Roman" w:hAnsi="Times New Roman" w:cs="Times New Roman"/>
        </w:rPr>
        <w:t xml:space="preserve">La información sugiere que, para el caso de los postulantes a la Facultad, la dependencia del colegio de egreso (público o privado) y la ubicación del mismo (urbano o rural) determinan la admisión a la universidad. Por otra parte, para el caso de los estudiantes admitidos </w:t>
      </w:r>
      <w:r w:rsidR="00B04DFE">
        <w:rPr>
          <w:rFonts w:ascii="Times New Roman" w:hAnsi="Times New Roman" w:cs="Times New Roman"/>
        </w:rPr>
        <w:t>al</w:t>
      </w:r>
      <w:r w:rsidR="00522278" w:rsidRPr="009B4F90">
        <w:rPr>
          <w:rFonts w:ascii="Times New Roman" w:hAnsi="Times New Roman" w:cs="Times New Roman"/>
        </w:rPr>
        <w:t xml:space="preserve"> primer semestre, los datos no son contundentes al mostrar diferencias entre estudiantes que provienen de colegios públicos y privados en su desempeño académico. Asimismo, la información según área urbano o rural de los colegios de egreso, no muestran diferencias significativas en el desempeño, </w:t>
      </w:r>
      <w:r w:rsidR="00522278" w:rsidRPr="009B4F90">
        <w:rPr>
          <w:rFonts w:ascii="Times New Roman" w:hAnsi="Times New Roman" w:cs="Times New Roman"/>
        </w:rPr>
        <w:lastRenderedPageBreak/>
        <w:t>más bien lo que ratifican es el origen mayoritariamente urbano de los/as postulantes y de los/as estudiantes de primer semestre.</w:t>
      </w:r>
    </w:p>
    <w:bookmarkEnd w:id="0"/>
    <w:p w14:paraId="76754F36" w14:textId="3B3F12F7" w:rsidR="00B04DFE" w:rsidRDefault="00BA642E" w:rsidP="005065F4">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522278">
        <w:rPr>
          <w:rFonts w:ascii="Times New Roman" w:hAnsi="Times New Roman" w:cs="Times New Roman"/>
        </w:rPr>
        <w:t>educación, desigualdades, universidad, Bolivia</w:t>
      </w:r>
    </w:p>
    <w:p w14:paraId="1844589D" w14:textId="77777777" w:rsidR="00B04DFE" w:rsidRPr="005662C1" w:rsidRDefault="00B04DFE" w:rsidP="005065F4">
      <w:pPr>
        <w:pStyle w:val="Heading2"/>
        <w:spacing w:line="240" w:lineRule="auto"/>
        <w:rPr>
          <w:rFonts w:ascii="Times New Roman" w:hAnsi="Times New Roman" w:cs="Times New Roman"/>
          <w:b/>
          <w:bCs/>
          <w:color w:val="auto"/>
          <w:sz w:val="24"/>
          <w:szCs w:val="24"/>
        </w:rPr>
      </w:pPr>
      <w:r w:rsidRPr="005662C1">
        <w:rPr>
          <w:rFonts w:ascii="Times New Roman" w:hAnsi="Times New Roman" w:cs="Times New Roman"/>
          <w:b/>
          <w:bCs/>
          <w:color w:val="auto"/>
          <w:sz w:val="24"/>
          <w:szCs w:val="24"/>
        </w:rPr>
        <w:t>Introducción</w:t>
      </w:r>
    </w:p>
    <w:p w14:paraId="18E8FF76" w14:textId="3C0AD2C9" w:rsidR="004E5ECA" w:rsidRDefault="004E5ECA" w:rsidP="00B04DFE">
      <w:pPr>
        <w:pStyle w:val="NormalWeb"/>
        <w:spacing w:before="240" w:beforeAutospacing="0" w:after="240" w:afterAutospacing="0"/>
        <w:jc w:val="both"/>
      </w:pPr>
      <w:r>
        <w:t xml:space="preserve">El campo de estudio de las desigualdades en la educación y en específico en la educación superior universitaria sigue vigente pues la desigualdad educativa sigue siendo un problema persistente. Si bien se puede señalar que el acceso a la educación primaria y secundaria tiene una vasta cobertura, no ocurre lo mismo con la educación universitaria a la cual el acceso es más restringido. Para el caso de Bolivia, la tasa de asistencia escolar primaria para el año 2021 para niños fue de 92,4% y para niñas 95,2%; por su parte la tasa de asistencia escolar secundaria fue de 77,7% para hombres y 80,6% para mujeres (UNESCO-IIEP, 2022). En cambio, para la educación superior no todos/as los/as jóvenes tienen las mismas opciones para acceder a una enseñanza superior, en ello influyen factores como los niveles </w:t>
      </w:r>
      <w:r w:rsidR="00BF3832">
        <w:t>de ingreso, la etnia, el género, los estudios de los progenitores, la ubicación geográfica, el colegio de egreso, entre otros. La desigualdad educativa suele ser el reflejo de la falta de equidad económica y social. Para el caso boliviano, la tasa de asistencia a la educación superior para el año 2021 fue de 41,5%, sin embargo, existen algunas diferencias según sexo pus la tasa de asistencia de las mujeres es de 44,6% y de los hombres 38,3%. Así también hay diferencia entre las tasas de asistencia urbana y rural, 48,2% y 18%, respectivamente, mostrando la mayor presencia de gente urbana en el ámbito de la educación superior. Las tasas de asistencia según nivel de ingresos muestran diferencias entre la población con ingresos inferiores cuya tasa es de 41,8% y la población con ingresos superiores cuya tasa es de 54,4% (UNESCO-IIEP, 2022), lo que evidencia que las personas con mejores condiciones económicas acceden más a la educación superior.</w:t>
      </w:r>
    </w:p>
    <w:p w14:paraId="11084EFD" w14:textId="7C0E0B3C" w:rsidR="00B04DFE" w:rsidRPr="00016C25" w:rsidRDefault="00B04DFE" w:rsidP="00B04DFE">
      <w:pPr>
        <w:pStyle w:val="NormalWeb"/>
        <w:spacing w:before="240" w:beforeAutospacing="0" w:after="240" w:afterAutospacing="0"/>
        <w:jc w:val="both"/>
      </w:pPr>
      <w:r w:rsidRPr="00016C25">
        <w:t>E</w:t>
      </w:r>
      <w:r>
        <w:t>sta ponencia</w:t>
      </w:r>
      <w:r w:rsidRPr="00016C25">
        <w:t xml:space="preserve"> </w:t>
      </w:r>
      <w:r w:rsidRPr="00016C25">
        <w:rPr>
          <w:shd w:val="clear" w:color="auto" w:fill="FFFFFF"/>
        </w:rPr>
        <w:t>se enmarca en los estudios sobre desigualdades educativas en la educación superior</w:t>
      </w:r>
      <w:r w:rsidRPr="00016C25">
        <w:t>, enfocándose en aquellos que intentan relacionar las condiciones socioeconómicas con el</w:t>
      </w:r>
      <w:r w:rsidR="00BF3832">
        <w:t xml:space="preserve"> acceso y el</w:t>
      </w:r>
      <w:r w:rsidRPr="00016C25">
        <w:t xml:space="preserve"> </w:t>
      </w:r>
      <w:r>
        <w:t>rendimiento</w:t>
      </w:r>
      <w:r w:rsidRPr="00016C25">
        <w:t xml:space="preserve"> académico de los estudiantes.</w:t>
      </w:r>
    </w:p>
    <w:p w14:paraId="1235AC5F" w14:textId="1232EDA7" w:rsidR="0058689C" w:rsidRDefault="0058689C" w:rsidP="00B04DFE">
      <w:pPr>
        <w:pStyle w:val="NormalWeb"/>
        <w:spacing w:before="240" w:beforeAutospacing="0" w:after="240" w:afterAutospacing="0"/>
        <w:jc w:val="both"/>
        <w:rPr>
          <w:color w:val="000000"/>
        </w:rPr>
      </w:pPr>
      <w:r>
        <w:rPr>
          <w:color w:val="000000"/>
        </w:rPr>
        <w:t xml:space="preserve">Hay una vasta literatura sobre las desigualdades educativas al interior de las Instituciones de Educación Superior particularmente en lo que respecta a América Latina. </w:t>
      </w:r>
      <w:proofErr w:type="spellStart"/>
      <w:r>
        <w:rPr>
          <w:color w:val="000000"/>
        </w:rPr>
        <w:t>Salata</w:t>
      </w:r>
      <w:proofErr w:type="spellEnd"/>
      <w:r>
        <w:rPr>
          <w:color w:val="000000"/>
        </w:rPr>
        <w:t xml:space="preserve"> aborda la situación de la educación superior en Brasil durante las últimas décadas indagando en la reducción de las desigualdades de acceso (</w:t>
      </w:r>
      <w:proofErr w:type="spellStart"/>
      <w:r>
        <w:rPr>
          <w:color w:val="000000"/>
        </w:rPr>
        <w:t>Salata</w:t>
      </w:r>
      <w:proofErr w:type="spellEnd"/>
      <w:r>
        <w:rPr>
          <w:color w:val="000000"/>
        </w:rPr>
        <w:t xml:space="preserve">, 2019). </w:t>
      </w:r>
      <w:r w:rsidR="00156A7E">
        <w:rPr>
          <w:color w:val="000000"/>
        </w:rPr>
        <w:t xml:space="preserve">Por su parte, </w:t>
      </w:r>
      <w:r>
        <w:rPr>
          <w:color w:val="000000"/>
        </w:rPr>
        <w:t xml:space="preserve">García </w:t>
      </w:r>
      <w:proofErr w:type="spellStart"/>
      <w:r>
        <w:rPr>
          <w:color w:val="000000"/>
        </w:rPr>
        <w:t>Fanelli</w:t>
      </w:r>
      <w:proofErr w:type="spellEnd"/>
      <w:r>
        <w:rPr>
          <w:color w:val="000000"/>
        </w:rPr>
        <w:t xml:space="preserve"> y Adrogué (2021) analizan indicadores de equidad en la educación superior en Argentina, Chile y Uruguay en torno a acceso, permanencia y graduación en la educación superior. Sus hallazgos revelan que el nivel socioeconómico es una variable que explica brechas de acceso, abandono y baja graduación.</w:t>
      </w:r>
    </w:p>
    <w:p w14:paraId="06CAEC1F" w14:textId="3022755B" w:rsidR="00B04DFE" w:rsidRDefault="00B04DFE" w:rsidP="00B04DFE">
      <w:pPr>
        <w:pStyle w:val="NormalWeb"/>
        <w:spacing w:before="240" w:beforeAutospacing="0" w:after="240" w:afterAutospacing="0"/>
        <w:jc w:val="both"/>
      </w:pPr>
      <w:proofErr w:type="spellStart"/>
      <w:r>
        <w:rPr>
          <w:color w:val="000000"/>
        </w:rPr>
        <w:t>Llorent</w:t>
      </w:r>
      <w:proofErr w:type="spellEnd"/>
      <w:r>
        <w:rPr>
          <w:color w:val="000000"/>
        </w:rPr>
        <w:t xml:space="preserve"> y Terrón (2014) realizan un estudio en México, en el cual analizaron las desigualdades sociales educativas desde distintas variables socioeconómicas y culturales a partir del rendimiento académico, para ello, emplean el análisis documental. Los resultados indican que los estudiantes de áreas urbanas poseen mejores resultados que los </w:t>
      </w:r>
      <w:r>
        <w:rPr>
          <w:color w:val="000000"/>
        </w:rPr>
        <w:lastRenderedPageBreak/>
        <w:t>de áreas rurales, debido a factores socioeconómicos y culturales, que inciden significativamente en el rendimiento académico, sobre todo en áreas con altos índices de marginación.</w:t>
      </w:r>
    </w:p>
    <w:p w14:paraId="31D11B2F" w14:textId="77777777" w:rsidR="00B04DFE" w:rsidRDefault="00B04DFE" w:rsidP="00B04DFE">
      <w:pPr>
        <w:pStyle w:val="NormalWeb"/>
        <w:spacing w:before="240" w:beforeAutospacing="0" w:after="240" w:afterAutospacing="0"/>
        <w:jc w:val="both"/>
      </w:pPr>
      <w:r>
        <w:rPr>
          <w:color w:val="000000"/>
        </w:rPr>
        <w:t>Por su parte</w:t>
      </w:r>
      <w:r w:rsidRPr="00BC6AF1">
        <w:t>, Verdugo</w:t>
      </w:r>
      <w:r>
        <w:t>-Guamán, Cabrera-Ortiz, Cabrera-</w:t>
      </w:r>
      <w:proofErr w:type="spellStart"/>
      <w:r>
        <w:t>Tenecela</w:t>
      </w:r>
      <w:proofErr w:type="spellEnd"/>
      <w:r>
        <w:t xml:space="preserve"> y Escudero-Durán</w:t>
      </w:r>
      <w:r w:rsidRPr="00BC6AF1">
        <w:t xml:space="preserve"> (2023) </w:t>
      </w:r>
      <w:r>
        <w:rPr>
          <w:color w:val="000000"/>
        </w:rPr>
        <w:t>identificaron en una universidad de Ecuador factores inherentes a la práctica docente y al desenvolvimiento de estudiantes universitarios que influyen en el rendimiento académico, además de reconocer expectativas respecto a los bachilleres que ingresan a la universidad. Por lo que utilizaron un estudio mixto secuencial, apoyándose en los resultados del rendimiento del primer ciclo académico, con una muestra de 1314 estudiantes de la Universidad de Cuenca. Además, aplicaron entrevistas semiestructuradas y grupos focales. Los hallazgos sugieren que el rendimiento académico varía según el tipo de colegio, con estudiantes de colegios privados que superan a los de públicos. También hallaron que factores como el acceso a recursos, el entorno familiar y el nivel educativo de los padres influyen en el éxito académico.</w:t>
      </w:r>
    </w:p>
    <w:p w14:paraId="3E0C9D36" w14:textId="77777777" w:rsidR="00B04DFE" w:rsidRDefault="00B04DFE" w:rsidP="00B04DFE">
      <w:pPr>
        <w:pStyle w:val="NormalWeb"/>
        <w:spacing w:before="240" w:beforeAutospacing="0" w:after="240" w:afterAutospacing="0"/>
        <w:jc w:val="both"/>
      </w:pPr>
      <w:r>
        <w:rPr>
          <w:color w:val="000000"/>
        </w:rPr>
        <w:t>De igual manera,</w:t>
      </w:r>
      <w:r>
        <w:rPr>
          <w:color w:val="000000"/>
          <w:shd w:val="clear" w:color="auto" w:fill="FFFFFF"/>
        </w:rPr>
        <w:t xml:space="preserve"> Garbanzo (2007) analizó el desempeño académico en educación superior considerando tres factores: </w:t>
      </w:r>
      <w:r>
        <w:rPr>
          <w:color w:val="000000"/>
        </w:rPr>
        <w:t xml:space="preserve">personales (internos al individuo), sociales (familia, contexto socioeconómico) e institucionales (elección de estudios, ambiente y relación estudiante-profesor). </w:t>
      </w:r>
      <w:r>
        <w:rPr>
          <w:color w:val="000000"/>
          <w:shd w:val="clear" w:color="auto" w:fill="FFFFFF"/>
        </w:rPr>
        <w:t>Se concluyó que la interacción de estos factores interviene en el rendimiento académico de los universitarios.</w:t>
      </w:r>
    </w:p>
    <w:p w14:paraId="10210722" w14:textId="65BD7874" w:rsidR="00156A7E" w:rsidRPr="00156A7E" w:rsidRDefault="00B04DFE" w:rsidP="00B04DFE">
      <w:pPr>
        <w:pStyle w:val="NormalWeb"/>
        <w:spacing w:before="0" w:beforeAutospacing="0" w:after="160" w:afterAutospacing="0"/>
        <w:jc w:val="both"/>
      </w:pPr>
      <w:r>
        <w:rPr>
          <w:color w:val="000000"/>
        </w:rPr>
        <w:t xml:space="preserve">Por otro lado, Terán y </w:t>
      </w:r>
      <w:proofErr w:type="spellStart"/>
      <w:r>
        <w:rPr>
          <w:color w:val="000000"/>
        </w:rPr>
        <w:t>Schulmeyer</w:t>
      </w:r>
      <w:proofErr w:type="spellEnd"/>
      <w:r>
        <w:rPr>
          <w:color w:val="000000"/>
        </w:rPr>
        <w:t xml:space="preserve"> (2022) analizan si el rendimiento escolar de los estudiantes puede predecir su desempeño durante el primer semestre de una universidad privada en Bolivia. Para este estudio se empleó una metodología cuantitativa basada en el análisis de datos académicos entre el promedio de notas del último año de colegio y el promedio de notas durante el primer semestre en la universidad. Además, se consideraron variables como el tipo de colegio (público y privado) y el género. Los resultados</w:t>
      </w:r>
      <w:r>
        <w:rPr>
          <w:b/>
          <w:bCs/>
          <w:color w:val="000000"/>
        </w:rPr>
        <w:t xml:space="preserve"> </w:t>
      </w:r>
      <w:r>
        <w:rPr>
          <w:color w:val="000000"/>
        </w:rPr>
        <w:t>revelaron una tendencia en la que un buen desempeño en la secundaria (promedio de notas del colegio) se relaciona con un mejor desempeño en la universidad. No obstante, el tipo de colegio (público y privado) no mostró un impacto significativo en el rendimiento académico en ninguno de los niveles. </w:t>
      </w:r>
    </w:p>
    <w:p w14:paraId="36E03CBB" w14:textId="618BE437" w:rsidR="00B04DFE" w:rsidRDefault="00B04DFE" w:rsidP="00B04DFE">
      <w:pPr>
        <w:pStyle w:val="NormalWeb"/>
        <w:spacing w:before="0" w:beforeAutospacing="0" w:after="160" w:afterAutospacing="0"/>
        <w:jc w:val="both"/>
      </w:pPr>
      <w:r>
        <w:rPr>
          <w:color w:val="000000"/>
          <w:shd w:val="clear" w:color="auto" w:fill="FFFFFF"/>
        </w:rPr>
        <w:t>Quispe (2024) investigó la brecha educativa entre la educación secundaria y la universidad pública de El Alto (Bolivia), enfocándose en factores curriculares, económicos, tecnológicos y socioculturales. Se aplicaron encuestas a 100 estudiantes de</w:t>
      </w:r>
      <w:r w:rsidR="00156A7E">
        <w:rPr>
          <w:color w:val="000000"/>
          <w:shd w:val="clear" w:color="auto" w:fill="FFFFFF"/>
        </w:rPr>
        <w:t xml:space="preserve"> primer año de diversas carreras, centradas en indagar el grado de preparación académica previa</w:t>
      </w:r>
      <w:r>
        <w:rPr>
          <w:color w:val="000000"/>
          <w:shd w:val="clear" w:color="auto" w:fill="FFFFFF"/>
        </w:rPr>
        <w:t>, las dificultades económicas en la permanencia universitaria, el acceso y manejo de tecnologías educativas, y las creencias del entorno social y familiar que influyen en la motivación y desempeño académico del estudiante. Los resultados reflejaron que el 90% enfrenta una brecha significativa, en el área curricular. Es decir, los contenidos escolares no preparan suficientemente a los estudiantes para el ingreso y permanencia en la universidad.</w:t>
      </w:r>
    </w:p>
    <w:p w14:paraId="5386A1BB" w14:textId="7AF34ECB" w:rsidR="00B04DFE" w:rsidRDefault="00B04DFE" w:rsidP="00B04DFE">
      <w:pPr>
        <w:pStyle w:val="NormalWeb"/>
        <w:spacing w:before="240" w:beforeAutospacing="0" w:after="240" w:afterAutospacing="0"/>
        <w:jc w:val="both"/>
      </w:pPr>
      <w:r>
        <w:rPr>
          <w:color w:val="000000"/>
        </w:rPr>
        <w:t xml:space="preserve">Aunque </w:t>
      </w:r>
      <w:r w:rsidR="004E5ECA">
        <w:rPr>
          <w:color w:val="000000"/>
        </w:rPr>
        <w:t xml:space="preserve">se </w:t>
      </w:r>
      <w:r>
        <w:rPr>
          <w:color w:val="000000"/>
        </w:rPr>
        <w:t xml:space="preserve">reconoce que los factores personales, sociales, institucionales y pedagógicos influyen en el rendimiento académico, </w:t>
      </w:r>
      <w:r w:rsidR="004E5ECA">
        <w:rPr>
          <w:color w:val="000000"/>
        </w:rPr>
        <w:t>el</w:t>
      </w:r>
      <w:r>
        <w:rPr>
          <w:color w:val="000000"/>
        </w:rPr>
        <w:t xml:space="preserve"> enfoque se centró en explorar específicamente </w:t>
      </w:r>
      <w:r>
        <w:rPr>
          <w:color w:val="000000"/>
        </w:rPr>
        <w:lastRenderedPageBreak/>
        <w:t>el impacto del origen escolar de los estudiantes de una universidad pública en su rendimiento académico, durante el primer semestre de sus carreras.</w:t>
      </w:r>
    </w:p>
    <w:p w14:paraId="6EF76DEE" w14:textId="1DCE68BA" w:rsidR="00B04DFE" w:rsidRPr="00762774" w:rsidRDefault="00B04DFE" w:rsidP="00B04DFE">
      <w:pPr>
        <w:pStyle w:val="NormalWeb"/>
        <w:spacing w:before="240" w:beforeAutospacing="0" w:after="240" w:afterAutospacing="0"/>
        <w:jc w:val="both"/>
        <w:rPr>
          <w:color w:val="000000"/>
          <w:shd w:val="clear" w:color="auto" w:fill="FFFFFF"/>
        </w:rPr>
      </w:pPr>
      <w:r>
        <w:rPr>
          <w:color w:val="000000"/>
          <w:shd w:val="clear" w:color="auto" w:fill="FFFFFF"/>
        </w:rPr>
        <w:t>Esta revisión de literatura permite formular el</w:t>
      </w:r>
      <w:r w:rsidR="00156A7E">
        <w:rPr>
          <w:color w:val="000000"/>
          <w:shd w:val="clear" w:color="auto" w:fill="FFFFFF"/>
        </w:rPr>
        <w:t xml:space="preserve"> siguiente cuestionamiento</w:t>
      </w:r>
      <w:r>
        <w:rPr>
          <w:color w:val="000000"/>
          <w:shd w:val="clear" w:color="auto" w:fill="FFFFFF"/>
        </w:rPr>
        <w:t>: de qué manera</w:t>
      </w:r>
      <w:r w:rsidR="00156A7E">
        <w:rPr>
          <w:color w:val="000000"/>
          <w:shd w:val="clear" w:color="auto" w:fill="FFFFFF"/>
        </w:rPr>
        <w:t xml:space="preserve"> el acceso y</w:t>
      </w:r>
      <w:r>
        <w:rPr>
          <w:color w:val="000000"/>
          <w:shd w:val="clear" w:color="auto" w:fill="FFFFFF"/>
        </w:rPr>
        <w:t xml:space="preserve"> el rendimiento académico de los</w:t>
      </w:r>
      <w:r w:rsidR="00156A7E">
        <w:rPr>
          <w:color w:val="000000"/>
          <w:shd w:val="clear" w:color="auto" w:fill="FFFFFF"/>
        </w:rPr>
        <w:t xml:space="preserve"> postulantes y</w:t>
      </w:r>
      <w:r>
        <w:rPr>
          <w:color w:val="000000"/>
          <w:shd w:val="clear" w:color="auto" w:fill="FFFFFF"/>
        </w:rPr>
        <w:t xml:space="preserve"> universitarios</w:t>
      </w:r>
      <w:r w:rsidR="00156A7E">
        <w:rPr>
          <w:color w:val="000000"/>
          <w:shd w:val="clear" w:color="auto" w:fill="FFFFFF"/>
        </w:rPr>
        <w:t xml:space="preserve"> de primer semestre</w:t>
      </w:r>
      <w:r>
        <w:rPr>
          <w:color w:val="000000"/>
          <w:shd w:val="clear" w:color="auto" w:fill="FFFFFF"/>
        </w:rPr>
        <w:t xml:space="preserve"> está influido por su origen escolar expresado por el tipo y ubicación del colegio de egreso</w:t>
      </w:r>
      <w:r w:rsidRPr="00156A7E">
        <w:rPr>
          <w:color w:val="000000"/>
          <w:shd w:val="clear" w:color="auto" w:fill="FFFFFF"/>
        </w:rPr>
        <w:t>. En ese marco,</w:t>
      </w:r>
      <w:r>
        <w:rPr>
          <w:color w:val="000000"/>
          <w:shd w:val="clear" w:color="auto" w:fill="FFFFFF"/>
        </w:rPr>
        <w:t xml:space="preserve"> </w:t>
      </w:r>
      <w:r w:rsidR="00156A7E">
        <w:rPr>
          <w:color w:val="000000"/>
          <w:shd w:val="clear" w:color="auto" w:fill="FFFFFF"/>
        </w:rPr>
        <w:t xml:space="preserve">se </w:t>
      </w:r>
      <w:r>
        <w:rPr>
          <w:color w:val="000000"/>
        </w:rPr>
        <w:t>analiza si existe una relación directa entre origen escolar y el</w:t>
      </w:r>
      <w:r w:rsidR="00156A7E">
        <w:rPr>
          <w:color w:val="000000"/>
        </w:rPr>
        <w:t xml:space="preserve"> acceso y</w:t>
      </w:r>
      <w:r>
        <w:rPr>
          <w:color w:val="000000"/>
        </w:rPr>
        <w:t xml:space="preserve"> rendimiento académico de los</w:t>
      </w:r>
      <w:r w:rsidR="00156A7E">
        <w:rPr>
          <w:color w:val="000000"/>
        </w:rPr>
        <w:t xml:space="preserve"> postulantes y</w:t>
      </w:r>
      <w:r>
        <w:rPr>
          <w:color w:val="000000"/>
        </w:rPr>
        <w:t xml:space="preserve"> estudiantes </w:t>
      </w:r>
      <w:r>
        <w:rPr>
          <w:color w:val="000000"/>
          <w:shd w:val="clear" w:color="auto" w:fill="FFFFFF"/>
        </w:rPr>
        <w:t>de primer semestre de la Facultad de Humanidades y Ciencias de la Educación (FHCE) de la Universidad Mayor de San Simón (UMSS).</w:t>
      </w:r>
    </w:p>
    <w:p w14:paraId="25412BFD" w14:textId="0C3C264F" w:rsidR="00B04DFE" w:rsidRDefault="00B04DFE" w:rsidP="00B04DFE">
      <w:pPr>
        <w:pStyle w:val="NormalWeb"/>
        <w:spacing w:before="240" w:beforeAutospacing="0" w:after="240" w:afterAutospacing="0"/>
        <w:jc w:val="both"/>
      </w:pPr>
      <w:r>
        <w:rPr>
          <w:color w:val="000000"/>
          <w:shd w:val="clear" w:color="auto" w:fill="FFFFFF"/>
        </w:rPr>
        <w:t>Si bien las desigualdades en la educación superior abordan diferentes dimensiones, el argumento de est</w:t>
      </w:r>
      <w:r w:rsidR="00156A7E">
        <w:rPr>
          <w:color w:val="000000"/>
          <w:shd w:val="clear" w:color="auto" w:fill="FFFFFF"/>
        </w:rPr>
        <w:t xml:space="preserve">a ponencia </w:t>
      </w:r>
      <w:r>
        <w:rPr>
          <w:color w:val="000000"/>
          <w:shd w:val="clear" w:color="auto" w:fill="FFFFFF"/>
        </w:rPr>
        <w:t>se enmarca en la relación estrecha entre la reproducción de las desigualdades educativas y las condiciones socioeconómicas. En este contexto, a continuación, se despliega la perspectiva teórica de la reproducción de la educación desde la cual se analiza la información de los estudiantes universitarios.</w:t>
      </w:r>
    </w:p>
    <w:p w14:paraId="50414B5F" w14:textId="77777777" w:rsidR="00B04DFE" w:rsidRDefault="00B04DFE" w:rsidP="00B04DFE">
      <w:pPr>
        <w:pStyle w:val="NormalWeb"/>
        <w:spacing w:before="240" w:beforeAutospacing="0" w:after="240" w:afterAutospacing="0"/>
        <w:jc w:val="both"/>
      </w:pPr>
      <w:r>
        <w:rPr>
          <w:color w:val="000000"/>
          <w:shd w:val="clear" w:color="auto" w:fill="FFFFFF"/>
        </w:rPr>
        <w:t>El denominador común de las teorías de la reproducción es “interpretar la educación como una institución fundamental en las sociedades avanzadas para explicar la reproducción de las posiciones sociales” (Bonal, 1998, p. 113). Unas enfatizan en lo cultural y otras en lo económico. La reproducción cultural está representada fundamentalmente por la obra de Bourdieu y Passeron, así Bonal señala que estos autores:</w:t>
      </w:r>
    </w:p>
    <w:p w14:paraId="73F559C5" w14:textId="77777777" w:rsidR="00B04DFE" w:rsidRDefault="00B04DFE" w:rsidP="00B04DFE">
      <w:pPr>
        <w:pStyle w:val="NormalWeb"/>
        <w:spacing w:before="240" w:beforeAutospacing="0" w:after="240" w:afterAutospacing="0"/>
        <w:ind w:left="567"/>
        <w:jc w:val="both"/>
      </w:pPr>
      <w:r>
        <w:rPr>
          <w:color w:val="000000"/>
          <w:shd w:val="clear" w:color="auto" w:fill="FFFFFF"/>
        </w:rPr>
        <w:t>Entienden que (...) la transmisión cultural explica que determinados grupos tengan prácticamente garantizado el éxito o el fracaso en su paso por el sistema de enseñanza. (…) En el caso de Bourdieu y Passeron (…) el sistema de relaciones educativas garantiza la imposición y reproducción de una cultura dominante como única cultura legítima, y hace posible la existencia de una selección en base a la proximidad o alejamiento de los individuos de la cultura dominante. (1998, pp. 76-77)</w:t>
      </w:r>
    </w:p>
    <w:p w14:paraId="2681C7BD" w14:textId="77777777" w:rsidR="00B04DFE" w:rsidRDefault="00B04DFE" w:rsidP="00B04DFE">
      <w:pPr>
        <w:pStyle w:val="NormalWeb"/>
        <w:spacing w:before="240" w:beforeAutospacing="0" w:after="240" w:afterAutospacing="0"/>
        <w:jc w:val="both"/>
      </w:pPr>
      <w:r>
        <w:rPr>
          <w:color w:val="000000"/>
          <w:shd w:val="clear" w:color="auto" w:fill="FFFFFF"/>
        </w:rPr>
        <w:t>La escuela valora un tipo de actitudes y aptitudes que corresponden a la clase alta, de esta manera los estudiantes de esta clase se desenvuelven con mayor seguridad en la institución escolar en comparación a los estudiantes provenientes de clases populares que deben esforzarse para alcanzar el saber escolar, entonces, la cultura escolar “no es neutra, aunque se presente como tal, y la ‘distancia’ de los individuos respecto a la misma, determinada por su origen social, es la base de la función de selección y diferenciación social que realiza la escuela” (Bonal, 1998, p. 81).</w:t>
      </w:r>
    </w:p>
    <w:p w14:paraId="5BD86A29" w14:textId="77777777" w:rsidR="00B04DFE" w:rsidRDefault="00B04DFE" w:rsidP="00B04DFE">
      <w:pPr>
        <w:pStyle w:val="NormalWeb"/>
        <w:spacing w:before="240" w:beforeAutospacing="0" w:after="240" w:afterAutospacing="0"/>
        <w:jc w:val="both"/>
        <w:rPr>
          <w:color w:val="000000"/>
          <w:shd w:val="clear" w:color="auto" w:fill="FFFFFF"/>
        </w:rPr>
      </w:pPr>
      <w:r>
        <w:rPr>
          <w:color w:val="000000"/>
          <w:shd w:val="clear" w:color="auto" w:fill="FFFFFF"/>
        </w:rPr>
        <w:t>Por su parte, las teorías de la reproducción económica muestran la relación entre educación y desigualdad económica. A partir del marxismo estructuralista se plantea “la explicación, de las probabilidades de acceso a la educación de los diferentes grupos sociales, pero con el objetivo de mostrar cómo la escuela contribuye al mantenimiento y reproducción de las posiciones sociales y de las relaciones de poder entre clases” (Bonal, 1998, p. 96)</w:t>
      </w:r>
      <w:r>
        <w:rPr>
          <w:color w:val="000000"/>
        </w:rPr>
        <w:t xml:space="preserve">. </w:t>
      </w:r>
      <w:r>
        <w:rPr>
          <w:color w:val="000000"/>
          <w:shd w:val="clear" w:color="auto" w:fill="FFFFFF"/>
        </w:rPr>
        <w:t xml:space="preserve">Esta última idea es fundamental para explicar los datos de los/as estudiantes </w:t>
      </w:r>
      <w:r>
        <w:rPr>
          <w:color w:val="000000"/>
          <w:shd w:val="clear" w:color="auto" w:fill="FFFFFF"/>
        </w:rPr>
        <w:lastRenderedPageBreak/>
        <w:t>con los cuales se trabajó, pues se intenta relacionar el origen escolar, como marcador social, y su rendimiento académico en la Facultad.</w:t>
      </w:r>
    </w:p>
    <w:p w14:paraId="186D9232" w14:textId="725B1C5D" w:rsidR="00B04DFE" w:rsidRDefault="00B04DFE" w:rsidP="00B04DFE">
      <w:pPr>
        <w:pStyle w:val="NormalWeb"/>
        <w:spacing w:before="240" w:beforeAutospacing="0" w:after="240" w:afterAutospacing="0"/>
        <w:jc w:val="both"/>
        <w:rPr>
          <w:color w:val="000000"/>
        </w:rPr>
      </w:pPr>
      <w:r>
        <w:rPr>
          <w:color w:val="000000"/>
          <w:shd w:val="clear" w:color="auto" w:fill="FFFFFF"/>
        </w:rPr>
        <w:t xml:space="preserve">Entonces, las instituciones educativas, incluidas las universidades, no son instituciones neutras, sino que son mecanismos reproductores de las desigualdades socioeconómicas. En ese sentido, este marco teórico se aleja de los argumentos sobre las instituciones educativas como mecanismos de movilidad e igualdad social. </w:t>
      </w:r>
      <w:r w:rsidR="00156A7E">
        <w:rPr>
          <w:color w:val="000000"/>
          <w:shd w:val="clear" w:color="auto" w:fill="FFFFFF"/>
        </w:rPr>
        <w:t>Se</w:t>
      </w:r>
      <w:r>
        <w:rPr>
          <w:color w:val="000000"/>
          <w:shd w:val="clear" w:color="auto" w:fill="FFFFFF"/>
        </w:rPr>
        <w:t xml:space="preserve"> intenta poner a prueba la idea de que existe una relación estrecha entre las condiciones socioeconómicas de los estudiantes y su rendimiento académico, particularmente la relación entre el origen escolar y </w:t>
      </w:r>
      <w:r w:rsidR="00156A7E">
        <w:rPr>
          <w:color w:val="000000"/>
          <w:shd w:val="clear" w:color="auto" w:fill="FFFFFF"/>
        </w:rPr>
        <w:t xml:space="preserve">el acceso y </w:t>
      </w:r>
      <w:r w:rsidR="008F2141">
        <w:rPr>
          <w:color w:val="000000"/>
          <w:shd w:val="clear" w:color="auto" w:fill="FFFFFF"/>
        </w:rPr>
        <w:t>el</w:t>
      </w:r>
      <w:r>
        <w:rPr>
          <w:color w:val="000000"/>
          <w:shd w:val="clear" w:color="auto" w:fill="FFFFFF"/>
        </w:rPr>
        <w:t xml:space="preserve"> rendimiento en el primer semestre de los estudiantes de una universidad pública boliviana. </w:t>
      </w:r>
      <w:r>
        <w:rPr>
          <w:color w:val="000000"/>
        </w:rPr>
        <w:t xml:space="preserve">Para ello se utilizó un enfoque cuantitativo que analizó </w:t>
      </w:r>
      <w:r w:rsidR="008F2141">
        <w:rPr>
          <w:color w:val="000000"/>
        </w:rPr>
        <w:t>dos</w:t>
      </w:r>
      <w:r>
        <w:rPr>
          <w:color w:val="000000"/>
        </w:rPr>
        <w:t xml:space="preserve"> base</w:t>
      </w:r>
      <w:r w:rsidR="008F2141">
        <w:rPr>
          <w:color w:val="000000"/>
        </w:rPr>
        <w:t>s</w:t>
      </w:r>
      <w:r>
        <w:rPr>
          <w:color w:val="000000"/>
        </w:rPr>
        <w:t xml:space="preserve"> de datos de</w:t>
      </w:r>
      <w:r w:rsidR="008F2141">
        <w:rPr>
          <w:color w:val="000000"/>
        </w:rPr>
        <w:t xml:space="preserve"> postulantes y</w:t>
      </w:r>
      <w:r>
        <w:rPr>
          <w:color w:val="000000"/>
        </w:rPr>
        <w:t xml:space="preserve"> estudiantes de primer semestre de la FHCE de la UMSS en la gestión 2024.</w:t>
      </w:r>
    </w:p>
    <w:p w14:paraId="3E8E3FD6" w14:textId="77777777" w:rsidR="00B04DFE" w:rsidRPr="0021700A" w:rsidRDefault="00B04DFE" w:rsidP="00B04DFE">
      <w:pPr>
        <w:pStyle w:val="NormalWeb"/>
        <w:spacing w:before="240" w:beforeAutospacing="0" w:after="240" w:afterAutospacing="0"/>
        <w:jc w:val="both"/>
      </w:pPr>
      <w:r w:rsidRPr="0021700A">
        <w:t>Asimismo, señalar que, e</w:t>
      </w:r>
      <w:r w:rsidRPr="0021700A">
        <w:rPr>
          <w:color w:val="000000"/>
        </w:rPr>
        <w:t xml:space="preserve">l rendimiento académico se concibe como el resultado de diversos factores que influyen en el estudiante durante el proceso de aprendizaje y se expresa de forma cuantitativa mediante las calificaciones obtenidas, las cuales permiten identificar la aprobación o reprobación de materias y posibles casos de abandono escolar (Pérez, Ramón, Sánchez, 2000 citado por Garbanzo, 2007). Asimismo, se señala que el rendimiento académico es evaluado a través de las calificaciones escolares, las cuales son reflejo de evaluaciones y/o exámenes donde se evidencia los conocimientos de los estudiantes sobre las distintas áreas o materias que el sistema educativo considera fundamental para su formación (Cascón, 2000 citado </w:t>
      </w:r>
      <w:r w:rsidRPr="00307C21">
        <w:rPr>
          <w:color w:val="000000"/>
        </w:rPr>
        <w:t>por Edel, 2003).</w:t>
      </w:r>
      <w:r w:rsidRPr="0021700A">
        <w:rPr>
          <w:color w:val="000000"/>
        </w:rPr>
        <w:t xml:space="preserve"> Por lo cual, la información sobre rendimiento académico de los estudiantes de primer semestre de la FHCE está basado en las materias aprobadas, reprobadas y el promedio de sus notas.</w:t>
      </w:r>
    </w:p>
    <w:p w14:paraId="7233CD01" w14:textId="76BF224A" w:rsidR="00B04DFE" w:rsidRPr="000B4F50" w:rsidRDefault="000B4F50" w:rsidP="00B04DFE">
      <w:pPr>
        <w:pStyle w:val="NormalWeb"/>
        <w:spacing w:before="240" w:beforeAutospacing="0" w:after="240" w:afterAutospacing="0"/>
        <w:jc w:val="both"/>
        <w:rPr>
          <w:color w:val="000000"/>
        </w:rPr>
      </w:pPr>
      <w:r>
        <w:rPr>
          <w:color w:val="000000"/>
        </w:rPr>
        <w:t xml:space="preserve">Este documento está estructurado en </w:t>
      </w:r>
      <w:r w:rsidR="003A6692">
        <w:rPr>
          <w:color w:val="000000"/>
        </w:rPr>
        <w:t>cuatro</w:t>
      </w:r>
      <w:r>
        <w:rPr>
          <w:color w:val="000000"/>
        </w:rPr>
        <w:t xml:space="preserve"> secciones. La primera refiere la metodología utilizada para la recolección de la información. La segunda </w:t>
      </w:r>
      <w:r w:rsidR="00B04DFE">
        <w:rPr>
          <w:color w:val="000000"/>
        </w:rPr>
        <w:t>describe las características de</w:t>
      </w:r>
      <w:r w:rsidR="003A6692">
        <w:rPr>
          <w:color w:val="000000"/>
        </w:rPr>
        <w:t xml:space="preserve"> los postulantes a esta facultad y su desempeño académico a partir de su éxito o no en la prueba de admisión según el tipo de unidad educativa de egreso. La tercera describe las características de</w:t>
      </w:r>
      <w:r w:rsidR="00B04DFE">
        <w:rPr>
          <w:color w:val="000000"/>
        </w:rPr>
        <w:t xml:space="preserve"> los estudiantes universitarios de primer semestre y el rendimiento académico, basado en las materias aprobadas, reprobadas y el promedio de notas, en relación con el tipo de unidad educativa de egreso (fiscal, privada o de convenio) y su ubicación (urbano o rural). Los datos sugieren que el tipo y ubicación de colegio de egreso</w:t>
      </w:r>
      <w:r w:rsidR="003A6692">
        <w:rPr>
          <w:color w:val="000000"/>
        </w:rPr>
        <w:t xml:space="preserve"> influye en el acceso a la universidad, pero</w:t>
      </w:r>
      <w:r w:rsidR="00B04DFE">
        <w:rPr>
          <w:color w:val="000000"/>
        </w:rPr>
        <w:t xml:space="preserve"> no influye significativamente en los índices de aprobación, reprobación y el promedio de notas. </w:t>
      </w:r>
    </w:p>
    <w:p w14:paraId="484C9E84" w14:textId="795D2C68" w:rsidR="00B04DFE" w:rsidRPr="009F4337" w:rsidRDefault="00B04DFE" w:rsidP="00B04DFE">
      <w:pPr>
        <w:pStyle w:val="NormalWeb"/>
        <w:spacing w:before="240" w:beforeAutospacing="0" w:after="240" w:afterAutospacing="0"/>
        <w:jc w:val="both"/>
      </w:pPr>
      <w:r>
        <w:rPr>
          <w:color w:val="000000"/>
        </w:rPr>
        <w:t>A partir de estos hallazgos,</w:t>
      </w:r>
      <w:r w:rsidR="003A6692">
        <w:rPr>
          <w:color w:val="000000"/>
        </w:rPr>
        <w:t xml:space="preserve"> en la cuarta sección</w:t>
      </w:r>
      <w:r>
        <w:rPr>
          <w:color w:val="000000"/>
        </w:rPr>
        <w:t xml:space="preserve"> se realiza una discusión que compara estos resultados con investigaciones previas y con la teoría de la reproducción en la educación.</w:t>
      </w:r>
      <w:r>
        <w:t xml:space="preserve"> </w:t>
      </w:r>
      <w:r>
        <w:rPr>
          <w:color w:val="000000"/>
        </w:rPr>
        <w:t>Finalmente, la conclusión sintetiza los resultados obtenidos, destacando que el origen escolar no es un factor determinante en el rendimiento académico</w:t>
      </w:r>
      <w:r w:rsidR="003A6692">
        <w:rPr>
          <w:color w:val="000000"/>
        </w:rPr>
        <w:t xml:space="preserve">, pero sí en el acceso. </w:t>
      </w:r>
    </w:p>
    <w:p w14:paraId="3E6A113C" w14:textId="77777777" w:rsidR="00B04DFE" w:rsidRPr="005662C1" w:rsidRDefault="00B04DFE" w:rsidP="00B04DFE">
      <w:pPr>
        <w:pStyle w:val="Heading2"/>
        <w:numPr>
          <w:ilvl w:val="0"/>
          <w:numId w:val="1"/>
        </w:numPr>
        <w:spacing w:line="240" w:lineRule="auto"/>
        <w:rPr>
          <w:rFonts w:ascii="Times New Roman" w:hAnsi="Times New Roman" w:cs="Times New Roman"/>
          <w:b/>
          <w:bCs/>
          <w:color w:val="auto"/>
          <w:sz w:val="24"/>
          <w:szCs w:val="24"/>
        </w:rPr>
      </w:pPr>
      <w:r w:rsidRPr="005662C1">
        <w:rPr>
          <w:rFonts w:ascii="Times New Roman" w:hAnsi="Times New Roman" w:cs="Times New Roman"/>
          <w:b/>
          <w:bCs/>
          <w:color w:val="auto"/>
          <w:sz w:val="24"/>
          <w:szCs w:val="24"/>
        </w:rPr>
        <w:lastRenderedPageBreak/>
        <w:t>Consideraciones metodológicas</w:t>
      </w:r>
    </w:p>
    <w:p w14:paraId="0623F820" w14:textId="3704360A" w:rsidR="00B04DFE" w:rsidRPr="00BB0F25" w:rsidRDefault="00B04DFE" w:rsidP="00B04DFE">
      <w:pPr>
        <w:pStyle w:val="Pa5"/>
        <w:spacing w:after="160" w:line="240" w:lineRule="auto"/>
        <w:jc w:val="both"/>
        <w:rPr>
          <w:rFonts w:ascii="Times New Roman" w:hAnsi="Times New Roman" w:cs="Times New Roman"/>
          <w:color w:val="000000"/>
        </w:rPr>
      </w:pPr>
      <w:r w:rsidRPr="00E07FBD">
        <w:rPr>
          <w:rFonts w:ascii="Times New Roman" w:hAnsi="Times New Roman" w:cs="Times New Roman"/>
          <w:color w:val="000000"/>
        </w:rPr>
        <w:t xml:space="preserve">El acercamiento al objeto de investigación fue desde un enfoque </w:t>
      </w:r>
      <w:r>
        <w:rPr>
          <w:rFonts w:ascii="Times New Roman" w:hAnsi="Times New Roman" w:cs="Times New Roman"/>
          <w:color w:val="000000"/>
        </w:rPr>
        <w:t>cuantitativo y descriptivo. En ese marco,</w:t>
      </w:r>
      <w:r w:rsidRPr="001F0C7F">
        <w:rPr>
          <w:rFonts w:ascii="Times New Roman" w:hAnsi="Times New Roman" w:cs="Times New Roman"/>
          <w:lang w:val="es-ES" w:eastAsia="es-ES"/>
        </w:rPr>
        <w:t xml:space="preserve"> se recopilo información proveniente de la Unidad de Tecnologías de Información (UTI) de la F</w:t>
      </w:r>
      <w:r>
        <w:rPr>
          <w:rFonts w:ascii="Times New Roman" w:hAnsi="Times New Roman" w:cs="Times New Roman"/>
          <w:lang w:val="es-ES" w:eastAsia="es-ES"/>
        </w:rPr>
        <w:t>HCE</w:t>
      </w:r>
      <w:r w:rsidRPr="001F0C7F">
        <w:rPr>
          <w:rFonts w:ascii="Times New Roman" w:hAnsi="Times New Roman" w:cs="Times New Roman"/>
          <w:lang w:val="es-ES" w:eastAsia="es-ES"/>
        </w:rPr>
        <w:t xml:space="preserve"> para obtener </w:t>
      </w:r>
      <w:r>
        <w:rPr>
          <w:rFonts w:ascii="Times New Roman" w:hAnsi="Times New Roman" w:cs="Times New Roman"/>
          <w:lang w:val="es-ES" w:eastAsia="es-ES"/>
        </w:rPr>
        <w:t>datos</w:t>
      </w:r>
      <w:r w:rsidRPr="001F0C7F">
        <w:rPr>
          <w:rFonts w:ascii="Times New Roman" w:hAnsi="Times New Roman" w:cs="Times New Roman"/>
          <w:lang w:val="es-ES" w:eastAsia="es-ES"/>
        </w:rPr>
        <w:t xml:space="preserve"> sobre los/as </w:t>
      </w:r>
      <w:r>
        <w:rPr>
          <w:rFonts w:ascii="Times New Roman" w:hAnsi="Times New Roman" w:cs="Times New Roman"/>
          <w:lang w:val="es-ES" w:eastAsia="es-ES"/>
        </w:rPr>
        <w:t>estudiantes del</w:t>
      </w:r>
      <w:r w:rsidRPr="001F0C7F">
        <w:rPr>
          <w:rFonts w:ascii="Times New Roman" w:hAnsi="Times New Roman" w:cs="Times New Roman"/>
          <w:lang w:val="es-ES" w:eastAsia="es-ES"/>
        </w:rPr>
        <w:t xml:space="preserve"> primer semestre en la gestión I/2024, lo cual permitió contar con una base de datos</w:t>
      </w:r>
      <w:r>
        <w:rPr>
          <w:rFonts w:ascii="Times New Roman" w:hAnsi="Times New Roman" w:cs="Times New Roman"/>
          <w:lang w:val="es-ES" w:eastAsia="es-ES"/>
        </w:rPr>
        <w:t xml:space="preserve"> conformada por 1126 casos,</w:t>
      </w:r>
      <w:r w:rsidRPr="001F0C7F">
        <w:rPr>
          <w:rFonts w:ascii="Times New Roman" w:hAnsi="Times New Roman" w:cs="Times New Roman"/>
          <w:lang w:val="es-ES" w:eastAsia="es-ES"/>
        </w:rPr>
        <w:t xml:space="preserve"> en la cual se destaca información sobre carrera,</w:t>
      </w:r>
      <w:r>
        <w:rPr>
          <w:rFonts w:ascii="Times New Roman" w:hAnsi="Times New Roman" w:cs="Times New Roman"/>
          <w:lang w:val="es-ES" w:eastAsia="es-ES"/>
        </w:rPr>
        <w:t xml:space="preserve"> </w:t>
      </w:r>
      <w:r w:rsidRPr="001F0C7F">
        <w:rPr>
          <w:rFonts w:ascii="Times New Roman" w:hAnsi="Times New Roman" w:cs="Times New Roman"/>
          <w:lang w:val="es-ES" w:eastAsia="es-ES"/>
        </w:rPr>
        <w:t>lugar de nacimiento, sexo, área de la unidad educativa</w:t>
      </w:r>
      <w:r w:rsidR="007017D6">
        <w:rPr>
          <w:rFonts w:ascii="Times New Roman" w:hAnsi="Times New Roman" w:cs="Times New Roman"/>
          <w:lang w:val="es-ES" w:eastAsia="es-ES"/>
        </w:rPr>
        <w:t xml:space="preserve"> de egreso</w:t>
      </w:r>
      <w:r w:rsidRPr="001F0C7F">
        <w:rPr>
          <w:rFonts w:ascii="Times New Roman" w:hAnsi="Times New Roman" w:cs="Times New Roman"/>
          <w:lang w:val="es-ES" w:eastAsia="es-ES"/>
        </w:rPr>
        <w:t xml:space="preserve"> (rural o urbano), dependencia de la unidad educativa (fiscal, privada, convenio)</w:t>
      </w:r>
      <w:r>
        <w:rPr>
          <w:rFonts w:ascii="Times New Roman" w:hAnsi="Times New Roman" w:cs="Times New Roman"/>
          <w:lang w:val="es-ES" w:eastAsia="es-ES"/>
        </w:rPr>
        <w:t xml:space="preserve">, número de materias aprobadas, reprobadas y promedio de notas. </w:t>
      </w:r>
      <w:r w:rsidR="007017D6">
        <w:rPr>
          <w:rFonts w:ascii="Times New Roman" w:hAnsi="Times New Roman" w:cs="Times New Roman"/>
          <w:lang w:val="es-ES" w:eastAsia="es-ES"/>
        </w:rPr>
        <w:t xml:space="preserve">Esta </w:t>
      </w:r>
      <w:r>
        <w:rPr>
          <w:rFonts w:ascii="Times New Roman" w:hAnsi="Times New Roman" w:cs="Times New Roman"/>
          <w:lang w:val="es-ES" w:eastAsia="es-ES"/>
        </w:rPr>
        <w:t xml:space="preserve">información </w:t>
      </w:r>
      <w:r w:rsidRPr="001F0C7F">
        <w:rPr>
          <w:rFonts w:ascii="Times New Roman" w:hAnsi="Times New Roman" w:cs="Times New Roman"/>
          <w:lang w:val="es-ES" w:eastAsia="es-ES"/>
        </w:rPr>
        <w:t>permit</w:t>
      </w:r>
      <w:r>
        <w:rPr>
          <w:rFonts w:ascii="Times New Roman" w:hAnsi="Times New Roman" w:cs="Times New Roman"/>
          <w:lang w:val="es-ES" w:eastAsia="es-ES"/>
        </w:rPr>
        <w:t xml:space="preserve">ió </w:t>
      </w:r>
      <w:r w:rsidRPr="001F0C7F">
        <w:rPr>
          <w:rFonts w:ascii="Times New Roman" w:hAnsi="Times New Roman" w:cs="Times New Roman"/>
          <w:lang w:val="es-ES" w:eastAsia="es-ES"/>
        </w:rPr>
        <w:t xml:space="preserve">realizar </w:t>
      </w:r>
      <w:r>
        <w:rPr>
          <w:rFonts w:ascii="Times New Roman" w:hAnsi="Times New Roman" w:cs="Times New Roman"/>
          <w:lang w:val="es-ES" w:eastAsia="es-ES"/>
        </w:rPr>
        <w:t xml:space="preserve">una descripción, </w:t>
      </w:r>
      <w:r w:rsidRPr="001F0C7F">
        <w:rPr>
          <w:rFonts w:ascii="Times New Roman" w:hAnsi="Times New Roman" w:cs="Times New Roman"/>
          <w:lang w:val="es-ES" w:eastAsia="es-ES"/>
        </w:rPr>
        <w:t xml:space="preserve">análisis e interpretaciones sobre la relación entre </w:t>
      </w:r>
      <w:r>
        <w:rPr>
          <w:rFonts w:ascii="Times New Roman" w:hAnsi="Times New Roman" w:cs="Times New Roman"/>
          <w:lang w:val="es-ES" w:eastAsia="es-ES"/>
        </w:rPr>
        <w:t>origen escolar</w:t>
      </w:r>
      <w:r w:rsidRPr="001F0C7F">
        <w:rPr>
          <w:rFonts w:ascii="Times New Roman" w:hAnsi="Times New Roman" w:cs="Times New Roman"/>
          <w:lang w:val="es-ES" w:eastAsia="es-ES"/>
        </w:rPr>
        <w:t xml:space="preserve"> y </w:t>
      </w:r>
      <w:r>
        <w:rPr>
          <w:rFonts w:ascii="Times New Roman" w:hAnsi="Times New Roman" w:cs="Times New Roman"/>
          <w:lang w:val="es-ES" w:eastAsia="es-ES"/>
        </w:rPr>
        <w:t>rendimiento académico</w:t>
      </w:r>
      <w:r w:rsidRPr="001F0C7F">
        <w:rPr>
          <w:rFonts w:ascii="Times New Roman" w:hAnsi="Times New Roman" w:cs="Times New Roman"/>
          <w:lang w:val="es-ES" w:eastAsia="es-ES"/>
        </w:rPr>
        <w:t xml:space="preserve">. </w:t>
      </w:r>
      <w:r>
        <w:rPr>
          <w:rFonts w:ascii="Times New Roman" w:hAnsi="Times New Roman" w:cs="Times New Roman"/>
          <w:lang w:val="es-ES" w:eastAsia="es-ES"/>
        </w:rPr>
        <w:t>La UTI es la instancia oficial facultativa encargada de la gestión tecnológica y el soporte informático dentro de la facultad. Su misión es facilitar el uso de las tecnologías de la información en los procesos académicos, administrativos y de investigación. Por lo cual los datos académicos de los estudiantes es una información confiable.</w:t>
      </w:r>
    </w:p>
    <w:p w14:paraId="2CF2A87C" w14:textId="77777777" w:rsidR="00B04DFE" w:rsidRDefault="00B04DFE" w:rsidP="00B04DFE">
      <w:pPr>
        <w:spacing w:line="240" w:lineRule="auto"/>
        <w:jc w:val="both"/>
        <w:rPr>
          <w:rFonts w:ascii="Times New Roman" w:hAnsi="Times New Roman" w:cs="Times New Roman"/>
          <w:lang w:val="es-ES" w:eastAsia="es-ES"/>
        </w:rPr>
      </w:pPr>
      <w:r>
        <w:rPr>
          <w:rFonts w:ascii="Times New Roman" w:hAnsi="Times New Roman" w:cs="Times New Roman"/>
          <w:lang w:val="es-ES" w:eastAsia="es-ES"/>
        </w:rPr>
        <w:t>Solamente se toma en cuenta a los/as alumnos/as del primer semestre porque se considera que ese momento inicial de su trayectoria académica visibiliza claramente la relación entre el tipo colegio de egreso y su rendimiento académico universitario.</w:t>
      </w:r>
    </w:p>
    <w:p w14:paraId="7436741C" w14:textId="450BCAC9" w:rsidR="00B04DFE" w:rsidRDefault="00B04DFE" w:rsidP="00B04DFE">
      <w:pPr>
        <w:spacing w:line="240" w:lineRule="auto"/>
        <w:jc w:val="both"/>
        <w:rPr>
          <w:rFonts w:ascii="Times New Roman" w:hAnsi="Times New Roman" w:cs="Times New Roman"/>
          <w:lang w:val="es-ES" w:eastAsia="es-ES"/>
        </w:rPr>
      </w:pPr>
      <w:r>
        <w:rPr>
          <w:rFonts w:ascii="Times New Roman" w:hAnsi="Times New Roman" w:cs="Times New Roman"/>
          <w:lang w:val="es-ES" w:eastAsia="es-ES"/>
        </w:rPr>
        <w:t xml:space="preserve">Con esa base de datos, en un primer momento, se realizaron análisis de frecuencias simples, para caracterizar esta población según la carrera que estudiaban, la dependencia de la unidad educativa de egreso (fiscal, privada, convenio) y procedencia de los alumnos/as (municipio de nacimiento). En un segundo momento, se realizaron cruces de variables entre el tipo y ubicación de unidad educativa de egreso y el número de materias aprobadas, reprobadas y promedios de notas, lo que permitió relacionar el origen escolar con el rendimiento académico de los/as estudiantes. </w:t>
      </w:r>
    </w:p>
    <w:p w14:paraId="681158EB" w14:textId="77777777" w:rsidR="00B04DFE" w:rsidRPr="00F95E96" w:rsidRDefault="00B04DFE" w:rsidP="00B04DFE">
      <w:pPr>
        <w:pStyle w:val="Heading2"/>
        <w:numPr>
          <w:ilvl w:val="0"/>
          <w:numId w:val="1"/>
        </w:numPr>
        <w:spacing w:line="240" w:lineRule="auto"/>
        <w:rPr>
          <w:rFonts w:ascii="Times New Roman" w:hAnsi="Times New Roman" w:cs="Times New Roman"/>
          <w:b/>
          <w:bCs/>
          <w:color w:val="auto"/>
          <w:sz w:val="24"/>
          <w:szCs w:val="24"/>
        </w:rPr>
      </w:pPr>
      <w:r w:rsidRPr="00F95E96">
        <w:rPr>
          <w:rFonts w:ascii="Times New Roman" w:hAnsi="Times New Roman" w:cs="Times New Roman"/>
          <w:b/>
          <w:bCs/>
          <w:color w:val="auto"/>
          <w:sz w:val="24"/>
          <w:szCs w:val="24"/>
        </w:rPr>
        <w:t>Resultados</w:t>
      </w:r>
    </w:p>
    <w:p w14:paraId="7C8D2E39" w14:textId="71671BA4" w:rsidR="00B04DFE" w:rsidRPr="00692EBE" w:rsidRDefault="00B04DFE" w:rsidP="00B04DFE">
      <w:pPr>
        <w:spacing w:line="240" w:lineRule="auto"/>
        <w:jc w:val="both"/>
        <w:rPr>
          <w:rFonts w:ascii="Times New Roman" w:hAnsi="Times New Roman" w:cs="Times New Roman"/>
        </w:rPr>
      </w:pPr>
      <w:r w:rsidRPr="00692EBE">
        <w:rPr>
          <w:rFonts w:ascii="Times New Roman" w:hAnsi="Times New Roman" w:cs="Times New Roman"/>
        </w:rPr>
        <w:t>Esta sección consta d</w:t>
      </w:r>
      <w:r w:rsidR="009B70EF">
        <w:rPr>
          <w:rFonts w:ascii="Times New Roman" w:hAnsi="Times New Roman" w:cs="Times New Roman"/>
        </w:rPr>
        <w:t>e tres</w:t>
      </w:r>
      <w:r>
        <w:rPr>
          <w:rFonts w:ascii="Times New Roman" w:hAnsi="Times New Roman" w:cs="Times New Roman"/>
        </w:rPr>
        <w:t xml:space="preserve"> </w:t>
      </w:r>
      <w:r w:rsidRPr="00692EBE">
        <w:rPr>
          <w:rFonts w:ascii="Times New Roman" w:hAnsi="Times New Roman" w:cs="Times New Roman"/>
        </w:rPr>
        <w:t xml:space="preserve">partes. En la primera, se describe brevemente el contexto institucional de la investigación. </w:t>
      </w:r>
      <w:r w:rsidR="009B70EF">
        <w:rPr>
          <w:rFonts w:ascii="Times New Roman" w:hAnsi="Times New Roman" w:cs="Times New Roman"/>
        </w:rPr>
        <w:t xml:space="preserve">En la segunda, se aborda las características y el desempeño académico de los postulantes a la FHCE según su origen escolar. </w:t>
      </w:r>
      <w:r>
        <w:rPr>
          <w:rFonts w:ascii="Times New Roman" w:hAnsi="Times New Roman" w:cs="Times New Roman"/>
        </w:rPr>
        <w:t>Finalmente, e</w:t>
      </w:r>
      <w:r w:rsidRPr="00692EBE">
        <w:rPr>
          <w:rFonts w:ascii="Times New Roman" w:hAnsi="Times New Roman" w:cs="Times New Roman"/>
        </w:rPr>
        <w:t>n la tercer</w:t>
      </w:r>
      <w:r>
        <w:rPr>
          <w:rFonts w:ascii="Times New Roman" w:hAnsi="Times New Roman" w:cs="Times New Roman"/>
        </w:rPr>
        <w:t>a</w:t>
      </w:r>
      <w:r w:rsidRPr="00692EBE">
        <w:rPr>
          <w:rFonts w:ascii="Times New Roman" w:hAnsi="Times New Roman" w:cs="Times New Roman"/>
        </w:rPr>
        <w:t xml:space="preserve"> parte se </w:t>
      </w:r>
      <w:r w:rsidR="009B70EF">
        <w:rPr>
          <w:rFonts w:ascii="Times New Roman" w:hAnsi="Times New Roman" w:cs="Times New Roman"/>
        </w:rPr>
        <w:t xml:space="preserve">caracteriza a los estudiantes de primer semestre, es decir, a los que lograron ingresar a la Facultad y se </w:t>
      </w:r>
      <w:r w:rsidRPr="00692EBE">
        <w:rPr>
          <w:rFonts w:ascii="Times New Roman" w:hAnsi="Times New Roman" w:cs="Times New Roman"/>
        </w:rPr>
        <w:t xml:space="preserve">analiza la información sobre </w:t>
      </w:r>
      <w:r w:rsidR="009B70EF">
        <w:rPr>
          <w:rFonts w:ascii="Times New Roman" w:hAnsi="Times New Roman" w:cs="Times New Roman"/>
        </w:rPr>
        <w:t xml:space="preserve">su </w:t>
      </w:r>
      <w:r>
        <w:rPr>
          <w:rFonts w:ascii="Times New Roman" w:hAnsi="Times New Roman" w:cs="Times New Roman"/>
        </w:rPr>
        <w:t>rendimiento</w:t>
      </w:r>
      <w:r w:rsidRPr="00692EBE">
        <w:rPr>
          <w:rFonts w:ascii="Times New Roman" w:hAnsi="Times New Roman" w:cs="Times New Roman"/>
        </w:rPr>
        <w:t xml:space="preserve"> académico y origen escolar. </w:t>
      </w:r>
    </w:p>
    <w:p w14:paraId="4F332E67" w14:textId="77777777" w:rsidR="00B04DFE" w:rsidRPr="007017D6" w:rsidRDefault="00B04DFE" w:rsidP="00B04DFE">
      <w:pPr>
        <w:pStyle w:val="Heading3"/>
        <w:numPr>
          <w:ilvl w:val="1"/>
          <w:numId w:val="1"/>
        </w:numPr>
        <w:spacing w:line="240" w:lineRule="auto"/>
        <w:rPr>
          <w:rFonts w:ascii="Times New Roman" w:hAnsi="Times New Roman" w:cs="Times New Roman"/>
          <w:b/>
          <w:bCs/>
          <w:color w:val="auto"/>
          <w:sz w:val="24"/>
          <w:szCs w:val="24"/>
        </w:rPr>
      </w:pPr>
      <w:r w:rsidRPr="007017D6">
        <w:rPr>
          <w:rFonts w:ascii="Times New Roman" w:hAnsi="Times New Roman" w:cs="Times New Roman"/>
          <w:b/>
          <w:bCs/>
          <w:color w:val="auto"/>
          <w:sz w:val="24"/>
          <w:szCs w:val="24"/>
        </w:rPr>
        <w:t>Contexto institucional: la universidad boliviana, la UMSS y la FHCE</w:t>
      </w:r>
    </w:p>
    <w:p w14:paraId="7987FC42" w14:textId="77777777" w:rsidR="00B04DFE" w:rsidRDefault="00B04DFE" w:rsidP="00B04DFE">
      <w:pPr>
        <w:pStyle w:val="NormalWeb"/>
        <w:spacing w:before="0" w:beforeAutospacing="0" w:after="0" w:afterAutospacing="0"/>
        <w:ind w:left="360"/>
      </w:pPr>
    </w:p>
    <w:p w14:paraId="70E55DD2" w14:textId="77777777" w:rsidR="00B04DFE" w:rsidRDefault="00B04DFE" w:rsidP="00B04DFE">
      <w:pPr>
        <w:pStyle w:val="NormalWeb"/>
        <w:spacing w:before="0" w:beforeAutospacing="0" w:after="0" w:afterAutospacing="0"/>
        <w:jc w:val="both"/>
      </w:pPr>
      <w:r>
        <w:rPr>
          <w:color w:val="000000"/>
        </w:rPr>
        <w:t>El Sistema de la Universidad Boliviana (SUB) está conformado por once universidades públicas autónomas bajo el régimen de cogobierno docente estudiantil, que están ubicadas en las diferentes regiones del país. La autonomía universitaria es un derecho que permite a las universidades administrarse a sí mismas, es decir, que incluye la elección de autoridades, la creación de sus propios planes y programas, y la administración de su patrimonio. El cogobierno paritario consiste en la participación democrática de profesores y estudiantes en todos los niveles de gobierno y decisión de la universidad (Universidad Mayor de San Simón, 1990).</w:t>
      </w:r>
    </w:p>
    <w:p w14:paraId="2A4D2638" w14:textId="77777777" w:rsidR="00B04DFE" w:rsidRDefault="00B04DFE" w:rsidP="00B04DFE">
      <w:pPr>
        <w:pStyle w:val="NormalWeb"/>
        <w:spacing w:before="0" w:beforeAutospacing="0" w:after="0" w:afterAutospacing="0"/>
        <w:jc w:val="both"/>
      </w:pPr>
      <w:r>
        <w:rPr>
          <w:color w:val="000000"/>
        </w:rPr>
        <w:lastRenderedPageBreak/>
        <w:t>La mayoría de estas universidades ofrecen principalmente programas de licenciatura y posgrado, sin embargo, algunas también cuentan con carreras a nivel técnico superior, lo que permite a la población boliviana acceder a la educación superior de forma más asequible, dado que los costos son menores (Comité Ejecutivo de la Universidad Boliviana, 2023). </w:t>
      </w:r>
    </w:p>
    <w:p w14:paraId="6CBFFF98" w14:textId="77777777" w:rsidR="00B04DFE" w:rsidRDefault="00B04DFE" w:rsidP="00B04DFE">
      <w:pPr>
        <w:pStyle w:val="NormalWeb"/>
        <w:spacing w:before="0" w:beforeAutospacing="0" w:after="0" w:afterAutospacing="0"/>
        <w:jc w:val="both"/>
      </w:pPr>
      <w:r>
        <w:rPr>
          <w:color w:val="000000"/>
        </w:rPr>
        <w:t>Una de estas instituciones es la UMSS que se ubica en la ciudad de Cochabamba, que desarrolla actividades de enseñanza aprendizaje, investigación científica y tecnológica e interacción social (Universidad Mayor de San Simón, 1990, p.1). En 2023, la UMSS contaba con 82.787 estudiantes inscritos distribuidos en quince facultades (Universidad Mayor de San Simón, 2025).</w:t>
      </w:r>
    </w:p>
    <w:p w14:paraId="59F67F6F" w14:textId="2BA5B7D2" w:rsidR="009B70EF" w:rsidRDefault="00B04DFE" w:rsidP="00B04DFE">
      <w:pPr>
        <w:pStyle w:val="NormalWeb"/>
        <w:spacing w:before="0" w:beforeAutospacing="0" w:after="0" w:afterAutospacing="0"/>
        <w:jc w:val="both"/>
        <w:rPr>
          <w:color w:val="000000"/>
        </w:rPr>
      </w:pPr>
      <w:r>
        <w:rPr>
          <w:color w:val="000000"/>
        </w:rPr>
        <w:t>El espacio en el cual se realizó la investigación fue la FHCE que ofrece las carreras a nivel licenciatura en Ciencias de la Educación, Psicología, Trabajo Social, Comunicación Social y Lingüística Aplicada a la Enseñanza de Lenguas (LAEL). Además, cuenta con programas en Ciencias de la Actividad Física y del Deporte (</w:t>
      </w:r>
      <w:proofErr w:type="spellStart"/>
      <w:r>
        <w:rPr>
          <w:color w:val="000000"/>
        </w:rPr>
        <w:t>CAFyD</w:t>
      </w:r>
      <w:proofErr w:type="spellEnd"/>
      <w:r>
        <w:rPr>
          <w:color w:val="000000"/>
        </w:rPr>
        <w:t>), Música y Parvulario. Para la gestión 2023, contaba con 10.549 estudiantes inscritos, que representaban aproximadamente el 12% de la población universitaria (Universidad Mayor de San Simón, 2025). El ingreso a estas carreras se realiza principalmente mediante un examen de conocimientos y/o un curso preuniversitario.</w:t>
      </w:r>
    </w:p>
    <w:p w14:paraId="46742840" w14:textId="70D4B80D" w:rsidR="009B70EF" w:rsidRPr="009B70EF" w:rsidRDefault="009B70EF" w:rsidP="009B70EF">
      <w:pPr>
        <w:pStyle w:val="Heading3"/>
        <w:numPr>
          <w:ilvl w:val="1"/>
          <w:numId w:val="1"/>
        </w:numPr>
        <w:rPr>
          <w:rFonts w:ascii="Times New Roman" w:hAnsi="Times New Roman" w:cs="Times New Roman"/>
          <w:b/>
          <w:bCs/>
          <w:color w:val="auto"/>
          <w:sz w:val="24"/>
          <w:szCs w:val="24"/>
        </w:rPr>
      </w:pPr>
      <w:r>
        <w:rPr>
          <w:rFonts w:ascii="Times New Roman" w:hAnsi="Times New Roman" w:cs="Times New Roman"/>
          <w:b/>
          <w:bCs/>
          <w:color w:val="auto"/>
          <w:sz w:val="24"/>
          <w:szCs w:val="24"/>
        </w:rPr>
        <w:t>Acceso y desempeño académico: los postulantes a la FHCE</w:t>
      </w:r>
    </w:p>
    <w:p w14:paraId="7138F99C" w14:textId="77777777" w:rsidR="009B70EF" w:rsidRPr="00455D26" w:rsidRDefault="009B70EF" w:rsidP="009B70EF">
      <w:pPr>
        <w:spacing w:line="240" w:lineRule="auto"/>
        <w:jc w:val="both"/>
        <w:rPr>
          <w:rFonts w:ascii="Times New Roman" w:hAnsi="Times New Roman" w:cs="Times New Roman"/>
        </w:rPr>
      </w:pPr>
      <w:r>
        <w:rPr>
          <w:rFonts w:ascii="Times New Roman" w:hAnsi="Times New Roman" w:cs="Times New Roman"/>
        </w:rPr>
        <w:t>Un primer acercamiento a las características generales de los postulantes a la FHCE de la gestión 1/2024 muestra que las/os bachilleres que optan por las carreras de esta facultad son principalmente mujeres (72%) y un 99% de los mismas/os son solteras/os.</w:t>
      </w:r>
    </w:p>
    <w:p w14:paraId="31CCD820" w14:textId="77777777" w:rsidR="009B70EF" w:rsidRPr="00455D26" w:rsidRDefault="009B70EF" w:rsidP="009B70EF">
      <w:pPr>
        <w:spacing w:line="240" w:lineRule="auto"/>
        <w:jc w:val="both"/>
        <w:rPr>
          <w:rFonts w:ascii="Times New Roman" w:hAnsi="Times New Roman" w:cs="Times New Roman"/>
        </w:rPr>
      </w:pPr>
      <w:r>
        <w:rPr>
          <w:rFonts w:ascii="Times New Roman" w:hAnsi="Times New Roman" w:cs="Times New Roman"/>
        </w:rPr>
        <w:t>Con respecto a su situación laboral, aproximadamente nueve de cada diez postulantes no trabajan y un 39% de los mismos tiene entre 17-19 años y un 59% tienen entre 20-35 años, es decir, un 98% de los postulantes son menores de 35 años. Entonces, se está ante un población joven y dependiente económicamente.</w:t>
      </w:r>
    </w:p>
    <w:p w14:paraId="1A8C003F" w14:textId="52432C2F" w:rsidR="009B70EF" w:rsidRDefault="009B70EF" w:rsidP="009B70EF">
      <w:pPr>
        <w:spacing w:line="240" w:lineRule="auto"/>
        <w:jc w:val="both"/>
        <w:rPr>
          <w:rFonts w:ascii="Times New Roman" w:hAnsi="Times New Roman" w:cs="Times New Roman"/>
        </w:rPr>
      </w:pPr>
      <w:r>
        <w:rPr>
          <w:rFonts w:ascii="Times New Roman" w:hAnsi="Times New Roman" w:cs="Times New Roman"/>
        </w:rPr>
        <w:t xml:space="preserve">Del total de postulantes, casi la totalidad son originarios de Bolivia, apenas un 2% son extranjeros o bolivianos nacidos en el extranjero. Lo cual muestra que la universidad pública boliviana es una institución que oferta educación superior fundamentalmente a la población nacional, particularmente, a la proveniente de la región de Cochabamba, pues un 81,41% de los postulantes son de este departamento. </w:t>
      </w:r>
    </w:p>
    <w:p w14:paraId="36E72B44" w14:textId="3AA00B39" w:rsidR="009B70EF" w:rsidRDefault="0053073D" w:rsidP="009B70EF">
      <w:pPr>
        <w:spacing w:line="240" w:lineRule="auto"/>
        <w:jc w:val="both"/>
        <w:rPr>
          <w:rFonts w:ascii="Times New Roman" w:hAnsi="Times New Roman" w:cs="Times New Roman"/>
        </w:rPr>
      </w:pPr>
      <w:r>
        <w:rPr>
          <w:rFonts w:ascii="Times New Roman" w:hAnsi="Times New Roman" w:cs="Times New Roman"/>
        </w:rPr>
        <w:t>A</w:t>
      </w:r>
      <w:r w:rsidR="009B70EF">
        <w:rPr>
          <w:rFonts w:ascii="Times New Roman" w:hAnsi="Times New Roman" w:cs="Times New Roman"/>
        </w:rPr>
        <w:t>proximadamente</w:t>
      </w:r>
      <w:r>
        <w:rPr>
          <w:rFonts w:ascii="Times New Roman" w:hAnsi="Times New Roman" w:cs="Times New Roman"/>
        </w:rPr>
        <w:t>, siete de cada diez</w:t>
      </w:r>
      <w:r w:rsidR="009B70EF">
        <w:rPr>
          <w:rFonts w:ascii="Times New Roman" w:hAnsi="Times New Roman" w:cs="Times New Roman"/>
        </w:rPr>
        <w:t xml:space="preserve"> postulantes provienen de la región metropolitana de Cochabamba, es decir, que son del área urbana. Una décima parte de los postulantes proceden de las otras cuatro regiones del departamento, es decir, del área rural. Asimismo, 8,93% de los postulantes proceden de áreas urbanas de otros departamentos y un 8,07% proceden de áreas rurales de otros departamentos.  </w:t>
      </w:r>
    </w:p>
    <w:p w14:paraId="66FF70A6" w14:textId="77777777" w:rsidR="005065F4" w:rsidRDefault="005065F4" w:rsidP="009B70EF">
      <w:pPr>
        <w:spacing w:after="0" w:line="240" w:lineRule="auto"/>
        <w:jc w:val="both"/>
        <w:rPr>
          <w:rFonts w:ascii="Times New Roman" w:hAnsi="Times New Roman" w:cs="Times New Roman"/>
          <w:b/>
          <w:bCs/>
        </w:rPr>
      </w:pPr>
    </w:p>
    <w:p w14:paraId="1670D5CE" w14:textId="77777777" w:rsidR="005065F4" w:rsidRDefault="005065F4" w:rsidP="009B70EF">
      <w:pPr>
        <w:spacing w:after="0" w:line="240" w:lineRule="auto"/>
        <w:jc w:val="both"/>
        <w:rPr>
          <w:rFonts w:ascii="Times New Roman" w:hAnsi="Times New Roman" w:cs="Times New Roman"/>
          <w:b/>
          <w:bCs/>
        </w:rPr>
      </w:pPr>
    </w:p>
    <w:p w14:paraId="49EC84AA" w14:textId="77777777" w:rsidR="005065F4" w:rsidRDefault="005065F4" w:rsidP="009B70EF">
      <w:pPr>
        <w:spacing w:after="0" w:line="240" w:lineRule="auto"/>
        <w:jc w:val="both"/>
        <w:rPr>
          <w:rFonts w:ascii="Times New Roman" w:hAnsi="Times New Roman" w:cs="Times New Roman"/>
          <w:b/>
          <w:bCs/>
        </w:rPr>
      </w:pPr>
    </w:p>
    <w:p w14:paraId="4B6FEDEE" w14:textId="77777777" w:rsidR="005065F4" w:rsidRDefault="005065F4" w:rsidP="009B70EF">
      <w:pPr>
        <w:spacing w:after="0" w:line="240" w:lineRule="auto"/>
        <w:jc w:val="both"/>
        <w:rPr>
          <w:rFonts w:ascii="Times New Roman" w:hAnsi="Times New Roman" w:cs="Times New Roman"/>
          <w:b/>
          <w:bCs/>
        </w:rPr>
      </w:pPr>
    </w:p>
    <w:p w14:paraId="60C57226" w14:textId="77777777" w:rsidR="005065F4" w:rsidRDefault="005065F4" w:rsidP="009B70EF">
      <w:pPr>
        <w:spacing w:after="0" w:line="240" w:lineRule="auto"/>
        <w:jc w:val="both"/>
        <w:rPr>
          <w:rFonts w:ascii="Times New Roman" w:hAnsi="Times New Roman" w:cs="Times New Roman"/>
          <w:b/>
          <w:bCs/>
        </w:rPr>
      </w:pPr>
    </w:p>
    <w:p w14:paraId="034F431B" w14:textId="77777777" w:rsidR="005065F4" w:rsidRDefault="005065F4" w:rsidP="009B70EF">
      <w:pPr>
        <w:spacing w:after="0" w:line="240" w:lineRule="auto"/>
        <w:jc w:val="both"/>
        <w:rPr>
          <w:rFonts w:ascii="Times New Roman" w:hAnsi="Times New Roman" w:cs="Times New Roman"/>
          <w:b/>
          <w:bCs/>
        </w:rPr>
      </w:pPr>
    </w:p>
    <w:p w14:paraId="5D73A6D8" w14:textId="11B90DB3" w:rsidR="009B70EF" w:rsidRPr="006655D5" w:rsidRDefault="009B70EF" w:rsidP="009B70EF">
      <w:pPr>
        <w:spacing w:after="0" w:line="240" w:lineRule="auto"/>
        <w:jc w:val="both"/>
        <w:rPr>
          <w:rFonts w:ascii="Times New Roman" w:hAnsi="Times New Roman" w:cs="Times New Roman"/>
          <w:b/>
          <w:bCs/>
        </w:rPr>
      </w:pPr>
      <w:r w:rsidRPr="006655D5">
        <w:rPr>
          <w:rFonts w:ascii="Times New Roman" w:hAnsi="Times New Roman" w:cs="Times New Roman"/>
          <w:b/>
          <w:bCs/>
        </w:rPr>
        <w:lastRenderedPageBreak/>
        <w:t>Figura 1</w:t>
      </w:r>
    </w:p>
    <w:p w14:paraId="38D48FD3" w14:textId="77777777" w:rsidR="009B70EF" w:rsidRPr="00552130" w:rsidRDefault="009B70EF" w:rsidP="009B70EF">
      <w:pPr>
        <w:spacing w:after="0" w:line="240" w:lineRule="auto"/>
        <w:jc w:val="both"/>
        <w:rPr>
          <w:rFonts w:ascii="Times New Roman" w:hAnsi="Times New Roman" w:cs="Times New Roman"/>
          <w:i/>
          <w:iCs/>
        </w:rPr>
      </w:pPr>
      <w:r w:rsidRPr="00552130">
        <w:rPr>
          <w:rFonts w:ascii="Times New Roman" w:hAnsi="Times New Roman" w:cs="Times New Roman"/>
          <w:i/>
          <w:iCs/>
        </w:rPr>
        <w:t>Porcentaje postulantes FHCE 1/2024 según región de nacimiento</w:t>
      </w:r>
    </w:p>
    <w:p w14:paraId="4D9E65F2" w14:textId="77777777" w:rsidR="009B70EF" w:rsidRDefault="009B70EF" w:rsidP="009B70EF">
      <w:pPr>
        <w:spacing w:line="240" w:lineRule="auto"/>
      </w:pPr>
      <w:r>
        <w:rPr>
          <w:noProof/>
        </w:rPr>
        <w:drawing>
          <wp:inline distT="0" distB="0" distL="0" distR="0" wp14:anchorId="3992D987" wp14:editId="51AFD38D">
            <wp:extent cx="5054600" cy="2355850"/>
            <wp:effectExtent l="0" t="0" r="12700" b="6350"/>
            <wp:docPr id="177422192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B9DC04" w14:textId="77777777" w:rsidR="009B70EF" w:rsidRPr="00552130" w:rsidRDefault="009B70EF" w:rsidP="009B70EF">
      <w:pPr>
        <w:spacing w:line="240" w:lineRule="auto"/>
        <w:rPr>
          <w:rFonts w:ascii="Times New Roman" w:hAnsi="Times New Roman" w:cs="Times New Roman"/>
        </w:rPr>
      </w:pPr>
      <w:r w:rsidRPr="00552130">
        <w:rPr>
          <w:rFonts w:ascii="Times New Roman" w:hAnsi="Times New Roman" w:cs="Times New Roman"/>
        </w:rPr>
        <w:t>Nota: Elaboración propia</w:t>
      </w:r>
    </w:p>
    <w:p w14:paraId="2B0A960F" w14:textId="4C590862" w:rsidR="009B70EF" w:rsidRDefault="009B70EF" w:rsidP="009B70EF">
      <w:pPr>
        <w:spacing w:line="240" w:lineRule="auto"/>
        <w:jc w:val="both"/>
        <w:rPr>
          <w:rFonts w:ascii="Times New Roman" w:hAnsi="Times New Roman" w:cs="Times New Roman"/>
        </w:rPr>
      </w:pPr>
      <w:r>
        <w:rPr>
          <w:rFonts w:ascii="Times New Roman" w:hAnsi="Times New Roman" w:cs="Times New Roman"/>
        </w:rPr>
        <w:t>La información disponible muestra que los colegios</w:t>
      </w:r>
      <w:r w:rsidR="00415F1C">
        <w:rPr>
          <w:rFonts w:ascii="Times New Roman" w:hAnsi="Times New Roman" w:cs="Times New Roman"/>
        </w:rPr>
        <w:t xml:space="preserve"> de egreso de los/as postulantes</w:t>
      </w:r>
      <w:r>
        <w:rPr>
          <w:rFonts w:ascii="Times New Roman" w:hAnsi="Times New Roman" w:cs="Times New Roman"/>
        </w:rPr>
        <w:t xml:space="preserve"> están mayoritariamente en el ámbito urbano (83%). </w:t>
      </w:r>
      <w:r w:rsidR="00415F1C">
        <w:rPr>
          <w:rFonts w:ascii="Times New Roman" w:hAnsi="Times New Roman" w:cs="Times New Roman"/>
        </w:rPr>
        <w:t>Por otra parte, la mayoría proviene de establecimiento de carácter fiscal</w:t>
      </w:r>
      <w:r>
        <w:rPr>
          <w:rFonts w:ascii="Times New Roman" w:hAnsi="Times New Roman" w:cs="Times New Roman"/>
        </w:rPr>
        <w:t xml:space="preserve"> o de convenio (85%), solamente provienen de colegios privados un 15% de los postulantes.</w:t>
      </w:r>
    </w:p>
    <w:p w14:paraId="502B8142" w14:textId="77777777" w:rsidR="009B70EF" w:rsidRPr="006655D5" w:rsidRDefault="009B70EF" w:rsidP="009B70EF">
      <w:pPr>
        <w:spacing w:after="0" w:line="240" w:lineRule="auto"/>
        <w:jc w:val="both"/>
        <w:rPr>
          <w:rFonts w:ascii="Times New Roman" w:hAnsi="Times New Roman" w:cs="Times New Roman"/>
          <w:b/>
          <w:bCs/>
        </w:rPr>
      </w:pPr>
      <w:r w:rsidRPr="006655D5">
        <w:rPr>
          <w:rFonts w:ascii="Times New Roman" w:hAnsi="Times New Roman" w:cs="Times New Roman"/>
          <w:b/>
          <w:bCs/>
        </w:rPr>
        <w:t>Figura 2</w:t>
      </w:r>
    </w:p>
    <w:p w14:paraId="300AA994" w14:textId="77777777" w:rsidR="009B70EF" w:rsidRPr="00552130" w:rsidRDefault="009B70EF" w:rsidP="009B70EF">
      <w:pPr>
        <w:spacing w:after="0" w:line="240" w:lineRule="auto"/>
        <w:jc w:val="both"/>
        <w:rPr>
          <w:i/>
          <w:iCs/>
        </w:rPr>
      </w:pPr>
      <w:r w:rsidRPr="00552130">
        <w:rPr>
          <w:rFonts w:ascii="Times New Roman" w:hAnsi="Times New Roman" w:cs="Times New Roman"/>
          <w:i/>
          <w:iCs/>
        </w:rPr>
        <w:t>Postulantes FHCE 1/2024. Dependencia unidad educativa de egreso</w:t>
      </w:r>
    </w:p>
    <w:p w14:paraId="24185C1F" w14:textId="77777777" w:rsidR="009B70EF" w:rsidRDefault="009B70EF" w:rsidP="009B70EF">
      <w:pPr>
        <w:spacing w:line="240" w:lineRule="auto"/>
      </w:pPr>
      <w:r>
        <w:t xml:space="preserve"> </w:t>
      </w:r>
      <w:r>
        <w:rPr>
          <w:noProof/>
        </w:rPr>
        <w:drawing>
          <wp:inline distT="0" distB="0" distL="0" distR="0" wp14:anchorId="6153BB50" wp14:editId="6445C5E6">
            <wp:extent cx="3983990" cy="1964871"/>
            <wp:effectExtent l="0" t="0" r="16510" b="16510"/>
            <wp:docPr id="56872766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t xml:space="preserve">   </w:t>
      </w:r>
    </w:p>
    <w:p w14:paraId="5592E46E" w14:textId="77777777" w:rsidR="009B70EF" w:rsidRPr="00552130" w:rsidRDefault="009B70EF" w:rsidP="009B70EF">
      <w:pPr>
        <w:spacing w:line="240" w:lineRule="auto"/>
        <w:rPr>
          <w:rFonts w:ascii="Times New Roman" w:hAnsi="Times New Roman" w:cs="Times New Roman"/>
        </w:rPr>
      </w:pPr>
      <w:r w:rsidRPr="00552130">
        <w:rPr>
          <w:rFonts w:ascii="Times New Roman" w:hAnsi="Times New Roman" w:cs="Times New Roman"/>
        </w:rPr>
        <w:t xml:space="preserve">Nota: Elaboración propia                                         </w:t>
      </w:r>
    </w:p>
    <w:p w14:paraId="229E4110" w14:textId="4CDBCB87" w:rsidR="009B70EF" w:rsidRDefault="009B70EF" w:rsidP="009B70EF">
      <w:pPr>
        <w:spacing w:line="240" w:lineRule="auto"/>
        <w:jc w:val="both"/>
        <w:rPr>
          <w:rFonts w:ascii="Times New Roman" w:hAnsi="Times New Roman" w:cs="Times New Roman"/>
        </w:rPr>
      </w:pPr>
      <w:bookmarkStart w:id="1" w:name="_Hlk172296890"/>
      <w:r>
        <w:rPr>
          <w:rFonts w:ascii="Times New Roman" w:hAnsi="Times New Roman" w:cs="Times New Roman"/>
        </w:rPr>
        <w:t>En lo que respecta a la elección de carrera, un poco más del 60% postuló a tres carreras: Parvulario, Lingüística aplicada a la Enseñanza de Lenguas (LAEL) y Ciencias de la Actividad Física y del Deporte. Un 35,89% postuló a las carreras de Psicología, Ciencias de la Educación y Comunicación Social y apenas un 3,64% a las carreras de Trabajo Social y Música.</w:t>
      </w:r>
      <w:bookmarkEnd w:id="1"/>
      <w:r w:rsidR="00415F1C">
        <w:rPr>
          <w:rFonts w:ascii="Times New Roman" w:hAnsi="Times New Roman" w:cs="Times New Roman"/>
        </w:rPr>
        <w:t xml:space="preserve"> </w:t>
      </w:r>
      <w:r>
        <w:rPr>
          <w:rFonts w:ascii="Times New Roman" w:hAnsi="Times New Roman" w:cs="Times New Roman"/>
        </w:rPr>
        <w:t>De los 1657 postulantes fueron admitidos 1157 y 500 no ingresaron, 70% y 30%, respectivamente.</w:t>
      </w:r>
    </w:p>
    <w:p w14:paraId="7D407F1B" w14:textId="12CE0355" w:rsidR="009B70EF" w:rsidRPr="005065F4" w:rsidRDefault="00415F1C" w:rsidP="005065F4">
      <w:pPr>
        <w:spacing w:line="240" w:lineRule="auto"/>
        <w:jc w:val="both"/>
        <w:rPr>
          <w:rFonts w:ascii="Times New Roman" w:hAnsi="Times New Roman" w:cs="Times New Roman"/>
        </w:rPr>
      </w:pPr>
      <w:r>
        <w:rPr>
          <w:rFonts w:ascii="Times New Roman" w:hAnsi="Times New Roman" w:cs="Times New Roman"/>
        </w:rPr>
        <w:lastRenderedPageBreak/>
        <w:t>En lo que respecta a su desempeño académico</w:t>
      </w:r>
      <w:r w:rsidR="001970C5">
        <w:rPr>
          <w:rFonts w:ascii="Times New Roman" w:hAnsi="Times New Roman" w:cs="Times New Roman"/>
        </w:rPr>
        <w:t>,</w:t>
      </w:r>
      <w:r>
        <w:rPr>
          <w:rFonts w:ascii="Times New Roman" w:hAnsi="Times New Roman" w:cs="Times New Roman"/>
        </w:rPr>
        <w:t xml:space="preserve"> </w:t>
      </w:r>
      <w:r w:rsidR="001970C5">
        <w:rPr>
          <w:rFonts w:ascii="Times New Roman" w:hAnsi="Times New Roman" w:cs="Times New Roman"/>
        </w:rPr>
        <w:t>l</w:t>
      </w:r>
      <w:r w:rsidR="009B70EF">
        <w:rPr>
          <w:rFonts w:ascii="Times New Roman" w:hAnsi="Times New Roman" w:cs="Times New Roman"/>
        </w:rPr>
        <w:t xml:space="preserve">a mayoría de los postulantes admitidos proceden de unidades educativas fiscales y de convenio. Los postulantes admitidos provenientes de </w:t>
      </w:r>
      <w:r w:rsidR="001970C5">
        <w:rPr>
          <w:rFonts w:ascii="Times New Roman" w:hAnsi="Times New Roman" w:cs="Times New Roman"/>
        </w:rPr>
        <w:t>colegios</w:t>
      </w:r>
      <w:r w:rsidR="009B70EF">
        <w:rPr>
          <w:rFonts w:ascii="Times New Roman" w:hAnsi="Times New Roman" w:cs="Times New Roman"/>
        </w:rPr>
        <w:t xml:space="preserve"> privad</w:t>
      </w:r>
      <w:r w:rsidR="001970C5">
        <w:rPr>
          <w:rFonts w:ascii="Times New Roman" w:hAnsi="Times New Roman" w:cs="Times New Roman"/>
        </w:rPr>
        <w:t>o</w:t>
      </w:r>
      <w:r w:rsidR="009B70EF">
        <w:rPr>
          <w:rFonts w:ascii="Times New Roman" w:hAnsi="Times New Roman" w:cs="Times New Roman"/>
        </w:rPr>
        <w:t xml:space="preserve">s son la minoría. Si se realiza un análisis de la información a partir del porcentaje de los postulantes según admitidos o no y dependencia de la unidad educativa, se puede evidenciar que los postulantes de los colegios privados tuvieron más éxito que los postulantes de los colegios </w:t>
      </w:r>
      <w:r w:rsidR="001970C5">
        <w:rPr>
          <w:rFonts w:ascii="Times New Roman" w:hAnsi="Times New Roman" w:cs="Times New Roman"/>
        </w:rPr>
        <w:t>fiscales</w:t>
      </w:r>
      <w:r w:rsidR="009B70EF">
        <w:rPr>
          <w:rFonts w:ascii="Times New Roman" w:hAnsi="Times New Roman" w:cs="Times New Roman"/>
        </w:rPr>
        <w:t xml:space="preserve"> y de convenio.</w:t>
      </w:r>
    </w:p>
    <w:p w14:paraId="2E593B00" w14:textId="77777777" w:rsidR="009B70EF" w:rsidRPr="006655D5" w:rsidRDefault="009B70EF" w:rsidP="009B70EF">
      <w:pPr>
        <w:spacing w:after="0" w:line="240" w:lineRule="auto"/>
        <w:rPr>
          <w:rFonts w:ascii="Times New Roman" w:hAnsi="Times New Roman" w:cs="Times New Roman"/>
          <w:b/>
          <w:bCs/>
        </w:rPr>
      </w:pPr>
      <w:r w:rsidRPr="006655D5">
        <w:rPr>
          <w:rFonts w:ascii="Times New Roman" w:hAnsi="Times New Roman" w:cs="Times New Roman"/>
          <w:b/>
          <w:bCs/>
        </w:rPr>
        <w:t>Figura 3</w:t>
      </w:r>
    </w:p>
    <w:p w14:paraId="30394325" w14:textId="77777777" w:rsidR="009B70EF" w:rsidRPr="0084387B" w:rsidRDefault="009B70EF" w:rsidP="009B70EF">
      <w:pPr>
        <w:spacing w:after="0" w:line="240" w:lineRule="auto"/>
        <w:rPr>
          <w:rFonts w:ascii="Times New Roman" w:hAnsi="Times New Roman" w:cs="Times New Roman"/>
          <w:i/>
          <w:iCs/>
        </w:rPr>
      </w:pPr>
      <w:r w:rsidRPr="0084387B">
        <w:rPr>
          <w:rFonts w:ascii="Times New Roman" w:hAnsi="Times New Roman" w:cs="Times New Roman"/>
          <w:i/>
          <w:iCs/>
        </w:rPr>
        <w:t>Porcentaje de postulantes FHCE 1/2024 según admitidos y dependencia de unidad educativa</w:t>
      </w:r>
    </w:p>
    <w:p w14:paraId="1FD1BB9C" w14:textId="77777777" w:rsidR="009B70EF" w:rsidRDefault="009B70EF" w:rsidP="009B70EF">
      <w:pPr>
        <w:spacing w:line="240" w:lineRule="auto"/>
      </w:pPr>
      <w:r>
        <w:rPr>
          <w:noProof/>
        </w:rPr>
        <w:drawing>
          <wp:inline distT="0" distB="0" distL="0" distR="0" wp14:anchorId="63C60097" wp14:editId="3E117A3F">
            <wp:extent cx="5316415" cy="3077308"/>
            <wp:effectExtent l="0" t="0" r="17780" b="8890"/>
            <wp:docPr id="1405998470" name="Gráfico 1">
              <a:extLst xmlns:a="http://schemas.openxmlformats.org/drawingml/2006/main">
                <a:ext uri="{FF2B5EF4-FFF2-40B4-BE49-F238E27FC236}">
                  <a16:creationId xmlns:a16="http://schemas.microsoft.com/office/drawing/2014/main" id="{B77334A3-141D-CBB1-2C30-7815EDB9C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1708FE" w14:textId="77777777" w:rsidR="009B70EF" w:rsidRPr="0084387B" w:rsidRDefault="009B70EF" w:rsidP="009B70EF">
      <w:pPr>
        <w:spacing w:line="240" w:lineRule="auto"/>
        <w:rPr>
          <w:rFonts w:ascii="Times New Roman" w:hAnsi="Times New Roman" w:cs="Times New Roman"/>
        </w:rPr>
      </w:pPr>
      <w:r w:rsidRPr="0084387B">
        <w:rPr>
          <w:rFonts w:ascii="Times New Roman" w:hAnsi="Times New Roman" w:cs="Times New Roman"/>
        </w:rPr>
        <w:t>Nota: Elaboración propia</w:t>
      </w:r>
    </w:p>
    <w:p w14:paraId="2AC0D064" w14:textId="77777777" w:rsidR="009B70EF" w:rsidRDefault="009B70EF" w:rsidP="009B70EF">
      <w:pPr>
        <w:spacing w:line="240" w:lineRule="auto"/>
        <w:jc w:val="both"/>
        <w:rPr>
          <w:rFonts w:ascii="Times New Roman" w:hAnsi="Times New Roman" w:cs="Times New Roman"/>
        </w:rPr>
      </w:pPr>
      <w:r>
        <w:rPr>
          <w:rFonts w:ascii="Times New Roman" w:hAnsi="Times New Roman" w:cs="Times New Roman"/>
        </w:rPr>
        <w:t xml:space="preserve">Por otra parte, al cruzar la cantidad de postulantes según admitidos o no y área de la unidad educativa, en términos absolutos, las personas que egresaron de una unidad educativa urbana son las que mayoritariamente fueron admitidos en la facultad. En términos relativos, los postulantes urbanos tienen mayor éxito en su proceso de admisión a la universidad que los postulantes del sector rural. </w:t>
      </w:r>
    </w:p>
    <w:p w14:paraId="51F861DB" w14:textId="77777777" w:rsidR="005065F4" w:rsidRDefault="005065F4" w:rsidP="009B70EF">
      <w:pPr>
        <w:spacing w:after="0" w:line="240" w:lineRule="auto"/>
        <w:rPr>
          <w:rFonts w:ascii="Times New Roman" w:hAnsi="Times New Roman" w:cs="Times New Roman"/>
          <w:b/>
          <w:bCs/>
        </w:rPr>
      </w:pPr>
    </w:p>
    <w:p w14:paraId="5CA8035F" w14:textId="77777777" w:rsidR="005065F4" w:rsidRDefault="005065F4" w:rsidP="009B70EF">
      <w:pPr>
        <w:spacing w:after="0" w:line="240" w:lineRule="auto"/>
        <w:rPr>
          <w:rFonts w:ascii="Times New Roman" w:hAnsi="Times New Roman" w:cs="Times New Roman"/>
          <w:b/>
          <w:bCs/>
        </w:rPr>
      </w:pPr>
    </w:p>
    <w:p w14:paraId="035BE495" w14:textId="77777777" w:rsidR="005065F4" w:rsidRDefault="005065F4" w:rsidP="009B70EF">
      <w:pPr>
        <w:spacing w:after="0" w:line="240" w:lineRule="auto"/>
        <w:rPr>
          <w:rFonts w:ascii="Times New Roman" w:hAnsi="Times New Roman" w:cs="Times New Roman"/>
          <w:b/>
          <w:bCs/>
        </w:rPr>
      </w:pPr>
    </w:p>
    <w:p w14:paraId="40E8B4E7" w14:textId="77777777" w:rsidR="005065F4" w:rsidRDefault="005065F4" w:rsidP="009B70EF">
      <w:pPr>
        <w:spacing w:after="0" w:line="240" w:lineRule="auto"/>
        <w:rPr>
          <w:rFonts w:ascii="Times New Roman" w:hAnsi="Times New Roman" w:cs="Times New Roman"/>
          <w:b/>
          <w:bCs/>
        </w:rPr>
      </w:pPr>
    </w:p>
    <w:p w14:paraId="16553708" w14:textId="77777777" w:rsidR="005065F4" w:rsidRDefault="005065F4" w:rsidP="009B70EF">
      <w:pPr>
        <w:spacing w:after="0" w:line="240" w:lineRule="auto"/>
        <w:rPr>
          <w:rFonts w:ascii="Times New Roman" w:hAnsi="Times New Roman" w:cs="Times New Roman"/>
          <w:b/>
          <w:bCs/>
        </w:rPr>
      </w:pPr>
    </w:p>
    <w:p w14:paraId="7C05B04E" w14:textId="77777777" w:rsidR="005065F4" w:rsidRDefault="005065F4" w:rsidP="009B70EF">
      <w:pPr>
        <w:spacing w:after="0" w:line="240" w:lineRule="auto"/>
        <w:rPr>
          <w:rFonts w:ascii="Times New Roman" w:hAnsi="Times New Roman" w:cs="Times New Roman"/>
          <w:b/>
          <w:bCs/>
        </w:rPr>
      </w:pPr>
    </w:p>
    <w:p w14:paraId="7D1A087C" w14:textId="77777777" w:rsidR="005065F4" w:rsidRDefault="005065F4" w:rsidP="009B70EF">
      <w:pPr>
        <w:spacing w:after="0" w:line="240" w:lineRule="auto"/>
        <w:rPr>
          <w:rFonts w:ascii="Times New Roman" w:hAnsi="Times New Roman" w:cs="Times New Roman"/>
          <w:b/>
          <w:bCs/>
        </w:rPr>
      </w:pPr>
    </w:p>
    <w:p w14:paraId="0E73440F" w14:textId="77777777" w:rsidR="005065F4" w:rsidRDefault="005065F4" w:rsidP="009B70EF">
      <w:pPr>
        <w:spacing w:after="0" w:line="240" w:lineRule="auto"/>
        <w:rPr>
          <w:rFonts w:ascii="Times New Roman" w:hAnsi="Times New Roman" w:cs="Times New Roman"/>
          <w:b/>
          <w:bCs/>
        </w:rPr>
      </w:pPr>
    </w:p>
    <w:p w14:paraId="57C8468A" w14:textId="77777777" w:rsidR="005065F4" w:rsidRDefault="005065F4" w:rsidP="009B70EF">
      <w:pPr>
        <w:spacing w:after="0" w:line="240" w:lineRule="auto"/>
        <w:rPr>
          <w:rFonts w:ascii="Times New Roman" w:hAnsi="Times New Roman" w:cs="Times New Roman"/>
          <w:b/>
          <w:bCs/>
        </w:rPr>
      </w:pPr>
    </w:p>
    <w:p w14:paraId="766D740D" w14:textId="77777777" w:rsidR="005065F4" w:rsidRDefault="005065F4" w:rsidP="009B70EF">
      <w:pPr>
        <w:spacing w:after="0" w:line="240" w:lineRule="auto"/>
        <w:rPr>
          <w:rFonts w:ascii="Times New Roman" w:hAnsi="Times New Roman" w:cs="Times New Roman"/>
          <w:b/>
          <w:bCs/>
        </w:rPr>
      </w:pPr>
    </w:p>
    <w:p w14:paraId="4207572F" w14:textId="3947113F" w:rsidR="009B70EF" w:rsidRPr="006655D5" w:rsidRDefault="009B70EF" w:rsidP="009B70EF">
      <w:pPr>
        <w:spacing w:after="0" w:line="240" w:lineRule="auto"/>
        <w:rPr>
          <w:rFonts w:ascii="Times New Roman" w:hAnsi="Times New Roman" w:cs="Times New Roman"/>
          <w:b/>
          <w:bCs/>
        </w:rPr>
      </w:pPr>
      <w:r w:rsidRPr="006655D5">
        <w:rPr>
          <w:rFonts w:ascii="Times New Roman" w:hAnsi="Times New Roman" w:cs="Times New Roman"/>
          <w:b/>
          <w:bCs/>
        </w:rPr>
        <w:lastRenderedPageBreak/>
        <w:t>Figura 4</w:t>
      </w:r>
    </w:p>
    <w:p w14:paraId="2EA86B29" w14:textId="77777777" w:rsidR="009B70EF" w:rsidRPr="0084387B" w:rsidRDefault="009B70EF" w:rsidP="009B70EF">
      <w:pPr>
        <w:spacing w:after="0" w:line="240" w:lineRule="auto"/>
        <w:rPr>
          <w:rFonts w:ascii="Times New Roman" w:hAnsi="Times New Roman" w:cs="Times New Roman"/>
          <w:i/>
          <w:iCs/>
        </w:rPr>
      </w:pPr>
      <w:r w:rsidRPr="0084387B">
        <w:rPr>
          <w:rFonts w:ascii="Times New Roman" w:hAnsi="Times New Roman" w:cs="Times New Roman"/>
          <w:i/>
          <w:iCs/>
        </w:rPr>
        <w:t>Porcentaje de postulantes FHCE 1/2024 según admitidos y área de unidad educativa</w:t>
      </w:r>
    </w:p>
    <w:p w14:paraId="0E23C982" w14:textId="77777777" w:rsidR="009B70EF" w:rsidRDefault="009B70EF" w:rsidP="009B70EF">
      <w:pPr>
        <w:spacing w:line="240" w:lineRule="auto"/>
      </w:pPr>
      <w:r>
        <w:rPr>
          <w:noProof/>
        </w:rPr>
        <w:drawing>
          <wp:inline distT="0" distB="0" distL="0" distR="0" wp14:anchorId="3F8B911D" wp14:editId="684AD149">
            <wp:extent cx="5122985" cy="2561492"/>
            <wp:effectExtent l="0" t="0" r="1905" b="10795"/>
            <wp:docPr id="170710132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F629E4" w14:textId="77777777" w:rsidR="009B70EF" w:rsidRPr="0084387B" w:rsidRDefault="009B70EF" w:rsidP="009B70EF">
      <w:pPr>
        <w:spacing w:line="240" w:lineRule="auto"/>
        <w:rPr>
          <w:rFonts w:ascii="Times New Roman" w:hAnsi="Times New Roman" w:cs="Times New Roman"/>
        </w:rPr>
      </w:pPr>
      <w:r w:rsidRPr="0084387B">
        <w:rPr>
          <w:rFonts w:ascii="Times New Roman" w:hAnsi="Times New Roman" w:cs="Times New Roman"/>
        </w:rPr>
        <w:t>Nota: Elaboración propia</w:t>
      </w:r>
    </w:p>
    <w:p w14:paraId="2578534C" w14:textId="18A58562" w:rsidR="00B04DFE" w:rsidRPr="001970C5" w:rsidRDefault="009B70EF" w:rsidP="001970C5">
      <w:pPr>
        <w:spacing w:line="240" w:lineRule="auto"/>
        <w:jc w:val="both"/>
        <w:rPr>
          <w:rFonts w:ascii="Times New Roman" w:hAnsi="Times New Roman" w:cs="Times New Roman"/>
        </w:rPr>
      </w:pPr>
      <w:r>
        <w:rPr>
          <w:rFonts w:ascii="Times New Roman" w:hAnsi="Times New Roman" w:cs="Times New Roman"/>
        </w:rPr>
        <w:t>Como se pudo evidenciar, la información relativa al desempeño académico de los postulantes muestra las desigualdades educativas en el ámbito de la educación superior que tienen su origen en</w:t>
      </w:r>
      <w:r w:rsidR="001970C5">
        <w:rPr>
          <w:rFonts w:ascii="Times New Roman" w:hAnsi="Times New Roman" w:cs="Times New Roman"/>
        </w:rPr>
        <w:t xml:space="preserve"> el tipo de unidad educativa del que provienen.</w:t>
      </w:r>
    </w:p>
    <w:p w14:paraId="14204E33" w14:textId="2CE91118" w:rsidR="00B04DFE" w:rsidRPr="001970C5" w:rsidRDefault="0053073D" w:rsidP="00B04DFE">
      <w:pPr>
        <w:pStyle w:val="Heading3"/>
        <w:numPr>
          <w:ilvl w:val="1"/>
          <w:numId w:val="1"/>
        </w:numPr>
        <w:spacing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Rendimiento académico y origen escolar: los estudiantes de primer semestre de la F</w:t>
      </w:r>
      <w:r w:rsidR="00B04DFE" w:rsidRPr="001970C5">
        <w:rPr>
          <w:rFonts w:ascii="Times New Roman" w:hAnsi="Times New Roman" w:cs="Times New Roman"/>
          <w:b/>
          <w:bCs/>
          <w:color w:val="auto"/>
          <w:sz w:val="24"/>
          <w:szCs w:val="24"/>
        </w:rPr>
        <w:t>HCE</w:t>
      </w:r>
    </w:p>
    <w:p w14:paraId="3664A7DC" w14:textId="77777777" w:rsidR="00B04DFE" w:rsidRPr="001F0C7F" w:rsidRDefault="00B04DFE" w:rsidP="00B04DFE">
      <w:pPr>
        <w:spacing w:line="240" w:lineRule="auto"/>
        <w:jc w:val="both"/>
        <w:rPr>
          <w:rFonts w:ascii="Times New Roman" w:hAnsi="Times New Roman" w:cs="Times New Roman"/>
        </w:rPr>
      </w:pPr>
      <w:r w:rsidRPr="001F0C7F">
        <w:rPr>
          <w:rFonts w:ascii="Times New Roman" w:hAnsi="Times New Roman" w:cs="Times New Roman"/>
        </w:rPr>
        <w:t xml:space="preserve">De los 1126 estudiantes universitarios del primer semestre de la FHCE, un 55% estudian las licenciaturas en Lingüística, Psicología </w:t>
      </w:r>
      <w:r>
        <w:rPr>
          <w:rFonts w:ascii="Times New Roman" w:hAnsi="Times New Roman" w:cs="Times New Roman"/>
        </w:rPr>
        <w:t>y</w:t>
      </w:r>
      <w:r w:rsidRPr="001F0C7F">
        <w:rPr>
          <w:rFonts w:ascii="Times New Roman" w:hAnsi="Times New Roman" w:cs="Times New Roman"/>
        </w:rPr>
        <w:t xml:space="preserve"> Técnico Superior en Educación </w:t>
      </w:r>
      <w:proofErr w:type="spellStart"/>
      <w:r w:rsidRPr="001F0C7F">
        <w:rPr>
          <w:rFonts w:ascii="Times New Roman" w:hAnsi="Times New Roman" w:cs="Times New Roman"/>
        </w:rPr>
        <w:t>Parvularia</w:t>
      </w:r>
      <w:proofErr w:type="spellEnd"/>
      <w:r w:rsidRPr="001F0C7F">
        <w:rPr>
          <w:rFonts w:ascii="Times New Roman" w:hAnsi="Times New Roman" w:cs="Times New Roman"/>
        </w:rPr>
        <w:t xml:space="preserve">. Las licenciaturas de </w:t>
      </w:r>
      <w:proofErr w:type="spellStart"/>
      <w:r>
        <w:rPr>
          <w:rFonts w:ascii="Times New Roman" w:hAnsi="Times New Roman" w:cs="Times New Roman"/>
        </w:rPr>
        <w:t>CAFyD</w:t>
      </w:r>
      <w:proofErr w:type="spellEnd"/>
      <w:r w:rsidRPr="001F0C7F">
        <w:rPr>
          <w:rFonts w:ascii="Times New Roman" w:hAnsi="Times New Roman" w:cs="Times New Roman"/>
        </w:rPr>
        <w:t>, Comunicación Social y Ciencias de la Educación reúnen a un 41% del alumnado del primer semestre. Apenas un 4% de los estudiantes que recién ingresaron a la Facultad pertenecen a las licenciaturas de Trabajo Social y Música.</w:t>
      </w:r>
    </w:p>
    <w:p w14:paraId="7D779B58" w14:textId="77777777" w:rsidR="005065F4" w:rsidRDefault="005065F4" w:rsidP="00C75889">
      <w:pPr>
        <w:spacing w:after="0" w:line="240" w:lineRule="auto"/>
        <w:rPr>
          <w:rFonts w:ascii="Times New Roman" w:hAnsi="Times New Roman" w:cs="Times New Roman"/>
          <w:b/>
          <w:bCs/>
        </w:rPr>
      </w:pPr>
      <w:bookmarkStart w:id="2" w:name="_Hlk203400386"/>
    </w:p>
    <w:p w14:paraId="489C145C" w14:textId="77777777" w:rsidR="005065F4" w:rsidRDefault="005065F4" w:rsidP="00C75889">
      <w:pPr>
        <w:spacing w:after="0" w:line="240" w:lineRule="auto"/>
        <w:rPr>
          <w:rFonts w:ascii="Times New Roman" w:hAnsi="Times New Roman" w:cs="Times New Roman"/>
          <w:b/>
          <w:bCs/>
        </w:rPr>
      </w:pPr>
    </w:p>
    <w:p w14:paraId="1117C916" w14:textId="77777777" w:rsidR="005065F4" w:rsidRDefault="005065F4" w:rsidP="00C75889">
      <w:pPr>
        <w:spacing w:after="0" w:line="240" w:lineRule="auto"/>
        <w:rPr>
          <w:rFonts w:ascii="Times New Roman" w:hAnsi="Times New Roman" w:cs="Times New Roman"/>
          <w:b/>
          <w:bCs/>
        </w:rPr>
      </w:pPr>
    </w:p>
    <w:p w14:paraId="402B14AA" w14:textId="77777777" w:rsidR="005065F4" w:rsidRDefault="005065F4" w:rsidP="00C75889">
      <w:pPr>
        <w:spacing w:after="0" w:line="240" w:lineRule="auto"/>
        <w:rPr>
          <w:rFonts w:ascii="Times New Roman" w:hAnsi="Times New Roman" w:cs="Times New Roman"/>
          <w:b/>
          <w:bCs/>
        </w:rPr>
      </w:pPr>
    </w:p>
    <w:p w14:paraId="448E1387" w14:textId="77777777" w:rsidR="005065F4" w:rsidRDefault="005065F4" w:rsidP="00C75889">
      <w:pPr>
        <w:spacing w:after="0" w:line="240" w:lineRule="auto"/>
        <w:rPr>
          <w:rFonts w:ascii="Times New Roman" w:hAnsi="Times New Roman" w:cs="Times New Roman"/>
          <w:b/>
          <w:bCs/>
        </w:rPr>
      </w:pPr>
    </w:p>
    <w:p w14:paraId="460F0422" w14:textId="77777777" w:rsidR="005065F4" w:rsidRDefault="005065F4" w:rsidP="00C75889">
      <w:pPr>
        <w:spacing w:after="0" w:line="240" w:lineRule="auto"/>
        <w:rPr>
          <w:rFonts w:ascii="Times New Roman" w:hAnsi="Times New Roman" w:cs="Times New Roman"/>
          <w:b/>
          <w:bCs/>
        </w:rPr>
      </w:pPr>
    </w:p>
    <w:p w14:paraId="2D7440C9" w14:textId="77777777" w:rsidR="005065F4" w:rsidRDefault="005065F4" w:rsidP="00C75889">
      <w:pPr>
        <w:spacing w:after="0" w:line="240" w:lineRule="auto"/>
        <w:rPr>
          <w:rFonts w:ascii="Times New Roman" w:hAnsi="Times New Roman" w:cs="Times New Roman"/>
          <w:b/>
          <w:bCs/>
        </w:rPr>
      </w:pPr>
    </w:p>
    <w:p w14:paraId="1C87F3F6" w14:textId="77777777" w:rsidR="005065F4" w:rsidRDefault="005065F4" w:rsidP="00C75889">
      <w:pPr>
        <w:spacing w:after="0" w:line="240" w:lineRule="auto"/>
        <w:rPr>
          <w:rFonts w:ascii="Times New Roman" w:hAnsi="Times New Roman" w:cs="Times New Roman"/>
          <w:b/>
          <w:bCs/>
        </w:rPr>
      </w:pPr>
    </w:p>
    <w:p w14:paraId="6B17BB1A" w14:textId="77777777" w:rsidR="005065F4" w:rsidRDefault="005065F4" w:rsidP="00C75889">
      <w:pPr>
        <w:spacing w:after="0" w:line="240" w:lineRule="auto"/>
        <w:rPr>
          <w:rFonts w:ascii="Times New Roman" w:hAnsi="Times New Roman" w:cs="Times New Roman"/>
          <w:b/>
          <w:bCs/>
        </w:rPr>
      </w:pPr>
    </w:p>
    <w:p w14:paraId="100F0C0A" w14:textId="77777777" w:rsidR="005065F4" w:rsidRDefault="005065F4" w:rsidP="00C75889">
      <w:pPr>
        <w:spacing w:after="0" w:line="240" w:lineRule="auto"/>
        <w:rPr>
          <w:rFonts w:ascii="Times New Roman" w:hAnsi="Times New Roman" w:cs="Times New Roman"/>
          <w:b/>
          <w:bCs/>
        </w:rPr>
      </w:pPr>
    </w:p>
    <w:p w14:paraId="38F33A43" w14:textId="77777777" w:rsidR="005065F4" w:rsidRDefault="005065F4" w:rsidP="00C75889">
      <w:pPr>
        <w:spacing w:after="0" w:line="240" w:lineRule="auto"/>
        <w:rPr>
          <w:rFonts w:ascii="Times New Roman" w:hAnsi="Times New Roman" w:cs="Times New Roman"/>
          <w:b/>
          <w:bCs/>
        </w:rPr>
      </w:pPr>
    </w:p>
    <w:p w14:paraId="687423F5" w14:textId="77777777" w:rsidR="005065F4" w:rsidRDefault="005065F4" w:rsidP="00C75889">
      <w:pPr>
        <w:spacing w:after="0" w:line="240" w:lineRule="auto"/>
        <w:rPr>
          <w:rFonts w:ascii="Times New Roman" w:hAnsi="Times New Roman" w:cs="Times New Roman"/>
          <w:b/>
          <w:bCs/>
        </w:rPr>
      </w:pPr>
    </w:p>
    <w:p w14:paraId="3791C440" w14:textId="77777777" w:rsidR="005065F4" w:rsidRDefault="005065F4" w:rsidP="00C75889">
      <w:pPr>
        <w:spacing w:after="0" w:line="240" w:lineRule="auto"/>
        <w:rPr>
          <w:rFonts w:ascii="Times New Roman" w:hAnsi="Times New Roman" w:cs="Times New Roman"/>
          <w:b/>
          <w:bCs/>
        </w:rPr>
      </w:pPr>
    </w:p>
    <w:p w14:paraId="41FED6B5" w14:textId="77777777" w:rsidR="005065F4" w:rsidRDefault="005065F4" w:rsidP="00C75889">
      <w:pPr>
        <w:spacing w:after="0" w:line="240" w:lineRule="auto"/>
        <w:rPr>
          <w:rFonts w:ascii="Times New Roman" w:hAnsi="Times New Roman" w:cs="Times New Roman"/>
          <w:b/>
          <w:bCs/>
        </w:rPr>
      </w:pPr>
    </w:p>
    <w:p w14:paraId="08EC3A4A" w14:textId="77777777" w:rsidR="005065F4" w:rsidRDefault="005065F4" w:rsidP="00C75889">
      <w:pPr>
        <w:spacing w:after="0" w:line="240" w:lineRule="auto"/>
        <w:rPr>
          <w:rFonts w:ascii="Times New Roman" w:hAnsi="Times New Roman" w:cs="Times New Roman"/>
          <w:b/>
          <w:bCs/>
        </w:rPr>
      </w:pPr>
    </w:p>
    <w:p w14:paraId="0655AA52" w14:textId="687FC66D" w:rsidR="00C75889" w:rsidRPr="001F0C7F" w:rsidRDefault="00C75889" w:rsidP="00C75889">
      <w:pPr>
        <w:spacing w:after="0" w:line="240" w:lineRule="auto"/>
        <w:rPr>
          <w:rFonts w:ascii="Times New Roman" w:hAnsi="Times New Roman" w:cs="Times New Roman"/>
          <w:b/>
          <w:bCs/>
        </w:rPr>
      </w:pPr>
      <w:r w:rsidRPr="001F0C7F">
        <w:rPr>
          <w:rFonts w:ascii="Times New Roman" w:hAnsi="Times New Roman" w:cs="Times New Roman"/>
          <w:b/>
          <w:bCs/>
        </w:rPr>
        <w:lastRenderedPageBreak/>
        <w:t xml:space="preserve">Figura </w:t>
      </w:r>
      <w:r w:rsidR="0053073D">
        <w:rPr>
          <w:rFonts w:ascii="Times New Roman" w:hAnsi="Times New Roman" w:cs="Times New Roman"/>
          <w:b/>
          <w:bCs/>
        </w:rPr>
        <w:t>5</w:t>
      </w:r>
    </w:p>
    <w:p w14:paraId="1F73D1C6" w14:textId="77777777" w:rsidR="00C75889" w:rsidRPr="002626DB" w:rsidRDefault="00C75889" w:rsidP="00C75889">
      <w:pPr>
        <w:spacing w:after="0" w:line="240" w:lineRule="auto"/>
        <w:rPr>
          <w:rFonts w:ascii="Times New Roman" w:hAnsi="Times New Roman" w:cs="Times New Roman"/>
          <w:i/>
          <w:iCs/>
        </w:rPr>
      </w:pPr>
      <w:r w:rsidRPr="001F0C7F">
        <w:rPr>
          <w:rFonts w:ascii="Times New Roman" w:hAnsi="Times New Roman" w:cs="Times New Roman"/>
          <w:i/>
          <w:iCs/>
        </w:rPr>
        <w:t>Porcentaje estudiantes de 1er semestre según carrera</w:t>
      </w:r>
    </w:p>
    <w:p w14:paraId="3943656F" w14:textId="77777777" w:rsidR="00C75889" w:rsidRDefault="00C75889" w:rsidP="00C75889">
      <w:pPr>
        <w:pStyle w:val="ListParagraph"/>
      </w:pPr>
      <w:r>
        <w:rPr>
          <w:noProof/>
        </w:rPr>
        <w:drawing>
          <wp:inline distT="0" distB="0" distL="0" distR="0" wp14:anchorId="648A7A02" wp14:editId="2F779D5B">
            <wp:extent cx="5612130" cy="2695699"/>
            <wp:effectExtent l="0" t="0" r="7620" b="9525"/>
            <wp:docPr id="1116311729" name="Gráfico 1">
              <a:extLst xmlns:a="http://schemas.openxmlformats.org/drawingml/2006/main">
                <a:ext uri="{FF2B5EF4-FFF2-40B4-BE49-F238E27FC236}">
                  <a16:creationId xmlns:a16="http://schemas.microsoft.com/office/drawing/2014/main" id="{8F60C8AF-F112-E8E4-25D9-78807D398D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8878A4" w14:textId="1CFC8695" w:rsidR="00B04DFE" w:rsidRDefault="00C75889" w:rsidP="00C75889">
      <w:pPr>
        <w:spacing w:after="0" w:line="240" w:lineRule="auto"/>
        <w:rPr>
          <w:rFonts w:ascii="Times New Roman" w:hAnsi="Times New Roman" w:cs="Times New Roman"/>
          <w:b/>
          <w:bCs/>
        </w:rPr>
      </w:pPr>
      <w:r w:rsidRPr="00D62BB4">
        <w:rPr>
          <w:rFonts w:ascii="Times New Roman" w:hAnsi="Times New Roman" w:cs="Times New Roman"/>
          <w:sz w:val="20"/>
          <w:szCs w:val="20"/>
        </w:rPr>
        <w:t>Nota: Elaboración propia base de datos estudiantes Facultad de Humanidades y Ciencias de la Educación/Universidad Mayor de San Simón</w:t>
      </w:r>
      <w:r w:rsidRPr="001F0C7F">
        <w:rPr>
          <w:rFonts w:ascii="Times New Roman" w:hAnsi="Times New Roman" w:cs="Times New Roman"/>
          <w:b/>
          <w:bCs/>
        </w:rPr>
        <w:t xml:space="preserve"> </w:t>
      </w:r>
      <w:bookmarkEnd w:id="2"/>
    </w:p>
    <w:p w14:paraId="1EC3D288" w14:textId="77777777" w:rsidR="00C75889" w:rsidRPr="002626DB" w:rsidRDefault="00C75889" w:rsidP="00C75889">
      <w:pPr>
        <w:spacing w:after="0" w:line="240" w:lineRule="auto"/>
        <w:rPr>
          <w:rFonts w:ascii="Times New Roman" w:hAnsi="Times New Roman" w:cs="Times New Roman"/>
          <w:b/>
          <w:bCs/>
        </w:rPr>
      </w:pPr>
    </w:p>
    <w:p w14:paraId="6488FD9F" w14:textId="77777777" w:rsidR="00B04DFE" w:rsidRPr="001F0C7F" w:rsidRDefault="00B04DFE" w:rsidP="00B04DFE">
      <w:pPr>
        <w:spacing w:line="240" w:lineRule="auto"/>
        <w:jc w:val="both"/>
        <w:rPr>
          <w:rFonts w:ascii="Times New Roman" w:hAnsi="Times New Roman" w:cs="Times New Roman"/>
        </w:rPr>
      </w:pPr>
      <w:r w:rsidRPr="001F0C7F">
        <w:rPr>
          <w:rFonts w:ascii="Times New Roman" w:hAnsi="Times New Roman" w:cs="Times New Roman"/>
        </w:rPr>
        <w:t>Por otra parte, casi la totalidad de los estudiantes de primer semestre son de nacionalidad boliviana (98,7%), con predominio de población femenina</w:t>
      </w:r>
      <w:r>
        <w:rPr>
          <w:rFonts w:ascii="Times New Roman" w:hAnsi="Times New Roman" w:cs="Times New Roman"/>
        </w:rPr>
        <w:t xml:space="preserve"> (70% son mujeres)</w:t>
      </w:r>
      <w:r w:rsidRPr="001F0C7F">
        <w:rPr>
          <w:rFonts w:ascii="Times New Roman" w:hAnsi="Times New Roman" w:cs="Times New Roman"/>
        </w:rPr>
        <w:t>.</w:t>
      </w:r>
      <w:r>
        <w:rPr>
          <w:rFonts w:ascii="Times New Roman" w:hAnsi="Times New Roman" w:cs="Times New Roman"/>
        </w:rPr>
        <w:t xml:space="preserve"> </w:t>
      </w:r>
      <w:r w:rsidRPr="001F0C7F">
        <w:rPr>
          <w:rFonts w:ascii="Times New Roman" w:hAnsi="Times New Roman" w:cs="Times New Roman"/>
        </w:rPr>
        <w:t>Solamente un 6% de los estudiantes combina trabajo con estudio. Los demás se supone que se dedican totalmente al estudio.</w:t>
      </w:r>
    </w:p>
    <w:p w14:paraId="7676B8FD" w14:textId="77777777" w:rsidR="00B04DFE" w:rsidRPr="004C6FE7" w:rsidRDefault="00B04DFE" w:rsidP="00B04DFE">
      <w:pPr>
        <w:spacing w:line="240" w:lineRule="auto"/>
        <w:jc w:val="both"/>
        <w:rPr>
          <w:rFonts w:ascii="Times New Roman" w:hAnsi="Times New Roman" w:cs="Times New Roman"/>
        </w:rPr>
      </w:pPr>
      <w:r w:rsidRPr="001F0C7F">
        <w:rPr>
          <w:rFonts w:ascii="Times New Roman" w:hAnsi="Times New Roman" w:cs="Times New Roman"/>
        </w:rPr>
        <w:t xml:space="preserve">En lo que respecta a la dependencia de la </w:t>
      </w:r>
      <w:r>
        <w:rPr>
          <w:rFonts w:ascii="Times New Roman" w:hAnsi="Times New Roman" w:cs="Times New Roman"/>
        </w:rPr>
        <w:t>u</w:t>
      </w:r>
      <w:r w:rsidRPr="001F0C7F">
        <w:rPr>
          <w:rFonts w:ascii="Times New Roman" w:hAnsi="Times New Roman" w:cs="Times New Roman"/>
        </w:rPr>
        <w:t xml:space="preserve">nidad </w:t>
      </w:r>
      <w:r>
        <w:rPr>
          <w:rFonts w:ascii="Times New Roman" w:hAnsi="Times New Roman" w:cs="Times New Roman"/>
        </w:rPr>
        <w:t>e</w:t>
      </w:r>
      <w:r w:rsidRPr="001F0C7F">
        <w:rPr>
          <w:rFonts w:ascii="Times New Roman" w:hAnsi="Times New Roman" w:cs="Times New Roman"/>
        </w:rPr>
        <w:t xml:space="preserve">ducativa de egreso de estos estudiantes, </w:t>
      </w:r>
      <w:r>
        <w:rPr>
          <w:rFonts w:ascii="Times New Roman" w:hAnsi="Times New Roman" w:cs="Times New Roman"/>
        </w:rPr>
        <w:t>68%</w:t>
      </w:r>
      <w:r w:rsidRPr="001F0C7F">
        <w:rPr>
          <w:rFonts w:ascii="Times New Roman" w:hAnsi="Times New Roman" w:cs="Times New Roman"/>
        </w:rPr>
        <w:t xml:space="preserve"> egresaron de un colegio fiscal, un 14% de colegios de convenio y</w:t>
      </w:r>
      <w:r>
        <w:rPr>
          <w:rFonts w:ascii="Times New Roman" w:hAnsi="Times New Roman" w:cs="Times New Roman"/>
        </w:rPr>
        <w:t xml:space="preserve"> 18%</w:t>
      </w:r>
      <w:r w:rsidRPr="001F0C7F">
        <w:rPr>
          <w:rFonts w:ascii="Times New Roman" w:hAnsi="Times New Roman" w:cs="Times New Roman"/>
        </w:rPr>
        <w:t xml:space="preserve"> egresaron de un colegio privado.</w:t>
      </w:r>
      <w:r w:rsidRPr="00103F46">
        <w:rPr>
          <w:rFonts w:ascii="Times New Roman" w:hAnsi="Times New Roman" w:cs="Times New Roman"/>
        </w:rPr>
        <w:t xml:space="preserve"> En el contexto del sistema educativo boliviano, un colegio fiscal es aquel financiado por el Estado y es gratuito, por lo cual, en general, acceden a los mismos estudiantes de familias de escasos recursos. Un colegio privado es administrado por particulares que cobran una cuota mensual a las familias para su funcionamiento y no reciben ningún recurso económico del Estado, en general, acceden a estas instituciones estudiantes que pueden costear su educación con fondos propios. El colegio de convenio es administrado por entidades religiosas o particulares, pero reciben financiamiento parcial del Estado. En este caso, las familias pagan una cuota mínima lo cual sugiere que son estudiantes que pueden pagar su educación parcialmente.</w:t>
      </w:r>
    </w:p>
    <w:p w14:paraId="43A3C842" w14:textId="77777777" w:rsidR="00B04DFE" w:rsidRPr="00ED1A96" w:rsidRDefault="00B04DFE" w:rsidP="00B04DFE">
      <w:pPr>
        <w:spacing w:line="240" w:lineRule="auto"/>
        <w:jc w:val="both"/>
        <w:rPr>
          <w:rFonts w:ascii="Times New Roman" w:hAnsi="Times New Roman" w:cs="Times New Roman"/>
        </w:rPr>
      </w:pPr>
      <w:r w:rsidRPr="001F0C7F">
        <w:rPr>
          <w:rFonts w:ascii="Times New Roman" w:hAnsi="Times New Roman" w:cs="Times New Roman"/>
        </w:rPr>
        <w:t xml:space="preserve">La información revela que un 85% de los estudiantes provienen de </w:t>
      </w:r>
      <w:r>
        <w:rPr>
          <w:rFonts w:ascii="Times New Roman" w:hAnsi="Times New Roman" w:cs="Times New Roman"/>
        </w:rPr>
        <w:t>u</w:t>
      </w:r>
      <w:r w:rsidRPr="001F0C7F">
        <w:rPr>
          <w:rFonts w:ascii="Times New Roman" w:hAnsi="Times New Roman" w:cs="Times New Roman"/>
        </w:rPr>
        <w:t xml:space="preserve">nidades </w:t>
      </w:r>
      <w:r>
        <w:rPr>
          <w:rFonts w:ascii="Times New Roman" w:hAnsi="Times New Roman" w:cs="Times New Roman"/>
        </w:rPr>
        <w:t>e</w:t>
      </w:r>
      <w:r w:rsidRPr="001F0C7F">
        <w:rPr>
          <w:rFonts w:ascii="Times New Roman" w:hAnsi="Times New Roman" w:cs="Times New Roman"/>
        </w:rPr>
        <w:t xml:space="preserve">ducativas que están en el área urbana y un 15% en el área rural. Los datos muestran que </w:t>
      </w:r>
      <w:r>
        <w:rPr>
          <w:rFonts w:ascii="Times New Roman" w:hAnsi="Times New Roman" w:cs="Times New Roman"/>
        </w:rPr>
        <w:t>un 82,3%</w:t>
      </w:r>
      <w:r w:rsidRPr="001F0C7F">
        <w:rPr>
          <w:rFonts w:ascii="Times New Roman" w:hAnsi="Times New Roman" w:cs="Times New Roman"/>
        </w:rPr>
        <w:t xml:space="preserve"> </w:t>
      </w:r>
      <w:r>
        <w:rPr>
          <w:rFonts w:ascii="Times New Roman" w:hAnsi="Times New Roman" w:cs="Times New Roman"/>
        </w:rPr>
        <w:t>de</w:t>
      </w:r>
      <w:r w:rsidRPr="001F0C7F">
        <w:rPr>
          <w:rFonts w:ascii="Times New Roman" w:hAnsi="Times New Roman" w:cs="Times New Roman"/>
        </w:rPr>
        <w:t xml:space="preserve"> estudiantes son originarios del departamento de Cochabamba</w:t>
      </w:r>
      <w:r>
        <w:rPr>
          <w:rFonts w:ascii="Times New Roman" w:hAnsi="Times New Roman" w:cs="Times New Roman"/>
        </w:rPr>
        <w:t xml:space="preserve">. </w:t>
      </w:r>
      <w:r w:rsidRPr="00103F46">
        <w:rPr>
          <w:rFonts w:ascii="Times New Roman" w:hAnsi="Times New Roman" w:cs="Times New Roman"/>
        </w:rPr>
        <w:t xml:space="preserve">El Estado Plurinacional de Bolivia, política y administrativamente, está organizado en </w:t>
      </w:r>
      <w:r>
        <w:rPr>
          <w:rFonts w:ascii="Times New Roman" w:hAnsi="Times New Roman" w:cs="Times New Roman"/>
        </w:rPr>
        <w:t>nueve</w:t>
      </w:r>
      <w:r w:rsidRPr="00103F46">
        <w:rPr>
          <w:rFonts w:ascii="Times New Roman" w:hAnsi="Times New Roman" w:cs="Times New Roman"/>
        </w:rPr>
        <w:t xml:space="preserve"> departamentos, los cuales a su vez están conformados por provincias y cada provincia está conformada por municipios.</w:t>
      </w:r>
      <w:r w:rsidRPr="001F0C7F">
        <w:rPr>
          <w:rFonts w:ascii="Times New Roman" w:hAnsi="Times New Roman" w:cs="Times New Roman"/>
        </w:rPr>
        <w:t xml:space="preserve"> </w:t>
      </w:r>
      <w:r>
        <w:rPr>
          <w:rFonts w:ascii="Times New Roman" w:hAnsi="Times New Roman" w:cs="Times New Roman"/>
        </w:rPr>
        <w:t xml:space="preserve">De esta manera, se </w:t>
      </w:r>
      <w:r w:rsidRPr="001F0C7F">
        <w:rPr>
          <w:rFonts w:ascii="Times New Roman" w:hAnsi="Times New Roman" w:cs="Times New Roman"/>
        </w:rPr>
        <w:t>ratifica que la UMSS acoge y brinda sus servicios</w:t>
      </w:r>
      <w:r>
        <w:rPr>
          <w:rFonts w:ascii="Times New Roman" w:hAnsi="Times New Roman" w:cs="Times New Roman"/>
        </w:rPr>
        <w:t xml:space="preserve"> fundamentalmente </w:t>
      </w:r>
      <w:r w:rsidRPr="001F0C7F">
        <w:rPr>
          <w:rFonts w:ascii="Times New Roman" w:hAnsi="Times New Roman" w:cs="Times New Roman"/>
        </w:rPr>
        <w:t>a una población regional. Asimismo, destacar que un 11</w:t>
      </w:r>
      <w:r>
        <w:rPr>
          <w:rFonts w:ascii="Times New Roman" w:hAnsi="Times New Roman" w:cs="Times New Roman"/>
        </w:rPr>
        <w:t>,1</w:t>
      </w:r>
      <w:r w:rsidRPr="001F0C7F">
        <w:rPr>
          <w:rFonts w:ascii="Times New Roman" w:hAnsi="Times New Roman" w:cs="Times New Roman"/>
        </w:rPr>
        <w:t xml:space="preserve">% de los </w:t>
      </w:r>
      <w:r w:rsidRPr="001F0C7F">
        <w:rPr>
          <w:rFonts w:ascii="Times New Roman" w:hAnsi="Times New Roman" w:cs="Times New Roman"/>
        </w:rPr>
        <w:lastRenderedPageBreak/>
        <w:t>estudiantes provienen del sector occidental (</w:t>
      </w:r>
      <w:r>
        <w:rPr>
          <w:rFonts w:ascii="Times New Roman" w:hAnsi="Times New Roman" w:cs="Times New Roman"/>
        </w:rPr>
        <w:t xml:space="preserve">los departamentos </w:t>
      </w:r>
      <w:r w:rsidRPr="001F0C7F">
        <w:rPr>
          <w:rFonts w:ascii="Times New Roman" w:hAnsi="Times New Roman" w:cs="Times New Roman"/>
        </w:rPr>
        <w:t>La Paz, Oruro y Potosí) y apenas un 3,2% son del sector oriental (</w:t>
      </w:r>
      <w:r>
        <w:rPr>
          <w:rFonts w:ascii="Times New Roman" w:hAnsi="Times New Roman" w:cs="Times New Roman"/>
        </w:rPr>
        <w:t xml:space="preserve">los departamentos de </w:t>
      </w:r>
      <w:r w:rsidRPr="001F0C7F">
        <w:rPr>
          <w:rFonts w:ascii="Times New Roman" w:hAnsi="Times New Roman" w:cs="Times New Roman"/>
        </w:rPr>
        <w:t>Santa Cruz, Beni y Pando).</w:t>
      </w:r>
      <w:r>
        <w:rPr>
          <w:rFonts w:ascii="Times New Roman" w:hAnsi="Times New Roman" w:cs="Times New Roman"/>
        </w:rPr>
        <w:t xml:space="preserve"> </w:t>
      </w:r>
    </w:p>
    <w:p w14:paraId="7D4659AC" w14:textId="77777777" w:rsidR="00B04DFE" w:rsidRPr="00B03511" w:rsidRDefault="00B04DFE" w:rsidP="00B04DFE">
      <w:pPr>
        <w:spacing w:line="240" w:lineRule="auto"/>
        <w:jc w:val="both"/>
        <w:rPr>
          <w:rFonts w:ascii="Times New Roman" w:hAnsi="Times New Roman" w:cs="Times New Roman"/>
        </w:rPr>
      </w:pPr>
      <w:r w:rsidRPr="00B03511">
        <w:rPr>
          <w:rFonts w:ascii="Times New Roman" w:hAnsi="Times New Roman" w:cs="Times New Roman"/>
        </w:rPr>
        <w:t>Analizando en mayor profundidad los datos, se puede clasificar el origen de los postulantes nacionales de una manera más detallada a partir del municipio de nacimiento. Para el caso del departamento de Cochabamba, retomamos la regionalización elaborada por la gobernación que agrupa a todos los municipios del departamento en cinco regiones.</w:t>
      </w:r>
    </w:p>
    <w:p w14:paraId="6DAE01F2" w14:textId="77777777" w:rsidR="00C75889" w:rsidRPr="00B03511" w:rsidRDefault="00C75889" w:rsidP="005065F4">
      <w:pPr>
        <w:spacing w:after="0" w:line="240" w:lineRule="auto"/>
        <w:jc w:val="both"/>
        <w:rPr>
          <w:rFonts w:ascii="Times New Roman" w:hAnsi="Times New Roman" w:cs="Times New Roman"/>
          <w:b/>
          <w:bCs/>
        </w:rPr>
      </w:pPr>
      <w:bookmarkStart w:id="3" w:name="_Hlk203400442"/>
      <w:r w:rsidRPr="00B03511">
        <w:rPr>
          <w:rFonts w:ascii="Times New Roman" w:hAnsi="Times New Roman" w:cs="Times New Roman"/>
          <w:b/>
          <w:bCs/>
        </w:rPr>
        <w:t xml:space="preserve">Tabla </w:t>
      </w:r>
      <w:r>
        <w:rPr>
          <w:rFonts w:ascii="Times New Roman" w:hAnsi="Times New Roman" w:cs="Times New Roman"/>
          <w:b/>
          <w:bCs/>
        </w:rPr>
        <w:t>1</w:t>
      </w:r>
    </w:p>
    <w:p w14:paraId="478D834B" w14:textId="77777777" w:rsidR="00C75889" w:rsidRPr="00B03511" w:rsidRDefault="00C75889" w:rsidP="005065F4">
      <w:pPr>
        <w:spacing w:after="0" w:line="240" w:lineRule="auto"/>
        <w:jc w:val="both"/>
        <w:rPr>
          <w:rFonts w:ascii="Times New Roman" w:hAnsi="Times New Roman" w:cs="Times New Roman"/>
          <w:i/>
          <w:iCs/>
        </w:rPr>
      </w:pPr>
      <w:r>
        <w:rPr>
          <w:rFonts w:ascii="Times New Roman" w:hAnsi="Times New Roman" w:cs="Times New Roman"/>
          <w:i/>
          <w:iCs/>
        </w:rPr>
        <w:t>Número y p</w:t>
      </w:r>
      <w:r w:rsidRPr="00B03511">
        <w:rPr>
          <w:rFonts w:ascii="Times New Roman" w:hAnsi="Times New Roman" w:cs="Times New Roman"/>
          <w:i/>
          <w:iCs/>
        </w:rPr>
        <w:t>orcentaje estudiantes primer semestre según región y municipio de nacimiento del departamento de Cochabamba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4162"/>
        <w:gridCol w:w="1363"/>
        <w:gridCol w:w="1403"/>
      </w:tblGrid>
      <w:tr w:rsidR="00C75889" w:rsidRPr="00B03511" w14:paraId="35D7D841" w14:textId="77777777" w:rsidTr="00B91507">
        <w:tc>
          <w:tcPr>
            <w:tcW w:w="1576" w:type="dxa"/>
            <w:tcBorders>
              <w:top w:val="single" w:sz="4" w:space="0" w:color="auto"/>
              <w:bottom w:val="single" w:sz="4" w:space="0" w:color="auto"/>
            </w:tcBorders>
          </w:tcPr>
          <w:p w14:paraId="1AF2C11F" w14:textId="77777777" w:rsidR="00C75889" w:rsidRPr="00B03511" w:rsidRDefault="00C75889" w:rsidP="00B91507">
            <w:pPr>
              <w:jc w:val="both"/>
              <w:rPr>
                <w:rFonts w:ascii="Times New Roman" w:hAnsi="Times New Roman" w:cs="Times New Roman"/>
                <w:b/>
                <w:bCs/>
                <w:sz w:val="24"/>
                <w:szCs w:val="24"/>
              </w:rPr>
            </w:pPr>
            <w:r w:rsidRPr="00B03511">
              <w:rPr>
                <w:rFonts w:ascii="Times New Roman" w:hAnsi="Times New Roman" w:cs="Times New Roman"/>
                <w:b/>
                <w:bCs/>
                <w:sz w:val="24"/>
                <w:szCs w:val="24"/>
              </w:rPr>
              <w:t>Región</w:t>
            </w:r>
          </w:p>
        </w:tc>
        <w:tc>
          <w:tcPr>
            <w:tcW w:w="4742" w:type="dxa"/>
            <w:tcBorders>
              <w:top w:val="single" w:sz="4" w:space="0" w:color="auto"/>
              <w:bottom w:val="single" w:sz="4" w:space="0" w:color="auto"/>
            </w:tcBorders>
          </w:tcPr>
          <w:p w14:paraId="6DE772D0" w14:textId="77777777" w:rsidR="00C75889" w:rsidRPr="00B03511" w:rsidRDefault="00C75889" w:rsidP="00B91507">
            <w:pPr>
              <w:jc w:val="both"/>
              <w:rPr>
                <w:rFonts w:ascii="Times New Roman" w:hAnsi="Times New Roman" w:cs="Times New Roman"/>
                <w:b/>
                <w:bCs/>
                <w:sz w:val="24"/>
                <w:szCs w:val="24"/>
              </w:rPr>
            </w:pPr>
            <w:r w:rsidRPr="00B03511">
              <w:rPr>
                <w:rFonts w:ascii="Times New Roman" w:hAnsi="Times New Roman" w:cs="Times New Roman"/>
                <w:b/>
                <w:bCs/>
                <w:sz w:val="24"/>
                <w:szCs w:val="24"/>
              </w:rPr>
              <w:t>Municipios</w:t>
            </w:r>
          </w:p>
        </w:tc>
        <w:tc>
          <w:tcPr>
            <w:tcW w:w="1098" w:type="dxa"/>
            <w:tcBorders>
              <w:top w:val="single" w:sz="4" w:space="0" w:color="auto"/>
              <w:bottom w:val="single" w:sz="4" w:space="0" w:color="auto"/>
            </w:tcBorders>
          </w:tcPr>
          <w:p w14:paraId="632C8A60" w14:textId="77777777" w:rsidR="00C75889" w:rsidRPr="00B03511" w:rsidRDefault="00C75889" w:rsidP="00B91507">
            <w:pPr>
              <w:jc w:val="both"/>
              <w:rPr>
                <w:rFonts w:ascii="Times New Roman" w:hAnsi="Times New Roman" w:cs="Times New Roman"/>
                <w:b/>
                <w:bCs/>
                <w:sz w:val="24"/>
                <w:szCs w:val="24"/>
              </w:rPr>
            </w:pPr>
            <w:r>
              <w:rPr>
                <w:rFonts w:ascii="Times New Roman" w:hAnsi="Times New Roman" w:cs="Times New Roman"/>
                <w:b/>
                <w:bCs/>
                <w:sz w:val="24"/>
                <w:szCs w:val="24"/>
              </w:rPr>
              <w:t>Número estudiantes</w:t>
            </w:r>
          </w:p>
        </w:tc>
        <w:tc>
          <w:tcPr>
            <w:tcW w:w="1412" w:type="dxa"/>
            <w:tcBorders>
              <w:top w:val="single" w:sz="4" w:space="0" w:color="auto"/>
              <w:bottom w:val="single" w:sz="4" w:space="0" w:color="auto"/>
            </w:tcBorders>
          </w:tcPr>
          <w:p w14:paraId="3EC5659C" w14:textId="77777777" w:rsidR="00C75889" w:rsidRPr="00B03511" w:rsidRDefault="00C75889" w:rsidP="00B91507">
            <w:pPr>
              <w:jc w:val="both"/>
              <w:rPr>
                <w:rFonts w:ascii="Times New Roman" w:hAnsi="Times New Roman" w:cs="Times New Roman"/>
                <w:b/>
                <w:bCs/>
                <w:sz w:val="24"/>
                <w:szCs w:val="24"/>
              </w:rPr>
            </w:pPr>
            <w:r w:rsidRPr="00B03511">
              <w:rPr>
                <w:rFonts w:ascii="Times New Roman" w:hAnsi="Times New Roman" w:cs="Times New Roman"/>
                <w:b/>
                <w:bCs/>
                <w:sz w:val="24"/>
                <w:szCs w:val="24"/>
              </w:rPr>
              <w:t xml:space="preserve">Porcentaje estudiantes </w:t>
            </w:r>
          </w:p>
        </w:tc>
      </w:tr>
      <w:tr w:rsidR="00C75889" w:rsidRPr="00B03511" w14:paraId="0C7D9059" w14:textId="77777777" w:rsidTr="00B91507">
        <w:tc>
          <w:tcPr>
            <w:tcW w:w="1576" w:type="dxa"/>
            <w:tcBorders>
              <w:top w:val="single" w:sz="4" w:space="0" w:color="auto"/>
            </w:tcBorders>
          </w:tcPr>
          <w:p w14:paraId="34901380"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Metropolitana</w:t>
            </w:r>
          </w:p>
        </w:tc>
        <w:tc>
          <w:tcPr>
            <w:tcW w:w="4742" w:type="dxa"/>
            <w:tcBorders>
              <w:top w:val="single" w:sz="4" w:space="0" w:color="auto"/>
            </w:tcBorders>
          </w:tcPr>
          <w:p w14:paraId="1648DFD5"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 xml:space="preserve">Cochabamba, Quillacollo, Sacaba, Vinto, Tiquipaya, Sipe </w:t>
            </w:r>
            <w:proofErr w:type="spellStart"/>
            <w:r w:rsidRPr="00B03511">
              <w:rPr>
                <w:rFonts w:ascii="Times New Roman" w:hAnsi="Times New Roman" w:cs="Times New Roman"/>
                <w:sz w:val="24"/>
                <w:szCs w:val="24"/>
              </w:rPr>
              <w:t>Sipe</w:t>
            </w:r>
            <w:proofErr w:type="spellEnd"/>
            <w:r w:rsidRPr="00B03511">
              <w:rPr>
                <w:rFonts w:ascii="Times New Roman" w:hAnsi="Times New Roman" w:cs="Times New Roman"/>
                <w:sz w:val="24"/>
                <w:szCs w:val="24"/>
              </w:rPr>
              <w:t>, Colcapirhua</w:t>
            </w:r>
          </w:p>
          <w:p w14:paraId="04BFA90D" w14:textId="77777777" w:rsidR="00C75889" w:rsidRPr="00B03511" w:rsidRDefault="00C75889" w:rsidP="00B91507">
            <w:pPr>
              <w:jc w:val="both"/>
              <w:rPr>
                <w:rFonts w:ascii="Times New Roman" w:hAnsi="Times New Roman" w:cs="Times New Roman"/>
                <w:sz w:val="24"/>
                <w:szCs w:val="24"/>
              </w:rPr>
            </w:pPr>
          </w:p>
        </w:tc>
        <w:tc>
          <w:tcPr>
            <w:tcW w:w="1098" w:type="dxa"/>
            <w:tcBorders>
              <w:top w:val="single" w:sz="4" w:space="0" w:color="auto"/>
            </w:tcBorders>
          </w:tcPr>
          <w:p w14:paraId="47C513D1" w14:textId="77777777" w:rsidR="00C75889" w:rsidRPr="00B03511" w:rsidRDefault="00C75889" w:rsidP="00B91507">
            <w:pPr>
              <w:jc w:val="center"/>
              <w:rPr>
                <w:rFonts w:ascii="Times New Roman" w:hAnsi="Times New Roman" w:cs="Times New Roman"/>
                <w:sz w:val="24"/>
                <w:szCs w:val="24"/>
              </w:rPr>
            </w:pPr>
            <w:r>
              <w:rPr>
                <w:rFonts w:ascii="Times New Roman" w:hAnsi="Times New Roman" w:cs="Times New Roman"/>
                <w:sz w:val="24"/>
                <w:szCs w:val="24"/>
              </w:rPr>
              <w:t>835</w:t>
            </w:r>
          </w:p>
        </w:tc>
        <w:tc>
          <w:tcPr>
            <w:tcW w:w="1412" w:type="dxa"/>
            <w:tcBorders>
              <w:top w:val="single" w:sz="4" w:space="0" w:color="auto"/>
            </w:tcBorders>
          </w:tcPr>
          <w:p w14:paraId="6E960653" w14:textId="77777777" w:rsidR="00C75889" w:rsidRPr="00B03511" w:rsidRDefault="00C75889" w:rsidP="00B91507">
            <w:pPr>
              <w:jc w:val="center"/>
              <w:rPr>
                <w:rFonts w:ascii="Times New Roman" w:hAnsi="Times New Roman" w:cs="Times New Roman"/>
                <w:sz w:val="24"/>
                <w:szCs w:val="24"/>
              </w:rPr>
            </w:pPr>
            <w:r w:rsidRPr="00B03511">
              <w:rPr>
                <w:rFonts w:ascii="Times New Roman" w:hAnsi="Times New Roman" w:cs="Times New Roman"/>
                <w:sz w:val="24"/>
                <w:szCs w:val="24"/>
              </w:rPr>
              <w:t>76%</w:t>
            </w:r>
          </w:p>
        </w:tc>
      </w:tr>
      <w:tr w:rsidR="00C75889" w:rsidRPr="00B03511" w14:paraId="55E0123F" w14:textId="77777777" w:rsidTr="00B91507">
        <w:tc>
          <w:tcPr>
            <w:tcW w:w="1576" w:type="dxa"/>
          </w:tcPr>
          <w:p w14:paraId="481752EA"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Cono sur</w:t>
            </w:r>
          </w:p>
        </w:tc>
        <w:tc>
          <w:tcPr>
            <w:tcW w:w="4742" w:type="dxa"/>
          </w:tcPr>
          <w:p w14:paraId="41D4B7C5"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 xml:space="preserve">Aiquile, Alalay, Arani, Mizque, </w:t>
            </w:r>
            <w:proofErr w:type="spellStart"/>
            <w:r w:rsidRPr="00B03511">
              <w:rPr>
                <w:rFonts w:ascii="Times New Roman" w:hAnsi="Times New Roman" w:cs="Times New Roman"/>
                <w:sz w:val="24"/>
                <w:szCs w:val="24"/>
              </w:rPr>
              <w:t>Omereque</w:t>
            </w:r>
            <w:proofErr w:type="spellEnd"/>
            <w:r w:rsidRPr="00B03511">
              <w:rPr>
                <w:rFonts w:ascii="Times New Roman" w:hAnsi="Times New Roman" w:cs="Times New Roman"/>
                <w:sz w:val="24"/>
                <w:szCs w:val="24"/>
              </w:rPr>
              <w:t xml:space="preserve">, </w:t>
            </w:r>
            <w:proofErr w:type="spellStart"/>
            <w:r w:rsidRPr="00B03511">
              <w:rPr>
                <w:rFonts w:ascii="Times New Roman" w:hAnsi="Times New Roman" w:cs="Times New Roman"/>
                <w:sz w:val="24"/>
                <w:szCs w:val="24"/>
              </w:rPr>
              <w:t>Pasorapa</w:t>
            </w:r>
            <w:proofErr w:type="spellEnd"/>
            <w:r w:rsidRPr="00B03511">
              <w:rPr>
                <w:rFonts w:ascii="Times New Roman" w:hAnsi="Times New Roman" w:cs="Times New Roman"/>
                <w:sz w:val="24"/>
                <w:szCs w:val="24"/>
              </w:rPr>
              <w:t xml:space="preserve">, </w:t>
            </w:r>
            <w:proofErr w:type="spellStart"/>
            <w:r w:rsidRPr="00B03511">
              <w:rPr>
                <w:rFonts w:ascii="Times New Roman" w:hAnsi="Times New Roman" w:cs="Times New Roman"/>
                <w:sz w:val="24"/>
                <w:szCs w:val="24"/>
              </w:rPr>
              <w:t>Pocona</w:t>
            </w:r>
            <w:proofErr w:type="spellEnd"/>
            <w:r w:rsidRPr="00B03511">
              <w:rPr>
                <w:rFonts w:ascii="Times New Roman" w:hAnsi="Times New Roman" w:cs="Times New Roman"/>
                <w:sz w:val="24"/>
                <w:szCs w:val="24"/>
              </w:rPr>
              <w:t xml:space="preserve">, Pojo, Tiraque, Totora, Vacas, Vila </w:t>
            </w:r>
            <w:proofErr w:type="spellStart"/>
            <w:r w:rsidRPr="00B03511">
              <w:rPr>
                <w:rFonts w:ascii="Times New Roman" w:hAnsi="Times New Roman" w:cs="Times New Roman"/>
                <w:sz w:val="24"/>
                <w:szCs w:val="24"/>
              </w:rPr>
              <w:t>Vila</w:t>
            </w:r>
            <w:proofErr w:type="spellEnd"/>
          </w:p>
          <w:p w14:paraId="189AD577"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 xml:space="preserve"> </w:t>
            </w:r>
          </w:p>
        </w:tc>
        <w:tc>
          <w:tcPr>
            <w:tcW w:w="1098" w:type="dxa"/>
          </w:tcPr>
          <w:p w14:paraId="06FBE1FE" w14:textId="77777777" w:rsidR="00C75889" w:rsidRPr="00B03511" w:rsidRDefault="00C75889" w:rsidP="00B91507">
            <w:pPr>
              <w:jc w:val="center"/>
              <w:rPr>
                <w:rFonts w:ascii="Times New Roman" w:hAnsi="Times New Roman" w:cs="Times New Roman"/>
                <w:sz w:val="24"/>
                <w:szCs w:val="24"/>
              </w:rPr>
            </w:pPr>
            <w:r>
              <w:rPr>
                <w:rFonts w:ascii="Times New Roman" w:hAnsi="Times New Roman" w:cs="Times New Roman"/>
                <w:sz w:val="24"/>
                <w:szCs w:val="24"/>
              </w:rPr>
              <w:t>26</w:t>
            </w:r>
          </w:p>
        </w:tc>
        <w:tc>
          <w:tcPr>
            <w:tcW w:w="1412" w:type="dxa"/>
          </w:tcPr>
          <w:p w14:paraId="081983C0" w14:textId="77777777" w:rsidR="00C75889" w:rsidRPr="00B03511" w:rsidRDefault="00C75889" w:rsidP="00B91507">
            <w:pPr>
              <w:jc w:val="center"/>
              <w:rPr>
                <w:rFonts w:ascii="Times New Roman" w:hAnsi="Times New Roman" w:cs="Times New Roman"/>
                <w:sz w:val="24"/>
                <w:szCs w:val="24"/>
              </w:rPr>
            </w:pPr>
            <w:r w:rsidRPr="00B03511">
              <w:rPr>
                <w:rFonts w:ascii="Times New Roman" w:hAnsi="Times New Roman" w:cs="Times New Roman"/>
                <w:sz w:val="24"/>
                <w:szCs w:val="24"/>
              </w:rPr>
              <w:t>2%</w:t>
            </w:r>
          </w:p>
        </w:tc>
      </w:tr>
      <w:tr w:rsidR="00C75889" w:rsidRPr="00B03511" w14:paraId="3D360D95" w14:textId="77777777" w:rsidTr="00B91507">
        <w:tc>
          <w:tcPr>
            <w:tcW w:w="1576" w:type="dxa"/>
          </w:tcPr>
          <w:p w14:paraId="1028EF41"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Valles</w:t>
            </w:r>
          </w:p>
        </w:tc>
        <w:tc>
          <w:tcPr>
            <w:tcW w:w="4742" w:type="dxa"/>
          </w:tcPr>
          <w:p w14:paraId="0D6F4777"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 xml:space="preserve">Anzaldo, Arbieto, </w:t>
            </w:r>
            <w:proofErr w:type="spellStart"/>
            <w:r w:rsidRPr="00B03511">
              <w:rPr>
                <w:rFonts w:ascii="Times New Roman" w:hAnsi="Times New Roman" w:cs="Times New Roman"/>
                <w:sz w:val="24"/>
                <w:szCs w:val="24"/>
              </w:rPr>
              <w:t>Capinota</w:t>
            </w:r>
            <w:proofErr w:type="spellEnd"/>
            <w:r w:rsidRPr="00B03511">
              <w:rPr>
                <w:rFonts w:ascii="Times New Roman" w:hAnsi="Times New Roman" w:cs="Times New Roman"/>
                <w:sz w:val="24"/>
                <w:szCs w:val="24"/>
              </w:rPr>
              <w:t xml:space="preserve">, Cliza, Gualberto Villarroel, Punata, </w:t>
            </w:r>
            <w:proofErr w:type="spellStart"/>
            <w:r w:rsidRPr="00B03511">
              <w:rPr>
                <w:rFonts w:ascii="Times New Roman" w:hAnsi="Times New Roman" w:cs="Times New Roman"/>
                <w:sz w:val="24"/>
                <w:szCs w:val="24"/>
              </w:rPr>
              <w:t>Sacabamba</w:t>
            </w:r>
            <w:proofErr w:type="spellEnd"/>
            <w:r w:rsidRPr="00B03511">
              <w:rPr>
                <w:rFonts w:ascii="Times New Roman" w:hAnsi="Times New Roman" w:cs="Times New Roman"/>
                <w:sz w:val="24"/>
                <w:szCs w:val="24"/>
              </w:rPr>
              <w:t xml:space="preserve">, San Benito, Santivañez, </w:t>
            </w:r>
            <w:proofErr w:type="spellStart"/>
            <w:r w:rsidRPr="00B03511">
              <w:rPr>
                <w:rFonts w:ascii="Times New Roman" w:hAnsi="Times New Roman" w:cs="Times New Roman"/>
                <w:sz w:val="24"/>
                <w:szCs w:val="24"/>
              </w:rPr>
              <w:t>Tacachi</w:t>
            </w:r>
            <w:proofErr w:type="spellEnd"/>
            <w:r w:rsidRPr="00B03511">
              <w:rPr>
                <w:rFonts w:ascii="Times New Roman" w:hAnsi="Times New Roman" w:cs="Times New Roman"/>
                <w:sz w:val="24"/>
                <w:szCs w:val="24"/>
              </w:rPr>
              <w:t xml:space="preserve">, Tarata, Toco, </w:t>
            </w:r>
            <w:proofErr w:type="spellStart"/>
            <w:r w:rsidRPr="00B03511">
              <w:rPr>
                <w:rFonts w:ascii="Times New Roman" w:hAnsi="Times New Roman" w:cs="Times New Roman"/>
                <w:sz w:val="24"/>
                <w:szCs w:val="24"/>
              </w:rPr>
              <w:t>Tolata</w:t>
            </w:r>
            <w:proofErr w:type="spellEnd"/>
            <w:r w:rsidRPr="00B03511">
              <w:rPr>
                <w:rFonts w:ascii="Times New Roman" w:hAnsi="Times New Roman" w:cs="Times New Roman"/>
                <w:sz w:val="24"/>
                <w:szCs w:val="24"/>
              </w:rPr>
              <w:t>, Villa Rivero</w:t>
            </w:r>
          </w:p>
          <w:p w14:paraId="01155236" w14:textId="77777777" w:rsidR="00C75889" w:rsidRPr="00B03511" w:rsidRDefault="00C75889" w:rsidP="00B91507">
            <w:pPr>
              <w:jc w:val="both"/>
              <w:rPr>
                <w:rFonts w:ascii="Times New Roman" w:hAnsi="Times New Roman" w:cs="Times New Roman"/>
                <w:sz w:val="24"/>
                <w:szCs w:val="24"/>
              </w:rPr>
            </w:pPr>
          </w:p>
        </w:tc>
        <w:tc>
          <w:tcPr>
            <w:tcW w:w="1098" w:type="dxa"/>
          </w:tcPr>
          <w:p w14:paraId="29FF9B04" w14:textId="77777777" w:rsidR="00C75889" w:rsidRPr="00B03511" w:rsidRDefault="00C75889" w:rsidP="00B91507">
            <w:pPr>
              <w:jc w:val="center"/>
              <w:rPr>
                <w:rFonts w:ascii="Times New Roman" w:hAnsi="Times New Roman" w:cs="Times New Roman"/>
                <w:sz w:val="24"/>
                <w:szCs w:val="24"/>
              </w:rPr>
            </w:pPr>
            <w:r>
              <w:rPr>
                <w:rFonts w:ascii="Times New Roman" w:hAnsi="Times New Roman" w:cs="Times New Roman"/>
                <w:sz w:val="24"/>
                <w:szCs w:val="24"/>
              </w:rPr>
              <w:t>32</w:t>
            </w:r>
          </w:p>
        </w:tc>
        <w:tc>
          <w:tcPr>
            <w:tcW w:w="1412" w:type="dxa"/>
          </w:tcPr>
          <w:p w14:paraId="4DEAA12D" w14:textId="77777777" w:rsidR="00C75889" w:rsidRPr="00B03511" w:rsidRDefault="00C75889" w:rsidP="00B91507">
            <w:pPr>
              <w:jc w:val="center"/>
              <w:rPr>
                <w:rFonts w:ascii="Times New Roman" w:hAnsi="Times New Roman" w:cs="Times New Roman"/>
                <w:sz w:val="24"/>
                <w:szCs w:val="24"/>
              </w:rPr>
            </w:pPr>
            <w:r w:rsidRPr="00B03511">
              <w:rPr>
                <w:rFonts w:ascii="Times New Roman" w:hAnsi="Times New Roman" w:cs="Times New Roman"/>
                <w:sz w:val="24"/>
                <w:szCs w:val="24"/>
              </w:rPr>
              <w:t>3%</w:t>
            </w:r>
          </w:p>
        </w:tc>
      </w:tr>
      <w:tr w:rsidR="00C75889" w:rsidRPr="00B03511" w14:paraId="6854C8CD" w14:textId="77777777" w:rsidTr="00B91507">
        <w:tc>
          <w:tcPr>
            <w:tcW w:w="1576" w:type="dxa"/>
          </w:tcPr>
          <w:p w14:paraId="5DB3E132"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Andina</w:t>
            </w:r>
          </w:p>
        </w:tc>
        <w:tc>
          <w:tcPr>
            <w:tcW w:w="4742" w:type="dxa"/>
          </w:tcPr>
          <w:p w14:paraId="58D333B9"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 xml:space="preserve">Arque, Bolívar, </w:t>
            </w:r>
            <w:proofErr w:type="spellStart"/>
            <w:r w:rsidRPr="00B03511">
              <w:rPr>
                <w:rFonts w:ascii="Times New Roman" w:hAnsi="Times New Roman" w:cs="Times New Roman"/>
                <w:sz w:val="24"/>
                <w:szCs w:val="24"/>
              </w:rPr>
              <w:t>Cocapata</w:t>
            </w:r>
            <w:proofErr w:type="spellEnd"/>
            <w:r w:rsidRPr="00B03511">
              <w:rPr>
                <w:rFonts w:ascii="Times New Roman" w:hAnsi="Times New Roman" w:cs="Times New Roman"/>
                <w:sz w:val="24"/>
                <w:szCs w:val="24"/>
              </w:rPr>
              <w:t xml:space="preserve">, Independencia, </w:t>
            </w:r>
            <w:proofErr w:type="spellStart"/>
            <w:r w:rsidRPr="00B03511">
              <w:rPr>
                <w:rFonts w:ascii="Times New Roman" w:hAnsi="Times New Roman" w:cs="Times New Roman"/>
                <w:sz w:val="24"/>
                <w:szCs w:val="24"/>
              </w:rPr>
              <w:t>Morochata</w:t>
            </w:r>
            <w:proofErr w:type="spellEnd"/>
            <w:r w:rsidRPr="00B03511">
              <w:rPr>
                <w:rFonts w:ascii="Times New Roman" w:hAnsi="Times New Roman" w:cs="Times New Roman"/>
                <w:sz w:val="24"/>
                <w:szCs w:val="24"/>
              </w:rPr>
              <w:t xml:space="preserve">, Sicaya, </w:t>
            </w:r>
            <w:proofErr w:type="spellStart"/>
            <w:r w:rsidRPr="00B03511">
              <w:rPr>
                <w:rFonts w:ascii="Times New Roman" w:hAnsi="Times New Roman" w:cs="Times New Roman"/>
                <w:sz w:val="24"/>
                <w:szCs w:val="24"/>
              </w:rPr>
              <w:t>Tacopaya</w:t>
            </w:r>
            <w:proofErr w:type="spellEnd"/>
            <w:r w:rsidRPr="00B03511">
              <w:rPr>
                <w:rFonts w:ascii="Times New Roman" w:hAnsi="Times New Roman" w:cs="Times New Roman"/>
                <w:sz w:val="24"/>
                <w:szCs w:val="24"/>
              </w:rPr>
              <w:t>, Tapacarí</w:t>
            </w:r>
          </w:p>
          <w:p w14:paraId="39742403" w14:textId="77777777" w:rsidR="00C75889" w:rsidRPr="00B03511" w:rsidRDefault="00C75889" w:rsidP="00B91507">
            <w:pPr>
              <w:jc w:val="both"/>
              <w:rPr>
                <w:rFonts w:ascii="Times New Roman" w:hAnsi="Times New Roman" w:cs="Times New Roman"/>
                <w:sz w:val="24"/>
                <w:szCs w:val="24"/>
              </w:rPr>
            </w:pPr>
          </w:p>
        </w:tc>
        <w:tc>
          <w:tcPr>
            <w:tcW w:w="1098" w:type="dxa"/>
          </w:tcPr>
          <w:p w14:paraId="37965ED5" w14:textId="77777777" w:rsidR="00C75889" w:rsidRPr="00B03511" w:rsidRDefault="00C75889" w:rsidP="00B91507">
            <w:pPr>
              <w:jc w:val="center"/>
              <w:rPr>
                <w:rFonts w:ascii="Times New Roman" w:hAnsi="Times New Roman" w:cs="Times New Roman"/>
                <w:sz w:val="24"/>
                <w:szCs w:val="24"/>
              </w:rPr>
            </w:pPr>
            <w:r>
              <w:rPr>
                <w:rFonts w:ascii="Times New Roman" w:hAnsi="Times New Roman" w:cs="Times New Roman"/>
                <w:sz w:val="24"/>
                <w:szCs w:val="24"/>
              </w:rPr>
              <w:t>11</w:t>
            </w:r>
          </w:p>
        </w:tc>
        <w:tc>
          <w:tcPr>
            <w:tcW w:w="1412" w:type="dxa"/>
          </w:tcPr>
          <w:p w14:paraId="1EC0DFC2" w14:textId="77777777" w:rsidR="00C75889" w:rsidRPr="00B03511" w:rsidRDefault="00C75889" w:rsidP="00B91507">
            <w:pPr>
              <w:jc w:val="center"/>
              <w:rPr>
                <w:rFonts w:ascii="Times New Roman" w:hAnsi="Times New Roman" w:cs="Times New Roman"/>
                <w:sz w:val="24"/>
                <w:szCs w:val="24"/>
              </w:rPr>
            </w:pPr>
            <w:r w:rsidRPr="00B03511">
              <w:rPr>
                <w:rFonts w:ascii="Times New Roman" w:hAnsi="Times New Roman" w:cs="Times New Roman"/>
                <w:sz w:val="24"/>
                <w:szCs w:val="24"/>
              </w:rPr>
              <w:t>1%</w:t>
            </w:r>
          </w:p>
        </w:tc>
      </w:tr>
      <w:tr w:rsidR="00C75889" w:rsidRPr="00B03511" w14:paraId="1FFB67C4" w14:textId="77777777" w:rsidTr="00B91507">
        <w:tc>
          <w:tcPr>
            <w:tcW w:w="1576" w:type="dxa"/>
          </w:tcPr>
          <w:p w14:paraId="17A84A93"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Trópico</w:t>
            </w:r>
          </w:p>
        </w:tc>
        <w:tc>
          <w:tcPr>
            <w:tcW w:w="4742" w:type="dxa"/>
          </w:tcPr>
          <w:p w14:paraId="2E41A4AC" w14:textId="77777777" w:rsidR="00C75889" w:rsidRPr="00B03511" w:rsidRDefault="00C75889" w:rsidP="00B91507">
            <w:pPr>
              <w:jc w:val="both"/>
              <w:rPr>
                <w:rFonts w:ascii="Times New Roman" w:hAnsi="Times New Roman" w:cs="Times New Roman"/>
                <w:sz w:val="24"/>
                <w:szCs w:val="24"/>
              </w:rPr>
            </w:pPr>
            <w:r w:rsidRPr="00B03511">
              <w:rPr>
                <w:rFonts w:ascii="Times New Roman" w:hAnsi="Times New Roman" w:cs="Times New Roman"/>
                <w:sz w:val="24"/>
                <w:szCs w:val="24"/>
              </w:rPr>
              <w:t>Chimoré, Colomi, Entre Ríos, Puerto Villarroel, Shinahota, Villa Tunari</w:t>
            </w:r>
          </w:p>
          <w:p w14:paraId="275727F6" w14:textId="77777777" w:rsidR="00C75889" w:rsidRPr="00B03511" w:rsidRDefault="00C75889" w:rsidP="00B91507">
            <w:pPr>
              <w:jc w:val="both"/>
              <w:rPr>
                <w:rFonts w:ascii="Times New Roman" w:hAnsi="Times New Roman" w:cs="Times New Roman"/>
                <w:sz w:val="24"/>
                <w:szCs w:val="24"/>
              </w:rPr>
            </w:pPr>
          </w:p>
        </w:tc>
        <w:tc>
          <w:tcPr>
            <w:tcW w:w="1098" w:type="dxa"/>
          </w:tcPr>
          <w:p w14:paraId="55A4DB29" w14:textId="77777777" w:rsidR="00C75889" w:rsidRPr="00B03511" w:rsidRDefault="00C75889" w:rsidP="00B91507">
            <w:pPr>
              <w:jc w:val="center"/>
              <w:rPr>
                <w:rFonts w:ascii="Times New Roman" w:hAnsi="Times New Roman" w:cs="Times New Roman"/>
                <w:sz w:val="24"/>
                <w:szCs w:val="24"/>
              </w:rPr>
            </w:pPr>
            <w:r>
              <w:rPr>
                <w:rFonts w:ascii="Times New Roman" w:hAnsi="Times New Roman" w:cs="Times New Roman"/>
                <w:sz w:val="24"/>
                <w:szCs w:val="24"/>
              </w:rPr>
              <w:t>22</w:t>
            </w:r>
          </w:p>
        </w:tc>
        <w:tc>
          <w:tcPr>
            <w:tcW w:w="1412" w:type="dxa"/>
          </w:tcPr>
          <w:p w14:paraId="3078A915" w14:textId="77777777" w:rsidR="00C75889" w:rsidRPr="00B03511" w:rsidRDefault="00C75889" w:rsidP="00B91507">
            <w:pPr>
              <w:jc w:val="center"/>
              <w:rPr>
                <w:rFonts w:ascii="Times New Roman" w:hAnsi="Times New Roman" w:cs="Times New Roman"/>
                <w:sz w:val="24"/>
                <w:szCs w:val="24"/>
              </w:rPr>
            </w:pPr>
            <w:r w:rsidRPr="00B03511">
              <w:rPr>
                <w:rFonts w:ascii="Times New Roman" w:hAnsi="Times New Roman" w:cs="Times New Roman"/>
                <w:sz w:val="24"/>
                <w:szCs w:val="24"/>
              </w:rPr>
              <w:t>2%</w:t>
            </w:r>
          </w:p>
        </w:tc>
      </w:tr>
    </w:tbl>
    <w:p w14:paraId="0EEB298D" w14:textId="2443BC58" w:rsidR="00B04DFE" w:rsidRPr="00B03511" w:rsidRDefault="00C75889" w:rsidP="00B04DFE">
      <w:pPr>
        <w:spacing w:line="240" w:lineRule="auto"/>
        <w:jc w:val="both"/>
        <w:rPr>
          <w:rFonts w:ascii="Times New Roman" w:hAnsi="Times New Roman" w:cs="Times New Roman"/>
          <w:b/>
          <w:bCs/>
        </w:rPr>
      </w:pPr>
      <w:r w:rsidRPr="00D62BB4">
        <w:rPr>
          <w:rFonts w:ascii="Times New Roman" w:hAnsi="Times New Roman" w:cs="Times New Roman"/>
          <w:sz w:val="20"/>
          <w:szCs w:val="20"/>
        </w:rPr>
        <w:t>Nota: Elaboración propia con base en Manzano, 2015 y base datos estudiantes Facultad de Humanidades y Ciencias de la Educación/Universidad Mayor de San Simón</w:t>
      </w:r>
    </w:p>
    <w:bookmarkEnd w:id="3"/>
    <w:p w14:paraId="106D635D" w14:textId="77777777" w:rsidR="0053073D" w:rsidRDefault="00B04DFE" w:rsidP="0053073D">
      <w:pPr>
        <w:spacing w:line="240" w:lineRule="auto"/>
        <w:jc w:val="both"/>
        <w:rPr>
          <w:rFonts w:ascii="Times New Roman" w:hAnsi="Times New Roman" w:cs="Times New Roman"/>
        </w:rPr>
      </w:pPr>
      <w:r w:rsidRPr="001F0C7F">
        <w:rPr>
          <w:rFonts w:ascii="Times New Roman" w:hAnsi="Times New Roman" w:cs="Times New Roman"/>
        </w:rPr>
        <w:t>De esa manera, se puede indicar que aproximadamente tres cuartas</w:t>
      </w:r>
      <w:r>
        <w:rPr>
          <w:rFonts w:ascii="Times New Roman" w:hAnsi="Times New Roman" w:cs="Times New Roman"/>
        </w:rPr>
        <w:t xml:space="preserve"> partes</w:t>
      </w:r>
      <w:r w:rsidRPr="001F0C7F">
        <w:rPr>
          <w:rFonts w:ascii="Times New Roman" w:hAnsi="Times New Roman" w:cs="Times New Roman"/>
        </w:rPr>
        <w:t xml:space="preserve"> de los/as estudiantes provienen de la región metropolitana de Cochabamba, es decir, que son del área urbana. Un 8% de los/as estudiantes proceden de las otras cuatro regiones del departamento, es decir, que son del área rural. Asimismo, 9% proceden de áreas urbanas de otros departamentos y un 7% proceden de áreas rurales de otros departamentos. Lo cual muestra que la universidad es todavía una institución que sirve a las aspiraciones de la juventud urbana.  </w:t>
      </w:r>
    </w:p>
    <w:p w14:paraId="7EAB1C63" w14:textId="72925453" w:rsidR="00B04DFE" w:rsidRPr="0053073D" w:rsidRDefault="0053073D" w:rsidP="0053073D">
      <w:pPr>
        <w:spacing w:line="240" w:lineRule="auto"/>
        <w:jc w:val="both"/>
        <w:rPr>
          <w:rFonts w:ascii="Times New Roman" w:hAnsi="Times New Roman" w:cs="Times New Roman"/>
        </w:rPr>
      </w:pPr>
      <w:r>
        <w:rPr>
          <w:rFonts w:ascii="Times New Roman" w:hAnsi="Times New Roman" w:cs="Times New Roman"/>
        </w:rPr>
        <w:t>En lo que respecta a los</w:t>
      </w:r>
      <w:r w:rsidR="00B04DFE" w:rsidRPr="0053073D">
        <w:rPr>
          <w:rFonts w:ascii="Times New Roman" w:hAnsi="Times New Roman" w:cs="Times New Roman"/>
        </w:rPr>
        <w:t xml:space="preserve"> resultados sobre la relación entre rendimiento académico y origen escolar, es necesario señalar cuáles serán los indicadores para rendimiento y origen escolar. Para rendimiento académico los indicadores serán los estudiantes según número de materias aprobadas, reprobadas y promedio de notas; para el origen escolar los </w:t>
      </w:r>
      <w:r w:rsidR="00B04DFE" w:rsidRPr="0053073D">
        <w:rPr>
          <w:rFonts w:ascii="Times New Roman" w:hAnsi="Times New Roman" w:cs="Times New Roman"/>
        </w:rPr>
        <w:lastRenderedPageBreak/>
        <w:t xml:space="preserve">indicadores serán la dependencia de la unidad educativa de egreso, es decir, si salió bachiller de un colegio fiscal, privado o de convenio, y el otro indicador que permite una aproximación al origen escolar será el área en que se ubica la unidad educativa de egreso, es decir, urbano o rural. </w:t>
      </w:r>
    </w:p>
    <w:p w14:paraId="056D046B" w14:textId="1DCA7809" w:rsidR="00B04DFE" w:rsidRPr="001F0C7F" w:rsidRDefault="00B04DFE" w:rsidP="00B04DFE">
      <w:pPr>
        <w:spacing w:line="240" w:lineRule="auto"/>
        <w:jc w:val="both"/>
        <w:rPr>
          <w:rFonts w:ascii="Times New Roman" w:hAnsi="Times New Roman" w:cs="Times New Roman"/>
        </w:rPr>
      </w:pPr>
      <w:r w:rsidRPr="001F0C7F">
        <w:rPr>
          <w:rFonts w:ascii="Times New Roman" w:hAnsi="Times New Roman" w:cs="Times New Roman"/>
        </w:rPr>
        <w:t xml:space="preserve">Si se realiza una lectura horizontal de la Tabla </w:t>
      </w:r>
      <w:r>
        <w:rPr>
          <w:rFonts w:ascii="Times New Roman" w:hAnsi="Times New Roman" w:cs="Times New Roman"/>
        </w:rPr>
        <w:t>2</w:t>
      </w:r>
      <w:r w:rsidRPr="001F0C7F">
        <w:rPr>
          <w:rFonts w:ascii="Times New Roman" w:hAnsi="Times New Roman" w:cs="Times New Roman"/>
        </w:rPr>
        <w:t xml:space="preserve">, se puede destacar, por una parte, que </w:t>
      </w:r>
      <w:r>
        <w:rPr>
          <w:rFonts w:ascii="Times New Roman" w:hAnsi="Times New Roman" w:cs="Times New Roman"/>
        </w:rPr>
        <w:t>un 41,8% de</w:t>
      </w:r>
      <w:r w:rsidRPr="001F0C7F">
        <w:rPr>
          <w:rFonts w:ascii="Times New Roman" w:hAnsi="Times New Roman" w:cs="Times New Roman"/>
        </w:rPr>
        <w:t xml:space="preserve"> estudiantes de colegios fiscales</w:t>
      </w:r>
      <w:r>
        <w:rPr>
          <w:rFonts w:ascii="Times New Roman" w:hAnsi="Times New Roman" w:cs="Times New Roman"/>
        </w:rPr>
        <w:t xml:space="preserve"> se encuentran en el rango de 0-2 materias aprobadas</w:t>
      </w:r>
      <w:r w:rsidR="00D07FE1">
        <w:rPr>
          <w:rFonts w:ascii="Times New Roman" w:hAnsi="Times New Roman" w:cs="Times New Roman"/>
        </w:rPr>
        <w:t xml:space="preserve">. </w:t>
      </w:r>
      <w:r>
        <w:rPr>
          <w:rFonts w:ascii="Times New Roman" w:hAnsi="Times New Roman" w:cs="Times New Roman"/>
        </w:rPr>
        <w:t xml:space="preserve">Para el caso de los estudiantes provenientes de colegios privados un 49,5% se encuentra en ese rango y un 36,7% de los provenientes de colegios de convenio. Teniendo en cuenta que este rango de aprobación es posible caracterizarlo como un mal rendimiento académico se puede señalar que los estudiantes provenientes de colegios privados tienen un </w:t>
      </w:r>
      <w:r w:rsidR="00D07FE1">
        <w:rPr>
          <w:rFonts w:ascii="Times New Roman" w:hAnsi="Times New Roman" w:cs="Times New Roman"/>
        </w:rPr>
        <w:t>peor</w:t>
      </w:r>
      <w:r>
        <w:rPr>
          <w:rFonts w:ascii="Times New Roman" w:hAnsi="Times New Roman" w:cs="Times New Roman"/>
        </w:rPr>
        <w:t xml:space="preserve"> rendimiento académico en relación a los provenientes de colegios fiscales y de convenio. Por otra parte, tomando en cuenta como buen rendimiento la aprobación de 6 o más materias, se evidencia que los estudiantes de colegios fiscales tienen un mejor rendimiento que los estudiantes provenientes de colegios de convenio y privados. </w:t>
      </w:r>
      <w:r w:rsidRPr="001F0C7F">
        <w:rPr>
          <w:rFonts w:ascii="Times New Roman" w:hAnsi="Times New Roman" w:cs="Times New Roman"/>
        </w:rPr>
        <w:t xml:space="preserve">Esto podría ser un indicio de que el </w:t>
      </w:r>
      <w:r w:rsidRPr="00186A2A">
        <w:rPr>
          <w:rFonts w:ascii="Times New Roman" w:hAnsi="Times New Roman" w:cs="Times New Roman"/>
        </w:rPr>
        <w:t>origen escolar,</w:t>
      </w:r>
      <w:r w:rsidRPr="001F0C7F">
        <w:rPr>
          <w:rFonts w:ascii="Times New Roman" w:hAnsi="Times New Roman" w:cs="Times New Roman"/>
        </w:rPr>
        <w:t xml:space="preserve"> expresado en el tipo de dependencia del colegio de egreso, no es un factor determinante en el </w:t>
      </w:r>
      <w:r>
        <w:rPr>
          <w:rFonts w:ascii="Times New Roman" w:hAnsi="Times New Roman" w:cs="Times New Roman"/>
        </w:rPr>
        <w:t>rendimiento</w:t>
      </w:r>
      <w:r w:rsidRPr="001F0C7F">
        <w:rPr>
          <w:rFonts w:ascii="Times New Roman" w:hAnsi="Times New Roman" w:cs="Times New Roman"/>
        </w:rPr>
        <w:t xml:space="preserve"> académico de los estudiantes.</w:t>
      </w:r>
    </w:p>
    <w:p w14:paraId="7F7EC555" w14:textId="77777777" w:rsidR="00C75889" w:rsidRPr="001F0C7F" w:rsidRDefault="00C75889" w:rsidP="0015052F">
      <w:pPr>
        <w:spacing w:after="0" w:line="240" w:lineRule="auto"/>
        <w:jc w:val="both"/>
        <w:rPr>
          <w:rFonts w:ascii="Times New Roman" w:hAnsi="Times New Roman" w:cs="Times New Roman"/>
          <w:b/>
          <w:bCs/>
        </w:rPr>
      </w:pPr>
      <w:bookmarkStart w:id="4" w:name="_Hlk203400461"/>
      <w:r w:rsidRPr="001F0C7F">
        <w:rPr>
          <w:rFonts w:ascii="Times New Roman" w:hAnsi="Times New Roman" w:cs="Times New Roman"/>
          <w:b/>
          <w:bCs/>
        </w:rPr>
        <w:t xml:space="preserve">Tabla </w:t>
      </w:r>
      <w:r>
        <w:rPr>
          <w:rFonts w:ascii="Times New Roman" w:hAnsi="Times New Roman" w:cs="Times New Roman"/>
          <w:b/>
          <w:bCs/>
        </w:rPr>
        <w:t>2</w:t>
      </w:r>
    </w:p>
    <w:p w14:paraId="3D6541CB" w14:textId="77777777" w:rsidR="00C75889" w:rsidRPr="00BB0B8B" w:rsidRDefault="00C75889" w:rsidP="0015052F">
      <w:pPr>
        <w:spacing w:after="0" w:line="240" w:lineRule="auto"/>
        <w:jc w:val="both"/>
        <w:rPr>
          <w:rFonts w:ascii="Times New Roman" w:hAnsi="Times New Roman" w:cs="Times New Roman"/>
          <w:i/>
          <w:iCs/>
        </w:rPr>
      </w:pPr>
      <w:r>
        <w:rPr>
          <w:rFonts w:ascii="Times New Roman" w:hAnsi="Times New Roman" w:cs="Times New Roman"/>
          <w:i/>
          <w:iCs/>
        </w:rPr>
        <w:t>Estudiantes según d</w:t>
      </w:r>
      <w:r w:rsidRPr="001F0C7F">
        <w:rPr>
          <w:rFonts w:ascii="Times New Roman" w:hAnsi="Times New Roman" w:cs="Times New Roman"/>
          <w:i/>
          <w:iCs/>
        </w:rPr>
        <w:t xml:space="preserve">ependencia de Unidad Educativa </w:t>
      </w:r>
      <w:r>
        <w:rPr>
          <w:rFonts w:ascii="Times New Roman" w:hAnsi="Times New Roman" w:cs="Times New Roman"/>
          <w:i/>
          <w:iCs/>
        </w:rPr>
        <w:t>y</w:t>
      </w:r>
      <w:r w:rsidRPr="001F0C7F">
        <w:rPr>
          <w:rFonts w:ascii="Times New Roman" w:hAnsi="Times New Roman" w:cs="Times New Roman"/>
          <w:i/>
          <w:iCs/>
        </w:rPr>
        <w:t xml:space="preserve"> número de materias aprobadas</w:t>
      </w:r>
      <w:r>
        <w:rPr>
          <w:rFonts w:ascii="Times New Roman" w:hAnsi="Times New Roman" w:cs="Times New Roman"/>
          <w:i/>
          <w:iCs/>
        </w:rPr>
        <w:t xml:space="preserve"> (absoluto y relativo)</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577"/>
        <w:gridCol w:w="1198"/>
        <w:gridCol w:w="577"/>
        <w:gridCol w:w="1198"/>
        <w:gridCol w:w="577"/>
        <w:gridCol w:w="1197"/>
        <w:gridCol w:w="577"/>
        <w:gridCol w:w="820"/>
      </w:tblGrid>
      <w:tr w:rsidR="00C75889" w14:paraId="56DA32CC" w14:textId="77777777" w:rsidTr="00B91507">
        <w:tc>
          <w:tcPr>
            <w:tcW w:w="1838" w:type="dxa"/>
            <w:tcBorders>
              <w:top w:val="single" w:sz="4" w:space="0" w:color="auto"/>
              <w:bottom w:val="nil"/>
            </w:tcBorders>
            <w:shd w:val="clear" w:color="auto" w:fill="auto"/>
          </w:tcPr>
          <w:p w14:paraId="7099E295" w14:textId="77777777" w:rsidR="00C75889" w:rsidRPr="00BB0B8B" w:rsidRDefault="00C75889" w:rsidP="00B91507">
            <w:pPr>
              <w:jc w:val="both"/>
              <w:rPr>
                <w:rFonts w:cstheme="minorHAnsi"/>
                <w:sz w:val="24"/>
                <w:szCs w:val="24"/>
              </w:rPr>
            </w:pPr>
          </w:p>
        </w:tc>
        <w:tc>
          <w:tcPr>
            <w:tcW w:w="6946" w:type="dxa"/>
            <w:gridSpan w:val="8"/>
            <w:tcBorders>
              <w:top w:val="single" w:sz="4" w:space="0" w:color="auto"/>
              <w:bottom w:val="nil"/>
            </w:tcBorders>
          </w:tcPr>
          <w:p w14:paraId="5A96662A" w14:textId="77777777" w:rsidR="00C75889" w:rsidRPr="00BB0B8B" w:rsidRDefault="00C75889" w:rsidP="00B91507">
            <w:pPr>
              <w:jc w:val="center"/>
              <w:rPr>
                <w:rFonts w:cstheme="minorHAnsi"/>
                <w:sz w:val="24"/>
                <w:szCs w:val="24"/>
              </w:rPr>
            </w:pPr>
            <w:proofErr w:type="spellStart"/>
            <w:r w:rsidRPr="00BB0B8B">
              <w:rPr>
                <w:rFonts w:cstheme="minorHAnsi"/>
                <w:b/>
                <w:bCs/>
              </w:rPr>
              <w:t>N°</w:t>
            </w:r>
            <w:proofErr w:type="spellEnd"/>
            <w:r w:rsidRPr="00BB0B8B">
              <w:rPr>
                <w:rFonts w:cstheme="minorHAnsi"/>
                <w:b/>
                <w:bCs/>
              </w:rPr>
              <w:t xml:space="preserve"> materias aprobadas</w:t>
            </w:r>
          </w:p>
        </w:tc>
      </w:tr>
      <w:tr w:rsidR="00C75889" w14:paraId="7FC2CD5D" w14:textId="77777777" w:rsidTr="00B91507">
        <w:tc>
          <w:tcPr>
            <w:tcW w:w="1838" w:type="dxa"/>
            <w:tcBorders>
              <w:top w:val="nil"/>
              <w:bottom w:val="single" w:sz="4" w:space="0" w:color="auto"/>
            </w:tcBorders>
            <w:shd w:val="clear" w:color="auto" w:fill="auto"/>
          </w:tcPr>
          <w:p w14:paraId="0BDB9846" w14:textId="77777777" w:rsidR="00C75889" w:rsidRPr="0015052F" w:rsidRDefault="00C75889" w:rsidP="0015052F">
            <w:pPr>
              <w:jc w:val="both"/>
              <w:rPr>
                <w:rFonts w:cstheme="minorHAnsi"/>
                <w:b/>
                <w:bCs/>
              </w:rPr>
            </w:pPr>
            <w:r w:rsidRPr="0015052F">
              <w:rPr>
                <w:rFonts w:cstheme="minorHAnsi"/>
                <w:b/>
                <w:bCs/>
              </w:rPr>
              <w:t>Dependencia Unidad Educativa</w:t>
            </w:r>
          </w:p>
        </w:tc>
        <w:tc>
          <w:tcPr>
            <w:tcW w:w="1843" w:type="dxa"/>
            <w:gridSpan w:val="2"/>
            <w:tcBorders>
              <w:top w:val="nil"/>
              <w:bottom w:val="single" w:sz="4" w:space="0" w:color="auto"/>
            </w:tcBorders>
          </w:tcPr>
          <w:p w14:paraId="026D78F2" w14:textId="77777777" w:rsidR="00C75889" w:rsidRPr="0015052F" w:rsidRDefault="00C75889" w:rsidP="0015052F">
            <w:pPr>
              <w:jc w:val="center"/>
              <w:rPr>
                <w:rFonts w:cstheme="minorHAnsi"/>
                <w:b/>
                <w:bCs/>
              </w:rPr>
            </w:pPr>
            <w:r w:rsidRPr="0015052F">
              <w:rPr>
                <w:rFonts w:cstheme="minorHAnsi"/>
                <w:b/>
                <w:bCs/>
              </w:rPr>
              <w:t>De 0 a 2 materias</w:t>
            </w:r>
          </w:p>
        </w:tc>
        <w:tc>
          <w:tcPr>
            <w:tcW w:w="1843" w:type="dxa"/>
            <w:gridSpan w:val="2"/>
            <w:tcBorders>
              <w:top w:val="nil"/>
              <w:bottom w:val="single" w:sz="4" w:space="0" w:color="auto"/>
            </w:tcBorders>
          </w:tcPr>
          <w:p w14:paraId="3CC58247" w14:textId="77777777" w:rsidR="00C75889" w:rsidRPr="0015052F" w:rsidRDefault="00C75889" w:rsidP="0015052F">
            <w:pPr>
              <w:jc w:val="center"/>
              <w:rPr>
                <w:rFonts w:cstheme="minorHAnsi"/>
                <w:b/>
                <w:bCs/>
              </w:rPr>
            </w:pPr>
            <w:r w:rsidRPr="0015052F">
              <w:rPr>
                <w:rFonts w:cstheme="minorHAnsi"/>
                <w:b/>
                <w:bCs/>
              </w:rPr>
              <w:t>De 3 a 5 materias</w:t>
            </w:r>
          </w:p>
        </w:tc>
        <w:tc>
          <w:tcPr>
            <w:tcW w:w="1842" w:type="dxa"/>
            <w:gridSpan w:val="2"/>
            <w:tcBorders>
              <w:top w:val="nil"/>
              <w:bottom w:val="single" w:sz="4" w:space="0" w:color="auto"/>
            </w:tcBorders>
          </w:tcPr>
          <w:p w14:paraId="0023B7A3" w14:textId="77777777" w:rsidR="00C75889" w:rsidRPr="0015052F" w:rsidRDefault="00C75889" w:rsidP="0015052F">
            <w:pPr>
              <w:jc w:val="center"/>
              <w:rPr>
                <w:rFonts w:cstheme="minorHAnsi"/>
                <w:b/>
                <w:bCs/>
              </w:rPr>
            </w:pPr>
            <w:r w:rsidRPr="0015052F">
              <w:rPr>
                <w:rFonts w:cstheme="minorHAnsi"/>
                <w:b/>
                <w:bCs/>
              </w:rPr>
              <w:t>De 6 a 8 materias</w:t>
            </w:r>
          </w:p>
        </w:tc>
        <w:tc>
          <w:tcPr>
            <w:tcW w:w="1418" w:type="dxa"/>
            <w:gridSpan w:val="2"/>
            <w:tcBorders>
              <w:top w:val="nil"/>
              <w:bottom w:val="single" w:sz="4" w:space="0" w:color="auto"/>
            </w:tcBorders>
          </w:tcPr>
          <w:p w14:paraId="7548AA86" w14:textId="77777777" w:rsidR="00C75889" w:rsidRPr="0015052F" w:rsidRDefault="00C75889" w:rsidP="0015052F">
            <w:pPr>
              <w:jc w:val="center"/>
              <w:rPr>
                <w:rFonts w:cstheme="minorHAnsi"/>
                <w:b/>
                <w:bCs/>
              </w:rPr>
            </w:pPr>
            <w:proofErr w:type="gramStart"/>
            <w:r w:rsidRPr="0015052F">
              <w:rPr>
                <w:rFonts w:cstheme="minorHAnsi"/>
                <w:b/>
                <w:bCs/>
              </w:rPr>
              <w:t>Total</w:t>
            </w:r>
            <w:proofErr w:type="gramEnd"/>
            <w:r w:rsidRPr="0015052F">
              <w:rPr>
                <w:rFonts w:cstheme="minorHAnsi"/>
                <w:b/>
                <w:bCs/>
              </w:rPr>
              <w:t xml:space="preserve"> general</w:t>
            </w:r>
          </w:p>
        </w:tc>
      </w:tr>
      <w:tr w:rsidR="00C75889" w14:paraId="362670FE" w14:textId="77777777" w:rsidTr="00B91507">
        <w:tc>
          <w:tcPr>
            <w:tcW w:w="1838" w:type="dxa"/>
            <w:tcBorders>
              <w:top w:val="single" w:sz="4" w:space="0" w:color="auto"/>
            </w:tcBorders>
          </w:tcPr>
          <w:p w14:paraId="6F4D6C95" w14:textId="77777777" w:rsidR="00C75889" w:rsidRPr="0015052F" w:rsidRDefault="00C75889" w:rsidP="00B91507">
            <w:pPr>
              <w:jc w:val="both"/>
              <w:rPr>
                <w:rFonts w:cstheme="minorHAnsi"/>
              </w:rPr>
            </w:pPr>
            <w:r w:rsidRPr="0015052F">
              <w:rPr>
                <w:rFonts w:cstheme="minorHAnsi"/>
              </w:rPr>
              <w:t>Convenio</w:t>
            </w:r>
          </w:p>
        </w:tc>
        <w:tc>
          <w:tcPr>
            <w:tcW w:w="581" w:type="dxa"/>
            <w:tcBorders>
              <w:top w:val="single" w:sz="4" w:space="0" w:color="auto"/>
            </w:tcBorders>
          </w:tcPr>
          <w:p w14:paraId="084B7D74" w14:textId="77777777" w:rsidR="00C75889" w:rsidRPr="0015052F" w:rsidRDefault="00C75889" w:rsidP="00B91507">
            <w:pPr>
              <w:jc w:val="right"/>
              <w:rPr>
                <w:rFonts w:cstheme="minorHAnsi"/>
              </w:rPr>
            </w:pPr>
            <w:r w:rsidRPr="0015052F">
              <w:rPr>
                <w:rFonts w:cstheme="minorHAnsi"/>
              </w:rPr>
              <w:t>58</w:t>
            </w:r>
          </w:p>
        </w:tc>
        <w:tc>
          <w:tcPr>
            <w:tcW w:w="1262" w:type="dxa"/>
            <w:tcBorders>
              <w:top w:val="single" w:sz="4" w:space="0" w:color="auto"/>
            </w:tcBorders>
          </w:tcPr>
          <w:p w14:paraId="53187F37" w14:textId="77777777" w:rsidR="00C75889" w:rsidRPr="0015052F" w:rsidRDefault="00C75889" w:rsidP="00B91507">
            <w:pPr>
              <w:jc w:val="right"/>
              <w:rPr>
                <w:rFonts w:cstheme="minorHAnsi"/>
              </w:rPr>
            </w:pPr>
            <w:r w:rsidRPr="0015052F">
              <w:rPr>
                <w:rFonts w:cstheme="minorHAnsi"/>
              </w:rPr>
              <w:t>36,7%</w:t>
            </w:r>
          </w:p>
        </w:tc>
        <w:tc>
          <w:tcPr>
            <w:tcW w:w="581" w:type="dxa"/>
            <w:tcBorders>
              <w:top w:val="single" w:sz="4" w:space="0" w:color="auto"/>
            </w:tcBorders>
          </w:tcPr>
          <w:p w14:paraId="6DD54408" w14:textId="77777777" w:rsidR="00C75889" w:rsidRPr="0015052F" w:rsidRDefault="00C75889" w:rsidP="00B91507">
            <w:pPr>
              <w:jc w:val="right"/>
              <w:rPr>
                <w:rFonts w:cstheme="minorHAnsi"/>
              </w:rPr>
            </w:pPr>
            <w:r w:rsidRPr="0015052F">
              <w:rPr>
                <w:rFonts w:cstheme="minorHAnsi"/>
              </w:rPr>
              <w:t>68</w:t>
            </w:r>
          </w:p>
        </w:tc>
        <w:tc>
          <w:tcPr>
            <w:tcW w:w="1262" w:type="dxa"/>
            <w:tcBorders>
              <w:top w:val="single" w:sz="4" w:space="0" w:color="auto"/>
            </w:tcBorders>
          </w:tcPr>
          <w:p w14:paraId="299FEC0E" w14:textId="77777777" w:rsidR="00C75889" w:rsidRPr="0015052F" w:rsidRDefault="00C75889" w:rsidP="00B91507">
            <w:pPr>
              <w:jc w:val="right"/>
              <w:rPr>
                <w:rFonts w:cstheme="minorHAnsi"/>
              </w:rPr>
            </w:pPr>
            <w:r w:rsidRPr="0015052F">
              <w:rPr>
                <w:rFonts w:cstheme="minorHAnsi"/>
              </w:rPr>
              <w:t>43,1%</w:t>
            </w:r>
          </w:p>
        </w:tc>
        <w:tc>
          <w:tcPr>
            <w:tcW w:w="581" w:type="dxa"/>
            <w:tcBorders>
              <w:top w:val="single" w:sz="4" w:space="0" w:color="auto"/>
            </w:tcBorders>
          </w:tcPr>
          <w:p w14:paraId="772FA661" w14:textId="77777777" w:rsidR="00C75889" w:rsidRPr="0015052F" w:rsidRDefault="00C75889" w:rsidP="00B91507">
            <w:pPr>
              <w:jc w:val="right"/>
              <w:rPr>
                <w:rFonts w:cstheme="minorHAnsi"/>
              </w:rPr>
            </w:pPr>
            <w:r w:rsidRPr="0015052F">
              <w:rPr>
                <w:rFonts w:cstheme="minorHAnsi"/>
              </w:rPr>
              <w:t>32</w:t>
            </w:r>
          </w:p>
        </w:tc>
        <w:tc>
          <w:tcPr>
            <w:tcW w:w="1261" w:type="dxa"/>
            <w:tcBorders>
              <w:top w:val="single" w:sz="4" w:space="0" w:color="auto"/>
            </w:tcBorders>
          </w:tcPr>
          <w:p w14:paraId="7A0EDA82" w14:textId="77777777" w:rsidR="00C75889" w:rsidRPr="0015052F" w:rsidRDefault="00C75889" w:rsidP="00B91507">
            <w:pPr>
              <w:jc w:val="right"/>
              <w:rPr>
                <w:rFonts w:cstheme="minorHAnsi"/>
              </w:rPr>
            </w:pPr>
            <w:r w:rsidRPr="0015052F">
              <w:rPr>
                <w:rFonts w:cstheme="minorHAnsi"/>
              </w:rPr>
              <w:t>20,2%</w:t>
            </w:r>
          </w:p>
        </w:tc>
        <w:tc>
          <w:tcPr>
            <w:tcW w:w="581" w:type="dxa"/>
            <w:tcBorders>
              <w:top w:val="single" w:sz="4" w:space="0" w:color="auto"/>
            </w:tcBorders>
          </w:tcPr>
          <w:p w14:paraId="26E1B66C" w14:textId="77777777" w:rsidR="00C75889" w:rsidRPr="0015052F" w:rsidRDefault="00C75889" w:rsidP="00B91507">
            <w:pPr>
              <w:jc w:val="right"/>
              <w:rPr>
                <w:rFonts w:cstheme="minorHAnsi"/>
              </w:rPr>
            </w:pPr>
            <w:r w:rsidRPr="0015052F">
              <w:rPr>
                <w:rFonts w:cstheme="minorHAnsi"/>
              </w:rPr>
              <w:t>158</w:t>
            </w:r>
          </w:p>
        </w:tc>
        <w:tc>
          <w:tcPr>
            <w:tcW w:w="837" w:type="dxa"/>
            <w:tcBorders>
              <w:top w:val="single" w:sz="4" w:space="0" w:color="auto"/>
            </w:tcBorders>
          </w:tcPr>
          <w:p w14:paraId="3C201730" w14:textId="77777777" w:rsidR="00C75889" w:rsidRPr="0015052F" w:rsidRDefault="00C75889" w:rsidP="00B91507">
            <w:pPr>
              <w:jc w:val="right"/>
              <w:rPr>
                <w:rFonts w:cstheme="minorHAnsi"/>
              </w:rPr>
            </w:pPr>
            <w:r w:rsidRPr="0015052F">
              <w:rPr>
                <w:rFonts w:cstheme="minorHAnsi"/>
              </w:rPr>
              <w:t>100%</w:t>
            </w:r>
          </w:p>
        </w:tc>
      </w:tr>
      <w:tr w:rsidR="00C75889" w14:paraId="61641AFD" w14:textId="77777777" w:rsidTr="00B91507">
        <w:tc>
          <w:tcPr>
            <w:tcW w:w="1838" w:type="dxa"/>
          </w:tcPr>
          <w:p w14:paraId="7BC990F8" w14:textId="77777777" w:rsidR="00C75889" w:rsidRPr="0015052F" w:rsidRDefault="00C75889" w:rsidP="00B91507">
            <w:pPr>
              <w:jc w:val="both"/>
              <w:rPr>
                <w:rFonts w:cstheme="minorHAnsi"/>
              </w:rPr>
            </w:pPr>
            <w:r w:rsidRPr="0015052F">
              <w:rPr>
                <w:rFonts w:cstheme="minorHAnsi"/>
              </w:rPr>
              <w:t>Fiscal</w:t>
            </w:r>
          </w:p>
        </w:tc>
        <w:tc>
          <w:tcPr>
            <w:tcW w:w="581" w:type="dxa"/>
          </w:tcPr>
          <w:p w14:paraId="7ECB6BFB" w14:textId="77777777" w:rsidR="00C75889" w:rsidRPr="0015052F" w:rsidRDefault="00C75889" w:rsidP="00B91507">
            <w:pPr>
              <w:jc w:val="right"/>
              <w:rPr>
                <w:rFonts w:cstheme="minorHAnsi"/>
              </w:rPr>
            </w:pPr>
            <w:r w:rsidRPr="0015052F">
              <w:rPr>
                <w:rFonts w:cstheme="minorHAnsi"/>
              </w:rPr>
              <w:t>321</w:t>
            </w:r>
          </w:p>
        </w:tc>
        <w:tc>
          <w:tcPr>
            <w:tcW w:w="1262" w:type="dxa"/>
          </w:tcPr>
          <w:p w14:paraId="5CFA7FFB" w14:textId="77777777" w:rsidR="00C75889" w:rsidRPr="0015052F" w:rsidRDefault="00C75889" w:rsidP="00B91507">
            <w:pPr>
              <w:jc w:val="right"/>
              <w:rPr>
                <w:rFonts w:cstheme="minorHAnsi"/>
              </w:rPr>
            </w:pPr>
            <w:r w:rsidRPr="0015052F">
              <w:rPr>
                <w:rFonts w:cstheme="minorHAnsi"/>
              </w:rPr>
              <w:t>41,8%</w:t>
            </w:r>
          </w:p>
        </w:tc>
        <w:tc>
          <w:tcPr>
            <w:tcW w:w="581" w:type="dxa"/>
          </w:tcPr>
          <w:p w14:paraId="110CAD82" w14:textId="77777777" w:rsidR="00C75889" w:rsidRPr="0015052F" w:rsidRDefault="00C75889" w:rsidP="00B91507">
            <w:pPr>
              <w:jc w:val="right"/>
              <w:rPr>
                <w:rFonts w:cstheme="minorHAnsi"/>
              </w:rPr>
            </w:pPr>
            <w:r w:rsidRPr="0015052F">
              <w:rPr>
                <w:rFonts w:cstheme="minorHAnsi"/>
              </w:rPr>
              <w:t>259</w:t>
            </w:r>
          </w:p>
        </w:tc>
        <w:tc>
          <w:tcPr>
            <w:tcW w:w="1262" w:type="dxa"/>
          </w:tcPr>
          <w:p w14:paraId="2E69083A" w14:textId="77777777" w:rsidR="00C75889" w:rsidRPr="0015052F" w:rsidRDefault="00C75889" w:rsidP="00B91507">
            <w:pPr>
              <w:jc w:val="right"/>
              <w:rPr>
                <w:rFonts w:cstheme="minorHAnsi"/>
              </w:rPr>
            </w:pPr>
            <w:r w:rsidRPr="0015052F">
              <w:rPr>
                <w:rFonts w:cstheme="minorHAnsi"/>
              </w:rPr>
              <w:t>33,8%</w:t>
            </w:r>
          </w:p>
        </w:tc>
        <w:tc>
          <w:tcPr>
            <w:tcW w:w="581" w:type="dxa"/>
          </w:tcPr>
          <w:p w14:paraId="0E6D7529" w14:textId="77777777" w:rsidR="00C75889" w:rsidRPr="0015052F" w:rsidRDefault="00C75889" w:rsidP="00B91507">
            <w:pPr>
              <w:jc w:val="right"/>
              <w:rPr>
                <w:rFonts w:cstheme="minorHAnsi"/>
              </w:rPr>
            </w:pPr>
            <w:r w:rsidRPr="0015052F">
              <w:rPr>
                <w:rFonts w:cstheme="minorHAnsi"/>
              </w:rPr>
              <w:t>187</w:t>
            </w:r>
          </w:p>
        </w:tc>
        <w:tc>
          <w:tcPr>
            <w:tcW w:w="1261" w:type="dxa"/>
          </w:tcPr>
          <w:p w14:paraId="18346270" w14:textId="77777777" w:rsidR="00C75889" w:rsidRPr="0015052F" w:rsidRDefault="00C75889" w:rsidP="00B91507">
            <w:pPr>
              <w:jc w:val="right"/>
              <w:rPr>
                <w:rFonts w:cstheme="minorHAnsi"/>
              </w:rPr>
            </w:pPr>
            <w:r w:rsidRPr="0015052F">
              <w:rPr>
                <w:rFonts w:cstheme="minorHAnsi"/>
              </w:rPr>
              <w:t>24,4%</w:t>
            </w:r>
          </w:p>
        </w:tc>
        <w:tc>
          <w:tcPr>
            <w:tcW w:w="581" w:type="dxa"/>
          </w:tcPr>
          <w:p w14:paraId="2CB13389" w14:textId="77777777" w:rsidR="00C75889" w:rsidRPr="0015052F" w:rsidRDefault="00C75889" w:rsidP="00B91507">
            <w:pPr>
              <w:jc w:val="right"/>
              <w:rPr>
                <w:rFonts w:cstheme="minorHAnsi"/>
              </w:rPr>
            </w:pPr>
            <w:r w:rsidRPr="0015052F">
              <w:rPr>
                <w:rFonts w:cstheme="minorHAnsi"/>
              </w:rPr>
              <w:t>767</w:t>
            </w:r>
          </w:p>
        </w:tc>
        <w:tc>
          <w:tcPr>
            <w:tcW w:w="837" w:type="dxa"/>
          </w:tcPr>
          <w:p w14:paraId="2512E83C" w14:textId="77777777" w:rsidR="00C75889" w:rsidRPr="0015052F" w:rsidRDefault="00C75889" w:rsidP="00B91507">
            <w:pPr>
              <w:jc w:val="right"/>
              <w:rPr>
                <w:rFonts w:cstheme="minorHAnsi"/>
              </w:rPr>
            </w:pPr>
            <w:r w:rsidRPr="0015052F">
              <w:rPr>
                <w:rFonts w:cstheme="minorHAnsi"/>
              </w:rPr>
              <w:t>100%</w:t>
            </w:r>
          </w:p>
        </w:tc>
      </w:tr>
      <w:tr w:rsidR="00C75889" w14:paraId="28174F42" w14:textId="77777777" w:rsidTr="00B91507">
        <w:tc>
          <w:tcPr>
            <w:tcW w:w="1838" w:type="dxa"/>
          </w:tcPr>
          <w:p w14:paraId="586C49E7" w14:textId="77777777" w:rsidR="00C75889" w:rsidRPr="0015052F" w:rsidRDefault="00C75889" w:rsidP="00B91507">
            <w:pPr>
              <w:jc w:val="both"/>
              <w:rPr>
                <w:rFonts w:cstheme="minorHAnsi"/>
              </w:rPr>
            </w:pPr>
            <w:r w:rsidRPr="0015052F">
              <w:rPr>
                <w:rFonts w:cstheme="minorHAnsi"/>
              </w:rPr>
              <w:t>Privada</w:t>
            </w:r>
          </w:p>
        </w:tc>
        <w:tc>
          <w:tcPr>
            <w:tcW w:w="581" w:type="dxa"/>
          </w:tcPr>
          <w:p w14:paraId="4D5C15A2" w14:textId="77777777" w:rsidR="00C75889" w:rsidRPr="0015052F" w:rsidRDefault="00C75889" w:rsidP="00B91507">
            <w:pPr>
              <w:jc w:val="right"/>
              <w:rPr>
                <w:rFonts w:cstheme="minorHAnsi"/>
              </w:rPr>
            </w:pPr>
            <w:r w:rsidRPr="0015052F">
              <w:rPr>
                <w:rFonts w:cstheme="minorHAnsi"/>
              </w:rPr>
              <w:t>99</w:t>
            </w:r>
          </w:p>
        </w:tc>
        <w:tc>
          <w:tcPr>
            <w:tcW w:w="1262" w:type="dxa"/>
          </w:tcPr>
          <w:p w14:paraId="60B6C536" w14:textId="77777777" w:rsidR="00C75889" w:rsidRPr="0015052F" w:rsidRDefault="00C75889" w:rsidP="00B91507">
            <w:pPr>
              <w:jc w:val="right"/>
              <w:rPr>
                <w:rFonts w:cstheme="minorHAnsi"/>
              </w:rPr>
            </w:pPr>
            <w:r w:rsidRPr="0015052F">
              <w:rPr>
                <w:rFonts w:cstheme="minorHAnsi"/>
              </w:rPr>
              <w:t>49,5%</w:t>
            </w:r>
          </w:p>
        </w:tc>
        <w:tc>
          <w:tcPr>
            <w:tcW w:w="581" w:type="dxa"/>
          </w:tcPr>
          <w:p w14:paraId="5EB88EE5" w14:textId="77777777" w:rsidR="00C75889" w:rsidRPr="0015052F" w:rsidRDefault="00C75889" w:rsidP="00B91507">
            <w:pPr>
              <w:jc w:val="right"/>
              <w:rPr>
                <w:rFonts w:cstheme="minorHAnsi"/>
              </w:rPr>
            </w:pPr>
            <w:r w:rsidRPr="0015052F">
              <w:rPr>
                <w:rFonts w:cstheme="minorHAnsi"/>
              </w:rPr>
              <w:t>68</w:t>
            </w:r>
          </w:p>
        </w:tc>
        <w:tc>
          <w:tcPr>
            <w:tcW w:w="1262" w:type="dxa"/>
          </w:tcPr>
          <w:p w14:paraId="694EBEB5" w14:textId="77777777" w:rsidR="00C75889" w:rsidRPr="0015052F" w:rsidRDefault="00C75889" w:rsidP="00B91507">
            <w:pPr>
              <w:jc w:val="right"/>
              <w:rPr>
                <w:rFonts w:cstheme="minorHAnsi"/>
              </w:rPr>
            </w:pPr>
            <w:r w:rsidRPr="0015052F">
              <w:rPr>
                <w:rFonts w:cstheme="minorHAnsi"/>
              </w:rPr>
              <w:t>34%</w:t>
            </w:r>
          </w:p>
        </w:tc>
        <w:tc>
          <w:tcPr>
            <w:tcW w:w="581" w:type="dxa"/>
          </w:tcPr>
          <w:p w14:paraId="0CF70597" w14:textId="77777777" w:rsidR="00C75889" w:rsidRPr="0015052F" w:rsidRDefault="00C75889" w:rsidP="00B91507">
            <w:pPr>
              <w:jc w:val="right"/>
              <w:rPr>
                <w:rFonts w:cstheme="minorHAnsi"/>
              </w:rPr>
            </w:pPr>
            <w:r w:rsidRPr="0015052F">
              <w:rPr>
                <w:rFonts w:cstheme="minorHAnsi"/>
              </w:rPr>
              <w:t>33</w:t>
            </w:r>
          </w:p>
        </w:tc>
        <w:tc>
          <w:tcPr>
            <w:tcW w:w="1261" w:type="dxa"/>
          </w:tcPr>
          <w:p w14:paraId="7B9E318B" w14:textId="77777777" w:rsidR="00C75889" w:rsidRPr="0015052F" w:rsidRDefault="00C75889" w:rsidP="00B91507">
            <w:pPr>
              <w:jc w:val="right"/>
              <w:rPr>
                <w:rFonts w:cstheme="minorHAnsi"/>
              </w:rPr>
            </w:pPr>
            <w:r w:rsidRPr="0015052F">
              <w:rPr>
                <w:rFonts w:cstheme="minorHAnsi"/>
              </w:rPr>
              <w:t>16,5%</w:t>
            </w:r>
          </w:p>
        </w:tc>
        <w:tc>
          <w:tcPr>
            <w:tcW w:w="581" w:type="dxa"/>
          </w:tcPr>
          <w:p w14:paraId="7EDF8A78" w14:textId="77777777" w:rsidR="00C75889" w:rsidRPr="0015052F" w:rsidRDefault="00C75889" w:rsidP="00B91507">
            <w:pPr>
              <w:jc w:val="right"/>
              <w:rPr>
                <w:rFonts w:cstheme="minorHAnsi"/>
              </w:rPr>
            </w:pPr>
            <w:r w:rsidRPr="0015052F">
              <w:rPr>
                <w:rFonts w:cstheme="minorHAnsi"/>
              </w:rPr>
              <w:t>200</w:t>
            </w:r>
          </w:p>
        </w:tc>
        <w:tc>
          <w:tcPr>
            <w:tcW w:w="837" w:type="dxa"/>
          </w:tcPr>
          <w:p w14:paraId="60D009DD" w14:textId="77777777" w:rsidR="00C75889" w:rsidRPr="0015052F" w:rsidRDefault="00C75889" w:rsidP="00B91507">
            <w:pPr>
              <w:jc w:val="right"/>
              <w:rPr>
                <w:rFonts w:cstheme="minorHAnsi"/>
              </w:rPr>
            </w:pPr>
            <w:r w:rsidRPr="0015052F">
              <w:rPr>
                <w:rFonts w:cstheme="minorHAnsi"/>
              </w:rPr>
              <w:t>100%</w:t>
            </w:r>
          </w:p>
        </w:tc>
      </w:tr>
    </w:tbl>
    <w:p w14:paraId="745D4839" w14:textId="7BE9E4A6" w:rsidR="00B04DFE" w:rsidRPr="00C75889" w:rsidRDefault="00C75889" w:rsidP="00B04DFE">
      <w:pPr>
        <w:spacing w:line="240" w:lineRule="auto"/>
        <w:jc w:val="both"/>
        <w:rPr>
          <w:rFonts w:ascii="Times New Roman" w:hAnsi="Times New Roman" w:cs="Times New Roman"/>
          <w:b/>
          <w:bCs/>
        </w:rPr>
      </w:pPr>
      <w:r w:rsidRPr="00D62BB4">
        <w:rPr>
          <w:rFonts w:ascii="Times New Roman" w:hAnsi="Times New Roman" w:cs="Times New Roman"/>
          <w:sz w:val="20"/>
          <w:szCs w:val="20"/>
        </w:rPr>
        <w:t>Nota: Elaboración propia base de datos estudiantes Facultad de Humanidades y Ciencias de la Educación/Universidad Mayor de San Simón.</w:t>
      </w:r>
      <w:bookmarkEnd w:id="4"/>
    </w:p>
    <w:p w14:paraId="39A8AE6A" w14:textId="77777777" w:rsidR="00B04DFE" w:rsidRPr="001F0C7F" w:rsidRDefault="00B04DFE" w:rsidP="00B04DFE">
      <w:pPr>
        <w:spacing w:line="240" w:lineRule="auto"/>
        <w:jc w:val="both"/>
        <w:rPr>
          <w:rFonts w:ascii="Times New Roman" w:hAnsi="Times New Roman" w:cs="Times New Roman"/>
        </w:rPr>
      </w:pPr>
      <w:r w:rsidRPr="001F0C7F">
        <w:rPr>
          <w:rFonts w:ascii="Times New Roman" w:hAnsi="Times New Roman" w:cs="Times New Roman"/>
        </w:rPr>
        <w:t xml:space="preserve">Otra forma de aproximarnos al </w:t>
      </w:r>
      <w:r>
        <w:rPr>
          <w:rFonts w:ascii="Times New Roman" w:hAnsi="Times New Roman" w:cs="Times New Roman"/>
        </w:rPr>
        <w:t>rendimiento</w:t>
      </w:r>
      <w:r w:rsidRPr="001F0C7F">
        <w:rPr>
          <w:rFonts w:ascii="Times New Roman" w:hAnsi="Times New Roman" w:cs="Times New Roman"/>
        </w:rPr>
        <w:t xml:space="preserve"> es a partir del número de materias reprobadas. En este caso los que tienen </w:t>
      </w:r>
      <w:r>
        <w:rPr>
          <w:rFonts w:ascii="Times New Roman" w:hAnsi="Times New Roman" w:cs="Times New Roman"/>
        </w:rPr>
        <w:t>4</w:t>
      </w:r>
      <w:r w:rsidRPr="001F0C7F">
        <w:rPr>
          <w:rFonts w:ascii="Times New Roman" w:hAnsi="Times New Roman" w:cs="Times New Roman"/>
        </w:rPr>
        <w:t xml:space="preserve"> o más materias reprobadas serían aquellos alumnos con un mal </w:t>
      </w:r>
      <w:r>
        <w:rPr>
          <w:rFonts w:ascii="Times New Roman" w:hAnsi="Times New Roman" w:cs="Times New Roman"/>
        </w:rPr>
        <w:t>rendimiento</w:t>
      </w:r>
      <w:r w:rsidRPr="001F0C7F">
        <w:rPr>
          <w:rFonts w:ascii="Times New Roman" w:hAnsi="Times New Roman" w:cs="Times New Roman"/>
        </w:rPr>
        <w:t xml:space="preserve"> académico. En términos </w:t>
      </w:r>
      <w:r>
        <w:rPr>
          <w:rFonts w:ascii="Times New Roman" w:hAnsi="Times New Roman" w:cs="Times New Roman"/>
        </w:rPr>
        <w:t>relativos</w:t>
      </w:r>
      <w:r w:rsidRPr="001F0C7F">
        <w:rPr>
          <w:rFonts w:ascii="Times New Roman" w:hAnsi="Times New Roman" w:cs="Times New Roman"/>
        </w:rPr>
        <w:t xml:space="preserve">, hay más estudiantes de colegios fiscales que tienen </w:t>
      </w:r>
      <w:r>
        <w:rPr>
          <w:rFonts w:ascii="Times New Roman" w:hAnsi="Times New Roman" w:cs="Times New Roman"/>
        </w:rPr>
        <w:t>4</w:t>
      </w:r>
      <w:r w:rsidRPr="001F0C7F">
        <w:rPr>
          <w:rFonts w:ascii="Times New Roman" w:hAnsi="Times New Roman" w:cs="Times New Roman"/>
        </w:rPr>
        <w:t xml:space="preserve"> o más materias reprobadas, les sigue los estudiantes de colegios </w:t>
      </w:r>
      <w:r>
        <w:rPr>
          <w:rFonts w:ascii="Times New Roman" w:hAnsi="Times New Roman" w:cs="Times New Roman"/>
        </w:rPr>
        <w:t>de convenio</w:t>
      </w:r>
      <w:r w:rsidRPr="001F0C7F">
        <w:rPr>
          <w:rFonts w:ascii="Times New Roman" w:hAnsi="Times New Roman" w:cs="Times New Roman"/>
        </w:rPr>
        <w:t xml:space="preserve"> y luego los de colegios </w:t>
      </w:r>
      <w:r>
        <w:rPr>
          <w:rFonts w:ascii="Times New Roman" w:hAnsi="Times New Roman" w:cs="Times New Roman"/>
        </w:rPr>
        <w:t>privados, sin embargo, la diferencia no es significativa</w:t>
      </w:r>
      <w:r w:rsidRPr="001F0C7F">
        <w:rPr>
          <w:rFonts w:ascii="Times New Roman" w:hAnsi="Times New Roman" w:cs="Times New Roman"/>
        </w:rPr>
        <w:t xml:space="preserve">. </w:t>
      </w:r>
      <w:r>
        <w:rPr>
          <w:rFonts w:ascii="Times New Roman" w:hAnsi="Times New Roman" w:cs="Times New Roman"/>
        </w:rPr>
        <w:t>Por otra parte, l</w:t>
      </w:r>
      <w:r w:rsidRPr="001F0C7F">
        <w:rPr>
          <w:rFonts w:ascii="Times New Roman" w:hAnsi="Times New Roman" w:cs="Times New Roman"/>
        </w:rPr>
        <w:t>a situación está más equilibrada,</w:t>
      </w:r>
      <w:r>
        <w:rPr>
          <w:rFonts w:ascii="Times New Roman" w:hAnsi="Times New Roman" w:cs="Times New Roman"/>
        </w:rPr>
        <w:t xml:space="preserve"> en lo que respecta a los estudiantes que se encuentran en el rango 0-1 materias reprobadas</w:t>
      </w:r>
      <w:r w:rsidRPr="001F0C7F">
        <w:rPr>
          <w:rFonts w:ascii="Times New Roman" w:hAnsi="Times New Roman" w:cs="Times New Roman"/>
        </w:rPr>
        <w:t xml:space="preserve"> pues </w:t>
      </w:r>
      <w:r>
        <w:rPr>
          <w:rFonts w:ascii="Times New Roman" w:hAnsi="Times New Roman" w:cs="Times New Roman"/>
        </w:rPr>
        <w:t xml:space="preserve">los porcentajes de </w:t>
      </w:r>
      <w:r w:rsidRPr="001F0C7F">
        <w:rPr>
          <w:rFonts w:ascii="Times New Roman" w:hAnsi="Times New Roman" w:cs="Times New Roman"/>
        </w:rPr>
        <w:t xml:space="preserve">estudiantes de </w:t>
      </w:r>
      <w:r>
        <w:rPr>
          <w:rFonts w:ascii="Times New Roman" w:hAnsi="Times New Roman" w:cs="Times New Roman"/>
        </w:rPr>
        <w:t xml:space="preserve">colegios </w:t>
      </w:r>
      <w:r w:rsidRPr="001F0C7F">
        <w:rPr>
          <w:rFonts w:ascii="Times New Roman" w:hAnsi="Times New Roman" w:cs="Times New Roman"/>
        </w:rPr>
        <w:t>fiscales</w:t>
      </w:r>
      <w:r>
        <w:rPr>
          <w:rFonts w:ascii="Times New Roman" w:hAnsi="Times New Roman" w:cs="Times New Roman"/>
        </w:rPr>
        <w:t xml:space="preserve">, </w:t>
      </w:r>
      <w:r w:rsidRPr="00E93AD0">
        <w:rPr>
          <w:rFonts w:ascii="Times New Roman" w:hAnsi="Times New Roman" w:cs="Times New Roman"/>
        </w:rPr>
        <w:t>privados o de convenio son muy similares (60,9%, 62% y 63,9% respectivamente). Estos</w:t>
      </w:r>
      <w:r w:rsidRPr="001F0C7F">
        <w:rPr>
          <w:rFonts w:ascii="Times New Roman" w:hAnsi="Times New Roman" w:cs="Times New Roman"/>
        </w:rPr>
        <w:t xml:space="preserve"> datos evidencian que, si bien existe una diferencia en cuanto a </w:t>
      </w:r>
      <w:r>
        <w:rPr>
          <w:rFonts w:ascii="Times New Roman" w:hAnsi="Times New Roman" w:cs="Times New Roman"/>
        </w:rPr>
        <w:t>rendimiento</w:t>
      </w:r>
      <w:r w:rsidRPr="001F0C7F">
        <w:rPr>
          <w:rFonts w:ascii="Times New Roman" w:hAnsi="Times New Roman" w:cs="Times New Roman"/>
        </w:rPr>
        <w:t xml:space="preserve"> entre fiscales y privados y de convenio, esta es reducida, lo que podría sugerir que </w:t>
      </w:r>
      <w:r w:rsidRPr="00186A2A">
        <w:rPr>
          <w:rFonts w:ascii="Times New Roman" w:hAnsi="Times New Roman" w:cs="Times New Roman"/>
        </w:rPr>
        <w:t>el origen escolar</w:t>
      </w:r>
      <w:r w:rsidRPr="001F0C7F">
        <w:rPr>
          <w:rFonts w:ascii="Times New Roman" w:hAnsi="Times New Roman" w:cs="Times New Roman"/>
        </w:rPr>
        <w:t xml:space="preserve"> no es determinante en el </w:t>
      </w:r>
      <w:r>
        <w:rPr>
          <w:rFonts w:ascii="Times New Roman" w:hAnsi="Times New Roman" w:cs="Times New Roman"/>
        </w:rPr>
        <w:t>rendimiento</w:t>
      </w:r>
      <w:r w:rsidRPr="001F0C7F">
        <w:rPr>
          <w:rFonts w:ascii="Times New Roman" w:hAnsi="Times New Roman" w:cs="Times New Roman"/>
        </w:rPr>
        <w:t xml:space="preserve"> académico de los universitarios.</w:t>
      </w:r>
    </w:p>
    <w:p w14:paraId="33056007" w14:textId="77777777" w:rsidR="005065F4" w:rsidRDefault="005065F4" w:rsidP="0015052F">
      <w:pPr>
        <w:spacing w:after="0" w:line="240" w:lineRule="auto"/>
        <w:jc w:val="both"/>
        <w:rPr>
          <w:rFonts w:ascii="Times New Roman" w:hAnsi="Times New Roman" w:cs="Times New Roman"/>
          <w:b/>
          <w:bCs/>
        </w:rPr>
      </w:pPr>
      <w:bookmarkStart w:id="5" w:name="_Hlk203400477"/>
    </w:p>
    <w:p w14:paraId="24258924" w14:textId="77777777" w:rsidR="005065F4" w:rsidRDefault="005065F4" w:rsidP="0015052F">
      <w:pPr>
        <w:spacing w:after="0" w:line="240" w:lineRule="auto"/>
        <w:jc w:val="both"/>
        <w:rPr>
          <w:rFonts w:ascii="Times New Roman" w:hAnsi="Times New Roman" w:cs="Times New Roman"/>
          <w:b/>
          <w:bCs/>
        </w:rPr>
      </w:pPr>
    </w:p>
    <w:p w14:paraId="0030F4A1" w14:textId="7041B765" w:rsidR="00C75889" w:rsidRPr="001F0C7F" w:rsidRDefault="00C75889" w:rsidP="0015052F">
      <w:pPr>
        <w:spacing w:after="0" w:line="240" w:lineRule="auto"/>
        <w:jc w:val="both"/>
        <w:rPr>
          <w:rFonts w:ascii="Times New Roman" w:hAnsi="Times New Roman" w:cs="Times New Roman"/>
          <w:b/>
          <w:bCs/>
        </w:rPr>
      </w:pPr>
      <w:r w:rsidRPr="001F0C7F">
        <w:rPr>
          <w:rFonts w:ascii="Times New Roman" w:hAnsi="Times New Roman" w:cs="Times New Roman"/>
          <w:b/>
          <w:bCs/>
        </w:rPr>
        <w:lastRenderedPageBreak/>
        <w:t xml:space="preserve">Tabla </w:t>
      </w:r>
      <w:r>
        <w:rPr>
          <w:rFonts w:ascii="Times New Roman" w:hAnsi="Times New Roman" w:cs="Times New Roman"/>
          <w:b/>
          <w:bCs/>
        </w:rPr>
        <w:t>3</w:t>
      </w:r>
    </w:p>
    <w:p w14:paraId="71256707" w14:textId="77777777" w:rsidR="00C75889" w:rsidRPr="00BE5F3B" w:rsidRDefault="00C75889" w:rsidP="0015052F">
      <w:pPr>
        <w:spacing w:after="0" w:line="240" w:lineRule="auto"/>
        <w:jc w:val="both"/>
        <w:rPr>
          <w:rFonts w:ascii="Times New Roman" w:hAnsi="Times New Roman" w:cs="Times New Roman"/>
          <w:i/>
          <w:iCs/>
        </w:rPr>
      </w:pPr>
      <w:r>
        <w:rPr>
          <w:rFonts w:ascii="Times New Roman" w:hAnsi="Times New Roman" w:cs="Times New Roman"/>
          <w:i/>
          <w:iCs/>
        </w:rPr>
        <w:t>Estudiantes según d</w:t>
      </w:r>
      <w:r w:rsidRPr="001F0C7F">
        <w:rPr>
          <w:rFonts w:ascii="Times New Roman" w:hAnsi="Times New Roman" w:cs="Times New Roman"/>
          <w:i/>
          <w:iCs/>
        </w:rPr>
        <w:t xml:space="preserve">ependencia de Unidad Educativa </w:t>
      </w:r>
      <w:r>
        <w:rPr>
          <w:rFonts w:ascii="Times New Roman" w:hAnsi="Times New Roman" w:cs="Times New Roman"/>
          <w:i/>
          <w:iCs/>
        </w:rPr>
        <w:t>y</w:t>
      </w:r>
      <w:r w:rsidRPr="001F0C7F">
        <w:rPr>
          <w:rFonts w:ascii="Times New Roman" w:hAnsi="Times New Roman" w:cs="Times New Roman"/>
          <w:i/>
          <w:iCs/>
        </w:rPr>
        <w:t xml:space="preserve"> número de materias reprobadas</w:t>
      </w:r>
      <w:r>
        <w:rPr>
          <w:rFonts w:ascii="Times New Roman" w:hAnsi="Times New Roman" w:cs="Times New Roman"/>
          <w:i/>
          <w:iCs/>
        </w:rPr>
        <w:t xml:space="preserve"> (absoluto y relativo)</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2"/>
        <w:gridCol w:w="626"/>
        <w:gridCol w:w="1104"/>
        <w:gridCol w:w="627"/>
        <w:gridCol w:w="1309"/>
        <w:gridCol w:w="605"/>
        <w:gridCol w:w="1238"/>
        <w:gridCol w:w="806"/>
        <w:gridCol w:w="708"/>
      </w:tblGrid>
      <w:tr w:rsidR="00C75889" w14:paraId="5EFFA4C4" w14:textId="77777777" w:rsidTr="00B91507">
        <w:tc>
          <w:tcPr>
            <w:tcW w:w="1432" w:type="dxa"/>
            <w:tcBorders>
              <w:top w:val="single" w:sz="4" w:space="0" w:color="auto"/>
              <w:bottom w:val="nil"/>
            </w:tcBorders>
          </w:tcPr>
          <w:p w14:paraId="42EE6DA2" w14:textId="77777777" w:rsidR="00C75889" w:rsidRPr="00DF35CC" w:rsidRDefault="00C75889" w:rsidP="00B91507">
            <w:pPr>
              <w:jc w:val="both"/>
              <w:rPr>
                <w:rFonts w:cstheme="minorHAnsi"/>
                <w:b/>
                <w:bCs/>
              </w:rPr>
            </w:pPr>
          </w:p>
        </w:tc>
        <w:tc>
          <w:tcPr>
            <w:tcW w:w="7023" w:type="dxa"/>
            <w:gridSpan w:val="8"/>
            <w:tcBorders>
              <w:top w:val="single" w:sz="4" w:space="0" w:color="auto"/>
              <w:bottom w:val="nil"/>
            </w:tcBorders>
          </w:tcPr>
          <w:p w14:paraId="4FF0ABE7" w14:textId="77777777" w:rsidR="00C75889" w:rsidRPr="00DF35CC" w:rsidRDefault="00C75889" w:rsidP="00B91507">
            <w:pPr>
              <w:jc w:val="center"/>
              <w:rPr>
                <w:rFonts w:cstheme="minorHAnsi"/>
                <w:b/>
                <w:bCs/>
              </w:rPr>
            </w:pPr>
            <w:proofErr w:type="spellStart"/>
            <w:r w:rsidRPr="00DF35CC">
              <w:rPr>
                <w:rFonts w:cstheme="minorHAnsi"/>
                <w:b/>
                <w:bCs/>
              </w:rPr>
              <w:t>N°</w:t>
            </w:r>
            <w:proofErr w:type="spellEnd"/>
            <w:r w:rsidRPr="00DF35CC">
              <w:rPr>
                <w:rFonts w:cstheme="minorHAnsi"/>
                <w:b/>
                <w:bCs/>
              </w:rPr>
              <w:t xml:space="preserve"> materias reprobadas</w:t>
            </w:r>
          </w:p>
        </w:tc>
      </w:tr>
      <w:tr w:rsidR="00C75889" w14:paraId="5E7F27F7" w14:textId="77777777" w:rsidTr="00B91507">
        <w:tc>
          <w:tcPr>
            <w:tcW w:w="1432" w:type="dxa"/>
            <w:tcBorders>
              <w:top w:val="nil"/>
              <w:bottom w:val="single" w:sz="4" w:space="0" w:color="auto"/>
            </w:tcBorders>
          </w:tcPr>
          <w:p w14:paraId="1060E9F8" w14:textId="77777777" w:rsidR="00C75889" w:rsidRPr="0015052F" w:rsidRDefault="00C75889" w:rsidP="0015052F">
            <w:pPr>
              <w:jc w:val="both"/>
              <w:rPr>
                <w:rFonts w:cstheme="minorHAnsi"/>
                <w:b/>
                <w:bCs/>
              </w:rPr>
            </w:pPr>
            <w:r w:rsidRPr="0015052F">
              <w:rPr>
                <w:rFonts w:cstheme="minorHAnsi"/>
                <w:b/>
                <w:bCs/>
              </w:rPr>
              <w:t>Dependencia Unidad Educativa</w:t>
            </w:r>
          </w:p>
        </w:tc>
        <w:tc>
          <w:tcPr>
            <w:tcW w:w="1730" w:type="dxa"/>
            <w:gridSpan w:val="2"/>
            <w:tcBorders>
              <w:top w:val="nil"/>
              <w:bottom w:val="single" w:sz="4" w:space="0" w:color="auto"/>
            </w:tcBorders>
          </w:tcPr>
          <w:p w14:paraId="70FC7EBF" w14:textId="77777777" w:rsidR="00C75889" w:rsidRPr="0015052F" w:rsidRDefault="00C75889" w:rsidP="0015052F">
            <w:pPr>
              <w:jc w:val="center"/>
              <w:rPr>
                <w:rFonts w:cstheme="minorHAnsi"/>
                <w:b/>
                <w:bCs/>
              </w:rPr>
            </w:pPr>
            <w:r w:rsidRPr="0015052F">
              <w:rPr>
                <w:rFonts w:cstheme="minorHAnsi"/>
                <w:b/>
                <w:bCs/>
              </w:rPr>
              <w:t>De 0 a 1 materia</w:t>
            </w:r>
          </w:p>
        </w:tc>
        <w:tc>
          <w:tcPr>
            <w:tcW w:w="1936" w:type="dxa"/>
            <w:gridSpan w:val="2"/>
            <w:tcBorders>
              <w:top w:val="nil"/>
              <w:bottom w:val="single" w:sz="4" w:space="0" w:color="auto"/>
            </w:tcBorders>
          </w:tcPr>
          <w:p w14:paraId="2197534F" w14:textId="77777777" w:rsidR="00C75889" w:rsidRPr="0015052F" w:rsidRDefault="00C75889" w:rsidP="0015052F">
            <w:pPr>
              <w:rPr>
                <w:rFonts w:cstheme="minorHAnsi"/>
                <w:b/>
                <w:bCs/>
              </w:rPr>
            </w:pPr>
            <w:r w:rsidRPr="0015052F">
              <w:rPr>
                <w:rFonts w:cstheme="minorHAnsi"/>
                <w:b/>
                <w:bCs/>
              </w:rPr>
              <w:t>De 2 a 3 materias</w:t>
            </w:r>
          </w:p>
        </w:tc>
        <w:tc>
          <w:tcPr>
            <w:tcW w:w="1843" w:type="dxa"/>
            <w:gridSpan w:val="2"/>
            <w:tcBorders>
              <w:top w:val="nil"/>
              <w:bottom w:val="single" w:sz="4" w:space="0" w:color="auto"/>
            </w:tcBorders>
          </w:tcPr>
          <w:p w14:paraId="4563C328" w14:textId="77777777" w:rsidR="00C75889" w:rsidRPr="0015052F" w:rsidRDefault="00C75889" w:rsidP="0015052F">
            <w:pPr>
              <w:rPr>
                <w:rFonts w:cstheme="minorHAnsi"/>
                <w:b/>
                <w:bCs/>
              </w:rPr>
            </w:pPr>
            <w:r w:rsidRPr="0015052F">
              <w:rPr>
                <w:rFonts w:cstheme="minorHAnsi"/>
                <w:b/>
                <w:bCs/>
              </w:rPr>
              <w:t>De 4 a 6 materias</w:t>
            </w:r>
          </w:p>
        </w:tc>
        <w:tc>
          <w:tcPr>
            <w:tcW w:w="1514" w:type="dxa"/>
            <w:gridSpan w:val="2"/>
            <w:tcBorders>
              <w:top w:val="nil"/>
              <w:bottom w:val="single" w:sz="4" w:space="0" w:color="auto"/>
            </w:tcBorders>
          </w:tcPr>
          <w:p w14:paraId="1F42BDFC" w14:textId="77777777" w:rsidR="00C75889" w:rsidRPr="0015052F" w:rsidRDefault="00C75889" w:rsidP="0015052F">
            <w:pPr>
              <w:jc w:val="both"/>
              <w:rPr>
                <w:rFonts w:cstheme="minorHAnsi"/>
                <w:b/>
                <w:bCs/>
              </w:rPr>
            </w:pPr>
            <w:proofErr w:type="gramStart"/>
            <w:r w:rsidRPr="0015052F">
              <w:rPr>
                <w:rFonts w:cstheme="minorHAnsi"/>
                <w:b/>
                <w:bCs/>
              </w:rPr>
              <w:t>Total</w:t>
            </w:r>
            <w:proofErr w:type="gramEnd"/>
            <w:r w:rsidRPr="0015052F">
              <w:rPr>
                <w:rFonts w:cstheme="minorHAnsi"/>
                <w:b/>
                <w:bCs/>
              </w:rPr>
              <w:t xml:space="preserve"> general</w:t>
            </w:r>
          </w:p>
        </w:tc>
      </w:tr>
      <w:tr w:rsidR="00C75889" w14:paraId="564C4A26" w14:textId="77777777" w:rsidTr="00B91507">
        <w:tc>
          <w:tcPr>
            <w:tcW w:w="1432" w:type="dxa"/>
            <w:tcBorders>
              <w:top w:val="single" w:sz="4" w:space="0" w:color="auto"/>
            </w:tcBorders>
          </w:tcPr>
          <w:p w14:paraId="4F2D0A24" w14:textId="77777777" w:rsidR="00C75889" w:rsidRPr="0015052F" w:rsidRDefault="00C75889" w:rsidP="00B91507">
            <w:pPr>
              <w:jc w:val="both"/>
              <w:rPr>
                <w:rFonts w:cstheme="minorHAnsi"/>
              </w:rPr>
            </w:pPr>
            <w:r w:rsidRPr="0015052F">
              <w:rPr>
                <w:rFonts w:cstheme="minorHAnsi"/>
              </w:rPr>
              <w:t>Convenio</w:t>
            </w:r>
          </w:p>
        </w:tc>
        <w:tc>
          <w:tcPr>
            <w:tcW w:w="626" w:type="dxa"/>
            <w:tcBorders>
              <w:top w:val="single" w:sz="4" w:space="0" w:color="auto"/>
            </w:tcBorders>
          </w:tcPr>
          <w:p w14:paraId="0DEAF800" w14:textId="77777777" w:rsidR="00C75889" w:rsidRPr="0015052F" w:rsidRDefault="00C75889" w:rsidP="00B91507">
            <w:pPr>
              <w:jc w:val="center"/>
              <w:rPr>
                <w:rFonts w:cstheme="minorHAnsi"/>
              </w:rPr>
            </w:pPr>
            <w:r w:rsidRPr="0015052F">
              <w:rPr>
                <w:rFonts w:cstheme="minorHAnsi"/>
              </w:rPr>
              <w:t>101</w:t>
            </w:r>
          </w:p>
        </w:tc>
        <w:tc>
          <w:tcPr>
            <w:tcW w:w="1104" w:type="dxa"/>
            <w:tcBorders>
              <w:top w:val="single" w:sz="4" w:space="0" w:color="auto"/>
            </w:tcBorders>
          </w:tcPr>
          <w:p w14:paraId="0A38C137" w14:textId="77777777" w:rsidR="00C75889" w:rsidRPr="0015052F" w:rsidRDefault="00C75889" w:rsidP="00B91507">
            <w:pPr>
              <w:jc w:val="center"/>
              <w:rPr>
                <w:rFonts w:cstheme="minorHAnsi"/>
              </w:rPr>
            </w:pPr>
            <w:r w:rsidRPr="0015052F">
              <w:rPr>
                <w:rFonts w:cstheme="minorHAnsi"/>
              </w:rPr>
              <w:t>63,9%</w:t>
            </w:r>
          </w:p>
        </w:tc>
        <w:tc>
          <w:tcPr>
            <w:tcW w:w="627" w:type="dxa"/>
            <w:tcBorders>
              <w:top w:val="single" w:sz="4" w:space="0" w:color="auto"/>
            </w:tcBorders>
          </w:tcPr>
          <w:p w14:paraId="3E590AB6" w14:textId="77777777" w:rsidR="00C75889" w:rsidRPr="0015052F" w:rsidRDefault="00C75889" w:rsidP="00B91507">
            <w:pPr>
              <w:jc w:val="center"/>
              <w:rPr>
                <w:rFonts w:cstheme="minorHAnsi"/>
              </w:rPr>
            </w:pPr>
            <w:r w:rsidRPr="0015052F">
              <w:rPr>
                <w:rFonts w:cstheme="minorHAnsi"/>
              </w:rPr>
              <w:t>47</w:t>
            </w:r>
          </w:p>
        </w:tc>
        <w:tc>
          <w:tcPr>
            <w:tcW w:w="1309" w:type="dxa"/>
            <w:tcBorders>
              <w:top w:val="single" w:sz="4" w:space="0" w:color="auto"/>
            </w:tcBorders>
          </w:tcPr>
          <w:p w14:paraId="78FCB6A4" w14:textId="77777777" w:rsidR="00C75889" w:rsidRPr="0015052F" w:rsidRDefault="00C75889" w:rsidP="00B91507">
            <w:pPr>
              <w:jc w:val="center"/>
              <w:rPr>
                <w:rFonts w:cstheme="minorHAnsi"/>
              </w:rPr>
            </w:pPr>
            <w:r w:rsidRPr="0015052F">
              <w:rPr>
                <w:rFonts w:cstheme="minorHAnsi"/>
              </w:rPr>
              <w:t>29,7%</w:t>
            </w:r>
          </w:p>
        </w:tc>
        <w:tc>
          <w:tcPr>
            <w:tcW w:w="605" w:type="dxa"/>
            <w:tcBorders>
              <w:top w:val="single" w:sz="4" w:space="0" w:color="auto"/>
            </w:tcBorders>
          </w:tcPr>
          <w:p w14:paraId="11F79935" w14:textId="77777777" w:rsidR="00C75889" w:rsidRPr="0015052F" w:rsidRDefault="00C75889" w:rsidP="00B91507">
            <w:pPr>
              <w:jc w:val="center"/>
              <w:rPr>
                <w:rFonts w:cstheme="minorHAnsi"/>
              </w:rPr>
            </w:pPr>
            <w:r w:rsidRPr="0015052F">
              <w:rPr>
                <w:rFonts w:cstheme="minorHAnsi"/>
              </w:rPr>
              <w:t>10</w:t>
            </w:r>
          </w:p>
        </w:tc>
        <w:tc>
          <w:tcPr>
            <w:tcW w:w="1238" w:type="dxa"/>
            <w:tcBorders>
              <w:top w:val="single" w:sz="4" w:space="0" w:color="auto"/>
            </w:tcBorders>
          </w:tcPr>
          <w:p w14:paraId="62BD41D2" w14:textId="77777777" w:rsidR="00C75889" w:rsidRPr="0015052F" w:rsidRDefault="00C75889" w:rsidP="00B91507">
            <w:pPr>
              <w:jc w:val="center"/>
              <w:rPr>
                <w:rFonts w:cstheme="minorHAnsi"/>
              </w:rPr>
            </w:pPr>
            <w:r w:rsidRPr="0015052F">
              <w:rPr>
                <w:rFonts w:cstheme="minorHAnsi"/>
              </w:rPr>
              <w:t>6,4%</w:t>
            </w:r>
          </w:p>
        </w:tc>
        <w:tc>
          <w:tcPr>
            <w:tcW w:w="806" w:type="dxa"/>
            <w:tcBorders>
              <w:top w:val="single" w:sz="4" w:space="0" w:color="auto"/>
            </w:tcBorders>
          </w:tcPr>
          <w:p w14:paraId="1192FEA4" w14:textId="77777777" w:rsidR="00C75889" w:rsidRPr="0015052F" w:rsidRDefault="00C75889" w:rsidP="00B91507">
            <w:pPr>
              <w:jc w:val="center"/>
              <w:rPr>
                <w:rFonts w:cstheme="minorHAnsi"/>
              </w:rPr>
            </w:pPr>
            <w:r w:rsidRPr="0015052F">
              <w:rPr>
                <w:rFonts w:cstheme="minorHAnsi"/>
              </w:rPr>
              <w:t>158</w:t>
            </w:r>
          </w:p>
        </w:tc>
        <w:tc>
          <w:tcPr>
            <w:tcW w:w="708" w:type="dxa"/>
            <w:tcBorders>
              <w:top w:val="single" w:sz="4" w:space="0" w:color="auto"/>
            </w:tcBorders>
          </w:tcPr>
          <w:p w14:paraId="4F3F9BE4" w14:textId="77777777" w:rsidR="00C75889" w:rsidRPr="0015052F" w:rsidRDefault="00C75889" w:rsidP="00B91507">
            <w:pPr>
              <w:jc w:val="center"/>
              <w:rPr>
                <w:rFonts w:cstheme="minorHAnsi"/>
              </w:rPr>
            </w:pPr>
            <w:r w:rsidRPr="0015052F">
              <w:rPr>
                <w:rFonts w:cstheme="minorHAnsi"/>
              </w:rPr>
              <w:t>100%</w:t>
            </w:r>
          </w:p>
        </w:tc>
      </w:tr>
      <w:tr w:rsidR="00C75889" w14:paraId="7A1DF33A" w14:textId="77777777" w:rsidTr="00B91507">
        <w:tc>
          <w:tcPr>
            <w:tcW w:w="1432" w:type="dxa"/>
          </w:tcPr>
          <w:p w14:paraId="47C58938" w14:textId="77777777" w:rsidR="00C75889" w:rsidRPr="0015052F" w:rsidRDefault="00C75889" w:rsidP="00B91507">
            <w:pPr>
              <w:jc w:val="both"/>
              <w:rPr>
                <w:rFonts w:cstheme="minorHAnsi"/>
              </w:rPr>
            </w:pPr>
            <w:r w:rsidRPr="0015052F">
              <w:rPr>
                <w:rFonts w:cstheme="minorHAnsi"/>
              </w:rPr>
              <w:t>Fiscal</w:t>
            </w:r>
          </w:p>
        </w:tc>
        <w:tc>
          <w:tcPr>
            <w:tcW w:w="626" w:type="dxa"/>
          </w:tcPr>
          <w:p w14:paraId="002DF507" w14:textId="77777777" w:rsidR="00C75889" w:rsidRPr="0015052F" w:rsidRDefault="00C75889" w:rsidP="00B91507">
            <w:pPr>
              <w:jc w:val="center"/>
              <w:rPr>
                <w:rFonts w:cstheme="minorHAnsi"/>
              </w:rPr>
            </w:pPr>
            <w:r w:rsidRPr="0015052F">
              <w:rPr>
                <w:rFonts w:cstheme="minorHAnsi"/>
              </w:rPr>
              <w:t>467</w:t>
            </w:r>
          </w:p>
        </w:tc>
        <w:tc>
          <w:tcPr>
            <w:tcW w:w="1104" w:type="dxa"/>
          </w:tcPr>
          <w:p w14:paraId="7E1DAC2F" w14:textId="77777777" w:rsidR="00C75889" w:rsidRPr="0015052F" w:rsidRDefault="00C75889" w:rsidP="00B91507">
            <w:pPr>
              <w:jc w:val="center"/>
              <w:rPr>
                <w:rFonts w:cstheme="minorHAnsi"/>
              </w:rPr>
            </w:pPr>
            <w:r w:rsidRPr="0015052F">
              <w:rPr>
                <w:rFonts w:cstheme="minorHAnsi"/>
              </w:rPr>
              <w:t>60,9%</w:t>
            </w:r>
          </w:p>
        </w:tc>
        <w:tc>
          <w:tcPr>
            <w:tcW w:w="627" w:type="dxa"/>
          </w:tcPr>
          <w:p w14:paraId="53639271" w14:textId="77777777" w:rsidR="00C75889" w:rsidRPr="0015052F" w:rsidRDefault="00C75889" w:rsidP="00B91507">
            <w:pPr>
              <w:jc w:val="center"/>
              <w:rPr>
                <w:rFonts w:cstheme="minorHAnsi"/>
              </w:rPr>
            </w:pPr>
            <w:r w:rsidRPr="0015052F">
              <w:rPr>
                <w:rFonts w:cstheme="minorHAnsi"/>
              </w:rPr>
              <w:t>248</w:t>
            </w:r>
          </w:p>
        </w:tc>
        <w:tc>
          <w:tcPr>
            <w:tcW w:w="1309" w:type="dxa"/>
          </w:tcPr>
          <w:p w14:paraId="2DF5DB95" w14:textId="77777777" w:rsidR="00C75889" w:rsidRPr="0015052F" w:rsidRDefault="00C75889" w:rsidP="00B91507">
            <w:pPr>
              <w:jc w:val="center"/>
              <w:rPr>
                <w:rFonts w:cstheme="minorHAnsi"/>
              </w:rPr>
            </w:pPr>
            <w:r w:rsidRPr="0015052F">
              <w:rPr>
                <w:rFonts w:cstheme="minorHAnsi"/>
              </w:rPr>
              <w:t>32,3%</w:t>
            </w:r>
          </w:p>
        </w:tc>
        <w:tc>
          <w:tcPr>
            <w:tcW w:w="605" w:type="dxa"/>
          </w:tcPr>
          <w:p w14:paraId="4BF5B77F" w14:textId="77777777" w:rsidR="00C75889" w:rsidRPr="0015052F" w:rsidRDefault="00C75889" w:rsidP="00B91507">
            <w:pPr>
              <w:jc w:val="center"/>
              <w:rPr>
                <w:rFonts w:cstheme="minorHAnsi"/>
              </w:rPr>
            </w:pPr>
            <w:r w:rsidRPr="0015052F">
              <w:rPr>
                <w:rFonts w:cstheme="minorHAnsi"/>
              </w:rPr>
              <w:t>52</w:t>
            </w:r>
          </w:p>
        </w:tc>
        <w:tc>
          <w:tcPr>
            <w:tcW w:w="1238" w:type="dxa"/>
          </w:tcPr>
          <w:p w14:paraId="2C8D7135" w14:textId="77777777" w:rsidR="00C75889" w:rsidRPr="0015052F" w:rsidRDefault="00C75889" w:rsidP="00B91507">
            <w:pPr>
              <w:jc w:val="center"/>
              <w:rPr>
                <w:rFonts w:cstheme="minorHAnsi"/>
              </w:rPr>
            </w:pPr>
            <w:r w:rsidRPr="0015052F">
              <w:rPr>
                <w:rFonts w:cstheme="minorHAnsi"/>
              </w:rPr>
              <w:t>6,8%</w:t>
            </w:r>
          </w:p>
        </w:tc>
        <w:tc>
          <w:tcPr>
            <w:tcW w:w="806" w:type="dxa"/>
          </w:tcPr>
          <w:p w14:paraId="493CD193" w14:textId="77777777" w:rsidR="00C75889" w:rsidRPr="0015052F" w:rsidRDefault="00C75889" w:rsidP="00B91507">
            <w:pPr>
              <w:jc w:val="center"/>
              <w:rPr>
                <w:rFonts w:cstheme="minorHAnsi"/>
              </w:rPr>
            </w:pPr>
            <w:r w:rsidRPr="0015052F">
              <w:rPr>
                <w:rFonts w:cstheme="minorHAnsi"/>
              </w:rPr>
              <w:t>767</w:t>
            </w:r>
          </w:p>
        </w:tc>
        <w:tc>
          <w:tcPr>
            <w:tcW w:w="708" w:type="dxa"/>
          </w:tcPr>
          <w:p w14:paraId="3D40CDA4" w14:textId="77777777" w:rsidR="00C75889" w:rsidRPr="0015052F" w:rsidRDefault="00C75889" w:rsidP="00B91507">
            <w:pPr>
              <w:jc w:val="center"/>
              <w:rPr>
                <w:rFonts w:cstheme="minorHAnsi"/>
              </w:rPr>
            </w:pPr>
            <w:r w:rsidRPr="0015052F">
              <w:rPr>
                <w:rFonts w:cstheme="minorHAnsi"/>
              </w:rPr>
              <w:t>100%</w:t>
            </w:r>
          </w:p>
        </w:tc>
      </w:tr>
      <w:tr w:rsidR="00C75889" w14:paraId="68CFB792" w14:textId="77777777" w:rsidTr="00B91507">
        <w:tc>
          <w:tcPr>
            <w:tcW w:w="1432" w:type="dxa"/>
          </w:tcPr>
          <w:p w14:paraId="6A08F26D" w14:textId="77777777" w:rsidR="00C75889" w:rsidRPr="0015052F" w:rsidRDefault="00C75889" w:rsidP="00B91507">
            <w:pPr>
              <w:jc w:val="both"/>
              <w:rPr>
                <w:rFonts w:cstheme="minorHAnsi"/>
              </w:rPr>
            </w:pPr>
            <w:r w:rsidRPr="0015052F">
              <w:rPr>
                <w:rFonts w:cstheme="minorHAnsi"/>
              </w:rPr>
              <w:t>Privada</w:t>
            </w:r>
          </w:p>
        </w:tc>
        <w:tc>
          <w:tcPr>
            <w:tcW w:w="626" w:type="dxa"/>
          </w:tcPr>
          <w:p w14:paraId="74493143" w14:textId="77777777" w:rsidR="00C75889" w:rsidRPr="0015052F" w:rsidRDefault="00C75889" w:rsidP="00B91507">
            <w:pPr>
              <w:jc w:val="center"/>
              <w:rPr>
                <w:rFonts w:cstheme="minorHAnsi"/>
              </w:rPr>
            </w:pPr>
            <w:r w:rsidRPr="0015052F">
              <w:rPr>
                <w:rFonts w:cstheme="minorHAnsi"/>
              </w:rPr>
              <w:t>124</w:t>
            </w:r>
          </w:p>
        </w:tc>
        <w:tc>
          <w:tcPr>
            <w:tcW w:w="1104" w:type="dxa"/>
          </w:tcPr>
          <w:p w14:paraId="36F3C63C" w14:textId="77777777" w:rsidR="00C75889" w:rsidRPr="0015052F" w:rsidRDefault="00C75889" w:rsidP="00B91507">
            <w:pPr>
              <w:jc w:val="center"/>
              <w:rPr>
                <w:rFonts w:cstheme="minorHAnsi"/>
              </w:rPr>
            </w:pPr>
            <w:r w:rsidRPr="0015052F">
              <w:rPr>
                <w:rFonts w:cstheme="minorHAnsi"/>
              </w:rPr>
              <w:t>62,0%</w:t>
            </w:r>
          </w:p>
        </w:tc>
        <w:tc>
          <w:tcPr>
            <w:tcW w:w="627" w:type="dxa"/>
          </w:tcPr>
          <w:p w14:paraId="4108BF0B" w14:textId="77777777" w:rsidR="00C75889" w:rsidRPr="0015052F" w:rsidRDefault="00C75889" w:rsidP="00B91507">
            <w:pPr>
              <w:jc w:val="center"/>
              <w:rPr>
                <w:rFonts w:cstheme="minorHAnsi"/>
              </w:rPr>
            </w:pPr>
            <w:r w:rsidRPr="0015052F">
              <w:rPr>
                <w:rFonts w:cstheme="minorHAnsi"/>
              </w:rPr>
              <w:t>67</w:t>
            </w:r>
          </w:p>
        </w:tc>
        <w:tc>
          <w:tcPr>
            <w:tcW w:w="1309" w:type="dxa"/>
          </w:tcPr>
          <w:p w14:paraId="0795DB45" w14:textId="77777777" w:rsidR="00C75889" w:rsidRPr="0015052F" w:rsidRDefault="00C75889" w:rsidP="00B91507">
            <w:pPr>
              <w:jc w:val="center"/>
              <w:rPr>
                <w:rFonts w:cstheme="minorHAnsi"/>
              </w:rPr>
            </w:pPr>
            <w:r w:rsidRPr="0015052F">
              <w:rPr>
                <w:rFonts w:cstheme="minorHAnsi"/>
              </w:rPr>
              <w:t>33,5%</w:t>
            </w:r>
          </w:p>
        </w:tc>
        <w:tc>
          <w:tcPr>
            <w:tcW w:w="605" w:type="dxa"/>
          </w:tcPr>
          <w:p w14:paraId="1B09AA7B" w14:textId="77777777" w:rsidR="00C75889" w:rsidRPr="0015052F" w:rsidRDefault="00C75889" w:rsidP="00B91507">
            <w:pPr>
              <w:jc w:val="center"/>
              <w:rPr>
                <w:rFonts w:cstheme="minorHAnsi"/>
              </w:rPr>
            </w:pPr>
            <w:r w:rsidRPr="0015052F">
              <w:rPr>
                <w:rFonts w:cstheme="minorHAnsi"/>
              </w:rPr>
              <w:t>9</w:t>
            </w:r>
          </w:p>
        </w:tc>
        <w:tc>
          <w:tcPr>
            <w:tcW w:w="1238" w:type="dxa"/>
          </w:tcPr>
          <w:p w14:paraId="5CDDDDF0" w14:textId="77777777" w:rsidR="00C75889" w:rsidRPr="0015052F" w:rsidRDefault="00C75889" w:rsidP="00B91507">
            <w:pPr>
              <w:jc w:val="center"/>
              <w:rPr>
                <w:rFonts w:cstheme="minorHAnsi"/>
              </w:rPr>
            </w:pPr>
            <w:r w:rsidRPr="0015052F">
              <w:rPr>
                <w:rFonts w:cstheme="minorHAnsi"/>
              </w:rPr>
              <w:t>4,5%</w:t>
            </w:r>
          </w:p>
        </w:tc>
        <w:tc>
          <w:tcPr>
            <w:tcW w:w="806" w:type="dxa"/>
          </w:tcPr>
          <w:p w14:paraId="4698354D" w14:textId="77777777" w:rsidR="00C75889" w:rsidRPr="0015052F" w:rsidRDefault="00C75889" w:rsidP="00B91507">
            <w:pPr>
              <w:jc w:val="center"/>
              <w:rPr>
                <w:rFonts w:cstheme="minorHAnsi"/>
              </w:rPr>
            </w:pPr>
            <w:r w:rsidRPr="0015052F">
              <w:rPr>
                <w:rFonts w:cstheme="minorHAnsi"/>
              </w:rPr>
              <w:t>200</w:t>
            </w:r>
          </w:p>
        </w:tc>
        <w:tc>
          <w:tcPr>
            <w:tcW w:w="708" w:type="dxa"/>
          </w:tcPr>
          <w:p w14:paraId="5841A124" w14:textId="77777777" w:rsidR="00C75889" w:rsidRPr="0015052F" w:rsidRDefault="00C75889" w:rsidP="00B91507">
            <w:pPr>
              <w:jc w:val="center"/>
              <w:rPr>
                <w:rFonts w:cstheme="minorHAnsi"/>
              </w:rPr>
            </w:pPr>
            <w:r w:rsidRPr="0015052F">
              <w:rPr>
                <w:rFonts w:cstheme="minorHAnsi"/>
              </w:rPr>
              <w:t>100%</w:t>
            </w:r>
          </w:p>
        </w:tc>
      </w:tr>
    </w:tbl>
    <w:p w14:paraId="1737EE27" w14:textId="390E68A0" w:rsidR="00B04DFE" w:rsidRPr="001F0C7F" w:rsidRDefault="00C75889" w:rsidP="00B04DFE">
      <w:pPr>
        <w:spacing w:line="240" w:lineRule="auto"/>
        <w:jc w:val="both"/>
        <w:rPr>
          <w:rFonts w:ascii="Times New Roman" w:hAnsi="Times New Roman" w:cs="Times New Roman"/>
          <w:b/>
          <w:bCs/>
        </w:rPr>
      </w:pPr>
      <w:r w:rsidRPr="00D62BB4">
        <w:rPr>
          <w:rFonts w:ascii="Times New Roman" w:hAnsi="Times New Roman" w:cs="Times New Roman"/>
          <w:sz w:val="20"/>
          <w:szCs w:val="20"/>
        </w:rPr>
        <w:t>Nota: Elaboración propia base de datos estudiantes Facultad de Humanidades y Ciencias de la Educación/Universidad Mayor de San Simón</w:t>
      </w:r>
    </w:p>
    <w:bookmarkEnd w:id="5"/>
    <w:p w14:paraId="4CAD5FE0" w14:textId="4616EDE0" w:rsidR="00B04DFE" w:rsidRPr="004A6BFF" w:rsidRDefault="00B04DFE" w:rsidP="00B04DFE">
      <w:pPr>
        <w:spacing w:line="240" w:lineRule="auto"/>
        <w:jc w:val="both"/>
        <w:rPr>
          <w:rFonts w:ascii="Times New Roman" w:hAnsi="Times New Roman" w:cs="Times New Roman"/>
        </w:rPr>
      </w:pPr>
      <w:r>
        <w:rPr>
          <w:rFonts w:ascii="Times New Roman" w:hAnsi="Times New Roman" w:cs="Times New Roman"/>
        </w:rPr>
        <w:t>Una tercera aproximación al rendimiento académico es a partir del promedio de notas. En este caso, nos enfocaremos en los promedios menores a 51 que vendría a ser nota de reprobación y, por tanto, un mal rendimiento académico. En términos relativos, hay más estudiantes de colegios privados con promedios de reprobación, les sigue los estudiantes de colegios fiscales y luego los de colegios de convenio. Sin embargo, la diferencia entre los primeros dos no es significativa. Estos datos muestran una pequeña diferencia en el rendimiento académico entre estudiantes de colegios privados y fiscales y una diferencia mayor a favor de los estudiantes de colegios de convenio. En cuanto, a los alumnos/as con promedios mayores a 70 puntos se evidencia que un porcentaje mayor de alumnos de colegios privados alcanzo esos puntajes en comparación de aquellos provenientes colegios fiscales y de convenio.</w:t>
      </w:r>
    </w:p>
    <w:p w14:paraId="0422BBF2" w14:textId="77777777" w:rsidR="00C75889" w:rsidRDefault="00C75889" w:rsidP="0015052F">
      <w:pPr>
        <w:spacing w:after="0" w:line="240" w:lineRule="auto"/>
        <w:jc w:val="both"/>
        <w:rPr>
          <w:rFonts w:ascii="Times New Roman" w:hAnsi="Times New Roman" w:cs="Times New Roman"/>
          <w:b/>
          <w:bCs/>
        </w:rPr>
      </w:pPr>
      <w:bookmarkStart w:id="6" w:name="_Hlk203400494"/>
      <w:r>
        <w:rPr>
          <w:rFonts w:ascii="Times New Roman" w:hAnsi="Times New Roman" w:cs="Times New Roman"/>
          <w:b/>
          <w:bCs/>
        </w:rPr>
        <w:t>Tabla 4</w:t>
      </w:r>
    </w:p>
    <w:p w14:paraId="4390D35C" w14:textId="77777777" w:rsidR="00C75889" w:rsidRPr="00381E7E" w:rsidRDefault="00C75889" w:rsidP="0015052F">
      <w:pPr>
        <w:spacing w:after="0" w:line="240" w:lineRule="auto"/>
        <w:jc w:val="both"/>
        <w:rPr>
          <w:rFonts w:ascii="Times New Roman" w:hAnsi="Times New Roman" w:cs="Times New Roman"/>
          <w:i/>
          <w:iCs/>
        </w:rPr>
      </w:pPr>
      <w:r>
        <w:rPr>
          <w:rFonts w:ascii="Times New Roman" w:hAnsi="Times New Roman" w:cs="Times New Roman"/>
          <w:i/>
          <w:iCs/>
        </w:rPr>
        <w:t>Estudiantes según d</w:t>
      </w:r>
      <w:r w:rsidRPr="00381E7E">
        <w:rPr>
          <w:rFonts w:ascii="Times New Roman" w:hAnsi="Times New Roman" w:cs="Times New Roman"/>
          <w:i/>
          <w:iCs/>
        </w:rPr>
        <w:t xml:space="preserve">ependencia de Unidad Educativa </w:t>
      </w:r>
      <w:r>
        <w:rPr>
          <w:rFonts w:ascii="Times New Roman" w:hAnsi="Times New Roman" w:cs="Times New Roman"/>
          <w:i/>
          <w:iCs/>
        </w:rPr>
        <w:t>y</w:t>
      </w:r>
      <w:r w:rsidRPr="00381E7E">
        <w:rPr>
          <w:rFonts w:ascii="Times New Roman" w:hAnsi="Times New Roman" w:cs="Times New Roman"/>
          <w:i/>
          <w:iCs/>
        </w:rPr>
        <w:t xml:space="preserve"> promedio de notas</w:t>
      </w:r>
      <w:r>
        <w:rPr>
          <w:rFonts w:ascii="Times New Roman" w:hAnsi="Times New Roman" w:cs="Times New Roman"/>
          <w:i/>
          <w:iCs/>
        </w:rPr>
        <w:t xml:space="preserve"> (absoluto y relativo)</w:t>
      </w:r>
    </w:p>
    <w:tbl>
      <w:tblPr>
        <w:tblW w:w="8809" w:type="dxa"/>
        <w:tblInd w:w="-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840"/>
        <w:gridCol w:w="373"/>
        <w:gridCol w:w="627"/>
        <w:gridCol w:w="572"/>
        <w:gridCol w:w="1014"/>
        <w:gridCol w:w="475"/>
        <w:gridCol w:w="1112"/>
        <w:gridCol w:w="364"/>
        <w:gridCol w:w="1248"/>
        <w:gridCol w:w="475"/>
        <w:gridCol w:w="709"/>
      </w:tblGrid>
      <w:tr w:rsidR="00C75889" w:rsidRPr="00381E7E" w14:paraId="2AB4480D" w14:textId="77777777" w:rsidTr="00B91507">
        <w:trPr>
          <w:trHeight w:val="300"/>
        </w:trPr>
        <w:tc>
          <w:tcPr>
            <w:tcW w:w="1840" w:type="dxa"/>
            <w:tcBorders>
              <w:top w:val="single" w:sz="4" w:space="0" w:color="auto"/>
              <w:bottom w:val="nil"/>
            </w:tcBorders>
            <w:shd w:val="clear" w:color="auto" w:fill="auto"/>
            <w:noWrap/>
            <w:vAlign w:val="bottom"/>
          </w:tcPr>
          <w:p w14:paraId="26093CDA" w14:textId="77777777" w:rsidR="00C75889" w:rsidRPr="00381E7E" w:rsidRDefault="00C75889" w:rsidP="00B91507">
            <w:pPr>
              <w:spacing w:after="0" w:line="240" w:lineRule="auto"/>
              <w:rPr>
                <w:rFonts w:ascii="Calibri" w:eastAsia="Times New Roman" w:hAnsi="Calibri" w:cs="Calibri"/>
                <w:color w:val="000000"/>
                <w:lang w:eastAsia="es-BO"/>
              </w:rPr>
            </w:pPr>
          </w:p>
        </w:tc>
        <w:tc>
          <w:tcPr>
            <w:tcW w:w="6969" w:type="dxa"/>
            <w:gridSpan w:val="10"/>
            <w:tcBorders>
              <w:top w:val="single" w:sz="4" w:space="0" w:color="auto"/>
              <w:bottom w:val="nil"/>
            </w:tcBorders>
          </w:tcPr>
          <w:p w14:paraId="4B703529"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b/>
                <w:bCs/>
                <w:color w:val="000000"/>
                <w:sz w:val="22"/>
                <w:szCs w:val="22"/>
                <w:lang w:eastAsia="es-BO"/>
              </w:rPr>
              <w:t>Promedio notas</w:t>
            </w:r>
          </w:p>
        </w:tc>
      </w:tr>
      <w:tr w:rsidR="00C75889" w:rsidRPr="00381E7E" w14:paraId="037CB680" w14:textId="77777777" w:rsidTr="00B91507">
        <w:trPr>
          <w:trHeight w:val="300"/>
        </w:trPr>
        <w:tc>
          <w:tcPr>
            <w:tcW w:w="1840" w:type="dxa"/>
            <w:tcBorders>
              <w:top w:val="nil"/>
              <w:bottom w:val="single" w:sz="4" w:space="0" w:color="auto"/>
            </w:tcBorders>
            <w:shd w:val="clear" w:color="auto" w:fill="auto"/>
            <w:noWrap/>
            <w:vAlign w:val="bottom"/>
            <w:hideMark/>
          </w:tcPr>
          <w:p w14:paraId="613CF29D" w14:textId="19509BFD" w:rsidR="00C75889" w:rsidRPr="005065F4" w:rsidRDefault="00C75889" w:rsidP="00B91507">
            <w:pPr>
              <w:spacing w:after="0" w:line="240" w:lineRule="auto"/>
              <w:rPr>
                <w:rFonts w:ascii="Calibri" w:eastAsia="Times New Roman" w:hAnsi="Calibri" w:cs="Calibri"/>
                <w:b/>
                <w:bCs/>
                <w:color w:val="000000"/>
                <w:sz w:val="22"/>
                <w:szCs w:val="22"/>
                <w:lang w:eastAsia="es-BO"/>
              </w:rPr>
            </w:pPr>
            <w:r w:rsidRPr="005065F4">
              <w:rPr>
                <w:rFonts w:ascii="Calibri" w:eastAsia="Times New Roman" w:hAnsi="Calibri" w:cs="Calibri"/>
                <w:b/>
                <w:bCs/>
                <w:color w:val="000000"/>
                <w:sz w:val="22"/>
                <w:szCs w:val="22"/>
                <w:lang w:eastAsia="es-BO"/>
              </w:rPr>
              <w:t>Dependencia Unidad Educativa</w:t>
            </w:r>
          </w:p>
        </w:tc>
        <w:tc>
          <w:tcPr>
            <w:tcW w:w="1000" w:type="dxa"/>
            <w:gridSpan w:val="2"/>
            <w:tcBorders>
              <w:top w:val="nil"/>
              <w:bottom w:val="single" w:sz="4" w:space="0" w:color="auto"/>
            </w:tcBorders>
          </w:tcPr>
          <w:p w14:paraId="7A344D58"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r w:rsidRPr="005065F4">
              <w:rPr>
                <w:rFonts w:ascii="Calibri" w:eastAsia="Times New Roman" w:hAnsi="Calibri" w:cs="Calibri"/>
                <w:b/>
                <w:bCs/>
                <w:color w:val="000000"/>
                <w:sz w:val="22"/>
                <w:szCs w:val="22"/>
                <w:lang w:eastAsia="es-BO"/>
              </w:rPr>
              <w:t>Sin registro</w:t>
            </w:r>
          </w:p>
        </w:tc>
        <w:tc>
          <w:tcPr>
            <w:tcW w:w="1586" w:type="dxa"/>
            <w:gridSpan w:val="2"/>
            <w:tcBorders>
              <w:top w:val="nil"/>
              <w:bottom w:val="single" w:sz="4" w:space="0" w:color="auto"/>
            </w:tcBorders>
          </w:tcPr>
          <w:p w14:paraId="438820C7"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r w:rsidRPr="005065F4">
              <w:rPr>
                <w:rFonts w:ascii="Calibri" w:eastAsia="Times New Roman" w:hAnsi="Calibri" w:cs="Calibri"/>
                <w:b/>
                <w:bCs/>
                <w:color w:val="000000"/>
                <w:sz w:val="22"/>
                <w:szCs w:val="22"/>
                <w:lang w:eastAsia="es-BO"/>
              </w:rPr>
              <w:t xml:space="preserve">Reprobados menor a 51 </w:t>
            </w:r>
            <w:proofErr w:type="spellStart"/>
            <w:r w:rsidRPr="005065F4">
              <w:rPr>
                <w:rFonts w:ascii="Calibri" w:eastAsia="Times New Roman" w:hAnsi="Calibri" w:cs="Calibri"/>
                <w:b/>
                <w:bCs/>
                <w:color w:val="000000"/>
                <w:sz w:val="22"/>
                <w:szCs w:val="22"/>
                <w:lang w:eastAsia="es-BO"/>
              </w:rPr>
              <w:t>pts</w:t>
            </w:r>
            <w:proofErr w:type="spellEnd"/>
          </w:p>
        </w:tc>
        <w:tc>
          <w:tcPr>
            <w:tcW w:w="1587" w:type="dxa"/>
            <w:gridSpan w:val="2"/>
            <w:tcBorders>
              <w:top w:val="nil"/>
              <w:bottom w:val="single" w:sz="4" w:space="0" w:color="auto"/>
            </w:tcBorders>
          </w:tcPr>
          <w:p w14:paraId="585E5D37"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r w:rsidRPr="005065F4">
              <w:rPr>
                <w:rFonts w:ascii="Calibri" w:eastAsia="Times New Roman" w:hAnsi="Calibri" w:cs="Calibri"/>
                <w:b/>
                <w:bCs/>
                <w:color w:val="000000"/>
                <w:sz w:val="22"/>
                <w:szCs w:val="22"/>
                <w:lang w:eastAsia="es-BO"/>
              </w:rPr>
              <w:t xml:space="preserve">Aprobados entre 51-70 </w:t>
            </w:r>
            <w:proofErr w:type="spellStart"/>
            <w:r w:rsidRPr="005065F4">
              <w:rPr>
                <w:rFonts w:ascii="Calibri" w:eastAsia="Times New Roman" w:hAnsi="Calibri" w:cs="Calibri"/>
                <w:b/>
                <w:bCs/>
                <w:color w:val="000000"/>
                <w:sz w:val="22"/>
                <w:szCs w:val="22"/>
                <w:lang w:eastAsia="es-BO"/>
              </w:rPr>
              <w:t>pts</w:t>
            </w:r>
            <w:proofErr w:type="spellEnd"/>
          </w:p>
        </w:tc>
        <w:tc>
          <w:tcPr>
            <w:tcW w:w="1612" w:type="dxa"/>
            <w:gridSpan w:val="2"/>
            <w:tcBorders>
              <w:top w:val="nil"/>
              <w:bottom w:val="single" w:sz="4" w:space="0" w:color="auto"/>
            </w:tcBorders>
          </w:tcPr>
          <w:p w14:paraId="372AE88A"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proofErr w:type="gramStart"/>
            <w:r w:rsidRPr="005065F4">
              <w:rPr>
                <w:rFonts w:ascii="Calibri" w:eastAsia="Times New Roman" w:hAnsi="Calibri" w:cs="Calibri"/>
                <w:b/>
                <w:bCs/>
                <w:color w:val="000000"/>
                <w:sz w:val="22"/>
                <w:szCs w:val="22"/>
                <w:lang w:eastAsia="es-BO"/>
              </w:rPr>
              <w:t>Aprobados mayor</w:t>
            </w:r>
            <w:proofErr w:type="gramEnd"/>
            <w:r w:rsidRPr="005065F4">
              <w:rPr>
                <w:rFonts w:ascii="Calibri" w:eastAsia="Times New Roman" w:hAnsi="Calibri" w:cs="Calibri"/>
                <w:b/>
                <w:bCs/>
                <w:color w:val="000000"/>
                <w:sz w:val="22"/>
                <w:szCs w:val="22"/>
                <w:lang w:eastAsia="es-BO"/>
              </w:rPr>
              <w:t xml:space="preserve"> a 70 </w:t>
            </w:r>
            <w:proofErr w:type="spellStart"/>
            <w:r w:rsidRPr="005065F4">
              <w:rPr>
                <w:rFonts w:ascii="Calibri" w:eastAsia="Times New Roman" w:hAnsi="Calibri" w:cs="Calibri"/>
                <w:b/>
                <w:bCs/>
                <w:color w:val="000000"/>
                <w:sz w:val="22"/>
                <w:szCs w:val="22"/>
                <w:lang w:eastAsia="es-BO"/>
              </w:rPr>
              <w:t>pts</w:t>
            </w:r>
            <w:proofErr w:type="spellEnd"/>
          </w:p>
        </w:tc>
        <w:tc>
          <w:tcPr>
            <w:tcW w:w="1184" w:type="dxa"/>
            <w:gridSpan w:val="2"/>
            <w:tcBorders>
              <w:top w:val="nil"/>
              <w:bottom w:val="single" w:sz="4" w:space="0" w:color="auto"/>
            </w:tcBorders>
          </w:tcPr>
          <w:p w14:paraId="0427BCA5"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proofErr w:type="gramStart"/>
            <w:r w:rsidRPr="005065F4">
              <w:rPr>
                <w:rFonts w:ascii="Calibri" w:eastAsia="Times New Roman" w:hAnsi="Calibri" w:cs="Calibri"/>
                <w:b/>
                <w:bCs/>
                <w:color w:val="000000"/>
                <w:sz w:val="22"/>
                <w:szCs w:val="22"/>
                <w:lang w:eastAsia="es-BO"/>
              </w:rPr>
              <w:t>Total</w:t>
            </w:r>
            <w:proofErr w:type="gramEnd"/>
            <w:r w:rsidRPr="005065F4">
              <w:rPr>
                <w:rFonts w:ascii="Calibri" w:eastAsia="Times New Roman" w:hAnsi="Calibri" w:cs="Calibri"/>
                <w:b/>
                <w:bCs/>
                <w:color w:val="000000"/>
                <w:sz w:val="22"/>
                <w:szCs w:val="22"/>
                <w:lang w:eastAsia="es-BO"/>
              </w:rPr>
              <w:t xml:space="preserve"> general</w:t>
            </w:r>
          </w:p>
        </w:tc>
      </w:tr>
      <w:tr w:rsidR="00C75889" w:rsidRPr="00381E7E" w14:paraId="043A7843" w14:textId="77777777" w:rsidTr="00B91507">
        <w:trPr>
          <w:trHeight w:val="300"/>
        </w:trPr>
        <w:tc>
          <w:tcPr>
            <w:tcW w:w="1840" w:type="dxa"/>
            <w:tcBorders>
              <w:top w:val="single" w:sz="4" w:space="0" w:color="auto"/>
            </w:tcBorders>
            <w:shd w:val="clear" w:color="auto" w:fill="auto"/>
            <w:noWrap/>
            <w:vAlign w:val="bottom"/>
            <w:hideMark/>
          </w:tcPr>
          <w:p w14:paraId="6271F496" w14:textId="77777777" w:rsidR="00C75889" w:rsidRPr="005065F4" w:rsidRDefault="00C75889" w:rsidP="00B91507">
            <w:pPr>
              <w:spacing w:after="0" w:line="240" w:lineRule="auto"/>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Convenio</w:t>
            </w:r>
          </w:p>
        </w:tc>
        <w:tc>
          <w:tcPr>
            <w:tcW w:w="373" w:type="dxa"/>
            <w:tcBorders>
              <w:top w:val="single" w:sz="4" w:space="0" w:color="auto"/>
            </w:tcBorders>
          </w:tcPr>
          <w:p w14:paraId="48C0FF26"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10</w:t>
            </w:r>
          </w:p>
        </w:tc>
        <w:tc>
          <w:tcPr>
            <w:tcW w:w="627" w:type="dxa"/>
            <w:tcBorders>
              <w:top w:val="single" w:sz="4" w:space="0" w:color="auto"/>
            </w:tcBorders>
            <w:shd w:val="clear" w:color="auto" w:fill="auto"/>
            <w:noWrap/>
            <w:vAlign w:val="bottom"/>
            <w:hideMark/>
          </w:tcPr>
          <w:p w14:paraId="2F093AC9"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6,3%</w:t>
            </w:r>
          </w:p>
        </w:tc>
        <w:tc>
          <w:tcPr>
            <w:tcW w:w="572" w:type="dxa"/>
            <w:tcBorders>
              <w:top w:val="single" w:sz="4" w:space="0" w:color="auto"/>
            </w:tcBorders>
          </w:tcPr>
          <w:p w14:paraId="1020ECAA"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66</w:t>
            </w:r>
          </w:p>
        </w:tc>
        <w:tc>
          <w:tcPr>
            <w:tcW w:w="1014" w:type="dxa"/>
            <w:tcBorders>
              <w:top w:val="single" w:sz="4" w:space="0" w:color="auto"/>
            </w:tcBorders>
            <w:shd w:val="clear" w:color="auto" w:fill="auto"/>
            <w:noWrap/>
            <w:vAlign w:val="bottom"/>
            <w:hideMark/>
          </w:tcPr>
          <w:p w14:paraId="5A23FFB6"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41,8%</w:t>
            </w:r>
          </w:p>
        </w:tc>
        <w:tc>
          <w:tcPr>
            <w:tcW w:w="475" w:type="dxa"/>
            <w:tcBorders>
              <w:top w:val="single" w:sz="4" w:space="0" w:color="auto"/>
            </w:tcBorders>
          </w:tcPr>
          <w:p w14:paraId="3215CDAC"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66</w:t>
            </w:r>
          </w:p>
        </w:tc>
        <w:tc>
          <w:tcPr>
            <w:tcW w:w="1112" w:type="dxa"/>
            <w:tcBorders>
              <w:top w:val="single" w:sz="4" w:space="0" w:color="auto"/>
            </w:tcBorders>
            <w:shd w:val="clear" w:color="auto" w:fill="auto"/>
            <w:noWrap/>
            <w:vAlign w:val="bottom"/>
            <w:hideMark/>
          </w:tcPr>
          <w:p w14:paraId="09801030"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41,8%</w:t>
            </w:r>
          </w:p>
        </w:tc>
        <w:tc>
          <w:tcPr>
            <w:tcW w:w="364" w:type="dxa"/>
            <w:tcBorders>
              <w:top w:val="single" w:sz="4" w:space="0" w:color="auto"/>
            </w:tcBorders>
          </w:tcPr>
          <w:p w14:paraId="10F9A69B"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16</w:t>
            </w:r>
          </w:p>
        </w:tc>
        <w:tc>
          <w:tcPr>
            <w:tcW w:w="1248" w:type="dxa"/>
            <w:tcBorders>
              <w:top w:val="single" w:sz="4" w:space="0" w:color="auto"/>
            </w:tcBorders>
            <w:shd w:val="clear" w:color="auto" w:fill="auto"/>
            <w:noWrap/>
            <w:vAlign w:val="bottom"/>
            <w:hideMark/>
          </w:tcPr>
          <w:p w14:paraId="54793F61"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10,1%</w:t>
            </w:r>
          </w:p>
        </w:tc>
        <w:tc>
          <w:tcPr>
            <w:tcW w:w="475" w:type="dxa"/>
            <w:tcBorders>
              <w:top w:val="single" w:sz="4" w:space="0" w:color="auto"/>
            </w:tcBorders>
          </w:tcPr>
          <w:p w14:paraId="4A81597C" w14:textId="77777777" w:rsidR="00C75889" w:rsidRPr="005065F4" w:rsidRDefault="00C75889" w:rsidP="00B91507">
            <w:pPr>
              <w:spacing w:after="0" w:line="240" w:lineRule="auto"/>
              <w:jc w:val="right"/>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158</w:t>
            </w:r>
          </w:p>
        </w:tc>
        <w:tc>
          <w:tcPr>
            <w:tcW w:w="709" w:type="dxa"/>
            <w:tcBorders>
              <w:top w:val="single" w:sz="4" w:space="0" w:color="auto"/>
            </w:tcBorders>
            <w:shd w:val="clear" w:color="auto" w:fill="auto"/>
            <w:noWrap/>
            <w:vAlign w:val="bottom"/>
            <w:hideMark/>
          </w:tcPr>
          <w:p w14:paraId="5F52BD71" w14:textId="77777777" w:rsidR="00C75889" w:rsidRPr="005065F4" w:rsidRDefault="00C75889" w:rsidP="00B91507">
            <w:pPr>
              <w:spacing w:after="0" w:line="240" w:lineRule="auto"/>
              <w:jc w:val="right"/>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100%</w:t>
            </w:r>
          </w:p>
        </w:tc>
      </w:tr>
      <w:tr w:rsidR="00C75889" w:rsidRPr="00381E7E" w14:paraId="517A461A" w14:textId="77777777" w:rsidTr="00B91507">
        <w:trPr>
          <w:trHeight w:val="300"/>
        </w:trPr>
        <w:tc>
          <w:tcPr>
            <w:tcW w:w="1840" w:type="dxa"/>
            <w:shd w:val="clear" w:color="auto" w:fill="auto"/>
            <w:noWrap/>
            <w:vAlign w:val="bottom"/>
            <w:hideMark/>
          </w:tcPr>
          <w:p w14:paraId="52245E82" w14:textId="77777777" w:rsidR="00C75889" w:rsidRPr="005065F4" w:rsidRDefault="00C75889" w:rsidP="00B91507">
            <w:pPr>
              <w:spacing w:after="0" w:line="240" w:lineRule="auto"/>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Fiscal</w:t>
            </w:r>
          </w:p>
        </w:tc>
        <w:tc>
          <w:tcPr>
            <w:tcW w:w="373" w:type="dxa"/>
          </w:tcPr>
          <w:p w14:paraId="584A7598"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44</w:t>
            </w:r>
          </w:p>
        </w:tc>
        <w:tc>
          <w:tcPr>
            <w:tcW w:w="627" w:type="dxa"/>
            <w:shd w:val="clear" w:color="auto" w:fill="auto"/>
            <w:noWrap/>
            <w:vAlign w:val="bottom"/>
            <w:hideMark/>
          </w:tcPr>
          <w:p w14:paraId="3B8E364A"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5,7%</w:t>
            </w:r>
          </w:p>
        </w:tc>
        <w:tc>
          <w:tcPr>
            <w:tcW w:w="572" w:type="dxa"/>
          </w:tcPr>
          <w:p w14:paraId="59C58834"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359</w:t>
            </w:r>
          </w:p>
        </w:tc>
        <w:tc>
          <w:tcPr>
            <w:tcW w:w="1014" w:type="dxa"/>
            <w:shd w:val="clear" w:color="auto" w:fill="auto"/>
            <w:noWrap/>
            <w:vAlign w:val="bottom"/>
            <w:hideMark/>
          </w:tcPr>
          <w:p w14:paraId="0A070C22"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46,8%</w:t>
            </w:r>
          </w:p>
        </w:tc>
        <w:tc>
          <w:tcPr>
            <w:tcW w:w="475" w:type="dxa"/>
          </w:tcPr>
          <w:p w14:paraId="4B6934A4"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290</w:t>
            </w:r>
          </w:p>
        </w:tc>
        <w:tc>
          <w:tcPr>
            <w:tcW w:w="1112" w:type="dxa"/>
            <w:shd w:val="clear" w:color="auto" w:fill="auto"/>
            <w:noWrap/>
            <w:vAlign w:val="bottom"/>
            <w:hideMark/>
          </w:tcPr>
          <w:p w14:paraId="1E154B93"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37,8%</w:t>
            </w:r>
          </w:p>
        </w:tc>
        <w:tc>
          <w:tcPr>
            <w:tcW w:w="364" w:type="dxa"/>
          </w:tcPr>
          <w:p w14:paraId="320111A2"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74</w:t>
            </w:r>
          </w:p>
        </w:tc>
        <w:tc>
          <w:tcPr>
            <w:tcW w:w="1248" w:type="dxa"/>
            <w:shd w:val="clear" w:color="auto" w:fill="auto"/>
            <w:noWrap/>
            <w:vAlign w:val="bottom"/>
            <w:hideMark/>
          </w:tcPr>
          <w:p w14:paraId="6E0E3569"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9,7%</w:t>
            </w:r>
          </w:p>
        </w:tc>
        <w:tc>
          <w:tcPr>
            <w:tcW w:w="475" w:type="dxa"/>
          </w:tcPr>
          <w:p w14:paraId="3223FAE0" w14:textId="77777777" w:rsidR="00C75889" w:rsidRPr="005065F4" w:rsidRDefault="00C75889" w:rsidP="00B91507">
            <w:pPr>
              <w:spacing w:after="0" w:line="240" w:lineRule="auto"/>
              <w:jc w:val="right"/>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767</w:t>
            </w:r>
          </w:p>
        </w:tc>
        <w:tc>
          <w:tcPr>
            <w:tcW w:w="709" w:type="dxa"/>
            <w:shd w:val="clear" w:color="auto" w:fill="auto"/>
            <w:noWrap/>
            <w:vAlign w:val="bottom"/>
            <w:hideMark/>
          </w:tcPr>
          <w:p w14:paraId="295C356C" w14:textId="77777777" w:rsidR="00C75889" w:rsidRPr="005065F4" w:rsidRDefault="00C75889" w:rsidP="00B91507">
            <w:pPr>
              <w:spacing w:after="0" w:line="240" w:lineRule="auto"/>
              <w:jc w:val="right"/>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100%</w:t>
            </w:r>
          </w:p>
        </w:tc>
      </w:tr>
      <w:tr w:rsidR="00C75889" w:rsidRPr="00381E7E" w14:paraId="1423C5EC" w14:textId="77777777" w:rsidTr="00B91507">
        <w:trPr>
          <w:trHeight w:val="300"/>
        </w:trPr>
        <w:tc>
          <w:tcPr>
            <w:tcW w:w="1840" w:type="dxa"/>
            <w:shd w:val="clear" w:color="auto" w:fill="auto"/>
            <w:noWrap/>
            <w:vAlign w:val="bottom"/>
            <w:hideMark/>
          </w:tcPr>
          <w:p w14:paraId="5AE0336D" w14:textId="77777777" w:rsidR="00C75889" w:rsidRPr="005065F4" w:rsidRDefault="00C75889" w:rsidP="00B91507">
            <w:pPr>
              <w:spacing w:after="0" w:line="240" w:lineRule="auto"/>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Privada</w:t>
            </w:r>
          </w:p>
        </w:tc>
        <w:tc>
          <w:tcPr>
            <w:tcW w:w="373" w:type="dxa"/>
          </w:tcPr>
          <w:p w14:paraId="6621D096"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9</w:t>
            </w:r>
          </w:p>
        </w:tc>
        <w:tc>
          <w:tcPr>
            <w:tcW w:w="627" w:type="dxa"/>
            <w:shd w:val="clear" w:color="auto" w:fill="auto"/>
            <w:noWrap/>
            <w:vAlign w:val="bottom"/>
            <w:hideMark/>
          </w:tcPr>
          <w:p w14:paraId="3A4BEB3A"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4,5%</w:t>
            </w:r>
          </w:p>
        </w:tc>
        <w:tc>
          <w:tcPr>
            <w:tcW w:w="572" w:type="dxa"/>
          </w:tcPr>
          <w:p w14:paraId="0D8BD6A8"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94</w:t>
            </w:r>
          </w:p>
        </w:tc>
        <w:tc>
          <w:tcPr>
            <w:tcW w:w="1014" w:type="dxa"/>
            <w:shd w:val="clear" w:color="auto" w:fill="auto"/>
            <w:noWrap/>
            <w:vAlign w:val="bottom"/>
            <w:hideMark/>
          </w:tcPr>
          <w:p w14:paraId="48B6A28E"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47%</w:t>
            </w:r>
          </w:p>
        </w:tc>
        <w:tc>
          <w:tcPr>
            <w:tcW w:w="475" w:type="dxa"/>
          </w:tcPr>
          <w:p w14:paraId="2186EBEB"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66</w:t>
            </w:r>
          </w:p>
        </w:tc>
        <w:tc>
          <w:tcPr>
            <w:tcW w:w="1112" w:type="dxa"/>
            <w:shd w:val="clear" w:color="auto" w:fill="auto"/>
            <w:noWrap/>
            <w:vAlign w:val="bottom"/>
            <w:hideMark/>
          </w:tcPr>
          <w:p w14:paraId="5015510A"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33%</w:t>
            </w:r>
          </w:p>
        </w:tc>
        <w:tc>
          <w:tcPr>
            <w:tcW w:w="364" w:type="dxa"/>
          </w:tcPr>
          <w:p w14:paraId="5CD2CF16"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31</w:t>
            </w:r>
          </w:p>
        </w:tc>
        <w:tc>
          <w:tcPr>
            <w:tcW w:w="1248" w:type="dxa"/>
            <w:shd w:val="clear" w:color="auto" w:fill="auto"/>
            <w:noWrap/>
            <w:vAlign w:val="bottom"/>
            <w:hideMark/>
          </w:tcPr>
          <w:p w14:paraId="1E5F72C2"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15,5%</w:t>
            </w:r>
          </w:p>
        </w:tc>
        <w:tc>
          <w:tcPr>
            <w:tcW w:w="475" w:type="dxa"/>
          </w:tcPr>
          <w:p w14:paraId="4EC2484E" w14:textId="77777777" w:rsidR="00C75889" w:rsidRPr="005065F4" w:rsidRDefault="00C75889" w:rsidP="00B91507">
            <w:pPr>
              <w:spacing w:after="0" w:line="240" w:lineRule="auto"/>
              <w:jc w:val="right"/>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200</w:t>
            </w:r>
          </w:p>
        </w:tc>
        <w:tc>
          <w:tcPr>
            <w:tcW w:w="709" w:type="dxa"/>
            <w:shd w:val="clear" w:color="auto" w:fill="auto"/>
            <w:noWrap/>
            <w:vAlign w:val="bottom"/>
            <w:hideMark/>
          </w:tcPr>
          <w:p w14:paraId="0E5CAB49" w14:textId="77777777" w:rsidR="00C75889" w:rsidRPr="005065F4" w:rsidRDefault="00C75889" w:rsidP="00B91507">
            <w:pPr>
              <w:spacing w:after="0" w:line="240" w:lineRule="auto"/>
              <w:jc w:val="right"/>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100%</w:t>
            </w:r>
          </w:p>
        </w:tc>
      </w:tr>
    </w:tbl>
    <w:p w14:paraId="73F3DBB1" w14:textId="2C4A72C9" w:rsidR="00B04DFE" w:rsidRPr="00C75889" w:rsidRDefault="00C75889" w:rsidP="00B04DFE">
      <w:pPr>
        <w:spacing w:line="240" w:lineRule="auto"/>
        <w:jc w:val="both"/>
        <w:rPr>
          <w:rFonts w:ascii="Times New Roman" w:hAnsi="Times New Roman" w:cs="Times New Roman"/>
          <w:b/>
          <w:bCs/>
        </w:rPr>
      </w:pPr>
      <w:r w:rsidRPr="00D62BB4">
        <w:rPr>
          <w:rFonts w:ascii="Times New Roman" w:hAnsi="Times New Roman" w:cs="Times New Roman"/>
          <w:sz w:val="20"/>
          <w:szCs w:val="20"/>
        </w:rPr>
        <w:t xml:space="preserve">Nota: Elaboración propia base de datos estudiantes Facultad de Humanidades y Ciencias de la Educación/Universidad Mayor de San Simón </w:t>
      </w:r>
      <w:bookmarkEnd w:id="6"/>
    </w:p>
    <w:p w14:paraId="6D400AA3" w14:textId="77777777" w:rsidR="00B04DFE" w:rsidRPr="00B96C71" w:rsidRDefault="00B04DFE" w:rsidP="00B04DFE">
      <w:pPr>
        <w:spacing w:line="240" w:lineRule="auto"/>
        <w:jc w:val="both"/>
        <w:rPr>
          <w:rFonts w:ascii="Times New Roman" w:hAnsi="Times New Roman" w:cs="Times New Roman"/>
        </w:rPr>
      </w:pPr>
      <w:r>
        <w:rPr>
          <w:rFonts w:ascii="Times New Roman" w:hAnsi="Times New Roman" w:cs="Times New Roman"/>
        </w:rPr>
        <w:t xml:space="preserve">Una cuarta aproximación al rendimiento académico, se realiza a partir del área de ubicación de la unidad educativa, es decir, rural o urbano. Si se realiza una lectura horizontal de la Tabla 5, en términos relativos, un 46,7% de estudiantes de colegios rurales se encuentran en el rango 0-2 materias aprobadas y un 41,7% de colegios urbanos están en el mismo rango. Por otra parte, tomando en cuenta como buen rendimiento la aprobación de 6 y más materias, 23,7% de estudiantes de colegios rurales estuvieron en este rango y 22,3% de estudiantes de colegios urbanos aprobaron más de 6 materias. Entonces en cuanto al indicador de materias aprobadas no existen diferencias relevantes entre estudiantes provenientes de colegios rurales y urbanos. </w:t>
      </w:r>
    </w:p>
    <w:p w14:paraId="3A1541E3" w14:textId="77777777" w:rsidR="00C75889" w:rsidRDefault="00C75889" w:rsidP="005065F4">
      <w:pPr>
        <w:spacing w:after="0" w:line="240" w:lineRule="auto"/>
        <w:jc w:val="both"/>
        <w:rPr>
          <w:rFonts w:ascii="Times New Roman" w:hAnsi="Times New Roman" w:cs="Times New Roman"/>
          <w:b/>
          <w:bCs/>
        </w:rPr>
      </w:pPr>
      <w:bookmarkStart w:id="7" w:name="_Hlk203400510"/>
      <w:r>
        <w:rPr>
          <w:rFonts w:ascii="Times New Roman" w:hAnsi="Times New Roman" w:cs="Times New Roman"/>
          <w:b/>
          <w:bCs/>
        </w:rPr>
        <w:lastRenderedPageBreak/>
        <w:t>Tabla 5</w:t>
      </w:r>
    </w:p>
    <w:p w14:paraId="5C8D7323" w14:textId="77777777" w:rsidR="00C75889" w:rsidRPr="00AE57BE" w:rsidRDefault="00C75889" w:rsidP="005065F4">
      <w:pPr>
        <w:spacing w:after="0" w:line="240" w:lineRule="auto"/>
        <w:jc w:val="both"/>
        <w:rPr>
          <w:rFonts w:ascii="Times New Roman" w:hAnsi="Times New Roman" w:cs="Times New Roman"/>
          <w:i/>
          <w:iCs/>
        </w:rPr>
      </w:pPr>
      <w:r>
        <w:rPr>
          <w:rFonts w:ascii="Times New Roman" w:hAnsi="Times New Roman" w:cs="Times New Roman"/>
          <w:i/>
          <w:iCs/>
        </w:rPr>
        <w:t>Estudiantes según á</w:t>
      </w:r>
      <w:r w:rsidRPr="00F608F5">
        <w:rPr>
          <w:rFonts w:ascii="Times New Roman" w:hAnsi="Times New Roman" w:cs="Times New Roman"/>
          <w:i/>
          <w:iCs/>
        </w:rPr>
        <w:t xml:space="preserve">rea de Unidad Educativa </w:t>
      </w:r>
      <w:r>
        <w:rPr>
          <w:rFonts w:ascii="Times New Roman" w:hAnsi="Times New Roman" w:cs="Times New Roman"/>
          <w:i/>
          <w:iCs/>
        </w:rPr>
        <w:t>y</w:t>
      </w:r>
      <w:r w:rsidRPr="00F608F5">
        <w:rPr>
          <w:rFonts w:ascii="Times New Roman" w:hAnsi="Times New Roman" w:cs="Times New Roman"/>
          <w:i/>
          <w:iCs/>
        </w:rPr>
        <w:t xml:space="preserve"> número de materias aprobadas</w:t>
      </w:r>
      <w:r>
        <w:rPr>
          <w:rFonts w:ascii="Times New Roman" w:hAnsi="Times New Roman" w:cs="Times New Roman"/>
          <w:i/>
          <w:iCs/>
        </w:rPr>
        <w:t xml:space="preserve"> (absoluto y relativo)</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591"/>
        <w:gridCol w:w="1198"/>
        <w:gridCol w:w="551"/>
        <w:gridCol w:w="1236"/>
        <w:gridCol w:w="654"/>
        <w:gridCol w:w="1125"/>
        <w:gridCol w:w="872"/>
        <w:gridCol w:w="1054"/>
      </w:tblGrid>
      <w:tr w:rsidR="00C75889" w14:paraId="0F116E06" w14:textId="77777777" w:rsidTr="00B91507">
        <w:tc>
          <w:tcPr>
            <w:tcW w:w="1242" w:type="dxa"/>
            <w:tcBorders>
              <w:top w:val="single" w:sz="4" w:space="0" w:color="auto"/>
              <w:bottom w:val="nil"/>
            </w:tcBorders>
            <w:shd w:val="clear" w:color="auto" w:fill="auto"/>
          </w:tcPr>
          <w:p w14:paraId="3986DF1B" w14:textId="77777777" w:rsidR="00C75889" w:rsidRPr="00AE57BE" w:rsidRDefault="00C75889" w:rsidP="00B91507">
            <w:pPr>
              <w:jc w:val="both"/>
              <w:rPr>
                <w:rFonts w:cstheme="minorHAnsi"/>
              </w:rPr>
            </w:pPr>
          </w:p>
        </w:tc>
        <w:tc>
          <w:tcPr>
            <w:tcW w:w="7586" w:type="dxa"/>
            <w:gridSpan w:val="8"/>
            <w:tcBorders>
              <w:top w:val="single" w:sz="4" w:space="0" w:color="auto"/>
              <w:bottom w:val="nil"/>
            </w:tcBorders>
          </w:tcPr>
          <w:p w14:paraId="0629DD0A" w14:textId="77777777" w:rsidR="00C75889" w:rsidRPr="00AE57BE" w:rsidRDefault="00C75889" w:rsidP="00B91507">
            <w:pPr>
              <w:jc w:val="center"/>
              <w:rPr>
                <w:rFonts w:cstheme="minorHAnsi"/>
              </w:rPr>
            </w:pPr>
            <w:proofErr w:type="spellStart"/>
            <w:r w:rsidRPr="00AE57BE">
              <w:rPr>
                <w:rFonts w:cstheme="minorHAnsi"/>
                <w:b/>
                <w:bCs/>
              </w:rPr>
              <w:t>N°</w:t>
            </w:r>
            <w:proofErr w:type="spellEnd"/>
            <w:r w:rsidRPr="00AE57BE">
              <w:rPr>
                <w:rFonts w:cstheme="minorHAnsi"/>
                <w:b/>
                <w:bCs/>
              </w:rPr>
              <w:t xml:space="preserve"> materias aprobadas</w:t>
            </w:r>
          </w:p>
        </w:tc>
      </w:tr>
      <w:tr w:rsidR="00C75889" w14:paraId="546F6C33" w14:textId="77777777" w:rsidTr="00B91507">
        <w:tc>
          <w:tcPr>
            <w:tcW w:w="1242" w:type="dxa"/>
            <w:tcBorders>
              <w:top w:val="nil"/>
              <w:bottom w:val="single" w:sz="4" w:space="0" w:color="auto"/>
            </w:tcBorders>
            <w:shd w:val="clear" w:color="auto" w:fill="auto"/>
          </w:tcPr>
          <w:p w14:paraId="2AB6A829" w14:textId="77777777" w:rsidR="00C75889" w:rsidRPr="00AE57BE" w:rsidRDefault="00C75889" w:rsidP="00B91507">
            <w:pPr>
              <w:jc w:val="both"/>
              <w:rPr>
                <w:rFonts w:cstheme="minorHAnsi"/>
                <w:b/>
                <w:bCs/>
              </w:rPr>
            </w:pPr>
            <w:r w:rsidRPr="00AE57BE">
              <w:rPr>
                <w:rFonts w:cstheme="minorHAnsi"/>
                <w:b/>
                <w:bCs/>
              </w:rPr>
              <w:t>Área U</w:t>
            </w:r>
            <w:r>
              <w:rPr>
                <w:rFonts w:cstheme="minorHAnsi"/>
                <w:b/>
                <w:bCs/>
              </w:rPr>
              <w:t xml:space="preserve">nidad </w:t>
            </w:r>
            <w:r w:rsidRPr="00AE57BE">
              <w:rPr>
                <w:rFonts w:cstheme="minorHAnsi"/>
                <w:b/>
                <w:bCs/>
              </w:rPr>
              <w:t>E</w:t>
            </w:r>
            <w:r>
              <w:rPr>
                <w:rFonts w:cstheme="minorHAnsi"/>
                <w:b/>
                <w:bCs/>
              </w:rPr>
              <w:t>ducativa</w:t>
            </w:r>
          </w:p>
        </w:tc>
        <w:tc>
          <w:tcPr>
            <w:tcW w:w="1859" w:type="dxa"/>
            <w:gridSpan w:val="2"/>
            <w:tcBorders>
              <w:top w:val="nil"/>
              <w:bottom w:val="single" w:sz="4" w:space="0" w:color="auto"/>
            </w:tcBorders>
          </w:tcPr>
          <w:p w14:paraId="3C5DE76A" w14:textId="77777777" w:rsidR="00C75889" w:rsidRDefault="00C75889" w:rsidP="0015052F">
            <w:pPr>
              <w:jc w:val="center"/>
              <w:rPr>
                <w:rFonts w:cstheme="minorHAnsi"/>
                <w:b/>
                <w:bCs/>
              </w:rPr>
            </w:pPr>
            <w:r>
              <w:rPr>
                <w:rFonts w:cstheme="minorHAnsi"/>
                <w:b/>
                <w:bCs/>
              </w:rPr>
              <w:t xml:space="preserve">De </w:t>
            </w:r>
            <w:r w:rsidRPr="00AE57BE">
              <w:rPr>
                <w:rFonts w:cstheme="minorHAnsi"/>
                <w:b/>
                <w:bCs/>
              </w:rPr>
              <w:t>0</w:t>
            </w:r>
            <w:r>
              <w:rPr>
                <w:rFonts w:cstheme="minorHAnsi"/>
                <w:b/>
                <w:bCs/>
              </w:rPr>
              <w:t xml:space="preserve"> a 2 materias</w:t>
            </w:r>
          </w:p>
          <w:p w14:paraId="7983A206" w14:textId="77777777" w:rsidR="00C75889" w:rsidRPr="00AE57BE" w:rsidRDefault="00C75889" w:rsidP="00B91507">
            <w:pPr>
              <w:rPr>
                <w:rFonts w:cstheme="minorHAnsi"/>
                <w:b/>
                <w:bCs/>
              </w:rPr>
            </w:pPr>
          </w:p>
        </w:tc>
        <w:tc>
          <w:tcPr>
            <w:tcW w:w="1856" w:type="dxa"/>
            <w:gridSpan w:val="2"/>
            <w:tcBorders>
              <w:top w:val="nil"/>
              <w:bottom w:val="single" w:sz="4" w:space="0" w:color="auto"/>
            </w:tcBorders>
          </w:tcPr>
          <w:p w14:paraId="49EBBC30" w14:textId="77777777" w:rsidR="00C75889" w:rsidRPr="00AE57BE" w:rsidRDefault="00C75889" w:rsidP="0015052F">
            <w:pPr>
              <w:jc w:val="center"/>
              <w:rPr>
                <w:rFonts w:cstheme="minorHAnsi"/>
                <w:b/>
                <w:bCs/>
              </w:rPr>
            </w:pPr>
            <w:r>
              <w:rPr>
                <w:rFonts w:cstheme="minorHAnsi"/>
                <w:b/>
                <w:bCs/>
              </w:rPr>
              <w:t xml:space="preserve">De </w:t>
            </w:r>
            <w:r w:rsidRPr="00AE57BE">
              <w:rPr>
                <w:rFonts w:cstheme="minorHAnsi"/>
                <w:b/>
                <w:bCs/>
              </w:rPr>
              <w:t>3</w:t>
            </w:r>
            <w:r>
              <w:rPr>
                <w:rFonts w:cstheme="minorHAnsi"/>
                <w:b/>
                <w:bCs/>
              </w:rPr>
              <w:t xml:space="preserve"> a 5 materias</w:t>
            </w:r>
          </w:p>
        </w:tc>
        <w:tc>
          <w:tcPr>
            <w:tcW w:w="1847" w:type="dxa"/>
            <w:gridSpan w:val="2"/>
            <w:tcBorders>
              <w:top w:val="nil"/>
              <w:bottom w:val="single" w:sz="4" w:space="0" w:color="auto"/>
            </w:tcBorders>
          </w:tcPr>
          <w:p w14:paraId="739F4896" w14:textId="77777777" w:rsidR="00C75889" w:rsidRPr="00AE57BE" w:rsidRDefault="00C75889" w:rsidP="0015052F">
            <w:pPr>
              <w:jc w:val="center"/>
              <w:rPr>
                <w:rFonts w:cstheme="minorHAnsi"/>
                <w:b/>
                <w:bCs/>
              </w:rPr>
            </w:pPr>
            <w:r>
              <w:rPr>
                <w:rFonts w:cstheme="minorHAnsi"/>
                <w:b/>
                <w:bCs/>
              </w:rPr>
              <w:t xml:space="preserve">De </w:t>
            </w:r>
            <w:r w:rsidRPr="00AE57BE">
              <w:rPr>
                <w:rFonts w:cstheme="minorHAnsi"/>
                <w:b/>
                <w:bCs/>
              </w:rPr>
              <w:t>6</w:t>
            </w:r>
            <w:r>
              <w:rPr>
                <w:rFonts w:cstheme="minorHAnsi"/>
                <w:b/>
                <w:bCs/>
              </w:rPr>
              <w:t xml:space="preserve"> a 8 materias</w:t>
            </w:r>
          </w:p>
        </w:tc>
        <w:tc>
          <w:tcPr>
            <w:tcW w:w="2024" w:type="dxa"/>
            <w:gridSpan w:val="2"/>
            <w:tcBorders>
              <w:top w:val="nil"/>
              <w:bottom w:val="single" w:sz="4" w:space="0" w:color="auto"/>
            </w:tcBorders>
          </w:tcPr>
          <w:p w14:paraId="40B0A9D0" w14:textId="77777777" w:rsidR="00C75889" w:rsidRPr="00AE57BE" w:rsidRDefault="00C75889" w:rsidP="0015052F">
            <w:pPr>
              <w:jc w:val="center"/>
              <w:rPr>
                <w:rFonts w:cstheme="minorHAnsi"/>
                <w:b/>
                <w:bCs/>
              </w:rPr>
            </w:pPr>
            <w:proofErr w:type="gramStart"/>
            <w:r w:rsidRPr="00AE57BE">
              <w:rPr>
                <w:rFonts w:cstheme="minorHAnsi"/>
                <w:b/>
                <w:bCs/>
              </w:rPr>
              <w:t>Total</w:t>
            </w:r>
            <w:proofErr w:type="gramEnd"/>
            <w:r w:rsidRPr="00AE57BE">
              <w:rPr>
                <w:rFonts w:cstheme="minorHAnsi"/>
                <w:b/>
                <w:bCs/>
              </w:rPr>
              <w:t xml:space="preserve"> general</w:t>
            </w:r>
          </w:p>
        </w:tc>
      </w:tr>
      <w:tr w:rsidR="00C75889" w14:paraId="3B4E0C3B" w14:textId="77777777" w:rsidTr="00B91507">
        <w:tc>
          <w:tcPr>
            <w:tcW w:w="1242" w:type="dxa"/>
            <w:tcBorders>
              <w:top w:val="single" w:sz="4" w:space="0" w:color="auto"/>
            </w:tcBorders>
          </w:tcPr>
          <w:p w14:paraId="5196BFFC" w14:textId="77777777" w:rsidR="00C75889" w:rsidRPr="00AE57BE" w:rsidRDefault="00C75889" w:rsidP="00B91507">
            <w:pPr>
              <w:jc w:val="both"/>
              <w:rPr>
                <w:rFonts w:cstheme="minorHAnsi"/>
              </w:rPr>
            </w:pPr>
            <w:r w:rsidRPr="00AE57BE">
              <w:rPr>
                <w:rFonts w:cstheme="minorHAnsi"/>
              </w:rPr>
              <w:t>Rural</w:t>
            </w:r>
          </w:p>
        </w:tc>
        <w:tc>
          <w:tcPr>
            <w:tcW w:w="597" w:type="dxa"/>
            <w:tcBorders>
              <w:top w:val="single" w:sz="4" w:space="0" w:color="auto"/>
            </w:tcBorders>
          </w:tcPr>
          <w:p w14:paraId="1F501020" w14:textId="77777777" w:rsidR="00C75889" w:rsidRPr="006B0AC6" w:rsidRDefault="00C75889" w:rsidP="00B91507">
            <w:pPr>
              <w:jc w:val="center"/>
              <w:rPr>
                <w:rFonts w:cstheme="minorHAnsi"/>
              </w:rPr>
            </w:pPr>
            <w:r w:rsidRPr="006B0AC6">
              <w:rPr>
                <w:rFonts w:cstheme="minorHAnsi"/>
              </w:rPr>
              <w:t>79</w:t>
            </w:r>
          </w:p>
        </w:tc>
        <w:tc>
          <w:tcPr>
            <w:tcW w:w="1262" w:type="dxa"/>
            <w:tcBorders>
              <w:top w:val="single" w:sz="4" w:space="0" w:color="auto"/>
            </w:tcBorders>
          </w:tcPr>
          <w:p w14:paraId="5D874C7A" w14:textId="77777777" w:rsidR="00C75889" w:rsidRPr="006B0AC6" w:rsidRDefault="00C75889" w:rsidP="00B91507">
            <w:pPr>
              <w:jc w:val="center"/>
              <w:rPr>
                <w:rFonts w:cstheme="minorHAnsi"/>
              </w:rPr>
            </w:pPr>
            <w:r w:rsidRPr="006B0AC6">
              <w:rPr>
                <w:rFonts w:cstheme="minorHAnsi"/>
              </w:rPr>
              <w:t>46,7%</w:t>
            </w:r>
          </w:p>
        </w:tc>
        <w:tc>
          <w:tcPr>
            <w:tcW w:w="551" w:type="dxa"/>
            <w:tcBorders>
              <w:top w:val="single" w:sz="4" w:space="0" w:color="auto"/>
            </w:tcBorders>
          </w:tcPr>
          <w:p w14:paraId="2A8DCEA5" w14:textId="77777777" w:rsidR="00C75889" w:rsidRPr="006B0AC6" w:rsidRDefault="00C75889" w:rsidP="00B91507">
            <w:pPr>
              <w:jc w:val="center"/>
              <w:rPr>
                <w:rFonts w:cstheme="minorHAnsi"/>
              </w:rPr>
            </w:pPr>
            <w:r w:rsidRPr="006B0AC6">
              <w:rPr>
                <w:rFonts w:cstheme="minorHAnsi"/>
              </w:rPr>
              <w:t>50</w:t>
            </w:r>
          </w:p>
        </w:tc>
        <w:tc>
          <w:tcPr>
            <w:tcW w:w="1305" w:type="dxa"/>
            <w:tcBorders>
              <w:top w:val="single" w:sz="4" w:space="0" w:color="auto"/>
            </w:tcBorders>
          </w:tcPr>
          <w:p w14:paraId="1D3D601E" w14:textId="77777777" w:rsidR="00C75889" w:rsidRPr="006B0AC6" w:rsidRDefault="00C75889" w:rsidP="00B91507">
            <w:pPr>
              <w:jc w:val="center"/>
              <w:rPr>
                <w:rFonts w:cstheme="minorHAnsi"/>
              </w:rPr>
            </w:pPr>
            <w:r w:rsidRPr="006B0AC6">
              <w:rPr>
                <w:rFonts w:cstheme="minorHAnsi"/>
              </w:rPr>
              <w:t>29,6%</w:t>
            </w:r>
          </w:p>
        </w:tc>
        <w:tc>
          <w:tcPr>
            <w:tcW w:w="669" w:type="dxa"/>
            <w:tcBorders>
              <w:top w:val="single" w:sz="4" w:space="0" w:color="auto"/>
            </w:tcBorders>
          </w:tcPr>
          <w:p w14:paraId="569D2003" w14:textId="77777777" w:rsidR="00C75889" w:rsidRPr="006B0AC6" w:rsidRDefault="00C75889" w:rsidP="00B91507">
            <w:pPr>
              <w:jc w:val="center"/>
              <w:rPr>
                <w:rFonts w:cstheme="minorHAnsi"/>
              </w:rPr>
            </w:pPr>
            <w:r w:rsidRPr="006B0AC6">
              <w:rPr>
                <w:rFonts w:cstheme="minorHAnsi"/>
              </w:rPr>
              <w:t>40</w:t>
            </w:r>
          </w:p>
        </w:tc>
        <w:tc>
          <w:tcPr>
            <w:tcW w:w="1178" w:type="dxa"/>
            <w:tcBorders>
              <w:top w:val="single" w:sz="4" w:space="0" w:color="auto"/>
            </w:tcBorders>
          </w:tcPr>
          <w:p w14:paraId="64E1E702" w14:textId="77777777" w:rsidR="00C75889" w:rsidRPr="006B0AC6" w:rsidRDefault="00C75889" w:rsidP="00B91507">
            <w:pPr>
              <w:jc w:val="center"/>
              <w:rPr>
                <w:rFonts w:cstheme="minorHAnsi"/>
              </w:rPr>
            </w:pPr>
            <w:r w:rsidRPr="006B0AC6">
              <w:rPr>
                <w:rFonts w:cstheme="minorHAnsi"/>
              </w:rPr>
              <w:t>23,7%</w:t>
            </w:r>
          </w:p>
        </w:tc>
        <w:tc>
          <w:tcPr>
            <w:tcW w:w="919" w:type="dxa"/>
            <w:tcBorders>
              <w:top w:val="single" w:sz="4" w:space="0" w:color="auto"/>
            </w:tcBorders>
          </w:tcPr>
          <w:p w14:paraId="49682259" w14:textId="77777777" w:rsidR="00C75889" w:rsidRPr="006B0AC6" w:rsidRDefault="00C75889" w:rsidP="00B91507">
            <w:pPr>
              <w:jc w:val="center"/>
              <w:rPr>
                <w:rFonts w:cstheme="minorHAnsi"/>
              </w:rPr>
            </w:pPr>
            <w:r w:rsidRPr="006B0AC6">
              <w:rPr>
                <w:rFonts w:cstheme="minorHAnsi"/>
              </w:rPr>
              <w:t>169</w:t>
            </w:r>
          </w:p>
        </w:tc>
        <w:tc>
          <w:tcPr>
            <w:tcW w:w="1105" w:type="dxa"/>
            <w:tcBorders>
              <w:top w:val="single" w:sz="4" w:space="0" w:color="auto"/>
            </w:tcBorders>
          </w:tcPr>
          <w:p w14:paraId="3AFA9C61" w14:textId="77777777" w:rsidR="00C75889" w:rsidRPr="006B0AC6" w:rsidRDefault="00C75889" w:rsidP="00B91507">
            <w:pPr>
              <w:jc w:val="center"/>
              <w:rPr>
                <w:rFonts w:cstheme="minorHAnsi"/>
              </w:rPr>
            </w:pPr>
            <w:r w:rsidRPr="006B0AC6">
              <w:rPr>
                <w:rFonts w:cstheme="minorHAnsi"/>
              </w:rPr>
              <w:t>100%</w:t>
            </w:r>
          </w:p>
        </w:tc>
      </w:tr>
      <w:tr w:rsidR="00C75889" w14:paraId="36383FCF" w14:textId="77777777" w:rsidTr="00B91507">
        <w:tc>
          <w:tcPr>
            <w:tcW w:w="1242" w:type="dxa"/>
          </w:tcPr>
          <w:p w14:paraId="3C3808DA" w14:textId="77777777" w:rsidR="00C75889" w:rsidRPr="00AE57BE" w:rsidRDefault="00C75889" w:rsidP="00B91507">
            <w:pPr>
              <w:jc w:val="both"/>
              <w:rPr>
                <w:rFonts w:cstheme="minorHAnsi"/>
              </w:rPr>
            </w:pPr>
            <w:r w:rsidRPr="00AE57BE">
              <w:rPr>
                <w:rFonts w:cstheme="minorHAnsi"/>
              </w:rPr>
              <w:t>Urbano</w:t>
            </w:r>
          </w:p>
        </w:tc>
        <w:tc>
          <w:tcPr>
            <w:tcW w:w="597" w:type="dxa"/>
          </w:tcPr>
          <w:p w14:paraId="4CB86FBB" w14:textId="77777777" w:rsidR="00C75889" w:rsidRPr="006B0AC6" w:rsidRDefault="00C75889" w:rsidP="00B91507">
            <w:pPr>
              <w:jc w:val="center"/>
              <w:rPr>
                <w:rFonts w:cstheme="minorHAnsi"/>
              </w:rPr>
            </w:pPr>
            <w:r w:rsidRPr="006B0AC6">
              <w:rPr>
                <w:rFonts w:cstheme="minorHAnsi"/>
              </w:rPr>
              <w:t>399</w:t>
            </w:r>
          </w:p>
        </w:tc>
        <w:tc>
          <w:tcPr>
            <w:tcW w:w="1262" w:type="dxa"/>
          </w:tcPr>
          <w:p w14:paraId="5AA33F49" w14:textId="77777777" w:rsidR="00C75889" w:rsidRPr="006B0AC6" w:rsidRDefault="00C75889" w:rsidP="00B91507">
            <w:pPr>
              <w:jc w:val="center"/>
              <w:rPr>
                <w:rFonts w:cstheme="minorHAnsi"/>
              </w:rPr>
            </w:pPr>
            <w:r w:rsidRPr="006B0AC6">
              <w:rPr>
                <w:rFonts w:cstheme="minorHAnsi"/>
              </w:rPr>
              <w:t>41,7%</w:t>
            </w:r>
          </w:p>
        </w:tc>
        <w:tc>
          <w:tcPr>
            <w:tcW w:w="551" w:type="dxa"/>
          </w:tcPr>
          <w:p w14:paraId="43BFB201" w14:textId="77777777" w:rsidR="00C75889" w:rsidRPr="006B0AC6" w:rsidRDefault="00C75889" w:rsidP="00B91507">
            <w:pPr>
              <w:jc w:val="center"/>
              <w:rPr>
                <w:rFonts w:cstheme="minorHAnsi"/>
              </w:rPr>
            </w:pPr>
            <w:r w:rsidRPr="006B0AC6">
              <w:rPr>
                <w:rFonts w:cstheme="minorHAnsi"/>
              </w:rPr>
              <w:t>345</w:t>
            </w:r>
          </w:p>
        </w:tc>
        <w:tc>
          <w:tcPr>
            <w:tcW w:w="1305" w:type="dxa"/>
          </w:tcPr>
          <w:p w14:paraId="2C1CAC14" w14:textId="77777777" w:rsidR="00C75889" w:rsidRPr="006B0AC6" w:rsidRDefault="00C75889" w:rsidP="00B91507">
            <w:pPr>
              <w:jc w:val="center"/>
              <w:rPr>
                <w:rFonts w:cstheme="minorHAnsi"/>
              </w:rPr>
            </w:pPr>
            <w:r w:rsidRPr="006B0AC6">
              <w:rPr>
                <w:rFonts w:cstheme="minorHAnsi"/>
              </w:rPr>
              <w:t>36,0%</w:t>
            </w:r>
          </w:p>
        </w:tc>
        <w:tc>
          <w:tcPr>
            <w:tcW w:w="669" w:type="dxa"/>
          </w:tcPr>
          <w:p w14:paraId="63023B54" w14:textId="77777777" w:rsidR="00C75889" w:rsidRPr="006B0AC6" w:rsidRDefault="00C75889" w:rsidP="00B91507">
            <w:pPr>
              <w:jc w:val="center"/>
              <w:rPr>
                <w:rFonts w:cstheme="minorHAnsi"/>
              </w:rPr>
            </w:pPr>
            <w:r w:rsidRPr="006B0AC6">
              <w:rPr>
                <w:rFonts w:cstheme="minorHAnsi"/>
              </w:rPr>
              <w:t>213</w:t>
            </w:r>
          </w:p>
        </w:tc>
        <w:tc>
          <w:tcPr>
            <w:tcW w:w="1178" w:type="dxa"/>
          </w:tcPr>
          <w:p w14:paraId="67AAEAF7" w14:textId="77777777" w:rsidR="00C75889" w:rsidRPr="006B0AC6" w:rsidRDefault="00C75889" w:rsidP="00B91507">
            <w:pPr>
              <w:jc w:val="center"/>
              <w:rPr>
                <w:rFonts w:cstheme="minorHAnsi"/>
              </w:rPr>
            </w:pPr>
            <w:r w:rsidRPr="006B0AC6">
              <w:rPr>
                <w:rFonts w:cstheme="minorHAnsi"/>
              </w:rPr>
              <w:t>22,3%</w:t>
            </w:r>
          </w:p>
        </w:tc>
        <w:tc>
          <w:tcPr>
            <w:tcW w:w="919" w:type="dxa"/>
          </w:tcPr>
          <w:p w14:paraId="230503B0" w14:textId="77777777" w:rsidR="00C75889" w:rsidRPr="006B0AC6" w:rsidRDefault="00C75889" w:rsidP="00B91507">
            <w:pPr>
              <w:jc w:val="center"/>
              <w:rPr>
                <w:rFonts w:cstheme="minorHAnsi"/>
              </w:rPr>
            </w:pPr>
            <w:r w:rsidRPr="006B0AC6">
              <w:rPr>
                <w:rFonts w:cstheme="minorHAnsi"/>
              </w:rPr>
              <w:t>957</w:t>
            </w:r>
          </w:p>
        </w:tc>
        <w:tc>
          <w:tcPr>
            <w:tcW w:w="1105" w:type="dxa"/>
          </w:tcPr>
          <w:p w14:paraId="126B3761" w14:textId="77777777" w:rsidR="00C75889" w:rsidRPr="006B0AC6" w:rsidRDefault="00C75889" w:rsidP="00B91507">
            <w:pPr>
              <w:jc w:val="center"/>
              <w:rPr>
                <w:rFonts w:cstheme="minorHAnsi"/>
              </w:rPr>
            </w:pPr>
            <w:r w:rsidRPr="006B0AC6">
              <w:rPr>
                <w:rFonts w:cstheme="minorHAnsi"/>
              </w:rPr>
              <w:t>100%</w:t>
            </w:r>
          </w:p>
        </w:tc>
      </w:tr>
    </w:tbl>
    <w:p w14:paraId="4CE4FA70" w14:textId="3E50D038" w:rsidR="00B04DFE" w:rsidRDefault="00C75889" w:rsidP="00B04DFE">
      <w:pPr>
        <w:spacing w:line="240" w:lineRule="auto"/>
        <w:jc w:val="both"/>
        <w:rPr>
          <w:rFonts w:ascii="Times New Roman" w:hAnsi="Times New Roman" w:cs="Times New Roman"/>
          <w:b/>
          <w:bCs/>
        </w:rPr>
      </w:pPr>
      <w:r w:rsidRPr="00D62BB4">
        <w:rPr>
          <w:rFonts w:ascii="Times New Roman" w:hAnsi="Times New Roman" w:cs="Times New Roman"/>
          <w:sz w:val="20"/>
          <w:szCs w:val="20"/>
        </w:rPr>
        <w:t>Nota: Elaboración propia base de datos estudiantes Facultad de Humanidades y Ciencias de la Educación/Universidad Mayor de San Simón</w:t>
      </w:r>
    </w:p>
    <w:bookmarkEnd w:id="7"/>
    <w:p w14:paraId="4CE3B55F" w14:textId="77777777" w:rsidR="00B04DFE" w:rsidRPr="00BA0AF5" w:rsidRDefault="00B04DFE" w:rsidP="00B04DFE">
      <w:pPr>
        <w:spacing w:line="240" w:lineRule="auto"/>
        <w:jc w:val="both"/>
        <w:rPr>
          <w:rFonts w:ascii="Times New Roman" w:hAnsi="Times New Roman" w:cs="Times New Roman"/>
        </w:rPr>
      </w:pPr>
      <w:r>
        <w:rPr>
          <w:rFonts w:ascii="Times New Roman" w:hAnsi="Times New Roman" w:cs="Times New Roman"/>
        </w:rPr>
        <w:t>Otra forma de aproximarnos al rendimiento es a partir del número de materias reprobadas según área de la unidad educativa. En este caso los que tienen entre 0 y 1 materia reprobada serían aquellos alumnos con un buen rendimiento académico. Los porcentajes de este rango muestran que los estudiantes egresados de colegios urbanos tienen un mejor rendimiento académico. Por otra parte, los estudiantes de colegios rurales con más de 4 materias reprobadas representan el 7,1% y los estudiantes de colegios urbanos 6,2%, lo que muestra que no existe una diferencia significativa en cuanto a estudiantes con mal rendimiento. Estos datos evidencian una ventaja de los estudiantes de colegios urbanos frente a los rurales en cuanto a rendimiento en la universidad.</w:t>
      </w:r>
    </w:p>
    <w:p w14:paraId="6779A8EF" w14:textId="77777777" w:rsidR="00C75889" w:rsidRDefault="00C75889" w:rsidP="005065F4">
      <w:pPr>
        <w:spacing w:after="0" w:line="240" w:lineRule="auto"/>
        <w:jc w:val="both"/>
        <w:rPr>
          <w:rFonts w:ascii="Times New Roman" w:hAnsi="Times New Roman" w:cs="Times New Roman"/>
          <w:b/>
          <w:bCs/>
        </w:rPr>
      </w:pPr>
      <w:bookmarkStart w:id="8" w:name="_Hlk203400525"/>
      <w:r>
        <w:rPr>
          <w:rFonts w:ascii="Times New Roman" w:hAnsi="Times New Roman" w:cs="Times New Roman"/>
          <w:b/>
          <w:bCs/>
        </w:rPr>
        <w:t>Tabla 6</w:t>
      </w:r>
    </w:p>
    <w:p w14:paraId="4152D3C8" w14:textId="77777777" w:rsidR="00C75889" w:rsidRPr="00414226" w:rsidRDefault="00C75889" w:rsidP="005065F4">
      <w:pPr>
        <w:spacing w:after="0" w:line="240" w:lineRule="auto"/>
        <w:jc w:val="both"/>
        <w:rPr>
          <w:rFonts w:ascii="Times New Roman" w:hAnsi="Times New Roman" w:cs="Times New Roman"/>
          <w:i/>
          <w:iCs/>
        </w:rPr>
      </w:pPr>
      <w:r>
        <w:rPr>
          <w:rFonts w:ascii="Times New Roman" w:hAnsi="Times New Roman" w:cs="Times New Roman"/>
          <w:i/>
          <w:iCs/>
        </w:rPr>
        <w:t>Estudiantes según á</w:t>
      </w:r>
      <w:r w:rsidRPr="00AC024A">
        <w:rPr>
          <w:rFonts w:ascii="Times New Roman" w:hAnsi="Times New Roman" w:cs="Times New Roman"/>
          <w:i/>
          <w:iCs/>
        </w:rPr>
        <w:t xml:space="preserve">rea de Unidad Educativa </w:t>
      </w:r>
      <w:r>
        <w:rPr>
          <w:rFonts w:ascii="Times New Roman" w:hAnsi="Times New Roman" w:cs="Times New Roman"/>
          <w:i/>
          <w:iCs/>
        </w:rPr>
        <w:t>y</w:t>
      </w:r>
      <w:r w:rsidRPr="00AC024A">
        <w:rPr>
          <w:rFonts w:ascii="Times New Roman" w:hAnsi="Times New Roman" w:cs="Times New Roman"/>
          <w:i/>
          <w:iCs/>
        </w:rPr>
        <w:t xml:space="preserve"> número de materias reprobadas</w:t>
      </w:r>
      <w:r>
        <w:rPr>
          <w:rFonts w:ascii="Times New Roman" w:hAnsi="Times New Roman" w:cs="Times New Roman"/>
          <w:i/>
          <w:iCs/>
        </w:rPr>
        <w:t xml:space="preserve"> (absoluto y relativo)</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663"/>
        <w:gridCol w:w="1132"/>
        <w:gridCol w:w="663"/>
        <w:gridCol w:w="1132"/>
        <w:gridCol w:w="758"/>
        <w:gridCol w:w="1122"/>
        <w:gridCol w:w="876"/>
        <w:gridCol w:w="1058"/>
      </w:tblGrid>
      <w:tr w:rsidR="00C75889" w14:paraId="2440028C" w14:textId="77777777" w:rsidTr="00B91507">
        <w:tc>
          <w:tcPr>
            <w:tcW w:w="1101" w:type="dxa"/>
            <w:tcBorders>
              <w:top w:val="single" w:sz="4" w:space="0" w:color="auto"/>
              <w:bottom w:val="nil"/>
            </w:tcBorders>
          </w:tcPr>
          <w:p w14:paraId="21937C45" w14:textId="77777777" w:rsidR="00C75889" w:rsidRPr="00DF35CC" w:rsidRDefault="00C75889" w:rsidP="00B91507">
            <w:pPr>
              <w:jc w:val="both"/>
              <w:rPr>
                <w:rFonts w:cstheme="minorHAnsi"/>
                <w:b/>
                <w:bCs/>
              </w:rPr>
            </w:pPr>
          </w:p>
        </w:tc>
        <w:tc>
          <w:tcPr>
            <w:tcW w:w="7727" w:type="dxa"/>
            <w:gridSpan w:val="8"/>
            <w:tcBorders>
              <w:top w:val="single" w:sz="4" w:space="0" w:color="auto"/>
              <w:bottom w:val="nil"/>
            </w:tcBorders>
          </w:tcPr>
          <w:p w14:paraId="32132A06" w14:textId="77777777" w:rsidR="00C75889" w:rsidRPr="00DF35CC" w:rsidRDefault="00C75889" w:rsidP="00B91507">
            <w:pPr>
              <w:jc w:val="center"/>
              <w:rPr>
                <w:rFonts w:cstheme="minorHAnsi"/>
                <w:b/>
                <w:bCs/>
              </w:rPr>
            </w:pPr>
            <w:proofErr w:type="spellStart"/>
            <w:r w:rsidRPr="00DF35CC">
              <w:rPr>
                <w:rFonts w:cstheme="minorHAnsi"/>
                <w:b/>
                <w:bCs/>
              </w:rPr>
              <w:t>N°</w:t>
            </w:r>
            <w:proofErr w:type="spellEnd"/>
            <w:r w:rsidRPr="00DF35CC">
              <w:rPr>
                <w:rFonts w:cstheme="minorHAnsi"/>
                <w:b/>
                <w:bCs/>
              </w:rPr>
              <w:t xml:space="preserve"> materias reprobadas</w:t>
            </w:r>
          </w:p>
        </w:tc>
      </w:tr>
      <w:tr w:rsidR="00C75889" w14:paraId="70BD9D46" w14:textId="77777777" w:rsidTr="00B91507">
        <w:tc>
          <w:tcPr>
            <w:tcW w:w="1101" w:type="dxa"/>
            <w:tcBorders>
              <w:top w:val="nil"/>
              <w:bottom w:val="single" w:sz="4" w:space="0" w:color="auto"/>
            </w:tcBorders>
          </w:tcPr>
          <w:p w14:paraId="46AE6A95" w14:textId="77777777" w:rsidR="00C75889" w:rsidRPr="00DF35CC" w:rsidRDefault="00C75889" w:rsidP="00B91507">
            <w:pPr>
              <w:jc w:val="both"/>
              <w:rPr>
                <w:rFonts w:cstheme="minorHAnsi"/>
                <w:b/>
                <w:bCs/>
              </w:rPr>
            </w:pPr>
            <w:r>
              <w:rPr>
                <w:rFonts w:cstheme="minorHAnsi"/>
                <w:b/>
                <w:bCs/>
              </w:rPr>
              <w:t>Área</w:t>
            </w:r>
            <w:r w:rsidRPr="00DF35CC">
              <w:rPr>
                <w:rFonts w:cstheme="minorHAnsi"/>
                <w:b/>
                <w:bCs/>
              </w:rPr>
              <w:t xml:space="preserve"> U</w:t>
            </w:r>
            <w:r>
              <w:rPr>
                <w:rFonts w:cstheme="minorHAnsi"/>
                <w:b/>
                <w:bCs/>
              </w:rPr>
              <w:t xml:space="preserve">nidad </w:t>
            </w:r>
            <w:r w:rsidRPr="00DF35CC">
              <w:rPr>
                <w:rFonts w:cstheme="minorHAnsi"/>
                <w:b/>
                <w:bCs/>
              </w:rPr>
              <w:t>E</w:t>
            </w:r>
            <w:r>
              <w:rPr>
                <w:rFonts w:cstheme="minorHAnsi"/>
                <w:b/>
                <w:bCs/>
              </w:rPr>
              <w:t>ducativa</w:t>
            </w:r>
          </w:p>
        </w:tc>
        <w:tc>
          <w:tcPr>
            <w:tcW w:w="1859" w:type="dxa"/>
            <w:gridSpan w:val="2"/>
            <w:tcBorders>
              <w:top w:val="nil"/>
              <w:bottom w:val="single" w:sz="4" w:space="0" w:color="auto"/>
            </w:tcBorders>
          </w:tcPr>
          <w:p w14:paraId="2C3BB909" w14:textId="77777777" w:rsidR="00C75889" w:rsidRDefault="00C75889" w:rsidP="00B91507">
            <w:pPr>
              <w:rPr>
                <w:rFonts w:cstheme="minorHAnsi"/>
                <w:b/>
                <w:bCs/>
              </w:rPr>
            </w:pPr>
            <w:r>
              <w:rPr>
                <w:rFonts w:cstheme="minorHAnsi"/>
                <w:b/>
                <w:bCs/>
              </w:rPr>
              <w:t xml:space="preserve">De </w:t>
            </w:r>
            <w:r w:rsidRPr="00DF35CC">
              <w:rPr>
                <w:rFonts w:cstheme="minorHAnsi"/>
                <w:b/>
                <w:bCs/>
              </w:rPr>
              <w:t>0</w:t>
            </w:r>
            <w:r>
              <w:rPr>
                <w:rFonts w:cstheme="minorHAnsi"/>
                <w:b/>
                <w:bCs/>
              </w:rPr>
              <w:t xml:space="preserve"> a </w:t>
            </w:r>
            <w:r w:rsidRPr="00DF35CC">
              <w:rPr>
                <w:rFonts w:cstheme="minorHAnsi"/>
                <w:b/>
                <w:bCs/>
              </w:rPr>
              <w:t>1</w:t>
            </w:r>
            <w:r>
              <w:rPr>
                <w:rFonts w:cstheme="minorHAnsi"/>
                <w:b/>
                <w:bCs/>
              </w:rPr>
              <w:t xml:space="preserve"> materias</w:t>
            </w:r>
          </w:p>
          <w:p w14:paraId="0A365F1F" w14:textId="77777777" w:rsidR="00C75889" w:rsidRPr="00DF35CC" w:rsidRDefault="00C75889" w:rsidP="00B91507">
            <w:pPr>
              <w:rPr>
                <w:rFonts w:cstheme="minorHAnsi"/>
                <w:b/>
                <w:bCs/>
              </w:rPr>
            </w:pPr>
          </w:p>
        </w:tc>
        <w:tc>
          <w:tcPr>
            <w:tcW w:w="1859" w:type="dxa"/>
            <w:gridSpan w:val="2"/>
            <w:tcBorders>
              <w:top w:val="nil"/>
              <w:bottom w:val="single" w:sz="4" w:space="0" w:color="auto"/>
            </w:tcBorders>
          </w:tcPr>
          <w:p w14:paraId="62EBDB5C" w14:textId="77777777" w:rsidR="00C75889" w:rsidRPr="00DF35CC" w:rsidRDefault="00C75889" w:rsidP="00B91507">
            <w:pPr>
              <w:rPr>
                <w:rFonts w:cstheme="minorHAnsi"/>
                <w:b/>
                <w:bCs/>
              </w:rPr>
            </w:pPr>
            <w:r>
              <w:rPr>
                <w:rFonts w:cstheme="minorHAnsi"/>
                <w:b/>
                <w:bCs/>
              </w:rPr>
              <w:t xml:space="preserve">De </w:t>
            </w:r>
            <w:r w:rsidRPr="00DF35CC">
              <w:rPr>
                <w:rFonts w:cstheme="minorHAnsi"/>
                <w:b/>
                <w:bCs/>
              </w:rPr>
              <w:t>2</w:t>
            </w:r>
            <w:r>
              <w:rPr>
                <w:rFonts w:cstheme="minorHAnsi"/>
                <w:b/>
                <w:bCs/>
              </w:rPr>
              <w:t xml:space="preserve"> a </w:t>
            </w:r>
            <w:r w:rsidRPr="00DF35CC">
              <w:rPr>
                <w:rFonts w:cstheme="minorHAnsi"/>
                <w:b/>
                <w:bCs/>
              </w:rPr>
              <w:t>3</w:t>
            </w:r>
            <w:r>
              <w:rPr>
                <w:rFonts w:cstheme="minorHAnsi"/>
                <w:b/>
                <w:bCs/>
              </w:rPr>
              <w:t xml:space="preserve"> materias</w:t>
            </w:r>
          </w:p>
        </w:tc>
        <w:tc>
          <w:tcPr>
            <w:tcW w:w="1985" w:type="dxa"/>
            <w:gridSpan w:val="2"/>
            <w:tcBorders>
              <w:top w:val="nil"/>
              <w:bottom w:val="single" w:sz="4" w:space="0" w:color="auto"/>
            </w:tcBorders>
          </w:tcPr>
          <w:p w14:paraId="0D4B53FB" w14:textId="77777777" w:rsidR="00C75889" w:rsidRPr="00DF35CC" w:rsidRDefault="00C75889" w:rsidP="00B91507">
            <w:pPr>
              <w:rPr>
                <w:rFonts w:cstheme="minorHAnsi"/>
                <w:b/>
                <w:bCs/>
              </w:rPr>
            </w:pPr>
            <w:r>
              <w:rPr>
                <w:rFonts w:cstheme="minorHAnsi"/>
                <w:b/>
                <w:bCs/>
              </w:rPr>
              <w:t xml:space="preserve">De </w:t>
            </w:r>
            <w:r w:rsidRPr="00DF35CC">
              <w:rPr>
                <w:rFonts w:cstheme="minorHAnsi"/>
                <w:b/>
                <w:bCs/>
              </w:rPr>
              <w:t>4</w:t>
            </w:r>
            <w:r>
              <w:rPr>
                <w:rFonts w:cstheme="minorHAnsi"/>
                <w:b/>
                <w:bCs/>
              </w:rPr>
              <w:t xml:space="preserve"> a </w:t>
            </w:r>
            <w:r w:rsidRPr="00DF35CC">
              <w:rPr>
                <w:rFonts w:cstheme="minorHAnsi"/>
                <w:b/>
                <w:bCs/>
              </w:rPr>
              <w:t>6</w:t>
            </w:r>
            <w:r>
              <w:rPr>
                <w:rFonts w:cstheme="minorHAnsi"/>
                <w:b/>
                <w:bCs/>
              </w:rPr>
              <w:t xml:space="preserve"> materias</w:t>
            </w:r>
          </w:p>
        </w:tc>
        <w:tc>
          <w:tcPr>
            <w:tcW w:w="2024" w:type="dxa"/>
            <w:gridSpan w:val="2"/>
            <w:tcBorders>
              <w:top w:val="nil"/>
              <w:bottom w:val="single" w:sz="4" w:space="0" w:color="auto"/>
            </w:tcBorders>
          </w:tcPr>
          <w:p w14:paraId="1DE18BD1" w14:textId="77777777" w:rsidR="00C75889" w:rsidRPr="00DF35CC" w:rsidRDefault="00C75889" w:rsidP="00B91507">
            <w:pPr>
              <w:jc w:val="both"/>
              <w:rPr>
                <w:rFonts w:cstheme="minorHAnsi"/>
                <w:b/>
                <w:bCs/>
              </w:rPr>
            </w:pPr>
            <w:proofErr w:type="gramStart"/>
            <w:r w:rsidRPr="00DF35CC">
              <w:rPr>
                <w:rFonts w:cstheme="minorHAnsi"/>
                <w:b/>
                <w:bCs/>
              </w:rPr>
              <w:t>Total</w:t>
            </w:r>
            <w:proofErr w:type="gramEnd"/>
            <w:r w:rsidRPr="00DF35CC">
              <w:rPr>
                <w:rFonts w:cstheme="minorHAnsi"/>
                <w:b/>
                <w:bCs/>
              </w:rPr>
              <w:t xml:space="preserve"> general</w:t>
            </w:r>
          </w:p>
        </w:tc>
      </w:tr>
      <w:tr w:rsidR="00C75889" w14:paraId="47D1E7EC" w14:textId="77777777" w:rsidTr="00B91507">
        <w:tc>
          <w:tcPr>
            <w:tcW w:w="1101" w:type="dxa"/>
            <w:tcBorders>
              <w:top w:val="single" w:sz="4" w:space="0" w:color="auto"/>
            </w:tcBorders>
          </w:tcPr>
          <w:p w14:paraId="35478A28" w14:textId="77777777" w:rsidR="00C75889" w:rsidRPr="00DF35CC" w:rsidRDefault="00C75889" w:rsidP="00B91507">
            <w:pPr>
              <w:jc w:val="both"/>
              <w:rPr>
                <w:rFonts w:cstheme="minorHAnsi"/>
              </w:rPr>
            </w:pPr>
            <w:r>
              <w:rPr>
                <w:rFonts w:cstheme="minorHAnsi"/>
              </w:rPr>
              <w:t>Rural</w:t>
            </w:r>
          </w:p>
        </w:tc>
        <w:tc>
          <w:tcPr>
            <w:tcW w:w="678" w:type="dxa"/>
            <w:tcBorders>
              <w:top w:val="single" w:sz="4" w:space="0" w:color="auto"/>
            </w:tcBorders>
          </w:tcPr>
          <w:p w14:paraId="148BE099" w14:textId="77777777" w:rsidR="00C75889" w:rsidRPr="002748A8" w:rsidRDefault="00C75889" w:rsidP="00B91507">
            <w:pPr>
              <w:jc w:val="center"/>
              <w:rPr>
                <w:rFonts w:cstheme="minorHAnsi"/>
              </w:rPr>
            </w:pPr>
            <w:r w:rsidRPr="002748A8">
              <w:rPr>
                <w:rFonts w:cstheme="minorHAnsi"/>
              </w:rPr>
              <w:t>88</w:t>
            </w:r>
          </w:p>
        </w:tc>
        <w:tc>
          <w:tcPr>
            <w:tcW w:w="1181" w:type="dxa"/>
            <w:tcBorders>
              <w:top w:val="single" w:sz="4" w:space="0" w:color="auto"/>
            </w:tcBorders>
          </w:tcPr>
          <w:p w14:paraId="55340CAC" w14:textId="77777777" w:rsidR="00C75889" w:rsidRPr="002748A8" w:rsidRDefault="00C75889" w:rsidP="00B91507">
            <w:pPr>
              <w:jc w:val="center"/>
              <w:rPr>
                <w:rFonts w:cstheme="minorHAnsi"/>
              </w:rPr>
            </w:pPr>
            <w:r w:rsidRPr="002748A8">
              <w:rPr>
                <w:rFonts w:cstheme="minorHAnsi"/>
              </w:rPr>
              <w:t>52,1%</w:t>
            </w:r>
          </w:p>
        </w:tc>
        <w:tc>
          <w:tcPr>
            <w:tcW w:w="678" w:type="dxa"/>
            <w:tcBorders>
              <w:top w:val="single" w:sz="4" w:space="0" w:color="auto"/>
            </w:tcBorders>
          </w:tcPr>
          <w:p w14:paraId="48D6FA13" w14:textId="77777777" w:rsidR="00C75889" w:rsidRPr="002748A8" w:rsidRDefault="00C75889" w:rsidP="00B91507">
            <w:pPr>
              <w:jc w:val="center"/>
              <w:rPr>
                <w:rFonts w:cstheme="minorHAnsi"/>
              </w:rPr>
            </w:pPr>
            <w:r w:rsidRPr="002748A8">
              <w:rPr>
                <w:rFonts w:cstheme="minorHAnsi"/>
              </w:rPr>
              <w:t>69</w:t>
            </w:r>
          </w:p>
        </w:tc>
        <w:tc>
          <w:tcPr>
            <w:tcW w:w="1181" w:type="dxa"/>
            <w:tcBorders>
              <w:top w:val="single" w:sz="4" w:space="0" w:color="auto"/>
            </w:tcBorders>
          </w:tcPr>
          <w:p w14:paraId="7A4491B3" w14:textId="77777777" w:rsidR="00C75889" w:rsidRPr="002748A8" w:rsidRDefault="00C75889" w:rsidP="00B91507">
            <w:pPr>
              <w:jc w:val="center"/>
              <w:rPr>
                <w:rFonts w:cstheme="minorHAnsi"/>
              </w:rPr>
            </w:pPr>
            <w:r w:rsidRPr="002748A8">
              <w:rPr>
                <w:rFonts w:cstheme="minorHAnsi"/>
              </w:rPr>
              <w:t>40,8%</w:t>
            </w:r>
          </w:p>
        </w:tc>
        <w:tc>
          <w:tcPr>
            <w:tcW w:w="800" w:type="dxa"/>
            <w:tcBorders>
              <w:top w:val="single" w:sz="4" w:space="0" w:color="auto"/>
            </w:tcBorders>
          </w:tcPr>
          <w:p w14:paraId="33968853" w14:textId="77777777" w:rsidR="00C75889" w:rsidRPr="002748A8" w:rsidRDefault="00C75889" w:rsidP="00B91507">
            <w:pPr>
              <w:jc w:val="center"/>
              <w:rPr>
                <w:rFonts w:cstheme="minorHAnsi"/>
              </w:rPr>
            </w:pPr>
            <w:r w:rsidRPr="002748A8">
              <w:rPr>
                <w:rFonts w:cstheme="minorHAnsi"/>
              </w:rPr>
              <w:t>12</w:t>
            </w:r>
          </w:p>
        </w:tc>
        <w:tc>
          <w:tcPr>
            <w:tcW w:w="1185" w:type="dxa"/>
            <w:tcBorders>
              <w:top w:val="single" w:sz="4" w:space="0" w:color="auto"/>
            </w:tcBorders>
          </w:tcPr>
          <w:p w14:paraId="30F89B37" w14:textId="77777777" w:rsidR="00C75889" w:rsidRPr="002748A8" w:rsidRDefault="00C75889" w:rsidP="00B91507">
            <w:pPr>
              <w:jc w:val="center"/>
              <w:rPr>
                <w:rFonts w:cstheme="minorHAnsi"/>
              </w:rPr>
            </w:pPr>
            <w:r w:rsidRPr="002748A8">
              <w:rPr>
                <w:rFonts w:cstheme="minorHAnsi"/>
              </w:rPr>
              <w:t>7,1%</w:t>
            </w:r>
          </w:p>
        </w:tc>
        <w:tc>
          <w:tcPr>
            <w:tcW w:w="919" w:type="dxa"/>
            <w:tcBorders>
              <w:top w:val="single" w:sz="4" w:space="0" w:color="auto"/>
            </w:tcBorders>
          </w:tcPr>
          <w:p w14:paraId="4C675643" w14:textId="77777777" w:rsidR="00C75889" w:rsidRPr="002748A8" w:rsidRDefault="00C75889" w:rsidP="00B91507">
            <w:pPr>
              <w:jc w:val="center"/>
              <w:rPr>
                <w:rFonts w:cstheme="minorHAnsi"/>
              </w:rPr>
            </w:pPr>
            <w:r w:rsidRPr="002748A8">
              <w:rPr>
                <w:rFonts w:cstheme="minorHAnsi"/>
              </w:rPr>
              <w:t>169</w:t>
            </w:r>
          </w:p>
        </w:tc>
        <w:tc>
          <w:tcPr>
            <w:tcW w:w="1105" w:type="dxa"/>
            <w:tcBorders>
              <w:top w:val="single" w:sz="4" w:space="0" w:color="auto"/>
            </w:tcBorders>
          </w:tcPr>
          <w:p w14:paraId="3365148B" w14:textId="77777777" w:rsidR="00C75889" w:rsidRPr="002748A8" w:rsidRDefault="00C75889" w:rsidP="00B91507">
            <w:pPr>
              <w:jc w:val="center"/>
              <w:rPr>
                <w:rFonts w:cstheme="minorHAnsi"/>
              </w:rPr>
            </w:pPr>
            <w:r w:rsidRPr="002748A8">
              <w:rPr>
                <w:rFonts w:cstheme="minorHAnsi"/>
              </w:rPr>
              <w:t>100%</w:t>
            </w:r>
          </w:p>
        </w:tc>
      </w:tr>
      <w:tr w:rsidR="00C75889" w14:paraId="2EF5FE42" w14:textId="77777777" w:rsidTr="00B91507">
        <w:tc>
          <w:tcPr>
            <w:tcW w:w="1101" w:type="dxa"/>
          </w:tcPr>
          <w:p w14:paraId="5ABB10E4" w14:textId="77777777" w:rsidR="00C75889" w:rsidRPr="00DF35CC" w:rsidRDefault="00C75889" w:rsidP="00B91507">
            <w:pPr>
              <w:jc w:val="both"/>
              <w:rPr>
                <w:rFonts w:cstheme="minorHAnsi"/>
              </w:rPr>
            </w:pPr>
            <w:r>
              <w:rPr>
                <w:rFonts w:cstheme="minorHAnsi"/>
              </w:rPr>
              <w:t>Urbano</w:t>
            </w:r>
          </w:p>
        </w:tc>
        <w:tc>
          <w:tcPr>
            <w:tcW w:w="678" w:type="dxa"/>
          </w:tcPr>
          <w:p w14:paraId="5583D198" w14:textId="77777777" w:rsidR="00C75889" w:rsidRPr="002748A8" w:rsidRDefault="00C75889" w:rsidP="00B91507">
            <w:pPr>
              <w:jc w:val="center"/>
              <w:rPr>
                <w:rFonts w:cstheme="minorHAnsi"/>
              </w:rPr>
            </w:pPr>
            <w:r w:rsidRPr="002748A8">
              <w:rPr>
                <w:rFonts w:cstheme="minorHAnsi"/>
              </w:rPr>
              <w:t>605</w:t>
            </w:r>
          </w:p>
        </w:tc>
        <w:tc>
          <w:tcPr>
            <w:tcW w:w="1181" w:type="dxa"/>
          </w:tcPr>
          <w:p w14:paraId="3D0C9B19" w14:textId="77777777" w:rsidR="00C75889" w:rsidRPr="002748A8" w:rsidRDefault="00C75889" w:rsidP="00B91507">
            <w:pPr>
              <w:jc w:val="center"/>
              <w:rPr>
                <w:rFonts w:cstheme="minorHAnsi"/>
              </w:rPr>
            </w:pPr>
            <w:r w:rsidRPr="002748A8">
              <w:rPr>
                <w:rFonts w:cstheme="minorHAnsi"/>
              </w:rPr>
              <w:t>63,2%</w:t>
            </w:r>
          </w:p>
        </w:tc>
        <w:tc>
          <w:tcPr>
            <w:tcW w:w="678" w:type="dxa"/>
          </w:tcPr>
          <w:p w14:paraId="27A6D09F" w14:textId="77777777" w:rsidR="00C75889" w:rsidRPr="002748A8" w:rsidRDefault="00C75889" w:rsidP="00B91507">
            <w:pPr>
              <w:jc w:val="center"/>
              <w:rPr>
                <w:rFonts w:cstheme="minorHAnsi"/>
              </w:rPr>
            </w:pPr>
            <w:r w:rsidRPr="002748A8">
              <w:rPr>
                <w:rFonts w:cstheme="minorHAnsi"/>
              </w:rPr>
              <w:t>293</w:t>
            </w:r>
          </w:p>
        </w:tc>
        <w:tc>
          <w:tcPr>
            <w:tcW w:w="1181" w:type="dxa"/>
          </w:tcPr>
          <w:p w14:paraId="459E22A0" w14:textId="77777777" w:rsidR="00C75889" w:rsidRPr="002748A8" w:rsidRDefault="00C75889" w:rsidP="00B91507">
            <w:pPr>
              <w:jc w:val="center"/>
              <w:rPr>
                <w:rFonts w:cstheme="minorHAnsi"/>
              </w:rPr>
            </w:pPr>
            <w:r w:rsidRPr="002748A8">
              <w:rPr>
                <w:rFonts w:cstheme="minorHAnsi"/>
              </w:rPr>
              <w:t>30,6%</w:t>
            </w:r>
          </w:p>
        </w:tc>
        <w:tc>
          <w:tcPr>
            <w:tcW w:w="800" w:type="dxa"/>
          </w:tcPr>
          <w:p w14:paraId="5EA33D2C" w14:textId="77777777" w:rsidR="00C75889" w:rsidRPr="002748A8" w:rsidRDefault="00C75889" w:rsidP="00B91507">
            <w:pPr>
              <w:jc w:val="center"/>
              <w:rPr>
                <w:rFonts w:cstheme="minorHAnsi"/>
              </w:rPr>
            </w:pPr>
            <w:r w:rsidRPr="002748A8">
              <w:rPr>
                <w:rFonts w:cstheme="minorHAnsi"/>
              </w:rPr>
              <w:t>59</w:t>
            </w:r>
          </w:p>
        </w:tc>
        <w:tc>
          <w:tcPr>
            <w:tcW w:w="1185" w:type="dxa"/>
          </w:tcPr>
          <w:p w14:paraId="376EB426" w14:textId="77777777" w:rsidR="00C75889" w:rsidRPr="002748A8" w:rsidRDefault="00C75889" w:rsidP="00B91507">
            <w:pPr>
              <w:jc w:val="center"/>
              <w:rPr>
                <w:rFonts w:cstheme="minorHAnsi"/>
              </w:rPr>
            </w:pPr>
            <w:r w:rsidRPr="002748A8">
              <w:rPr>
                <w:rFonts w:cstheme="minorHAnsi"/>
              </w:rPr>
              <w:t>6,2%</w:t>
            </w:r>
          </w:p>
        </w:tc>
        <w:tc>
          <w:tcPr>
            <w:tcW w:w="919" w:type="dxa"/>
          </w:tcPr>
          <w:p w14:paraId="2D01F69D" w14:textId="77777777" w:rsidR="00C75889" w:rsidRPr="002748A8" w:rsidRDefault="00C75889" w:rsidP="00B91507">
            <w:pPr>
              <w:jc w:val="center"/>
              <w:rPr>
                <w:rFonts w:cstheme="minorHAnsi"/>
              </w:rPr>
            </w:pPr>
            <w:r w:rsidRPr="002748A8">
              <w:rPr>
                <w:rFonts w:cstheme="minorHAnsi"/>
              </w:rPr>
              <w:t>957</w:t>
            </w:r>
          </w:p>
        </w:tc>
        <w:tc>
          <w:tcPr>
            <w:tcW w:w="1105" w:type="dxa"/>
          </w:tcPr>
          <w:p w14:paraId="3F5EB296" w14:textId="77777777" w:rsidR="00C75889" w:rsidRPr="002748A8" w:rsidRDefault="00C75889" w:rsidP="00B91507">
            <w:pPr>
              <w:jc w:val="center"/>
              <w:rPr>
                <w:rFonts w:cstheme="minorHAnsi"/>
              </w:rPr>
            </w:pPr>
            <w:r w:rsidRPr="002748A8">
              <w:rPr>
                <w:rFonts w:cstheme="minorHAnsi"/>
              </w:rPr>
              <w:t>100%</w:t>
            </w:r>
          </w:p>
        </w:tc>
      </w:tr>
    </w:tbl>
    <w:p w14:paraId="56B1D1CE" w14:textId="6B5EF4E0" w:rsidR="00B04DFE" w:rsidRDefault="00C75889" w:rsidP="00B04DFE">
      <w:pPr>
        <w:spacing w:line="240" w:lineRule="auto"/>
        <w:jc w:val="both"/>
        <w:rPr>
          <w:rFonts w:ascii="Times New Roman" w:hAnsi="Times New Roman" w:cs="Times New Roman"/>
          <w:b/>
          <w:bCs/>
        </w:rPr>
      </w:pPr>
      <w:r w:rsidRPr="00D62BB4">
        <w:rPr>
          <w:rFonts w:ascii="Times New Roman" w:hAnsi="Times New Roman" w:cs="Times New Roman"/>
          <w:sz w:val="20"/>
          <w:szCs w:val="20"/>
        </w:rPr>
        <w:t>Nota: Elaboración propia base de datos estudiantes Facultad de Humanidades y Ciencias de la Educación/Universidad Mayor de San Simón</w:t>
      </w:r>
    </w:p>
    <w:bookmarkEnd w:id="8"/>
    <w:p w14:paraId="413F78A1" w14:textId="77777777" w:rsidR="00B04DFE" w:rsidRPr="004D24D1" w:rsidRDefault="00B04DFE" w:rsidP="00B04DFE">
      <w:pPr>
        <w:spacing w:line="240" w:lineRule="auto"/>
        <w:jc w:val="both"/>
        <w:rPr>
          <w:rFonts w:ascii="Times New Roman" w:hAnsi="Times New Roman" w:cs="Times New Roman"/>
        </w:rPr>
      </w:pPr>
      <w:r>
        <w:rPr>
          <w:rFonts w:ascii="Times New Roman" w:hAnsi="Times New Roman" w:cs="Times New Roman"/>
        </w:rPr>
        <w:t>Una última aproximación al rendimiento académico es a partir del promedio de notas según área de la unidad educativa. En este caso, nos enfocaremos en los promedios menores a 51 que vendría a ser nota de reprobación y, por tanto, con un mal rendimiento académico. En términos relativos, hay más estudiantes de colegios rurales con promedios de reprobación, que estudiantes de colegios urbanos con ese rango de promedio. Estos datos muestran una diferencia en el rendimiento académico entre estudiantes de colegios urbanos y rurales, a favor de los primeros. Asimismo, la información sobre los estudiantes con un buen rendimiento académico, es decir, con un promedio mayor a 70 puntos muestra que los estudiantes de colegios urbanos tienen un mejor rendimiento en relación a los de colegios rurales, aunque hay que señalar que solamente un 11,7% y un 5,9%, respectivamente, se encuentran en este rango de promedio.</w:t>
      </w:r>
    </w:p>
    <w:p w14:paraId="719FC2B3" w14:textId="77777777" w:rsidR="005065F4" w:rsidRDefault="005065F4" w:rsidP="005065F4">
      <w:pPr>
        <w:spacing w:after="0" w:line="240" w:lineRule="auto"/>
        <w:jc w:val="both"/>
        <w:rPr>
          <w:rFonts w:ascii="Times New Roman" w:hAnsi="Times New Roman" w:cs="Times New Roman"/>
          <w:b/>
          <w:bCs/>
        </w:rPr>
      </w:pPr>
      <w:bookmarkStart w:id="9" w:name="_Hlk203400540"/>
    </w:p>
    <w:p w14:paraId="4740F0EC" w14:textId="77777777" w:rsidR="005065F4" w:rsidRDefault="005065F4" w:rsidP="005065F4">
      <w:pPr>
        <w:spacing w:after="0" w:line="240" w:lineRule="auto"/>
        <w:jc w:val="both"/>
        <w:rPr>
          <w:rFonts w:ascii="Times New Roman" w:hAnsi="Times New Roman" w:cs="Times New Roman"/>
          <w:b/>
          <w:bCs/>
        </w:rPr>
      </w:pPr>
    </w:p>
    <w:p w14:paraId="4566ECA1" w14:textId="18FD44B1" w:rsidR="00C75889" w:rsidRDefault="00C75889" w:rsidP="005065F4">
      <w:pPr>
        <w:spacing w:after="0" w:line="240" w:lineRule="auto"/>
        <w:jc w:val="both"/>
        <w:rPr>
          <w:rFonts w:ascii="Times New Roman" w:hAnsi="Times New Roman" w:cs="Times New Roman"/>
          <w:b/>
          <w:bCs/>
        </w:rPr>
      </w:pPr>
      <w:r>
        <w:rPr>
          <w:rFonts w:ascii="Times New Roman" w:hAnsi="Times New Roman" w:cs="Times New Roman"/>
          <w:b/>
          <w:bCs/>
        </w:rPr>
        <w:lastRenderedPageBreak/>
        <w:t>Tabla 7</w:t>
      </w:r>
    </w:p>
    <w:p w14:paraId="1890AFBD" w14:textId="77777777" w:rsidR="00C75889" w:rsidRPr="0055254C" w:rsidRDefault="00C75889" w:rsidP="005065F4">
      <w:pPr>
        <w:spacing w:after="0" w:line="240" w:lineRule="auto"/>
        <w:jc w:val="both"/>
        <w:rPr>
          <w:rFonts w:ascii="Times New Roman" w:hAnsi="Times New Roman" w:cs="Times New Roman"/>
          <w:i/>
          <w:iCs/>
        </w:rPr>
      </w:pPr>
      <w:r>
        <w:rPr>
          <w:rFonts w:ascii="Times New Roman" w:hAnsi="Times New Roman" w:cs="Times New Roman"/>
          <w:i/>
          <w:iCs/>
        </w:rPr>
        <w:t>Estudiantes según á</w:t>
      </w:r>
      <w:r w:rsidRPr="00381E7E">
        <w:rPr>
          <w:rFonts w:ascii="Times New Roman" w:hAnsi="Times New Roman" w:cs="Times New Roman"/>
          <w:i/>
          <w:iCs/>
        </w:rPr>
        <w:t xml:space="preserve">rea de Unidad Educativa </w:t>
      </w:r>
      <w:r>
        <w:rPr>
          <w:rFonts w:ascii="Times New Roman" w:hAnsi="Times New Roman" w:cs="Times New Roman"/>
          <w:i/>
          <w:iCs/>
        </w:rPr>
        <w:t>y</w:t>
      </w:r>
      <w:r w:rsidRPr="00381E7E">
        <w:rPr>
          <w:rFonts w:ascii="Times New Roman" w:hAnsi="Times New Roman" w:cs="Times New Roman"/>
          <w:i/>
          <w:iCs/>
        </w:rPr>
        <w:t xml:space="preserve"> promedio de notas</w:t>
      </w:r>
      <w:r>
        <w:rPr>
          <w:rFonts w:ascii="Times New Roman" w:hAnsi="Times New Roman" w:cs="Times New Roman"/>
          <w:i/>
          <w:iCs/>
        </w:rPr>
        <w:t xml:space="preserve"> en porcentaje (absoluto y relativo)</w:t>
      </w:r>
    </w:p>
    <w:tbl>
      <w:tblPr>
        <w:tblW w:w="8784"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840"/>
        <w:gridCol w:w="414"/>
        <w:gridCol w:w="615"/>
        <w:gridCol w:w="813"/>
        <w:gridCol w:w="737"/>
        <w:gridCol w:w="721"/>
        <w:gridCol w:w="795"/>
        <w:gridCol w:w="736"/>
        <w:gridCol w:w="845"/>
        <w:gridCol w:w="564"/>
        <w:gridCol w:w="704"/>
      </w:tblGrid>
      <w:tr w:rsidR="00C75889" w:rsidRPr="00381E7E" w14:paraId="3A875273" w14:textId="77777777" w:rsidTr="00B91507">
        <w:trPr>
          <w:trHeight w:val="300"/>
        </w:trPr>
        <w:tc>
          <w:tcPr>
            <w:tcW w:w="8784" w:type="dxa"/>
            <w:gridSpan w:val="11"/>
            <w:tcBorders>
              <w:top w:val="single" w:sz="4" w:space="0" w:color="auto"/>
              <w:bottom w:val="nil"/>
            </w:tcBorders>
          </w:tcPr>
          <w:p w14:paraId="01B29193" w14:textId="77777777" w:rsidR="00C75889" w:rsidRPr="005065F4" w:rsidRDefault="00C75889" w:rsidP="00B91507">
            <w:pPr>
              <w:spacing w:after="0" w:line="240" w:lineRule="auto"/>
              <w:jc w:val="center"/>
              <w:rPr>
                <w:rFonts w:ascii="Calibri" w:eastAsia="Times New Roman" w:hAnsi="Calibri" w:cs="Calibri"/>
                <w:color w:val="000000"/>
                <w:sz w:val="22"/>
                <w:szCs w:val="22"/>
                <w:lang w:eastAsia="es-BO"/>
              </w:rPr>
            </w:pPr>
            <w:r w:rsidRPr="005065F4">
              <w:rPr>
                <w:rFonts w:ascii="Calibri" w:eastAsia="Times New Roman" w:hAnsi="Calibri" w:cs="Calibri"/>
                <w:b/>
                <w:bCs/>
                <w:color w:val="000000"/>
                <w:sz w:val="22"/>
                <w:szCs w:val="22"/>
                <w:lang w:eastAsia="es-BO"/>
              </w:rPr>
              <w:t>Promedio notas</w:t>
            </w:r>
          </w:p>
        </w:tc>
      </w:tr>
      <w:tr w:rsidR="00C75889" w:rsidRPr="00381E7E" w14:paraId="71472D12" w14:textId="77777777" w:rsidTr="00B91507">
        <w:trPr>
          <w:trHeight w:val="300"/>
        </w:trPr>
        <w:tc>
          <w:tcPr>
            <w:tcW w:w="1840" w:type="dxa"/>
            <w:tcBorders>
              <w:top w:val="nil"/>
              <w:bottom w:val="single" w:sz="4" w:space="0" w:color="auto"/>
            </w:tcBorders>
            <w:shd w:val="clear" w:color="auto" w:fill="auto"/>
            <w:noWrap/>
            <w:vAlign w:val="bottom"/>
            <w:hideMark/>
          </w:tcPr>
          <w:p w14:paraId="7472D966" w14:textId="595E1935" w:rsidR="00C75889" w:rsidRPr="005065F4" w:rsidRDefault="00C75889" w:rsidP="00B91507">
            <w:pPr>
              <w:spacing w:after="0" w:line="240" w:lineRule="auto"/>
              <w:rPr>
                <w:rFonts w:ascii="Calibri" w:eastAsia="Times New Roman" w:hAnsi="Calibri" w:cs="Calibri"/>
                <w:b/>
                <w:bCs/>
                <w:color w:val="000000"/>
                <w:sz w:val="22"/>
                <w:szCs w:val="22"/>
                <w:lang w:eastAsia="es-BO"/>
              </w:rPr>
            </w:pPr>
            <w:r w:rsidRPr="005065F4">
              <w:rPr>
                <w:rFonts w:ascii="Calibri" w:eastAsia="Times New Roman" w:hAnsi="Calibri" w:cs="Calibri"/>
                <w:b/>
                <w:bCs/>
                <w:color w:val="000000"/>
                <w:sz w:val="22"/>
                <w:szCs w:val="22"/>
                <w:lang w:eastAsia="es-BO"/>
              </w:rPr>
              <w:t>Dependencia Unidad Educativa</w:t>
            </w:r>
          </w:p>
        </w:tc>
        <w:tc>
          <w:tcPr>
            <w:tcW w:w="994" w:type="dxa"/>
            <w:gridSpan w:val="2"/>
            <w:tcBorders>
              <w:top w:val="nil"/>
              <w:bottom w:val="single" w:sz="4" w:space="0" w:color="auto"/>
            </w:tcBorders>
          </w:tcPr>
          <w:p w14:paraId="750B03CE" w14:textId="77777777" w:rsidR="00C75889" w:rsidRPr="005065F4" w:rsidRDefault="00C75889" w:rsidP="0015052F">
            <w:pPr>
              <w:spacing w:after="0" w:line="240" w:lineRule="auto"/>
              <w:jc w:val="center"/>
              <w:rPr>
                <w:rFonts w:ascii="Calibri" w:eastAsia="Times New Roman" w:hAnsi="Calibri" w:cs="Calibri"/>
                <w:b/>
                <w:bCs/>
                <w:color w:val="000000"/>
                <w:sz w:val="22"/>
                <w:szCs w:val="22"/>
                <w:lang w:eastAsia="es-BO"/>
              </w:rPr>
            </w:pPr>
            <w:r w:rsidRPr="005065F4">
              <w:rPr>
                <w:rFonts w:ascii="Calibri" w:eastAsia="Times New Roman" w:hAnsi="Calibri" w:cs="Calibri"/>
                <w:b/>
                <w:bCs/>
                <w:color w:val="000000"/>
                <w:sz w:val="22"/>
                <w:szCs w:val="22"/>
                <w:lang w:eastAsia="es-BO"/>
              </w:rPr>
              <w:t>Sin registro</w:t>
            </w:r>
          </w:p>
        </w:tc>
        <w:tc>
          <w:tcPr>
            <w:tcW w:w="1532" w:type="dxa"/>
            <w:gridSpan w:val="2"/>
            <w:tcBorders>
              <w:top w:val="nil"/>
              <w:bottom w:val="single" w:sz="4" w:space="0" w:color="auto"/>
            </w:tcBorders>
          </w:tcPr>
          <w:p w14:paraId="429DE973"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r w:rsidRPr="005065F4">
              <w:rPr>
                <w:rFonts w:ascii="Calibri" w:eastAsia="Times New Roman" w:hAnsi="Calibri" w:cs="Calibri"/>
                <w:b/>
                <w:bCs/>
                <w:color w:val="000000"/>
                <w:sz w:val="22"/>
                <w:szCs w:val="22"/>
                <w:lang w:eastAsia="es-BO"/>
              </w:rPr>
              <w:t xml:space="preserve">Reprobados menor a 51 </w:t>
            </w:r>
            <w:proofErr w:type="spellStart"/>
            <w:r w:rsidRPr="005065F4">
              <w:rPr>
                <w:rFonts w:ascii="Calibri" w:eastAsia="Times New Roman" w:hAnsi="Calibri" w:cs="Calibri"/>
                <w:b/>
                <w:bCs/>
                <w:color w:val="000000"/>
                <w:sz w:val="22"/>
                <w:szCs w:val="22"/>
                <w:lang w:eastAsia="es-BO"/>
              </w:rPr>
              <w:t>pts</w:t>
            </w:r>
            <w:proofErr w:type="spellEnd"/>
          </w:p>
        </w:tc>
        <w:tc>
          <w:tcPr>
            <w:tcW w:w="1539" w:type="dxa"/>
            <w:gridSpan w:val="2"/>
            <w:tcBorders>
              <w:top w:val="nil"/>
              <w:bottom w:val="single" w:sz="4" w:space="0" w:color="auto"/>
            </w:tcBorders>
          </w:tcPr>
          <w:p w14:paraId="3F11C51B"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r w:rsidRPr="005065F4">
              <w:rPr>
                <w:rFonts w:ascii="Calibri" w:eastAsia="Times New Roman" w:hAnsi="Calibri" w:cs="Calibri"/>
                <w:b/>
                <w:bCs/>
                <w:color w:val="000000"/>
                <w:sz w:val="22"/>
                <w:szCs w:val="22"/>
                <w:lang w:eastAsia="es-BO"/>
              </w:rPr>
              <w:t xml:space="preserve">Aprobados entre 51-70 </w:t>
            </w:r>
            <w:proofErr w:type="spellStart"/>
            <w:r w:rsidRPr="005065F4">
              <w:rPr>
                <w:rFonts w:ascii="Calibri" w:eastAsia="Times New Roman" w:hAnsi="Calibri" w:cs="Calibri"/>
                <w:b/>
                <w:bCs/>
                <w:color w:val="000000"/>
                <w:sz w:val="22"/>
                <w:szCs w:val="22"/>
                <w:lang w:eastAsia="es-BO"/>
              </w:rPr>
              <w:t>pts</w:t>
            </w:r>
            <w:proofErr w:type="spellEnd"/>
          </w:p>
        </w:tc>
        <w:tc>
          <w:tcPr>
            <w:tcW w:w="1605" w:type="dxa"/>
            <w:gridSpan w:val="2"/>
            <w:tcBorders>
              <w:top w:val="nil"/>
              <w:bottom w:val="single" w:sz="4" w:space="0" w:color="auto"/>
            </w:tcBorders>
          </w:tcPr>
          <w:p w14:paraId="27C37EF7"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proofErr w:type="gramStart"/>
            <w:r w:rsidRPr="005065F4">
              <w:rPr>
                <w:rFonts w:ascii="Calibri" w:eastAsia="Times New Roman" w:hAnsi="Calibri" w:cs="Calibri"/>
                <w:b/>
                <w:bCs/>
                <w:color w:val="000000"/>
                <w:sz w:val="22"/>
                <w:szCs w:val="22"/>
                <w:lang w:eastAsia="es-BO"/>
              </w:rPr>
              <w:t>Aprobados mayor</w:t>
            </w:r>
            <w:proofErr w:type="gramEnd"/>
            <w:r w:rsidRPr="005065F4">
              <w:rPr>
                <w:rFonts w:ascii="Calibri" w:eastAsia="Times New Roman" w:hAnsi="Calibri" w:cs="Calibri"/>
                <w:b/>
                <w:bCs/>
                <w:color w:val="000000"/>
                <w:sz w:val="22"/>
                <w:szCs w:val="22"/>
                <w:lang w:eastAsia="es-BO"/>
              </w:rPr>
              <w:t xml:space="preserve"> a 70 </w:t>
            </w:r>
            <w:proofErr w:type="spellStart"/>
            <w:r w:rsidRPr="005065F4">
              <w:rPr>
                <w:rFonts w:ascii="Calibri" w:eastAsia="Times New Roman" w:hAnsi="Calibri" w:cs="Calibri"/>
                <w:b/>
                <w:bCs/>
                <w:color w:val="000000"/>
                <w:sz w:val="22"/>
                <w:szCs w:val="22"/>
                <w:lang w:eastAsia="es-BO"/>
              </w:rPr>
              <w:t>pts</w:t>
            </w:r>
            <w:proofErr w:type="spellEnd"/>
          </w:p>
        </w:tc>
        <w:tc>
          <w:tcPr>
            <w:tcW w:w="1274" w:type="dxa"/>
            <w:gridSpan w:val="2"/>
            <w:tcBorders>
              <w:top w:val="nil"/>
              <w:bottom w:val="single" w:sz="4" w:space="0" w:color="auto"/>
            </w:tcBorders>
          </w:tcPr>
          <w:p w14:paraId="11EAA1A0" w14:textId="77777777" w:rsidR="00C75889" w:rsidRPr="005065F4" w:rsidRDefault="00C75889" w:rsidP="00B91507">
            <w:pPr>
              <w:spacing w:after="0" w:line="240" w:lineRule="auto"/>
              <w:jc w:val="center"/>
              <w:rPr>
                <w:rFonts w:ascii="Calibri" w:eastAsia="Times New Roman" w:hAnsi="Calibri" w:cs="Calibri"/>
                <w:b/>
                <w:bCs/>
                <w:color w:val="000000"/>
                <w:sz w:val="22"/>
                <w:szCs w:val="22"/>
                <w:lang w:eastAsia="es-BO"/>
              </w:rPr>
            </w:pPr>
            <w:proofErr w:type="gramStart"/>
            <w:r w:rsidRPr="005065F4">
              <w:rPr>
                <w:rFonts w:ascii="Calibri" w:eastAsia="Times New Roman" w:hAnsi="Calibri" w:cs="Calibri"/>
                <w:b/>
                <w:bCs/>
                <w:color w:val="000000"/>
                <w:sz w:val="22"/>
                <w:szCs w:val="22"/>
                <w:lang w:eastAsia="es-BO"/>
              </w:rPr>
              <w:t>Total</w:t>
            </w:r>
            <w:proofErr w:type="gramEnd"/>
            <w:r w:rsidRPr="005065F4">
              <w:rPr>
                <w:rFonts w:ascii="Calibri" w:eastAsia="Times New Roman" w:hAnsi="Calibri" w:cs="Calibri"/>
                <w:b/>
                <w:bCs/>
                <w:color w:val="000000"/>
                <w:sz w:val="22"/>
                <w:szCs w:val="22"/>
                <w:lang w:eastAsia="es-BO"/>
              </w:rPr>
              <w:t xml:space="preserve"> general</w:t>
            </w:r>
          </w:p>
        </w:tc>
      </w:tr>
      <w:tr w:rsidR="00C75889" w:rsidRPr="00381E7E" w14:paraId="1F1C8549" w14:textId="77777777" w:rsidTr="00B91507">
        <w:trPr>
          <w:trHeight w:val="300"/>
        </w:trPr>
        <w:tc>
          <w:tcPr>
            <w:tcW w:w="1840" w:type="dxa"/>
            <w:tcBorders>
              <w:top w:val="single" w:sz="4" w:space="0" w:color="auto"/>
              <w:right w:val="nil"/>
            </w:tcBorders>
            <w:shd w:val="clear" w:color="auto" w:fill="auto"/>
            <w:noWrap/>
            <w:vAlign w:val="bottom"/>
          </w:tcPr>
          <w:p w14:paraId="52990359" w14:textId="77777777" w:rsidR="00C75889" w:rsidRPr="005065F4" w:rsidRDefault="00C75889" w:rsidP="00B91507">
            <w:pPr>
              <w:spacing w:after="0" w:line="240" w:lineRule="auto"/>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 xml:space="preserve">Urbano </w:t>
            </w:r>
          </w:p>
        </w:tc>
        <w:tc>
          <w:tcPr>
            <w:tcW w:w="418" w:type="dxa"/>
            <w:tcBorders>
              <w:top w:val="single" w:sz="4" w:space="0" w:color="auto"/>
              <w:left w:val="nil"/>
              <w:bottom w:val="nil"/>
              <w:right w:val="nil"/>
            </w:tcBorders>
          </w:tcPr>
          <w:p w14:paraId="53225841"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53</w:t>
            </w:r>
          </w:p>
        </w:tc>
        <w:tc>
          <w:tcPr>
            <w:tcW w:w="576" w:type="dxa"/>
            <w:tcBorders>
              <w:top w:val="single" w:sz="4" w:space="0" w:color="auto"/>
              <w:left w:val="nil"/>
              <w:bottom w:val="nil"/>
              <w:right w:val="nil"/>
            </w:tcBorders>
            <w:shd w:val="clear" w:color="auto" w:fill="auto"/>
            <w:noWrap/>
            <w:vAlign w:val="bottom"/>
          </w:tcPr>
          <w:p w14:paraId="67A0972B"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5,5%</w:t>
            </w:r>
          </w:p>
        </w:tc>
        <w:tc>
          <w:tcPr>
            <w:tcW w:w="845" w:type="dxa"/>
            <w:tcBorders>
              <w:top w:val="single" w:sz="4" w:space="0" w:color="auto"/>
              <w:left w:val="nil"/>
              <w:bottom w:val="nil"/>
              <w:right w:val="nil"/>
            </w:tcBorders>
          </w:tcPr>
          <w:p w14:paraId="16D4397F"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431</w:t>
            </w:r>
          </w:p>
        </w:tc>
        <w:tc>
          <w:tcPr>
            <w:tcW w:w="687" w:type="dxa"/>
            <w:tcBorders>
              <w:top w:val="single" w:sz="4" w:space="0" w:color="auto"/>
              <w:left w:val="nil"/>
              <w:bottom w:val="nil"/>
              <w:right w:val="nil"/>
            </w:tcBorders>
            <w:shd w:val="clear" w:color="auto" w:fill="auto"/>
            <w:noWrap/>
            <w:vAlign w:val="bottom"/>
          </w:tcPr>
          <w:p w14:paraId="66AE6DB0"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45%</w:t>
            </w:r>
          </w:p>
        </w:tc>
        <w:tc>
          <w:tcPr>
            <w:tcW w:w="744" w:type="dxa"/>
            <w:tcBorders>
              <w:top w:val="single" w:sz="4" w:space="0" w:color="auto"/>
              <w:left w:val="nil"/>
              <w:bottom w:val="nil"/>
              <w:right w:val="nil"/>
            </w:tcBorders>
          </w:tcPr>
          <w:p w14:paraId="4CB2EDC0"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362</w:t>
            </w:r>
          </w:p>
        </w:tc>
        <w:tc>
          <w:tcPr>
            <w:tcW w:w="795" w:type="dxa"/>
            <w:tcBorders>
              <w:top w:val="single" w:sz="4" w:space="0" w:color="auto"/>
              <w:left w:val="nil"/>
              <w:bottom w:val="nil"/>
              <w:right w:val="nil"/>
            </w:tcBorders>
            <w:shd w:val="clear" w:color="auto" w:fill="auto"/>
            <w:noWrap/>
            <w:vAlign w:val="bottom"/>
          </w:tcPr>
          <w:p w14:paraId="0757BF69"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37,8%</w:t>
            </w:r>
          </w:p>
        </w:tc>
        <w:tc>
          <w:tcPr>
            <w:tcW w:w="760" w:type="dxa"/>
            <w:tcBorders>
              <w:top w:val="single" w:sz="4" w:space="0" w:color="auto"/>
              <w:left w:val="nil"/>
              <w:bottom w:val="nil"/>
              <w:right w:val="nil"/>
            </w:tcBorders>
          </w:tcPr>
          <w:p w14:paraId="4C56DEC2"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111</w:t>
            </w:r>
          </w:p>
        </w:tc>
        <w:tc>
          <w:tcPr>
            <w:tcW w:w="845" w:type="dxa"/>
            <w:tcBorders>
              <w:top w:val="single" w:sz="4" w:space="0" w:color="auto"/>
              <w:left w:val="nil"/>
              <w:bottom w:val="nil"/>
              <w:right w:val="nil"/>
            </w:tcBorders>
            <w:shd w:val="clear" w:color="auto" w:fill="auto"/>
            <w:noWrap/>
            <w:vAlign w:val="bottom"/>
          </w:tcPr>
          <w:p w14:paraId="3BAC9A7C"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11,7%</w:t>
            </w:r>
          </w:p>
        </w:tc>
        <w:tc>
          <w:tcPr>
            <w:tcW w:w="570" w:type="dxa"/>
            <w:tcBorders>
              <w:top w:val="single" w:sz="4" w:space="0" w:color="auto"/>
              <w:left w:val="nil"/>
              <w:bottom w:val="nil"/>
              <w:right w:val="nil"/>
            </w:tcBorders>
          </w:tcPr>
          <w:p w14:paraId="67AF5100" w14:textId="77777777" w:rsidR="00C75889" w:rsidRPr="00381E7E" w:rsidRDefault="00C75889" w:rsidP="00B91507">
            <w:pPr>
              <w:spacing w:after="0" w:line="240" w:lineRule="auto"/>
              <w:jc w:val="right"/>
              <w:rPr>
                <w:rFonts w:ascii="Calibri" w:eastAsia="Times New Roman" w:hAnsi="Calibri" w:cs="Calibri"/>
                <w:color w:val="000000"/>
                <w:lang w:eastAsia="es-BO"/>
              </w:rPr>
            </w:pPr>
            <w:r>
              <w:rPr>
                <w:rFonts w:ascii="Calibri" w:eastAsia="Times New Roman" w:hAnsi="Calibri" w:cs="Calibri"/>
                <w:color w:val="000000"/>
                <w:lang w:eastAsia="es-BO"/>
              </w:rPr>
              <w:t>957</w:t>
            </w:r>
          </w:p>
        </w:tc>
        <w:tc>
          <w:tcPr>
            <w:tcW w:w="704" w:type="dxa"/>
            <w:tcBorders>
              <w:top w:val="single" w:sz="4" w:space="0" w:color="auto"/>
              <w:left w:val="nil"/>
              <w:bottom w:val="nil"/>
              <w:right w:val="nil"/>
            </w:tcBorders>
            <w:shd w:val="clear" w:color="auto" w:fill="auto"/>
            <w:noWrap/>
            <w:vAlign w:val="bottom"/>
            <w:hideMark/>
          </w:tcPr>
          <w:p w14:paraId="4BC3518E" w14:textId="77777777" w:rsidR="00C75889" w:rsidRPr="00381E7E" w:rsidRDefault="00C75889" w:rsidP="00B91507">
            <w:pPr>
              <w:spacing w:after="0" w:line="240" w:lineRule="auto"/>
              <w:jc w:val="right"/>
              <w:rPr>
                <w:rFonts w:ascii="Calibri" w:eastAsia="Times New Roman" w:hAnsi="Calibri" w:cs="Calibri"/>
                <w:color w:val="000000"/>
                <w:lang w:eastAsia="es-BO"/>
              </w:rPr>
            </w:pPr>
            <w:r w:rsidRPr="00381E7E">
              <w:rPr>
                <w:rFonts w:ascii="Calibri" w:eastAsia="Times New Roman" w:hAnsi="Calibri" w:cs="Calibri"/>
                <w:color w:val="000000"/>
                <w:lang w:eastAsia="es-BO"/>
              </w:rPr>
              <w:t>1</w:t>
            </w:r>
            <w:r>
              <w:rPr>
                <w:rFonts w:ascii="Calibri" w:eastAsia="Times New Roman" w:hAnsi="Calibri" w:cs="Calibri"/>
                <w:color w:val="000000"/>
                <w:lang w:eastAsia="es-BO"/>
              </w:rPr>
              <w:t>00%</w:t>
            </w:r>
          </w:p>
        </w:tc>
      </w:tr>
      <w:tr w:rsidR="00C75889" w:rsidRPr="00381E7E" w14:paraId="35B64FEC" w14:textId="77777777" w:rsidTr="00B91507">
        <w:trPr>
          <w:trHeight w:val="300"/>
        </w:trPr>
        <w:tc>
          <w:tcPr>
            <w:tcW w:w="1840" w:type="dxa"/>
            <w:tcBorders>
              <w:right w:val="nil"/>
            </w:tcBorders>
            <w:shd w:val="clear" w:color="auto" w:fill="auto"/>
            <w:noWrap/>
            <w:vAlign w:val="bottom"/>
          </w:tcPr>
          <w:p w14:paraId="24320D0D" w14:textId="77777777" w:rsidR="00C75889" w:rsidRPr="005065F4" w:rsidRDefault="00C75889" w:rsidP="00B91507">
            <w:pPr>
              <w:spacing w:after="0" w:line="240" w:lineRule="auto"/>
              <w:rPr>
                <w:rFonts w:ascii="Calibri" w:eastAsia="Times New Roman" w:hAnsi="Calibri" w:cs="Calibri"/>
                <w:color w:val="000000"/>
                <w:sz w:val="22"/>
                <w:szCs w:val="22"/>
                <w:lang w:eastAsia="es-BO"/>
              </w:rPr>
            </w:pPr>
            <w:r w:rsidRPr="005065F4">
              <w:rPr>
                <w:rFonts w:ascii="Calibri" w:eastAsia="Times New Roman" w:hAnsi="Calibri" w:cs="Calibri"/>
                <w:color w:val="000000"/>
                <w:sz w:val="22"/>
                <w:szCs w:val="22"/>
                <w:lang w:eastAsia="es-BO"/>
              </w:rPr>
              <w:t>Rural</w:t>
            </w:r>
          </w:p>
        </w:tc>
        <w:tc>
          <w:tcPr>
            <w:tcW w:w="418" w:type="dxa"/>
            <w:tcBorders>
              <w:top w:val="nil"/>
              <w:left w:val="nil"/>
              <w:bottom w:val="single" w:sz="4" w:space="0" w:color="auto"/>
              <w:right w:val="nil"/>
            </w:tcBorders>
          </w:tcPr>
          <w:p w14:paraId="2F2B62CC"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10</w:t>
            </w:r>
          </w:p>
        </w:tc>
        <w:tc>
          <w:tcPr>
            <w:tcW w:w="576" w:type="dxa"/>
            <w:tcBorders>
              <w:top w:val="nil"/>
              <w:left w:val="nil"/>
              <w:bottom w:val="single" w:sz="4" w:space="0" w:color="auto"/>
              <w:right w:val="nil"/>
            </w:tcBorders>
            <w:shd w:val="clear" w:color="auto" w:fill="auto"/>
            <w:noWrap/>
            <w:vAlign w:val="bottom"/>
          </w:tcPr>
          <w:p w14:paraId="2E79F2FE"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5,9%</w:t>
            </w:r>
          </w:p>
        </w:tc>
        <w:tc>
          <w:tcPr>
            <w:tcW w:w="845" w:type="dxa"/>
            <w:tcBorders>
              <w:top w:val="nil"/>
              <w:left w:val="nil"/>
              <w:bottom w:val="single" w:sz="4" w:space="0" w:color="auto"/>
              <w:right w:val="nil"/>
            </w:tcBorders>
          </w:tcPr>
          <w:p w14:paraId="176BCDAC"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88</w:t>
            </w:r>
          </w:p>
        </w:tc>
        <w:tc>
          <w:tcPr>
            <w:tcW w:w="687" w:type="dxa"/>
            <w:tcBorders>
              <w:top w:val="nil"/>
              <w:left w:val="nil"/>
              <w:bottom w:val="single" w:sz="4" w:space="0" w:color="auto"/>
              <w:right w:val="nil"/>
            </w:tcBorders>
            <w:shd w:val="clear" w:color="auto" w:fill="auto"/>
            <w:noWrap/>
            <w:vAlign w:val="bottom"/>
          </w:tcPr>
          <w:p w14:paraId="1DBDF955"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52,1%</w:t>
            </w:r>
          </w:p>
        </w:tc>
        <w:tc>
          <w:tcPr>
            <w:tcW w:w="744" w:type="dxa"/>
            <w:tcBorders>
              <w:top w:val="nil"/>
              <w:left w:val="nil"/>
              <w:bottom w:val="single" w:sz="4" w:space="0" w:color="auto"/>
              <w:right w:val="nil"/>
            </w:tcBorders>
          </w:tcPr>
          <w:p w14:paraId="1C12EE0D"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61</w:t>
            </w:r>
          </w:p>
        </w:tc>
        <w:tc>
          <w:tcPr>
            <w:tcW w:w="795" w:type="dxa"/>
            <w:tcBorders>
              <w:top w:val="nil"/>
              <w:left w:val="nil"/>
              <w:bottom w:val="single" w:sz="4" w:space="0" w:color="auto"/>
              <w:right w:val="nil"/>
            </w:tcBorders>
            <w:shd w:val="clear" w:color="auto" w:fill="auto"/>
            <w:noWrap/>
            <w:vAlign w:val="bottom"/>
          </w:tcPr>
          <w:p w14:paraId="1D4316BB"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36,1%</w:t>
            </w:r>
          </w:p>
        </w:tc>
        <w:tc>
          <w:tcPr>
            <w:tcW w:w="760" w:type="dxa"/>
            <w:tcBorders>
              <w:top w:val="nil"/>
              <w:left w:val="nil"/>
              <w:bottom w:val="single" w:sz="4" w:space="0" w:color="auto"/>
              <w:right w:val="nil"/>
            </w:tcBorders>
          </w:tcPr>
          <w:p w14:paraId="31CBCBA4"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10</w:t>
            </w:r>
          </w:p>
        </w:tc>
        <w:tc>
          <w:tcPr>
            <w:tcW w:w="845" w:type="dxa"/>
            <w:tcBorders>
              <w:top w:val="nil"/>
              <w:left w:val="nil"/>
              <w:bottom w:val="single" w:sz="4" w:space="0" w:color="auto"/>
              <w:right w:val="nil"/>
            </w:tcBorders>
            <w:shd w:val="clear" w:color="auto" w:fill="auto"/>
            <w:noWrap/>
            <w:vAlign w:val="bottom"/>
          </w:tcPr>
          <w:p w14:paraId="725025E5" w14:textId="77777777" w:rsidR="00C75889" w:rsidRPr="00133C26" w:rsidRDefault="00C75889" w:rsidP="00B91507">
            <w:pPr>
              <w:spacing w:after="0" w:line="240" w:lineRule="auto"/>
              <w:jc w:val="right"/>
              <w:rPr>
                <w:rFonts w:ascii="Calibri" w:eastAsia="Times New Roman" w:hAnsi="Calibri" w:cs="Calibri"/>
                <w:color w:val="000000"/>
                <w:lang w:eastAsia="es-BO"/>
              </w:rPr>
            </w:pPr>
            <w:r w:rsidRPr="00133C26">
              <w:rPr>
                <w:rFonts w:ascii="Calibri" w:eastAsia="Times New Roman" w:hAnsi="Calibri" w:cs="Calibri"/>
                <w:color w:val="000000"/>
                <w:lang w:eastAsia="es-BO"/>
              </w:rPr>
              <w:t>5,9%</w:t>
            </w:r>
          </w:p>
        </w:tc>
        <w:tc>
          <w:tcPr>
            <w:tcW w:w="570" w:type="dxa"/>
            <w:tcBorders>
              <w:top w:val="nil"/>
              <w:left w:val="nil"/>
              <w:bottom w:val="single" w:sz="4" w:space="0" w:color="auto"/>
              <w:right w:val="nil"/>
            </w:tcBorders>
          </w:tcPr>
          <w:p w14:paraId="07CAC1CC" w14:textId="77777777" w:rsidR="00C75889" w:rsidRDefault="00C75889" w:rsidP="00B91507">
            <w:pPr>
              <w:spacing w:after="0" w:line="240" w:lineRule="auto"/>
              <w:jc w:val="right"/>
              <w:rPr>
                <w:rFonts w:ascii="Calibri" w:eastAsia="Times New Roman" w:hAnsi="Calibri" w:cs="Calibri"/>
                <w:color w:val="000000"/>
                <w:lang w:eastAsia="es-BO"/>
              </w:rPr>
            </w:pPr>
            <w:r>
              <w:rPr>
                <w:rFonts w:ascii="Calibri" w:eastAsia="Times New Roman" w:hAnsi="Calibri" w:cs="Calibri"/>
                <w:color w:val="000000"/>
                <w:lang w:eastAsia="es-BO"/>
              </w:rPr>
              <w:t>169</w:t>
            </w:r>
          </w:p>
        </w:tc>
        <w:tc>
          <w:tcPr>
            <w:tcW w:w="704" w:type="dxa"/>
            <w:tcBorders>
              <w:top w:val="nil"/>
              <w:left w:val="nil"/>
              <w:bottom w:val="single" w:sz="4" w:space="0" w:color="auto"/>
              <w:right w:val="nil"/>
            </w:tcBorders>
            <w:shd w:val="clear" w:color="auto" w:fill="auto"/>
            <w:noWrap/>
            <w:vAlign w:val="bottom"/>
            <w:hideMark/>
          </w:tcPr>
          <w:p w14:paraId="08796F7A" w14:textId="77777777" w:rsidR="00C75889" w:rsidRPr="00381E7E" w:rsidRDefault="00C75889" w:rsidP="00B91507">
            <w:pPr>
              <w:spacing w:after="0" w:line="240" w:lineRule="auto"/>
              <w:jc w:val="right"/>
              <w:rPr>
                <w:rFonts w:ascii="Calibri" w:eastAsia="Times New Roman" w:hAnsi="Calibri" w:cs="Calibri"/>
                <w:color w:val="000000"/>
                <w:lang w:eastAsia="es-BO"/>
              </w:rPr>
            </w:pPr>
            <w:r>
              <w:rPr>
                <w:rFonts w:ascii="Calibri" w:eastAsia="Times New Roman" w:hAnsi="Calibri" w:cs="Calibri"/>
                <w:color w:val="000000"/>
                <w:lang w:eastAsia="es-BO"/>
              </w:rPr>
              <w:t>100%</w:t>
            </w:r>
          </w:p>
        </w:tc>
      </w:tr>
    </w:tbl>
    <w:p w14:paraId="3B03916E" w14:textId="5A5D3757" w:rsidR="00B04DFE" w:rsidRDefault="00C75889" w:rsidP="00B04DFE">
      <w:pPr>
        <w:spacing w:line="240" w:lineRule="auto"/>
        <w:jc w:val="both"/>
        <w:rPr>
          <w:rFonts w:ascii="Times New Roman" w:hAnsi="Times New Roman" w:cs="Times New Roman"/>
          <w:b/>
          <w:bCs/>
        </w:rPr>
      </w:pPr>
      <w:r w:rsidRPr="00D62BB4">
        <w:rPr>
          <w:rFonts w:ascii="Times New Roman" w:hAnsi="Times New Roman" w:cs="Times New Roman"/>
          <w:sz w:val="20"/>
          <w:szCs w:val="20"/>
        </w:rPr>
        <w:t xml:space="preserve">Nota: Elaboración propia base de datos estudiantes Facultad de Humanidades y Ciencias de la Educación/Universidad Mayor de San Simón </w:t>
      </w:r>
    </w:p>
    <w:bookmarkEnd w:id="9"/>
    <w:p w14:paraId="12EEF3BE" w14:textId="699D41FC" w:rsidR="00B04DFE" w:rsidRPr="00B03511" w:rsidRDefault="00B04DFE" w:rsidP="00B04DFE">
      <w:pPr>
        <w:spacing w:line="240" w:lineRule="auto"/>
        <w:jc w:val="both"/>
        <w:rPr>
          <w:rFonts w:ascii="Times New Roman" w:hAnsi="Times New Roman" w:cs="Times New Roman"/>
        </w:rPr>
      </w:pPr>
      <w:r w:rsidRPr="00B03511">
        <w:rPr>
          <w:rFonts w:ascii="Times New Roman" w:hAnsi="Times New Roman" w:cs="Times New Roman"/>
        </w:rPr>
        <w:t xml:space="preserve">Sintetizando, en general, los datos sugieren que el origen escolar, es decir, el tipo y ubicación del colegio de egreso, no es un factor determinante en el </w:t>
      </w:r>
      <w:r>
        <w:rPr>
          <w:rFonts w:ascii="Times New Roman" w:hAnsi="Times New Roman" w:cs="Times New Roman"/>
        </w:rPr>
        <w:t>rendimiento</w:t>
      </w:r>
      <w:r w:rsidRPr="00B03511">
        <w:rPr>
          <w:rFonts w:ascii="Times New Roman" w:hAnsi="Times New Roman" w:cs="Times New Roman"/>
        </w:rPr>
        <w:t xml:space="preserve"> académico de los estudiantes.</w:t>
      </w:r>
      <w:r w:rsidR="00D07FE1">
        <w:rPr>
          <w:rFonts w:ascii="Times New Roman" w:hAnsi="Times New Roman" w:cs="Times New Roman"/>
        </w:rPr>
        <w:t xml:space="preserve"> </w:t>
      </w:r>
    </w:p>
    <w:p w14:paraId="74097E23" w14:textId="77777777" w:rsidR="00B04DFE" w:rsidRPr="00F95E96" w:rsidRDefault="00B04DFE" w:rsidP="00B04DFE">
      <w:pPr>
        <w:pStyle w:val="Heading2"/>
        <w:numPr>
          <w:ilvl w:val="0"/>
          <w:numId w:val="1"/>
        </w:numPr>
        <w:spacing w:line="240" w:lineRule="auto"/>
        <w:rPr>
          <w:rFonts w:ascii="Times New Roman" w:hAnsi="Times New Roman" w:cs="Times New Roman"/>
          <w:b/>
          <w:bCs/>
          <w:color w:val="auto"/>
          <w:sz w:val="24"/>
          <w:szCs w:val="24"/>
        </w:rPr>
      </w:pPr>
      <w:r w:rsidRPr="00F95E96">
        <w:rPr>
          <w:rFonts w:ascii="Times New Roman" w:hAnsi="Times New Roman" w:cs="Times New Roman"/>
          <w:b/>
          <w:bCs/>
          <w:color w:val="auto"/>
          <w:sz w:val="24"/>
          <w:szCs w:val="24"/>
        </w:rPr>
        <w:t xml:space="preserve">Discusión </w:t>
      </w:r>
    </w:p>
    <w:p w14:paraId="2B38F4CF" w14:textId="77777777" w:rsidR="00B04DFE" w:rsidRPr="00A5117C" w:rsidRDefault="00B04DFE" w:rsidP="00B04DFE">
      <w:pPr>
        <w:pStyle w:val="NormalWeb"/>
        <w:spacing w:before="0" w:beforeAutospacing="0" w:after="160" w:afterAutospacing="0"/>
        <w:jc w:val="both"/>
        <w:rPr>
          <w:color w:val="FF0000"/>
        </w:rPr>
      </w:pPr>
      <w:r>
        <w:t xml:space="preserve">En el contexto de las desigualdades educativas y desde la perspectiva de la reproducción de la educación, este artículo analizó la relación entre el rendimiento académico y el origen escolar de los estudiantes de primer semestre de la UMSS. </w:t>
      </w:r>
      <w:r>
        <w:rPr>
          <w:color w:val="000000"/>
        </w:rPr>
        <w:t xml:space="preserve">Las investigaciones de </w:t>
      </w:r>
      <w:proofErr w:type="spellStart"/>
      <w:r>
        <w:rPr>
          <w:color w:val="000000"/>
        </w:rPr>
        <w:t>Llorent</w:t>
      </w:r>
      <w:proofErr w:type="spellEnd"/>
      <w:r>
        <w:rPr>
          <w:color w:val="000000"/>
        </w:rPr>
        <w:t xml:space="preserve"> y Terrón (2014) y de </w:t>
      </w:r>
      <w:r w:rsidRPr="00BB0F25">
        <w:rPr>
          <w:noProof/>
          <w:color w:val="000000"/>
        </w:rPr>
        <w:t xml:space="preserve">Verdugo-Guamán </w:t>
      </w:r>
      <w:r>
        <w:rPr>
          <w:noProof/>
          <w:color w:val="000000"/>
        </w:rPr>
        <w:t>et al.</w:t>
      </w:r>
      <w:r w:rsidRPr="00BB0F25">
        <w:rPr>
          <w:noProof/>
          <w:color w:val="000000"/>
        </w:rPr>
        <w:t xml:space="preserve"> (2023)</w:t>
      </w:r>
      <w:r>
        <w:rPr>
          <w:color w:val="000000"/>
        </w:rPr>
        <w:t xml:space="preserve"> también evidencian las desigualdades educativas, priorizando a los estudiantes provenientes de unidades educativas particulares con mejores promedios en comparación con aquellos del área rural, quienes enfrentan mayores limitaciones socioeconómicas. Esto coincide en cierta medida con los hallazgos del presente estudio, que sugieren que los estudiantes del área urbana tienden a obtener un mejor rendimiento académico debido a sus condiciones socioeconómicas.</w:t>
      </w:r>
    </w:p>
    <w:p w14:paraId="431478D9" w14:textId="77777777" w:rsidR="00B04DFE" w:rsidRDefault="00B04DFE" w:rsidP="00B04DFE">
      <w:pPr>
        <w:pStyle w:val="NormalWeb"/>
        <w:spacing w:before="0" w:beforeAutospacing="0" w:after="160" w:afterAutospacing="0"/>
        <w:jc w:val="both"/>
      </w:pPr>
      <w:r>
        <w:rPr>
          <w:color w:val="000000"/>
        </w:rPr>
        <w:t xml:space="preserve">Probablemente, entre todos los estudios revisados, los que mejor se corresponden con el marco de esta </w:t>
      </w:r>
      <w:r w:rsidRPr="003B0E75">
        <w:rPr>
          <w:color w:val="000000"/>
        </w:rPr>
        <w:t xml:space="preserve">investigación son los de Garbanzo (2007) y los de Terán y </w:t>
      </w:r>
      <w:proofErr w:type="spellStart"/>
      <w:r w:rsidRPr="003B0E75">
        <w:rPr>
          <w:color w:val="000000"/>
        </w:rPr>
        <w:t>Schulmeyer</w:t>
      </w:r>
      <w:proofErr w:type="spellEnd"/>
      <w:r w:rsidRPr="003B0E75">
        <w:rPr>
          <w:color w:val="000000"/>
        </w:rPr>
        <w:t xml:space="preserve"> (2022), ya que estos se centran en los factores que influyen en el </w:t>
      </w:r>
      <w:r>
        <w:rPr>
          <w:color w:val="000000"/>
        </w:rPr>
        <w:t>rendimiento</w:t>
      </w:r>
      <w:r w:rsidRPr="003B0E75">
        <w:rPr>
          <w:color w:val="000000"/>
        </w:rPr>
        <w:t xml:space="preserve"> académico, considerándolo como el resultado de la interacción entre factores personales, sociales e institucionales. Además, Quispe</w:t>
      </w:r>
      <w:r>
        <w:rPr>
          <w:color w:val="000000"/>
        </w:rPr>
        <w:t xml:space="preserve"> </w:t>
      </w:r>
      <w:r w:rsidRPr="003B0E75">
        <w:rPr>
          <w:color w:val="000000"/>
        </w:rPr>
        <w:t>(2024)</w:t>
      </w:r>
      <w:r>
        <w:rPr>
          <w:color w:val="000000"/>
        </w:rPr>
        <w:t xml:space="preserve"> encontró una brecha significativa entre la calidad en la educación secundaria y en la educación superior. </w:t>
      </w:r>
    </w:p>
    <w:p w14:paraId="036CF9E6" w14:textId="00F68F25" w:rsidR="00B04DFE" w:rsidRDefault="00B04DFE" w:rsidP="00B04DFE">
      <w:pPr>
        <w:pStyle w:val="NormalWeb"/>
        <w:spacing w:before="240" w:beforeAutospacing="0" w:after="0" w:afterAutospacing="0"/>
        <w:jc w:val="both"/>
      </w:pPr>
      <w:r>
        <w:rPr>
          <w:color w:val="000000"/>
          <w:shd w:val="clear" w:color="auto" w:fill="FFFFFF"/>
        </w:rPr>
        <w:t>Asimismo, los resultados de este estudio contrastan con lo planteado por Bonal (1998) en su teoría de la reproducción de la educación. En lo que respecta a la reproducción cultural, el autor sostiene que el sistema educativo opera como un mecanismo de transmisión cultural que determina, en gran medida, el éxito o el fracaso de ciertos grupos en su trayectoria escolar. Según esta perspectiva, los estudiantes de clase alta tienden a desenvolverse con mayor seguridad en la institución educativa, mientras que aquellos provenientes de clases populares deben esforzarse más para acceder al saber escolar. Los hallazgos no reflejan este patrón, ya que muestran que los estudiantes con mejores condiciones materiales, es decir, que provienen de colegios particulares y del área urbana, no necesariamente tienen un rendimiento académico óptimo.</w:t>
      </w:r>
      <w:r w:rsidR="0015052F">
        <w:rPr>
          <w:color w:val="000000"/>
          <w:shd w:val="clear" w:color="auto" w:fill="FFFFFF"/>
        </w:rPr>
        <w:t xml:space="preserve"> Sin embargo, los/as </w:t>
      </w:r>
      <w:r w:rsidR="0015052F">
        <w:rPr>
          <w:color w:val="000000"/>
          <w:shd w:val="clear" w:color="auto" w:fill="FFFFFF"/>
        </w:rPr>
        <w:lastRenderedPageBreak/>
        <w:t>postulantes que lograron ingresar a la facultad proceden de ese tipo de colegios y del área urbana.</w:t>
      </w:r>
    </w:p>
    <w:p w14:paraId="64A6FF38" w14:textId="5C9CC90E" w:rsidR="00B04DFE" w:rsidRPr="00ED1A96" w:rsidRDefault="00B04DFE" w:rsidP="005065F4">
      <w:pPr>
        <w:pStyle w:val="NormalWeb"/>
        <w:spacing w:before="240" w:beforeAutospacing="0" w:after="0" w:afterAutospacing="0"/>
        <w:jc w:val="both"/>
      </w:pPr>
      <w:r>
        <w:rPr>
          <w:color w:val="000000"/>
          <w:shd w:val="clear" w:color="auto" w:fill="FFFFFF"/>
        </w:rPr>
        <w:t>Por otra parte, en la teoría de la reproducción económica, Bonal (1998) sostiene que la escuela contribuye a la perpetuación de las posiciones sociales y las relaciones de poder, reforzando las desigualdades sociales. No obstante, en el estudio, no se indaga específicamente sobre ello, pero guarda relación al mostrar que el tipo de colegio de egreso y el lugar de procedencia no determina de manera directa el rendimiento académico.</w:t>
      </w:r>
    </w:p>
    <w:p w14:paraId="7599E5AD" w14:textId="77777777" w:rsidR="00B04DFE" w:rsidRPr="00F95E96" w:rsidRDefault="00B04DFE" w:rsidP="00B04DFE">
      <w:pPr>
        <w:pStyle w:val="Heading2"/>
        <w:spacing w:line="240" w:lineRule="auto"/>
        <w:rPr>
          <w:rFonts w:ascii="Times New Roman" w:hAnsi="Times New Roman" w:cs="Times New Roman"/>
          <w:b/>
          <w:bCs/>
          <w:color w:val="auto"/>
          <w:sz w:val="24"/>
          <w:szCs w:val="24"/>
        </w:rPr>
      </w:pPr>
      <w:r w:rsidRPr="00F95E96">
        <w:rPr>
          <w:rFonts w:ascii="Times New Roman" w:hAnsi="Times New Roman" w:cs="Times New Roman"/>
          <w:b/>
          <w:bCs/>
          <w:color w:val="auto"/>
          <w:sz w:val="24"/>
          <w:szCs w:val="24"/>
        </w:rPr>
        <w:t xml:space="preserve">Conclusiones </w:t>
      </w:r>
    </w:p>
    <w:p w14:paraId="2C0D11FD" w14:textId="77777777" w:rsidR="00B04DFE" w:rsidRDefault="00B04DFE" w:rsidP="00B04DFE">
      <w:pPr>
        <w:spacing w:line="240" w:lineRule="auto"/>
        <w:jc w:val="both"/>
        <w:rPr>
          <w:rFonts w:ascii="Times New Roman" w:hAnsi="Times New Roman" w:cs="Times New Roman"/>
        </w:rPr>
      </w:pPr>
      <w:r>
        <w:rPr>
          <w:rFonts w:ascii="Times New Roman" w:hAnsi="Times New Roman" w:cs="Times New Roman"/>
        </w:rPr>
        <w:t xml:space="preserve">El rendimiento académico es una entrada, entre muchas, para indagar en las desigualdades educativas en la universidad pública boliviana. A partir del tipo de colegio de egreso (fiscal, convenio y privada) y del área en el cual se ubica (rural y urbano) se indago en el rendimiento de estudiantes del primer semestre de la FHCE de la UMSS. En ese marco, los hallazgos de esta indagación sugieren que no existen diferencias marcadas en cuanto a rendimiento entre alumnos/as provenientes de diferentes sectores sociales. Se podría suponer que estudiantes de sectores sociales con mejores condiciones de vida tienen un desenvolvimiento destacado en comparación con los que provienen de sectores sociales bajos, pero la información sugiere que esta relación no es tan clara como se piensa. </w:t>
      </w:r>
    </w:p>
    <w:p w14:paraId="0C77DF5F" w14:textId="2F81FC58" w:rsidR="00B04DFE" w:rsidRDefault="00B04DFE" w:rsidP="00B04DFE">
      <w:pPr>
        <w:spacing w:line="240" w:lineRule="auto"/>
        <w:jc w:val="both"/>
        <w:rPr>
          <w:rFonts w:ascii="Times New Roman" w:hAnsi="Times New Roman" w:cs="Times New Roman"/>
        </w:rPr>
      </w:pPr>
      <w:r>
        <w:rPr>
          <w:rFonts w:ascii="Times New Roman" w:hAnsi="Times New Roman" w:cs="Times New Roman"/>
        </w:rPr>
        <w:t>En general, se puede afirmar que ciertos factores socioeconómicos como el tipo y ubicación del colegio no son determinantes para una explicación del buen o mal rendimiento académico de estudiantes universitarios</w:t>
      </w:r>
      <w:r w:rsidR="0015052F">
        <w:rPr>
          <w:rFonts w:ascii="Times New Roman" w:hAnsi="Times New Roman" w:cs="Times New Roman"/>
        </w:rPr>
        <w:t>, aunque nuestra información mostro que los que logran aprobar e ingresar a la Facultad proceden fundamentalmente de colegios particulares y urbanos.</w:t>
      </w:r>
    </w:p>
    <w:p w14:paraId="6DC0E56C" w14:textId="77777777" w:rsidR="00B04DFE" w:rsidRPr="00720393" w:rsidRDefault="00B04DFE" w:rsidP="00B04DFE">
      <w:pPr>
        <w:spacing w:line="240" w:lineRule="auto"/>
        <w:jc w:val="both"/>
        <w:rPr>
          <w:rFonts w:ascii="Times New Roman" w:hAnsi="Times New Roman" w:cs="Times New Roman"/>
        </w:rPr>
      </w:pPr>
      <w:r>
        <w:rPr>
          <w:rFonts w:ascii="Times New Roman" w:hAnsi="Times New Roman" w:cs="Times New Roman"/>
        </w:rPr>
        <w:t xml:space="preserve">Una de las limitaciones del estudio fue que la información base de la investigación se circunscribió al origen escolar de los estudiantes, es decir, el tipo y ubicación del colegio de egreso, para intentar a partir de ello explicar su rendimiento académico. Sería necesario indagar en otros factores que puedan explicar ese rendimiento. Asimismo, la información disponible sobre rendimiento académico se restringió a los promedios de notas, lo cual, si bien puede ser un indicador para verificar la eficacia de los procesos de enseñanza, es todavía un indicio inicial del mismo. </w:t>
      </w:r>
    </w:p>
    <w:p w14:paraId="1C2E5CFE" w14:textId="77777777" w:rsidR="00B04DFE" w:rsidRPr="00D479B5" w:rsidRDefault="00B04DFE" w:rsidP="00B04DFE">
      <w:pPr>
        <w:spacing w:before="240" w:after="240" w:line="240" w:lineRule="auto"/>
        <w:jc w:val="both"/>
        <w:rPr>
          <w:rFonts w:ascii="Times New Roman" w:eastAsia="Times New Roman" w:hAnsi="Times New Roman" w:cs="Times New Roman"/>
          <w:b/>
          <w:bCs/>
          <w:color w:val="000000"/>
          <w:kern w:val="0"/>
          <w:lang w:eastAsia="es-BO"/>
          <w14:ligatures w14:val="none"/>
        </w:rPr>
      </w:pPr>
      <w:r w:rsidRPr="008602BE">
        <w:rPr>
          <w:rFonts w:ascii="Times New Roman" w:eastAsia="Times New Roman" w:hAnsi="Times New Roman" w:cs="Times New Roman"/>
          <w:b/>
          <w:bCs/>
          <w:color w:val="000000"/>
          <w:kern w:val="0"/>
          <w:lang w:eastAsia="es-BO"/>
          <w14:ligatures w14:val="none"/>
        </w:rPr>
        <w:t>Referencias bibliográficas</w:t>
      </w:r>
      <w:r w:rsidRPr="008C0DB2">
        <w:rPr>
          <w:rFonts w:ascii="Times New Roman" w:eastAsia="Times New Roman" w:hAnsi="Times New Roman" w:cs="Times New Roman"/>
          <w:b/>
          <w:bCs/>
          <w:color w:val="000000"/>
          <w:kern w:val="0"/>
          <w:lang w:eastAsia="es-BO"/>
          <w14:ligatures w14:val="none"/>
        </w:rPr>
        <w:fldChar w:fldCharType="begin"/>
      </w:r>
      <w:r w:rsidRPr="008C0DB2">
        <w:rPr>
          <w:rFonts w:ascii="Times New Roman" w:eastAsia="Times New Roman" w:hAnsi="Times New Roman" w:cs="Times New Roman"/>
          <w:b/>
          <w:bCs/>
          <w:color w:val="000000"/>
          <w:kern w:val="0"/>
          <w:lang w:eastAsia="es-BO"/>
          <w14:ligatures w14:val="none"/>
        </w:rPr>
        <w:instrText xml:space="preserve"> BIBLIOGRAPHY  \l 16394 </w:instrText>
      </w:r>
      <w:r w:rsidRPr="008C0DB2">
        <w:rPr>
          <w:rFonts w:ascii="Times New Roman" w:eastAsia="Times New Roman" w:hAnsi="Times New Roman" w:cs="Times New Roman"/>
          <w:b/>
          <w:bCs/>
          <w:color w:val="000000"/>
          <w:kern w:val="0"/>
          <w:lang w:eastAsia="es-BO"/>
          <w14:ligatures w14:val="none"/>
        </w:rPr>
        <w:fldChar w:fldCharType="separate"/>
      </w:r>
    </w:p>
    <w:p w14:paraId="39B24062"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Bonal, X</w:t>
      </w:r>
      <w:r>
        <w:rPr>
          <w:rFonts w:ascii="Times New Roman" w:hAnsi="Times New Roman" w:cs="Times New Roman"/>
          <w:noProof/>
          <w:sz w:val="24"/>
          <w:szCs w:val="24"/>
        </w:rPr>
        <w:t>avier.</w:t>
      </w:r>
      <w:r w:rsidRPr="008C0DB2">
        <w:rPr>
          <w:rFonts w:ascii="Times New Roman" w:hAnsi="Times New Roman" w:cs="Times New Roman"/>
          <w:noProof/>
          <w:sz w:val="24"/>
          <w:szCs w:val="24"/>
        </w:rPr>
        <w:t xml:space="preserve"> (1998). </w:t>
      </w:r>
      <w:r w:rsidRPr="008C0DB2">
        <w:rPr>
          <w:rFonts w:ascii="Times New Roman" w:hAnsi="Times New Roman" w:cs="Times New Roman"/>
          <w:i/>
          <w:iCs/>
          <w:noProof/>
          <w:sz w:val="24"/>
          <w:szCs w:val="24"/>
        </w:rPr>
        <w:t>Sociología de la educación. Una aproximación crítica a las corrientes contemporáneas.</w:t>
      </w:r>
      <w:r w:rsidRPr="008C0DB2">
        <w:rPr>
          <w:rFonts w:ascii="Times New Roman" w:hAnsi="Times New Roman" w:cs="Times New Roman"/>
          <w:noProof/>
          <w:sz w:val="24"/>
          <w:szCs w:val="24"/>
        </w:rPr>
        <w:t xml:space="preserve"> Barcelona: Paidós.</w:t>
      </w:r>
    </w:p>
    <w:p w14:paraId="065CCDB7"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Comité Ejecutivo de la Universidad Boliviana. (2023). Modelo educativo del Sistema de la Universidad Boliviana. https://ceub.edu.bo/doc/sen/Modelo%20Educativo%20SUB%202023versi%C3%B3n%20final.pdf</w:t>
      </w:r>
    </w:p>
    <w:p w14:paraId="314C9E5A" w14:textId="77777777" w:rsidR="00B04DFE" w:rsidRDefault="00B04DFE" w:rsidP="00B04DFE">
      <w:pPr>
        <w:pStyle w:val="Bibliography"/>
        <w:spacing w:line="240" w:lineRule="auto"/>
        <w:ind w:left="720" w:hanging="720"/>
        <w:rPr>
          <w:rFonts w:ascii="Times New Roman" w:hAnsi="Times New Roman" w:cs="Times New Roman"/>
          <w:sz w:val="24"/>
          <w:szCs w:val="24"/>
        </w:rPr>
      </w:pPr>
      <w:r w:rsidRPr="00AA7A18">
        <w:rPr>
          <w:rFonts w:ascii="Times New Roman" w:hAnsi="Times New Roman" w:cs="Times New Roman"/>
          <w:sz w:val="24"/>
          <w:szCs w:val="24"/>
        </w:rPr>
        <w:lastRenderedPageBreak/>
        <w:t>Edel, R</w:t>
      </w:r>
      <w:r>
        <w:rPr>
          <w:rFonts w:ascii="Times New Roman" w:hAnsi="Times New Roman" w:cs="Times New Roman"/>
          <w:sz w:val="24"/>
          <w:szCs w:val="24"/>
        </w:rPr>
        <w:t>ubén</w:t>
      </w:r>
      <w:r w:rsidRPr="00AA7A18">
        <w:rPr>
          <w:rFonts w:ascii="Times New Roman" w:hAnsi="Times New Roman" w:cs="Times New Roman"/>
          <w:sz w:val="24"/>
          <w:szCs w:val="24"/>
        </w:rPr>
        <w:t>. (2000). El rendimiento académico: concepto, investigación y desarrollo. Revista Iberoamericana sobre Calidad, Eficacia y Cambio en Educación, 1 (2), 0.</w:t>
      </w:r>
      <w:r>
        <w:rPr>
          <w:rFonts w:ascii="Times New Roman" w:hAnsi="Times New Roman" w:cs="Times New Roman"/>
          <w:sz w:val="24"/>
          <w:szCs w:val="24"/>
        </w:rPr>
        <w:t xml:space="preserve"> </w:t>
      </w:r>
      <w:r w:rsidRPr="00AA7A18">
        <w:rPr>
          <w:rFonts w:ascii="Times New Roman" w:hAnsi="Times New Roman" w:cs="Times New Roman"/>
          <w:sz w:val="24"/>
          <w:szCs w:val="24"/>
        </w:rPr>
        <w:t>https://www.redalyc.org/pdf/551/55110208.pdf</w:t>
      </w:r>
    </w:p>
    <w:p w14:paraId="6363B75D"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Garbanzo, G</w:t>
      </w:r>
      <w:r>
        <w:rPr>
          <w:rFonts w:ascii="Times New Roman" w:hAnsi="Times New Roman" w:cs="Times New Roman"/>
          <w:noProof/>
          <w:sz w:val="24"/>
          <w:szCs w:val="24"/>
        </w:rPr>
        <w:t>uiselle</w:t>
      </w:r>
      <w:r w:rsidRPr="008C0DB2">
        <w:rPr>
          <w:rFonts w:ascii="Times New Roman" w:hAnsi="Times New Roman" w:cs="Times New Roman"/>
          <w:noProof/>
          <w:sz w:val="24"/>
          <w:szCs w:val="24"/>
        </w:rPr>
        <w:t xml:space="preserve">. (2007). Factores asociados al rendimiento académico en estudiantes universitarios, una reflexión desde la calidad de la educación superior pública. </w:t>
      </w:r>
      <w:r w:rsidRPr="008C0DB2">
        <w:rPr>
          <w:rFonts w:ascii="Times New Roman" w:hAnsi="Times New Roman" w:cs="Times New Roman"/>
          <w:i/>
          <w:iCs/>
          <w:noProof/>
          <w:sz w:val="24"/>
          <w:szCs w:val="24"/>
        </w:rPr>
        <w:t>Revista Educación, 31</w:t>
      </w:r>
      <w:r w:rsidRPr="008C0DB2">
        <w:rPr>
          <w:rFonts w:ascii="Times New Roman" w:hAnsi="Times New Roman" w:cs="Times New Roman"/>
          <w:noProof/>
          <w:sz w:val="24"/>
          <w:szCs w:val="24"/>
        </w:rPr>
        <w:t>(1), 43-63. https://revistas.ucr.ac.cr/index.php/educacion/article/view/1252/1315</w:t>
      </w:r>
    </w:p>
    <w:p w14:paraId="037E4E5E"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Llorent, V</w:t>
      </w:r>
      <w:r>
        <w:rPr>
          <w:rFonts w:ascii="Times New Roman" w:hAnsi="Times New Roman" w:cs="Times New Roman"/>
          <w:noProof/>
          <w:sz w:val="24"/>
          <w:szCs w:val="24"/>
        </w:rPr>
        <w:t>icente</w:t>
      </w:r>
      <w:r w:rsidRPr="008C0DB2">
        <w:rPr>
          <w:rFonts w:ascii="Times New Roman" w:hAnsi="Times New Roman" w:cs="Times New Roman"/>
          <w:noProof/>
          <w:sz w:val="24"/>
          <w:szCs w:val="24"/>
        </w:rPr>
        <w:t>,</w:t>
      </w:r>
      <w:r>
        <w:rPr>
          <w:rFonts w:ascii="Times New Roman" w:hAnsi="Times New Roman" w:cs="Times New Roman"/>
          <w:noProof/>
          <w:sz w:val="24"/>
          <w:szCs w:val="24"/>
        </w:rPr>
        <w:t xml:space="preserve"> y</w:t>
      </w:r>
      <w:r w:rsidRPr="008C0DB2">
        <w:rPr>
          <w:rFonts w:ascii="Times New Roman" w:hAnsi="Times New Roman" w:cs="Times New Roman"/>
          <w:noProof/>
          <w:sz w:val="24"/>
          <w:szCs w:val="24"/>
        </w:rPr>
        <w:t xml:space="preserve"> Terrón, T</w:t>
      </w:r>
      <w:r>
        <w:rPr>
          <w:rFonts w:ascii="Times New Roman" w:hAnsi="Times New Roman" w:cs="Times New Roman"/>
          <w:noProof/>
          <w:sz w:val="24"/>
          <w:szCs w:val="24"/>
        </w:rPr>
        <w:t>eresa</w:t>
      </w:r>
      <w:r w:rsidRPr="008C0DB2">
        <w:rPr>
          <w:rFonts w:ascii="Times New Roman" w:hAnsi="Times New Roman" w:cs="Times New Roman"/>
          <w:noProof/>
          <w:sz w:val="24"/>
          <w:szCs w:val="24"/>
        </w:rPr>
        <w:t xml:space="preserve">. (2014). La desigualdad socioeconómica y su efecto en el rendimiento académico en el sistema de educación de México. </w:t>
      </w:r>
      <w:r w:rsidRPr="008C0DB2">
        <w:rPr>
          <w:rFonts w:ascii="Times New Roman" w:hAnsi="Times New Roman" w:cs="Times New Roman"/>
          <w:i/>
          <w:iCs/>
          <w:noProof/>
          <w:sz w:val="24"/>
          <w:szCs w:val="24"/>
        </w:rPr>
        <w:t>Estudios sobre las Cultura Contemporáneas, 20</w:t>
      </w:r>
      <w:r w:rsidRPr="008C0DB2">
        <w:rPr>
          <w:rFonts w:ascii="Times New Roman" w:hAnsi="Times New Roman" w:cs="Times New Roman"/>
          <w:noProof/>
          <w:sz w:val="24"/>
          <w:szCs w:val="24"/>
        </w:rPr>
        <w:t>(40), 67-87. https://www.redalyc.org/pdf/316/31632785004.pdf</w:t>
      </w:r>
    </w:p>
    <w:p w14:paraId="1F912EFD"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Manzano, N</w:t>
      </w:r>
      <w:r>
        <w:rPr>
          <w:rFonts w:ascii="Times New Roman" w:hAnsi="Times New Roman" w:cs="Times New Roman"/>
          <w:noProof/>
          <w:sz w:val="24"/>
          <w:szCs w:val="24"/>
        </w:rPr>
        <w:t>elson.</w:t>
      </w:r>
      <w:r w:rsidRPr="008C0DB2">
        <w:rPr>
          <w:rFonts w:ascii="Times New Roman" w:hAnsi="Times New Roman" w:cs="Times New Roman"/>
          <w:noProof/>
          <w:sz w:val="24"/>
          <w:szCs w:val="24"/>
        </w:rPr>
        <w:t xml:space="preserve"> (2015). </w:t>
      </w:r>
      <w:r w:rsidRPr="008C0DB2">
        <w:rPr>
          <w:rFonts w:ascii="Times New Roman" w:hAnsi="Times New Roman" w:cs="Times New Roman"/>
          <w:i/>
          <w:iCs/>
          <w:noProof/>
          <w:sz w:val="24"/>
          <w:szCs w:val="24"/>
        </w:rPr>
        <w:t>El complejo territorial de la Región Metropolitana de Cochabamba.</w:t>
      </w:r>
      <w:r w:rsidRPr="008C0DB2">
        <w:rPr>
          <w:rFonts w:ascii="Times New Roman" w:hAnsi="Times New Roman" w:cs="Times New Roman"/>
          <w:noProof/>
          <w:sz w:val="24"/>
          <w:szCs w:val="24"/>
        </w:rPr>
        <w:t xml:space="preserve"> IESE-UMSS. </w:t>
      </w:r>
    </w:p>
    <w:p w14:paraId="1FC4544A"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Quispe Condori, Y</w:t>
      </w:r>
      <w:r>
        <w:rPr>
          <w:rFonts w:ascii="Times New Roman" w:hAnsi="Times New Roman" w:cs="Times New Roman"/>
          <w:noProof/>
          <w:sz w:val="24"/>
          <w:szCs w:val="24"/>
        </w:rPr>
        <w:t>elmo.</w:t>
      </w:r>
      <w:r w:rsidRPr="008C0DB2">
        <w:rPr>
          <w:rFonts w:ascii="Times New Roman" w:hAnsi="Times New Roman" w:cs="Times New Roman"/>
          <w:noProof/>
          <w:sz w:val="24"/>
          <w:szCs w:val="24"/>
        </w:rPr>
        <w:t xml:space="preserve"> (2024). Brecha educativa entre estudiantes de secundaria y Universidad Pública de El Alto. </w:t>
      </w:r>
      <w:r w:rsidRPr="008C0DB2">
        <w:rPr>
          <w:rFonts w:ascii="Times New Roman" w:hAnsi="Times New Roman" w:cs="Times New Roman"/>
          <w:i/>
          <w:iCs/>
          <w:noProof/>
          <w:sz w:val="24"/>
          <w:szCs w:val="24"/>
        </w:rPr>
        <w:t>Alternancia - Revista de Educación e Investigación, 6</w:t>
      </w:r>
      <w:r w:rsidRPr="008C0DB2">
        <w:rPr>
          <w:rFonts w:ascii="Times New Roman" w:hAnsi="Times New Roman" w:cs="Times New Roman"/>
          <w:noProof/>
          <w:sz w:val="24"/>
          <w:szCs w:val="24"/>
        </w:rPr>
        <w:t>(10), 35-49. https://revistaalternancia.org/index.php/alternancia/article/view/1243</w:t>
      </w:r>
    </w:p>
    <w:p w14:paraId="49E24D16"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Terán, A</w:t>
      </w:r>
      <w:r>
        <w:rPr>
          <w:rFonts w:ascii="Times New Roman" w:hAnsi="Times New Roman" w:cs="Times New Roman"/>
          <w:noProof/>
          <w:sz w:val="24"/>
          <w:szCs w:val="24"/>
        </w:rPr>
        <w:t>driana</w:t>
      </w:r>
      <w:r w:rsidRPr="008C0DB2">
        <w:rPr>
          <w:rFonts w:ascii="Times New Roman" w:hAnsi="Times New Roman" w:cs="Times New Roman"/>
          <w:noProof/>
          <w:sz w:val="24"/>
          <w:szCs w:val="24"/>
        </w:rPr>
        <w:t xml:space="preserve">, </w:t>
      </w:r>
      <w:r>
        <w:rPr>
          <w:rFonts w:ascii="Times New Roman" w:hAnsi="Times New Roman" w:cs="Times New Roman"/>
          <w:noProof/>
          <w:sz w:val="24"/>
          <w:szCs w:val="24"/>
        </w:rPr>
        <w:t>y</w:t>
      </w:r>
      <w:r w:rsidRPr="008C0DB2">
        <w:rPr>
          <w:rFonts w:ascii="Times New Roman" w:hAnsi="Times New Roman" w:cs="Times New Roman"/>
          <w:noProof/>
          <w:sz w:val="24"/>
          <w:szCs w:val="24"/>
        </w:rPr>
        <w:t xml:space="preserve"> Schulmeyer, M</w:t>
      </w:r>
      <w:r>
        <w:rPr>
          <w:rFonts w:ascii="Times New Roman" w:hAnsi="Times New Roman" w:cs="Times New Roman"/>
          <w:noProof/>
          <w:sz w:val="24"/>
          <w:szCs w:val="24"/>
        </w:rPr>
        <w:t>arion</w:t>
      </w:r>
      <w:r w:rsidRPr="008C0DB2">
        <w:rPr>
          <w:rFonts w:ascii="Times New Roman" w:hAnsi="Times New Roman" w:cs="Times New Roman"/>
          <w:noProof/>
          <w:sz w:val="24"/>
          <w:szCs w:val="24"/>
        </w:rPr>
        <w:t xml:space="preserve">. (2022). Relación entre el rendimiento académico en secundaria y el rendimiento académico universitario. </w:t>
      </w:r>
      <w:r w:rsidRPr="008C0DB2">
        <w:rPr>
          <w:rFonts w:ascii="Times New Roman" w:hAnsi="Times New Roman" w:cs="Times New Roman"/>
          <w:i/>
          <w:iCs/>
          <w:noProof/>
          <w:sz w:val="24"/>
          <w:szCs w:val="24"/>
        </w:rPr>
        <w:t>Aportes</w:t>
      </w:r>
      <w:r w:rsidRPr="008C0DB2">
        <w:rPr>
          <w:rFonts w:ascii="Times New Roman" w:hAnsi="Times New Roman" w:cs="Times New Roman"/>
          <w:noProof/>
          <w:sz w:val="24"/>
          <w:szCs w:val="24"/>
        </w:rPr>
        <w:t>(32), 55-66. http://www.scielo.org.bo/scielo.php?pid=S2306-86712022000100005&amp;script=sci_abstract</w:t>
      </w:r>
    </w:p>
    <w:p w14:paraId="09B4134C"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Universidad Mayor de San Simón. (1990). Estatuto orgánico de la UMSS. https://www.umss.edu.bo/wp-content/uploads/2019/12/Estatuto-organico-de-la-UMSS.pdf</w:t>
      </w:r>
    </w:p>
    <w:p w14:paraId="5C54F6F7"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 xml:space="preserve">Universidad Mayor de San Simón. (18 de Febrero de 2025). </w:t>
      </w:r>
      <w:r w:rsidRPr="008C0DB2">
        <w:rPr>
          <w:rFonts w:ascii="Times New Roman" w:hAnsi="Times New Roman" w:cs="Times New Roman"/>
          <w:i/>
          <w:iCs/>
          <w:noProof/>
          <w:sz w:val="24"/>
          <w:szCs w:val="24"/>
        </w:rPr>
        <w:t>Portal Estadístico San Simón UMSS STAT</w:t>
      </w:r>
      <w:r w:rsidRPr="008C0DB2">
        <w:rPr>
          <w:rFonts w:ascii="Times New Roman" w:hAnsi="Times New Roman" w:cs="Times New Roman"/>
          <w:noProof/>
          <w:sz w:val="24"/>
          <w:szCs w:val="24"/>
        </w:rPr>
        <w:t>. https://umssstat.umss.edu.bo/</w:t>
      </w:r>
    </w:p>
    <w:p w14:paraId="42934FF3" w14:textId="77777777" w:rsidR="00B04DFE" w:rsidRPr="008C0DB2" w:rsidRDefault="00B04DFE" w:rsidP="00B04DFE">
      <w:pPr>
        <w:pStyle w:val="Bibliography"/>
        <w:spacing w:line="240" w:lineRule="auto"/>
        <w:ind w:left="720" w:hanging="720"/>
        <w:rPr>
          <w:rFonts w:ascii="Times New Roman" w:hAnsi="Times New Roman" w:cs="Times New Roman"/>
          <w:noProof/>
          <w:sz w:val="24"/>
          <w:szCs w:val="24"/>
        </w:rPr>
      </w:pPr>
      <w:r w:rsidRPr="008C0DB2">
        <w:rPr>
          <w:rFonts w:ascii="Times New Roman" w:hAnsi="Times New Roman" w:cs="Times New Roman"/>
          <w:noProof/>
          <w:sz w:val="24"/>
          <w:szCs w:val="24"/>
        </w:rPr>
        <w:t>Verdugo-Guamán, M</w:t>
      </w:r>
      <w:r>
        <w:rPr>
          <w:rFonts w:ascii="Times New Roman" w:hAnsi="Times New Roman" w:cs="Times New Roman"/>
          <w:noProof/>
          <w:sz w:val="24"/>
          <w:szCs w:val="24"/>
        </w:rPr>
        <w:t>aría</w:t>
      </w:r>
      <w:r w:rsidRPr="008C0DB2">
        <w:rPr>
          <w:rFonts w:ascii="Times New Roman" w:hAnsi="Times New Roman" w:cs="Times New Roman"/>
          <w:noProof/>
          <w:sz w:val="24"/>
          <w:szCs w:val="24"/>
        </w:rPr>
        <w:t>, Cabrera-Ortiz, F</w:t>
      </w:r>
      <w:r>
        <w:rPr>
          <w:rFonts w:ascii="Times New Roman" w:hAnsi="Times New Roman" w:cs="Times New Roman"/>
          <w:noProof/>
          <w:sz w:val="24"/>
          <w:szCs w:val="24"/>
        </w:rPr>
        <w:t>reddy</w:t>
      </w:r>
      <w:r w:rsidRPr="008C0DB2">
        <w:rPr>
          <w:rFonts w:ascii="Times New Roman" w:hAnsi="Times New Roman" w:cs="Times New Roman"/>
          <w:noProof/>
          <w:sz w:val="24"/>
          <w:szCs w:val="24"/>
        </w:rPr>
        <w:t>, Cabrera-Tenecela, H</w:t>
      </w:r>
      <w:r>
        <w:rPr>
          <w:rFonts w:ascii="Times New Roman" w:hAnsi="Times New Roman" w:cs="Times New Roman"/>
          <w:noProof/>
          <w:sz w:val="24"/>
          <w:szCs w:val="24"/>
        </w:rPr>
        <w:t>omero</w:t>
      </w:r>
      <w:r w:rsidRPr="008C0DB2">
        <w:rPr>
          <w:rFonts w:ascii="Times New Roman" w:hAnsi="Times New Roman" w:cs="Times New Roman"/>
          <w:noProof/>
          <w:sz w:val="24"/>
          <w:szCs w:val="24"/>
        </w:rPr>
        <w:t xml:space="preserve">, </w:t>
      </w:r>
      <w:r>
        <w:rPr>
          <w:rFonts w:ascii="Times New Roman" w:hAnsi="Times New Roman" w:cs="Times New Roman"/>
          <w:noProof/>
          <w:sz w:val="24"/>
          <w:szCs w:val="24"/>
        </w:rPr>
        <w:t>y</w:t>
      </w:r>
      <w:r w:rsidRPr="008C0DB2">
        <w:rPr>
          <w:rFonts w:ascii="Times New Roman" w:hAnsi="Times New Roman" w:cs="Times New Roman"/>
          <w:noProof/>
          <w:sz w:val="24"/>
          <w:szCs w:val="24"/>
        </w:rPr>
        <w:t xml:space="preserve"> Escudero-Durán, M</w:t>
      </w:r>
      <w:r>
        <w:rPr>
          <w:rFonts w:ascii="Times New Roman" w:hAnsi="Times New Roman" w:cs="Times New Roman"/>
          <w:noProof/>
          <w:sz w:val="24"/>
          <w:szCs w:val="24"/>
        </w:rPr>
        <w:t>aría</w:t>
      </w:r>
      <w:r w:rsidRPr="008C0DB2">
        <w:rPr>
          <w:rFonts w:ascii="Times New Roman" w:hAnsi="Times New Roman" w:cs="Times New Roman"/>
          <w:noProof/>
          <w:sz w:val="24"/>
          <w:szCs w:val="24"/>
        </w:rPr>
        <w:t xml:space="preserve">. (2023). Factores que inciden en el rendimiento académico en los primero años de los estudiantes de la Universidad de Cuenca, Ecuador. </w:t>
      </w:r>
      <w:r w:rsidRPr="008C0DB2">
        <w:rPr>
          <w:rFonts w:ascii="Times New Roman" w:hAnsi="Times New Roman" w:cs="Times New Roman"/>
          <w:i/>
          <w:iCs/>
          <w:noProof/>
          <w:sz w:val="24"/>
          <w:szCs w:val="24"/>
        </w:rPr>
        <w:t>Revista Andina de Educación, 6</w:t>
      </w:r>
      <w:r w:rsidRPr="008C0DB2">
        <w:rPr>
          <w:rFonts w:ascii="Times New Roman" w:hAnsi="Times New Roman" w:cs="Times New Roman"/>
          <w:noProof/>
          <w:sz w:val="24"/>
          <w:szCs w:val="24"/>
        </w:rPr>
        <w:t>(2). http://scielo.senescyt.gob.ec/scielo.php?script=sci_arttext&amp;pid=S2631-28162023000100013</w:t>
      </w:r>
    </w:p>
    <w:p w14:paraId="7E83515B" w14:textId="53FAD8DB" w:rsidR="001923DC" w:rsidRPr="0015052F" w:rsidRDefault="00B04DFE" w:rsidP="0015052F">
      <w:pPr>
        <w:spacing w:before="240" w:after="240" w:line="240" w:lineRule="auto"/>
        <w:jc w:val="both"/>
        <w:rPr>
          <w:rFonts w:ascii="Times New Roman" w:eastAsia="Times New Roman" w:hAnsi="Times New Roman" w:cs="Times New Roman"/>
          <w:b/>
          <w:bCs/>
          <w:color w:val="000000"/>
          <w:kern w:val="0"/>
          <w:lang w:eastAsia="es-BO"/>
          <w14:ligatures w14:val="none"/>
        </w:rPr>
      </w:pPr>
      <w:r w:rsidRPr="008C0DB2">
        <w:rPr>
          <w:rFonts w:ascii="Times New Roman" w:eastAsia="Times New Roman" w:hAnsi="Times New Roman" w:cs="Times New Roman"/>
          <w:b/>
          <w:bCs/>
          <w:color w:val="000000"/>
          <w:kern w:val="0"/>
          <w:lang w:eastAsia="es-BO"/>
          <w14:ligatures w14:val="none"/>
        </w:rPr>
        <w:fldChar w:fldCharType="end"/>
      </w:r>
    </w:p>
    <w:sectPr w:rsidR="001923DC" w:rsidRPr="0015052F"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E5D6F" w14:textId="77777777" w:rsidR="001F3026" w:rsidRPr="00BA642E" w:rsidRDefault="001F3026" w:rsidP="00C802F5">
      <w:pPr>
        <w:spacing w:after="0" w:line="240" w:lineRule="auto"/>
      </w:pPr>
      <w:r w:rsidRPr="00BA642E">
        <w:separator/>
      </w:r>
    </w:p>
  </w:endnote>
  <w:endnote w:type="continuationSeparator" w:id="0">
    <w:p w14:paraId="23F028DF" w14:textId="77777777" w:rsidR="001F3026" w:rsidRPr="00BA642E" w:rsidRDefault="001F302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tka Text">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Footer"/>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67680" w14:textId="77777777" w:rsidR="001F3026" w:rsidRPr="00BA642E" w:rsidRDefault="001F3026" w:rsidP="00C802F5">
      <w:pPr>
        <w:spacing w:after="0" w:line="240" w:lineRule="auto"/>
      </w:pPr>
      <w:r w:rsidRPr="00BA642E">
        <w:separator/>
      </w:r>
    </w:p>
  </w:footnote>
  <w:footnote w:type="continuationSeparator" w:id="0">
    <w:p w14:paraId="43DD22D0" w14:textId="77777777" w:rsidR="001F3026" w:rsidRPr="00BA642E" w:rsidRDefault="001F302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Header"/>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34F17"/>
    <w:multiLevelType w:val="multilevel"/>
    <w:tmpl w:val="48BA96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B4F50"/>
    <w:rsid w:val="0015052F"/>
    <w:rsid w:val="00156A7E"/>
    <w:rsid w:val="001816D6"/>
    <w:rsid w:val="00185F5E"/>
    <w:rsid w:val="001923DC"/>
    <w:rsid w:val="001970C5"/>
    <w:rsid w:val="001F3026"/>
    <w:rsid w:val="002327C3"/>
    <w:rsid w:val="00312392"/>
    <w:rsid w:val="003A077E"/>
    <w:rsid w:val="003A6692"/>
    <w:rsid w:val="004040C0"/>
    <w:rsid w:val="00415F1C"/>
    <w:rsid w:val="00437E9C"/>
    <w:rsid w:val="004E5ECA"/>
    <w:rsid w:val="005065F4"/>
    <w:rsid w:val="00522278"/>
    <w:rsid w:val="0053073D"/>
    <w:rsid w:val="00550766"/>
    <w:rsid w:val="0058689C"/>
    <w:rsid w:val="005F3B2E"/>
    <w:rsid w:val="006073B4"/>
    <w:rsid w:val="00636FB0"/>
    <w:rsid w:val="007017D6"/>
    <w:rsid w:val="00701F64"/>
    <w:rsid w:val="007B5B5F"/>
    <w:rsid w:val="007D233B"/>
    <w:rsid w:val="0085070B"/>
    <w:rsid w:val="008F2141"/>
    <w:rsid w:val="009A096F"/>
    <w:rsid w:val="009B70EF"/>
    <w:rsid w:val="00A17247"/>
    <w:rsid w:val="00B04DFE"/>
    <w:rsid w:val="00B45CA9"/>
    <w:rsid w:val="00BA642E"/>
    <w:rsid w:val="00BC236F"/>
    <w:rsid w:val="00BF3832"/>
    <w:rsid w:val="00C75889"/>
    <w:rsid w:val="00C802F5"/>
    <w:rsid w:val="00C96B2C"/>
    <w:rsid w:val="00CC04C1"/>
    <w:rsid w:val="00D07FE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923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DC"/>
    <w:rPr>
      <w:rFonts w:eastAsiaTheme="majorEastAsia" w:cstheme="majorBidi"/>
      <w:color w:val="272727" w:themeColor="text1" w:themeTint="D8"/>
    </w:rPr>
  </w:style>
  <w:style w:type="paragraph" w:styleId="Title">
    <w:name w:val="Title"/>
    <w:basedOn w:val="Normal"/>
    <w:next w:val="Normal"/>
    <w:link w:val="Title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DC"/>
    <w:pPr>
      <w:spacing w:before="160"/>
      <w:jc w:val="center"/>
    </w:pPr>
    <w:rPr>
      <w:i/>
      <w:iCs/>
      <w:color w:val="404040" w:themeColor="text1" w:themeTint="BF"/>
    </w:rPr>
  </w:style>
  <w:style w:type="character" w:customStyle="1" w:styleId="QuoteChar">
    <w:name w:val="Quote Char"/>
    <w:basedOn w:val="DefaultParagraphFont"/>
    <w:link w:val="Quote"/>
    <w:uiPriority w:val="29"/>
    <w:rsid w:val="001923DC"/>
    <w:rPr>
      <w:i/>
      <w:iCs/>
      <w:color w:val="404040" w:themeColor="text1" w:themeTint="BF"/>
    </w:rPr>
  </w:style>
  <w:style w:type="paragraph" w:styleId="ListParagraph">
    <w:name w:val="List Paragraph"/>
    <w:basedOn w:val="Normal"/>
    <w:uiPriority w:val="34"/>
    <w:qFormat/>
    <w:rsid w:val="001923DC"/>
    <w:pPr>
      <w:ind w:left="720"/>
      <w:contextualSpacing/>
    </w:pPr>
  </w:style>
  <w:style w:type="character" w:styleId="IntenseEmphasis">
    <w:name w:val="Intense Emphasis"/>
    <w:basedOn w:val="DefaultParagraphFont"/>
    <w:uiPriority w:val="21"/>
    <w:qFormat/>
    <w:rsid w:val="001923DC"/>
    <w:rPr>
      <w:i/>
      <w:iCs/>
      <w:color w:val="2F5496" w:themeColor="accent1" w:themeShade="BF"/>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paragraph" w:styleId="Header">
    <w:name w:val="header"/>
    <w:basedOn w:val="Normal"/>
    <w:link w:val="HeaderChar"/>
    <w:uiPriority w:val="99"/>
    <w:unhideWhenUsed/>
    <w:rsid w:val="00C802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C802F5"/>
  </w:style>
  <w:style w:type="paragraph" w:styleId="Footer">
    <w:name w:val="footer"/>
    <w:basedOn w:val="Normal"/>
    <w:link w:val="FooterChar"/>
    <w:uiPriority w:val="99"/>
    <w:unhideWhenUsed/>
    <w:rsid w:val="00C802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C802F5"/>
  </w:style>
  <w:style w:type="character" w:styleId="Hyperlink">
    <w:name w:val="Hyperlink"/>
    <w:basedOn w:val="DefaultParagraphFont"/>
    <w:uiPriority w:val="99"/>
    <w:unhideWhenUsed/>
    <w:rsid w:val="00C802F5"/>
    <w:rPr>
      <w:color w:val="0563C1" w:themeColor="hyperlink"/>
      <w:u w:val="single"/>
    </w:rPr>
  </w:style>
  <w:style w:type="character" w:styleId="UnresolvedMention">
    <w:name w:val="Unresolved Mention"/>
    <w:basedOn w:val="DefaultParagraphFont"/>
    <w:uiPriority w:val="99"/>
    <w:semiHidden/>
    <w:unhideWhenUsed/>
    <w:rsid w:val="00C802F5"/>
    <w:rPr>
      <w:color w:val="605E5C"/>
      <w:shd w:val="clear" w:color="auto" w:fill="E1DFDD"/>
    </w:rPr>
  </w:style>
  <w:style w:type="paragraph" w:styleId="NormalWeb">
    <w:name w:val="Normal (Web)"/>
    <w:basedOn w:val="Normal"/>
    <w:uiPriority w:val="99"/>
    <w:unhideWhenUsed/>
    <w:rsid w:val="00B04DFE"/>
    <w:pPr>
      <w:spacing w:before="100" w:beforeAutospacing="1" w:after="100" w:afterAutospacing="1" w:line="240" w:lineRule="auto"/>
    </w:pPr>
    <w:rPr>
      <w:rFonts w:ascii="Times New Roman" w:eastAsia="Times New Roman" w:hAnsi="Times New Roman" w:cs="Times New Roman"/>
      <w:kern w:val="0"/>
      <w:lang w:val="es-BO" w:eastAsia="es-BO"/>
      <w14:ligatures w14:val="none"/>
    </w:rPr>
  </w:style>
  <w:style w:type="paragraph" w:styleId="Bibliography">
    <w:name w:val="Bibliography"/>
    <w:basedOn w:val="Normal"/>
    <w:next w:val="Normal"/>
    <w:uiPriority w:val="37"/>
    <w:unhideWhenUsed/>
    <w:rsid w:val="00B04DFE"/>
    <w:pPr>
      <w:spacing w:line="259" w:lineRule="auto"/>
    </w:pPr>
    <w:rPr>
      <w:sz w:val="22"/>
      <w:szCs w:val="22"/>
      <w:lang w:val="es-BO"/>
    </w:rPr>
  </w:style>
  <w:style w:type="paragraph" w:customStyle="1" w:styleId="Pa5">
    <w:name w:val="Pa5"/>
    <w:basedOn w:val="Normal"/>
    <w:next w:val="Normal"/>
    <w:uiPriority w:val="99"/>
    <w:rsid w:val="00B04DFE"/>
    <w:pPr>
      <w:autoSpaceDE w:val="0"/>
      <w:autoSpaceDN w:val="0"/>
      <w:adjustRightInd w:val="0"/>
      <w:spacing w:after="0" w:line="241" w:lineRule="atLeast"/>
    </w:pPr>
    <w:rPr>
      <w:rFonts w:ascii="Cambria" w:hAnsi="Cambria"/>
      <w:kern w:val="0"/>
      <w:lang w:val="es-BO"/>
    </w:rPr>
  </w:style>
  <w:style w:type="table" w:styleId="TableGrid">
    <w:name w:val="Table Grid"/>
    <w:basedOn w:val="TableNormal"/>
    <w:uiPriority w:val="39"/>
    <w:rsid w:val="00C75889"/>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9B70EF"/>
    <w:rPr>
      <w:vertAlign w:val="superscript"/>
    </w:rPr>
  </w:style>
  <w:style w:type="paragraph" w:styleId="FootnoteText">
    <w:name w:val="footnote text"/>
    <w:basedOn w:val="Normal"/>
    <w:link w:val="FootnoteTextChar"/>
    <w:uiPriority w:val="99"/>
    <w:semiHidden/>
    <w:unhideWhenUsed/>
    <w:rsid w:val="009B70EF"/>
    <w:pPr>
      <w:spacing w:after="0" w:line="240" w:lineRule="auto"/>
    </w:pPr>
    <w:rPr>
      <w:kern w:val="0"/>
      <w:sz w:val="20"/>
      <w:szCs w:val="20"/>
      <w:lang w:val="es-MX"/>
      <w14:ligatures w14:val="none"/>
    </w:rPr>
  </w:style>
  <w:style w:type="character" w:customStyle="1" w:styleId="FootnoteTextChar">
    <w:name w:val="Footnote Text Char"/>
    <w:basedOn w:val="DefaultParagraphFont"/>
    <w:link w:val="FootnoteText"/>
    <w:uiPriority w:val="99"/>
    <w:semiHidden/>
    <w:rsid w:val="009B70EF"/>
    <w:rPr>
      <w:kern w:val="0"/>
      <w:sz w:val="20"/>
      <w:szCs w:val="20"/>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ireya\OneDrive\Escritorio\PROYECTO%20INVESTIGACION%20IIFHCE%202024\postulantes1-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reya\OneDrive\Escritorio\PROYECTO%20INVESTIGACION%20IIFHCE%202024\postulantes1-2024.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Mireya\OneDrive\Escritorio\PROYECTO%20INVESTIGACION%20IIFHCE%202024\postulantes1-2024.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ireya\OneDrive\Escritorio\PROYECTO%20INVESTIGACION%20IIFHCE%202024\postulantes1-2024.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ireya\OneDrive\Escritorio\PROYECTO%20INVESTIGACION%20IIFHCE%202024\Alumnos%201-2024%20FHC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800" b="1" i="0" u="none" strike="noStrike" kern="1200" baseline="0">
                    <a:solidFill>
                      <a:sysClr val="windowText" lastClr="000000"/>
                    </a:solidFill>
                    <a:latin typeface="+mn-lt"/>
                    <a:ea typeface="+mn-ea"/>
                    <a:cs typeface="+mn-cs"/>
                  </a:defRPr>
                </a:pPr>
                <a:endParaRPr lang="es-B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'Frec simple x variable'!$P$92:$P$98</c:f>
              <c:strCache>
                <c:ptCount val="7"/>
                <c:pt idx="0">
                  <c:v>Cochabamba - Región Metropolitana</c:v>
                </c:pt>
                <c:pt idx="1">
                  <c:v>Cochabamba - Región Cono Sur</c:v>
                </c:pt>
                <c:pt idx="2">
                  <c:v>Cochabamba - Región Valles</c:v>
                </c:pt>
                <c:pt idx="3">
                  <c:v>Cochabamba - Región Andina</c:v>
                </c:pt>
                <c:pt idx="4">
                  <c:v>Cochabamba - Región Trópico</c:v>
                </c:pt>
                <c:pt idx="5">
                  <c:v>Otros Departamentos - Ciudades capitales</c:v>
                </c:pt>
                <c:pt idx="6">
                  <c:v>Otros Departamentos - Provincias</c:v>
                </c:pt>
              </c:strCache>
            </c:strRef>
          </c:cat>
          <c:val>
            <c:numRef>
              <c:f>'Frec simple x variable'!$Q$92:$Q$98</c:f>
              <c:numCache>
                <c:formatCode>0.00%</c:formatCode>
                <c:ptCount val="7"/>
                <c:pt idx="0">
                  <c:v>0.72660000000000002</c:v>
                </c:pt>
                <c:pt idx="1">
                  <c:v>2.8899999999999999E-2</c:v>
                </c:pt>
                <c:pt idx="2">
                  <c:v>3.9399999999999998E-2</c:v>
                </c:pt>
                <c:pt idx="3">
                  <c:v>1.4200000000000001E-2</c:v>
                </c:pt>
                <c:pt idx="4">
                  <c:v>2.0899999999999998E-2</c:v>
                </c:pt>
                <c:pt idx="5">
                  <c:v>8.9300000000000004E-2</c:v>
                </c:pt>
                <c:pt idx="6">
                  <c:v>8.0699999999999994E-2</c:v>
                </c:pt>
              </c:numCache>
            </c:numRef>
          </c:val>
          <c:extLst>
            <c:ext xmlns:c16="http://schemas.microsoft.com/office/drawing/2014/chart" uri="{C3380CC4-5D6E-409C-BE32-E72D297353CC}">
              <c16:uniqueId val="{00000000-1A31-4510-84CA-313408017EA7}"/>
            </c:ext>
          </c:extLst>
        </c:ser>
        <c:dLbls>
          <c:showLegendKey val="0"/>
          <c:showVal val="1"/>
          <c:showCatName val="0"/>
          <c:showSerName val="0"/>
          <c:showPercent val="0"/>
          <c:showBubbleSize val="0"/>
        </c:dLbls>
        <c:gapWidth val="65"/>
        <c:axId val="541556064"/>
        <c:axId val="541555104"/>
      </c:barChart>
      <c:catAx>
        <c:axId val="5415560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s-ES" sz="700" b="0" i="0" u="none" strike="noStrike" kern="1200" cap="all" baseline="0">
                <a:solidFill>
                  <a:schemeClr val="dk1">
                    <a:lumMod val="75000"/>
                    <a:lumOff val="25000"/>
                  </a:schemeClr>
                </a:solidFill>
                <a:latin typeface="+mn-lt"/>
                <a:ea typeface="+mn-ea"/>
                <a:cs typeface="+mn-cs"/>
              </a:defRPr>
            </a:pPr>
            <a:endParaRPr lang="es-BO"/>
          </a:p>
        </c:txPr>
        <c:crossAx val="541555104"/>
        <c:crosses val="autoZero"/>
        <c:auto val="1"/>
        <c:lblAlgn val="ctr"/>
        <c:lblOffset val="100"/>
        <c:noMultiLvlLbl val="0"/>
      </c:catAx>
      <c:valAx>
        <c:axId val="5415551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5415560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s-ES"/>
      </a:pPr>
      <a:endParaRPr lang="es-B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902-42A8-9622-5D682A97753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902-42A8-9622-5D682A97753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902-42A8-9622-5D682A97753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902-42A8-9622-5D682A97753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3902-42A8-9622-5D682A977536}"/>
              </c:ext>
            </c:extLst>
          </c:dPt>
          <c:dLbls>
            <c:spPr>
              <a:noFill/>
              <a:ln>
                <a:noFill/>
              </a:ln>
              <a:effectLst/>
            </c:spPr>
            <c:txPr>
              <a:bodyPr rot="0" spcFirstLastPara="1" vertOverflow="ellipsis" vert="horz" wrap="square" lIns="38100" tIns="19050" rIns="38100" bIns="19050" anchor="ctr" anchorCtr="1">
                <a:spAutoFit/>
              </a:bodyPr>
              <a:lstStyle/>
              <a:p>
                <a:pPr>
                  <a:defRPr lang="es-ES" sz="800" b="1" i="0" u="none" strike="noStrike" kern="1200" spc="0" baseline="0">
                    <a:solidFill>
                      <a:sysClr val="windowText" lastClr="000000"/>
                    </a:solidFill>
                    <a:latin typeface="+mn-lt"/>
                    <a:ea typeface="+mn-ea"/>
                    <a:cs typeface="+mn-cs"/>
                  </a:defRPr>
                </a:pPr>
                <a:endParaRPr lang="es-BO"/>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'Frec simple x variable'!$A$157:$A$161</c:f>
              <c:strCache>
                <c:ptCount val="3"/>
                <c:pt idx="0">
                  <c:v>Fiscal </c:v>
                </c:pt>
                <c:pt idx="1">
                  <c:v>Convenio</c:v>
                </c:pt>
                <c:pt idx="2">
                  <c:v>Privada</c:v>
                </c:pt>
              </c:strCache>
            </c:strRef>
          </c:cat>
          <c:val>
            <c:numRef>
              <c:f>'Frec simple x variable'!$B$157:$B$161</c:f>
              <c:numCache>
                <c:formatCode>General</c:formatCode>
                <c:ptCount val="5"/>
                <c:pt idx="0">
                  <c:v>1193</c:v>
                </c:pt>
                <c:pt idx="1">
                  <c:v>216</c:v>
                </c:pt>
                <c:pt idx="2">
                  <c:v>245</c:v>
                </c:pt>
              </c:numCache>
            </c:numRef>
          </c:val>
          <c:extLst>
            <c:ext xmlns:c16="http://schemas.microsoft.com/office/drawing/2014/chart" uri="{C3380CC4-5D6E-409C-BE32-E72D297353CC}">
              <c16:uniqueId val="{0000000A-3902-42A8-9622-5D682A977536}"/>
            </c:ext>
          </c:extLst>
        </c:ser>
        <c:dLbls>
          <c:showLegendKey val="0"/>
          <c:showVal val="0"/>
          <c:showCatName val="1"/>
          <c:showSerName val="0"/>
          <c:showPercent val="0"/>
          <c:showBubbleSize val="0"/>
          <c:showLeaderLines val="1"/>
        </c:dLbls>
      </c:pie3DChart>
      <c:spPr>
        <a:noFill/>
        <a:ln>
          <a:noFill/>
        </a:ln>
        <a:effectLst/>
      </c:spPr>
    </c:plotArea>
    <c:legend>
      <c:legendPos val="b"/>
      <c:legendEntry>
        <c:idx val="3"/>
        <c:delete val="1"/>
      </c:legendEntry>
      <c:legendEntry>
        <c:idx val="4"/>
        <c:delete val="1"/>
      </c:legendEntry>
      <c:overlay val="0"/>
      <c:spPr>
        <a:noFill/>
        <a:ln>
          <a:noFill/>
        </a:ln>
        <a:effectLst/>
      </c:spPr>
      <c:txPr>
        <a:bodyPr rot="0" spcFirstLastPara="1" vertOverflow="ellipsis" vert="horz" wrap="square" anchor="ctr" anchorCtr="1"/>
        <a:lstStyle/>
        <a:p>
          <a:pPr>
            <a:defRPr lang="es-ES" sz="800" b="0" i="0" u="none" strike="noStrike" kern="1200" baseline="0">
              <a:solidFill>
                <a:schemeClr val="tx1">
                  <a:lumMod val="65000"/>
                  <a:lumOff val="35000"/>
                </a:schemeClr>
              </a:solidFill>
              <a:latin typeface="+mn-lt"/>
              <a:ea typeface="+mn-ea"/>
              <a:cs typeface="+mn-cs"/>
            </a:defRPr>
          </a:pPr>
          <a:endParaRPr lang="es-B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B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Hoja2!$A$33</c:f>
              <c:strCache>
                <c:ptCount val="1"/>
                <c:pt idx="0">
                  <c:v>No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B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Hoja2!$B$32:$F$32</c:f>
              <c:strCache>
                <c:ptCount val="5"/>
                <c:pt idx="1">
                  <c:v>CONVENIO</c:v>
                </c:pt>
                <c:pt idx="2">
                  <c:v>FISCAL</c:v>
                </c:pt>
                <c:pt idx="4">
                  <c:v>PRIVADA</c:v>
                </c:pt>
              </c:strCache>
            </c:strRef>
          </c:cat>
          <c:val>
            <c:numRef>
              <c:f>Hoja2!$B$33:$F$33</c:f>
              <c:numCache>
                <c:formatCode>0.00%</c:formatCode>
                <c:ptCount val="5"/>
                <c:pt idx="1">
                  <c:v>0.24537037037037038</c:v>
                </c:pt>
                <c:pt idx="2">
                  <c:v>0.34228187919463088</c:v>
                </c:pt>
                <c:pt idx="4">
                  <c:v>0.15102040816326531</c:v>
                </c:pt>
              </c:numCache>
            </c:numRef>
          </c:val>
          <c:extLst>
            <c:ext xmlns:c16="http://schemas.microsoft.com/office/drawing/2014/chart" uri="{C3380CC4-5D6E-409C-BE32-E72D297353CC}">
              <c16:uniqueId val="{00000000-67CC-4EE7-A723-AE0FE0AE3844}"/>
            </c:ext>
          </c:extLst>
        </c:ser>
        <c:ser>
          <c:idx val="1"/>
          <c:order val="1"/>
          <c:tx>
            <c:strRef>
              <c:f>Hoja2!$A$34</c:f>
              <c:strCache>
                <c:ptCount val="1"/>
                <c:pt idx="0">
                  <c:v>Sí</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B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Hoja2!$B$32:$F$32</c:f>
              <c:strCache>
                <c:ptCount val="5"/>
                <c:pt idx="1">
                  <c:v>CONVENIO</c:v>
                </c:pt>
                <c:pt idx="2">
                  <c:v>FISCAL</c:v>
                </c:pt>
                <c:pt idx="4">
                  <c:v>PRIVADA</c:v>
                </c:pt>
              </c:strCache>
            </c:strRef>
          </c:cat>
          <c:val>
            <c:numRef>
              <c:f>Hoja2!$B$34:$F$34</c:f>
              <c:numCache>
                <c:formatCode>0.00%</c:formatCode>
                <c:ptCount val="5"/>
                <c:pt idx="1">
                  <c:v>0.75462962962962965</c:v>
                </c:pt>
                <c:pt idx="2">
                  <c:v>0.65771812080536918</c:v>
                </c:pt>
                <c:pt idx="4">
                  <c:v>0.84897959183673466</c:v>
                </c:pt>
              </c:numCache>
            </c:numRef>
          </c:val>
          <c:extLst>
            <c:ext xmlns:c16="http://schemas.microsoft.com/office/drawing/2014/chart" uri="{C3380CC4-5D6E-409C-BE32-E72D297353CC}">
              <c16:uniqueId val="{00000001-67CC-4EE7-A723-AE0FE0AE3844}"/>
            </c:ext>
          </c:extLst>
        </c:ser>
        <c:dLbls>
          <c:dLblPos val="inEnd"/>
          <c:showLegendKey val="0"/>
          <c:showVal val="1"/>
          <c:showCatName val="0"/>
          <c:showSerName val="0"/>
          <c:showPercent val="0"/>
          <c:showBubbleSize val="0"/>
        </c:dLbls>
        <c:gapWidth val="65"/>
        <c:axId val="541561344"/>
        <c:axId val="541563264"/>
      </c:barChart>
      <c:catAx>
        <c:axId val="54156134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BO"/>
          </a:p>
        </c:txPr>
        <c:crossAx val="541563264"/>
        <c:crosses val="autoZero"/>
        <c:auto val="1"/>
        <c:lblAlgn val="ctr"/>
        <c:lblOffset val="100"/>
        <c:noMultiLvlLbl val="0"/>
      </c:catAx>
      <c:valAx>
        <c:axId val="54156326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BO"/>
          </a:p>
        </c:txPr>
        <c:crossAx val="5415613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B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Hoja3!$A$32</c:f>
              <c:strCache>
                <c:ptCount val="1"/>
                <c:pt idx="0">
                  <c:v>No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800" b="1" i="0" u="none" strike="noStrike" kern="1200" baseline="0">
                    <a:solidFill>
                      <a:sysClr val="windowText" lastClr="000000"/>
                    </a:solidFill>
                    <a:latin typeface="+mn-lt"/>
                    <a:ea typeface="+mn-ea"/>
                    <a:cs typeface="+mn-cs"/>
                  </a:defRPr>
                </a:pPr>
                <a:endParaRPr lang="es-B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Hoja3!$B$31:$C$31</c:f>
              <c:strCache>
                <c:ptCount val="2"/>
                <c:pt idx="0">
                  <c:v>RURAL</c:v>
                </c:pt>
                <c:pt idx="1">
                  <c:v>URBANO</c:v>
                </c:pt>
              </c:strCache>
            </c:strRef>
          </c:cat>
          <c:val>
            <c:numRef>
              <c:f>Hoja3!$B$32:$C$32</c:f>
              <c:numCache>
                <c:formatCode>0.00%</c:formatCode>
                <c:ptCount val="2"/>
                <c:pt idx="0">
                  <c:v>0.373188405797101</c:v>
                </c:pt>
                <c:pt idx="1">
                  <c:v>0.28768115942028999</c:v>
                </c:pt>
              </c:numCache>
            </c:numRef>
          </c:val>
          <c:extLst>
            <c:ext xmlns:c16="http://schemas.microsoft.com/office/drawing/2014/chart" uri="{C3380CC4-5D6E-409C-BE32-E72D297353CC}">
              <c16:uniqueId val="{00000000-77A9-4B4C-9782-CA4225EAE4B5}"/>
            </c:ext>
          </c:extLst>
        </c:ser>
        <c:ser>
          <c:idx val="1"/>
          <c:order val="1"/>
          <c:tx>
            <c:strRef>
              <c:f>Hoja3!$A$33</c:f>
              <c:strCache>
                <c:ptCount val="1"/>
                <c:pt idx="0">
                  <c:v>Sí</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800" b="1" i="0" u="none" strike="noStrike" kern="1200" baseline="0">
                    <a:solidFill>
                      <a:sysClr val="windowText" lastClr="000000"/>
                    </a:solidFill>
                    <a:latin typeface="+mn-lt"/>
                    <a:ea typeface="+mn-ea"/>
                    <a:cs typeface="+mn-cs"/>
                  </a:defRPr>
                </a:pPr>
                <a:endParaRPr lang="es-B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Hoja3!$B$31:$C$31</c:f>
              <c:strCache>
                <c:ptCount val="2"/>
                <c:pt idx="0">
                  <c:v>RURAL</c:v>
                </c:pt>
                <c:pt idx="1">
                  <c:v>URBANO</c:v>
                </c:pt>
              </c:strCache>
            </c:strRef>
          </c:cat>
          <c:val>
            <c:numRef>
              <c:f>Hoja3!$B$33:$C$33</c:f>
              <c:numCache>
                <c:formatCode>0.00%</c:formatCode>
                <c:ptCount val="2"/>
                <c:pt idx="0">
                  <c:v>0.626811594202899</c:v>
                </c:pt>
                <c:pt idx="1">
                  <c:v>0.71231884057970996</c:v>
                </c:pt>
              </c:numCache>
            </c:numRef>
          </c:val>
          <c:extLst>
            <c:ext xmlns:c16="http://schemas.microsoft.com/office/drawing/2014/chart" uri="{C3380CC4-5D6E-409C-BE32-E72D297353CC}">
              <c16:uniqueId val="{00000001-77A9-4B4C-9782-CA4225EAE4B5}"/>
            </c:ext>
          </c:extLst>
        </c:ser>
        <c:dLbls>
          <c:showLegendKey val="0"/>
          <c:showVal val="1"/>
          <c:showCatName val="0"/>
          <c:showSerName val="0"/>
          <c:showPercent val="0"/>
          <c:showBubbleSize val="0"/>
        </c:dLbls>
        <c:gapWidth val="65"/>
        <c:axId val="99901728"/>
        <c:axId val="464687856"/>
      </c:barChart>
      <c:catAx>
        <c:axId val="9990172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s-ES" sz="800" b="0" i="0" u="none" strike="noStrike" kern="1200" cap="all" baseline="0">
                <a:solidFill>
                  <a:schemeClr val="dk1">
                    <a:lumMod val="75000"/>
                    <a:lumOff val="25000"/>
                  </a:schemeClr>
                </a:solidFill>
                <a:latin typeface="+mn-lt"/>
                <a:ea typeface="+mn-ea"/>
                <a:cs typeface="+mn-cs"/>
              </a:defRPr>
            </a:pPr>
            <a:endParaRPr lang="es-BO"/>
          </a:p>
        </c:txPr>
        <c:crossAx val="464687856"/>
        <c:crosses val="autoZero"/>
        <c:auto val="1"/>
        <c:lblAlgn val="ctr"/>
        <c:lblOffset val="100"/>
        <c:noMultiLvlLbl val="0"/>
      </c:catAx>
      <c:valAx>
        <c:axId val="4646878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s-ES" sz="800" b="0" i="0" u="none" strike="noStrike" kern="1200" baseline="0">
                <a:solidFill>
                  <a:schemeClr val="dk1">
                    <a:lumMod val="75000"/>
                    <a:lumOff val="25000"/>
                  </a:schemeClr>
                </a:solidFill>
                <a:latin typeface="+mn-lt"/>
                <a:ea typeface="+mn-ea"/>
                <a:cs typeface="+mn-cs"/>
              </a:defRPr>
            </a:pPr>
            <a:endParaRPr lang="es-BO"/>
          </a:p>
        </c:txPr>
        <c:crossAx val="999017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s-ES"/>
      </a:pPr>
      <a:endParaRPr lang="es-B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B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Hoja1!$Q$17:$Q$24</c:f>
              <c:strCache>
                <c:ptCount val="8"/>
                <c:pt idx="0">
                  <c:v>LAEL</c:v>
                </c:pt>
                <c:pt idx="1">
                  <c:v>Parvulario </c:v>
                </c:pt>
                <c:pt idx="2">
                  <c:v>Psicología</c:v>
                </c:pt>
                <c:pt idx="3">
                  <c:v>Cs de la Actividad Física y del Deporte </c:v>
                </c:pt>
                <c:pt idx="4">
                  <c:v>Comunicación Social</c:v>
                </c:pt>
                <c:pt idx="5">
                  <c:v>Ciencias de la Educación</c:v>
                </c:pt>
                <c:pt idx="6">
                  <c:v>Trabajo Social</c:v>
                </c:pt>
                <c:pt idx="7">
                  <c:v>Música</c:v>
                </c:pt>
              </c:strCache>
            </c:strRef>
          </c:cat>
          <c:val>
            <c:numRef>
              <c:f>Hoja1!$R$17:$R$24</c:f>
              <c:numCache>
                <c:formatCode>0%</c:formatCode>
                <c:ptCount val="8"/>
                <c:pt idx="0">
                  <c:v>0.19</c:v>
                </c:pt>
                <c:pt idx="1">
                  <c:v>0.19</c:v>
                </c:pt>
                <c:pt idx="2">
                  <c:v>0.17</c:v>
                </c:pt>
                <c:pt idx="3">
                  <c:v>0.14000000000000001</c:v>
                </c:pt>
                <c:pt idx="4">
                  <c:v>0.14000000000000001</c:v>
                </c:pt>
                <c:pt idx="5">
                  <c:v>0.13</c:v>
                </c:pt>
                <c:pt idx="6">
                  <c:v>0.03</c:v>
                </c:pt>
                <c:pt idx="7">
                  <c:v>0.01</c:v>
                </c:pt>
              </c:numCache>
            </c:numRef>
          </c:val>
          <c:extLst>
            <c:ext xmlns:c16="http://schemas.microsoft.com/office/drawing/2014/chart" uri="{C3380CC4-5D6E-409C-BE32-E72D297353CC}">
              <c16:uniqueId val="{00000000-1BD7-4D53-83C7-12AE0544388E}"/>
            </c:ext>
          </c:extLst>
        </c:ser>
        <c:dLbls>
          <c:dLblPos val="inEnd"/>
          <c:showLegendKey val="0"/>
          <c:showVal val="1"/>
          <c:showCatName val="0"/>
          <c:showSerName val="0"/>
          <c:showPercent val="0"/>
          <c:showBubbleSize val="0"/>
        </c:dLbls>
        <c:gapWidth val="65"/>
        <c:axId val="898743568"/>
        <c:axId val="898745008"/>
      </c:barChart>
      <c:catAx>
        <c:axId val="8987435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BO"/>
          </a:p>
        </c:txPr>
        <c:crossAx val="898745008"/>
        <c:crosses val="autoZero"/>
        <c:auto val="1"/>
        <c:lblAlgn val="ctr"/>
        <c:lblOffset val="100"/>
        <c:noMultiLvlLbl val="0"/>
      </c:catAx>
      <c:valAx>
        <c:axId val="8987450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898743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Sal19</b:Tag>
    <b:SourceType>BookSection</b:SourceType>
    <b:Guid>{0CD51551-4F57-44A6-B895-4FE96C8AECB9}</b:Guid>
    <b:Title>Educación superior en el Brasil de las últimas décadas: ¿Reducción en las desigualdades de acceso?</b:Title>
    <b:Year>2019</b:Year>
    <b:Pages>89-126</b:Pages>
    <b:Author>
      <b:Author>
        <b:NameList>
          <b:Person>
            <b:Last>Salata</b:Last>
            <b:First>André</b:First>
          </b:Person>
        </b:NameList>
      </b:Author>
      <b:BookAuthor>
        <b:NameList>
          <b:Person>
            <b:Last>Domínguez</b:Last>
            <b:First>Mariu</b:First>
          </b:Person>
          <b:Person>
            <b:Last>Fernández</b:Last>
            <b:First>Tabaré</b:First>
          </b:Person>
          <b:Person>
            <b:Last>Tuñón</b:Last>
            <b:First>Ianina</b:First>
          </b:Person>
        </b:NameList>
      </b:BookAuthor>
    </b:Author>
    <b:BookTitle>Nuevos y viejos clivajes de la desigualdad educativa en Iberoamérica</b:BookTitle>
    <b:Publisher>CLACSO</b:Publisher>
    <b:RefOrder>3</b:RefOrder>
  </b:Source>
  <b:Source>
    <b:Tag>Gar21</b:Tag>
    <b:SourceType>JournalArticle</b:SourceType>
    <b:Guid>{4EB04FB4-DC1B-489D-BA9C-3CBD5291BD1F}</b:Guid>
    <b:Author>
      <b:Author>
        <b:NameList>
          <b:Person>
            <b:Last>García Guevara</b:Last>
            <b:First>Patricia</b:First>
            <b:Middle>Angélica</b:Middle>
          </b:Person>
        </b:NameList>
      </b:Author>
    </b:Author>
    <b:Title>De la desigualdad a la inclusión universitaria: La agencia de género</b:Title>
    <b:JournalName>Revista de la Educación Superior</b:JournalName>
    <b:Year>2021</b:Year>
    <b:Pages>1-24</b:Pages>
    <b:Volume>50</b:Volume>
    <b:Issue>200</b:Issue>
    <b:DOI>10.36857/resu.2021.200.1887</b:DOI>
    <b:RefOrder>4</b:RefOrder>
  </b:Source>
  <b:Source>
    <b:Tag>Lat23</b:Tag>
    <b:SourceType>JournalArticle</b:SourceType>
    <b:Guid>{87A18F33-F29F-4A37-86AC-4FA1CA9A4687}</b:Guid>
    <b:Author>
      <b:Author>
        <b:NameList>
          <b:Person>
            <b:Last>Latorre Villacís</b:Last>
            <b:First>Vianca</b:First>
            <b:Middle>Mercedes</b:Middle>
          </b:Person>
        </b:NameList>
      </b:Author>
    </b:Author>
    <b:Title>Impacto del COVID-19 y desigualdad socioeconómica en la educación superior en Ecuador</b:Title>
    <b:JournalName>Revista de Educación Superior del Sur Global</b:JournalName>
    <b:Year>2023</b:Year>
    <b:Issue>15</b:Issue>
    <b:URL>https://www.iusur.edu.uy/publicaciones/index.php/RESUR/article/view/185</b:URL>
    <b:RefOrder>5</b:RefOrder>
  </b:Source>
  <b:Source>
    <b:Tag>Ezc22</b:Tag>
    <b:SourceType>JournalArticle</b:SourceType>
    <b:Guid>{4B75FDB8-7A8D-4D3E-AADF-86A53F4A4752}</b:Guid>
    <b:Author>
      <b:Author>
        <b:NameList>
          <b:Person>
            <b:Last>Ezcurra</b:Last>
            <b:First>Ana</b:First>
            <b:Middle>María</b:Middle>
          </b:Person>
        </b:NameList>
      </b:Author>
    </b:Author>
    <b:Title>Inclusión y desigualdades en alza. Algunos impactos del COVID-19</b:Title>
    <b:JournalName>Revista Educación Superior y Sociedad </b:JournalName>
    <b:Year>2022</b:Year>
    <b:Pages>224-257</b:Pages>
    <b:Volume>34</b:Volume>
    <b:Issue>2</b:Issue>
    <b:DOI>: 10.54674/ess.v34i2.617</b:DOI>
    <b:RefOrder>6</b:RefOrder>
  </b:Source>
  <b:Source>
    <b:Tag>Mat21</b:Tag>
    <b:SourceType>JournalArticle</b:SourceType>
    <b:Guid>{E3A28E64-F001-4E51-AC81-D9FB6ADFB923}</b:Guid>
    <b:Author>
      <b:Author>
        <b:NameList>
          <b:Person>
            <b:Last>Mato</b:Last>
            <b:First>Daniel</b:First>
          </b:Person>
        </b:NameList>
      </b:Author>
    </b:Author>
    <b:Title>Racismo y educación superior en América Latina</b:Title>
    <b:JournalName>Revista de Educación Superior en América Latina</b:JournalName>
    <b:Year>2021</b:Year>
    <b:Pages>40-43</b:Pages>
    <b:Issue>9</b:Issue>
    <b:RefOrder>7</b:RefOrder>
  </b:Source>
  <b:Source>
    <b:Tag>Gar10</b:Tag>
    <b:SourceType>JournalArticle</b:SourceType>
    <b:Guid>{F64F4649-DA3A-4CBB-98BB-80744D23BBEA}</b:Guid>
    <b:Title>Desigualdad persistente, un reto para la universidad pública: el papel de la motivación en las trayectorias formativas de los estudiantes de modalidad a distancia</b:Title>
    <b:Year>2010</b:Year>
    <b:Pages>1-13</b:Pages>
    <b:Author>
      <b:Author>
        <b:NameList>
          <b:Person>
            <b:Last>Garmendia</b:Last>
            <b:First>Emilia</b:First>
          </b:Person>
          <b:Person>
            <b:Last>Cozzi</b:Last>
            <b:First>Paula</b:First>
          </b:Person>
          <b:Person>
            <b:Last>Senge</b:Last>
            <b:First>Mariela</b:First>
          </b:Person>
        </b:NameList>
      </b:Author>
    </b:Author>
    <b:JournalName>Revista Iberoamericana de Educación</b:JournalName>
    <b:Volume>51</b:Volume>
    <b:Issue>4</b:Issue>
    <b:DOI>10.35362/rie5141822</b:DOI>
    <b:RefOrder>2</b:RefOrder>
  </b:Source>
  <b:Source>
    <b:Tag>Álv22</b:Tag>
    <b:SourceType>JournalArticle</b:SourceType>
    <b:Guid>{0348FACF-6BA3-4067-A68F-BE8BAE36D34A}</b:Guid>
    <b:Author>
      <b:Author>
        <b:NameList>
          <b:Person>
            <b:Last>Álvarez Rivadulla</b:Last>
            <b:First>María</b:First>
            <b:Middle>José</b:Middle>
          </b:Person>
          <b:Person>
            <b:Last>Corredor</b:Last>
            <b:First>Javier</b:First>
          </b:Person>
        </b:NameList>
      </b:Author>
    </b:Author>
    <b:Title>El elefante en el cuarto: Desigualdades de clase en la educación superior en Colombia</b:Title>
    <b:JournalName>Revista de Educación Superior en América Latina</b:JournalName>
    <b:Year>2022</b:Year>
    <b:Pages>41-45</b:Pages>
    <b:Issue>11</b:Issue>
    <b:RefOrder>8</b:RefOrder>
  </b:Source>
  <b:Source>
    <b:Tag>Gar211</b:Tag>
    <b:SourceType>JournalArticle</b:SourceType>
    <b:Guid>{97552076-836D-47CA-9EA1-CC90399A9626}</b:Guid>
    <b:Author>
      <b:Author>
        <b:NameList>
          <b:Person>
            <b:Last>García de Fanelli</b:Last>
            <b:First>Ana</b:First>
          </b:Person>
          <b:Person>
            <b:Last>Adrogué</b:Last>
            <b:First>Cecilia</b:First>
          </b:Person>
        </b:NameList>
      </b:Author>
    </b:Author>
    <b:Title>Equidad en la educación superior latinoamericana: Dimensiones e indicadores</b:Title>
    <b:JournalName>Revista Educación Superior y Sociedad</b:JournalName>
    <b:Year>2021</b:Year>
    <b:Pages>85-114</b:Pages>
    <b:Volume>33</b:Volume>
    <b:Issue>1</b:Issue>
    <b:DOI>10.54674/ess.v33i1.339</b:DOI>
    <b:RefOrder>9</b:RefOrder>
  </b:Source>
  <b:Source>
    <b:Tag>Muñ92</b:Tag>
    <b:SourceType>JournalArticle</b:SourceType>
    <b:Guid>{6C5B7186-156E-46FD-B745-29D55A896D0F}</b:Guid>
    <b:Author>
      <b:Author>
        <b:NameList>
          <b:Person>
            <b:Last>Muñoz Izquierdo</b:Last>
            <b:First>Carlos</b:First>
          </b:Person>
          <b:Person>
            <b:Last>Ulloa</b:Last>
            <b:First>Manuel</b:First>
            <b:Middle>I.</b:Middle>
          </b:Person>
        </b:NameList>
      </b:Author>
    </b:Author>
    <b:Title>Cuatro tesis sobre el origen de las desigualdades educativas. Una reflexión apoyada en el caso de México</b:Title>
    <b:JournalName>Revista Latinoamericana de Estudios Educativos</b:JournalName>
    <b:Year>1992</b:Year>
    <b:Pages>11-58</b:Pages>
    <b:Volume>XXII</b:Volume>
    <b:Issue>2</b:Issue>
    <b:RefOrder>10</b:RefOrder>
  </b:Source>
  <b:Source>
    <b:Tag>Cue16</b:Tag>
    <b:SourceType>JournalArticle</b:SourceType>
    <b:Guid>{1D122016-50A3-4604-8A91-A6D25B98795F}</b:Guid>
    <b:Author>
      <b:Author>
        <b:NameList>
          <b:Person>
            <b:Last>Cuenca</b:Last>
            <b:First>Andrea</b:First>
          </b:Person>
        </b:NameList>
      </b:Author>
    </b:Author>
    <b:Title>Desigualdad de oportunidades en Colombia: impacto del origen social sobre el desempeño académico y los ingresos de graduados universitarios</b:Title>
    <b:JournalName>Estudios pedagógicos</b:JournalName>
    <b:Year>2016</b:Year>
    <b:Volume>42</b:Volume>
    <b:Issue>2</b:Issue>
    <b:DOI>https://www.scielo.cl/scielo.php?pid=S0718-07052016000200005&amp;script=sci_arttext&amp;tlng=pt</b:DOI>
    <b:RefOrder>11</b:RefOrder>
  </b:Source>
  <b:Source>
    <b:Tag>Qui24</b:Tag>
    <b:SourceType>JournalArticle</b:SourceType>
    <b:Guid>{852461A0-F828-47E2-A916-61DD1A2DFA58}</b:Guid>
    <b:Title>Brecha educativa entre estudiantes de secundaria y Universidad Pública de El Alto</b:Title>
    <b:Year>2024</b:Year>
    <b:Author>
      <b:Author>
        <b:NameList>
          <b:Person>
            <b:Last>Quispe Condori</b:Last>
            <b:First>Yelmo</b:First>
          </b:Person>
        </b:NameList>
      </b:Author>
    </b:Author>
    <b:JournalName>Alternancia - Revista de Educación e Investigación</b:JournalName>
    <b:Pages>35-49</b:Pages>
    <b:Volume>6</b:Volume>
    <b:Issue>10</b:Issue>
    <b:URL>https://revistaalternancia.org/index.php/alternancia/article/view/1243</b:URL>
    <b:RefOrder>12</b:RefOrder>
  </b:Source>
  <b:Source>
    <b:Tag>Gar07</b:Tag>
    <b:SourceType>JournalArticle</b:SourceType>
    <b:Guid>{4D68B407-BF33-4270-898A-540FA1D18BA0}</b:Guid>
    <b:Author>
      <b:Author>
        <b:NameList>
          <b:Person>
            <b:Last>Garbanzo</b:Last>
            <b:First>Guiselle</b:First>
          </b:Person>
        </b:NameList>
      </b:Author>
    </b:Author>
    <b:Title>Factores asociados al rendimiento académico en estudiantes universitarios, una reflexión desde la calidad de la educación superior pública</b:Title>
    <b:JournalName>Revista Educación</b:JournalName>
    <b:Year>2007</b:Year>
    <b:Pages>43-63</b:Pages>
    <b:Volume>31</b:Volume>
    <b:Issue>1</b:Issue>
    <b:URL>https://revistas.ucr.ac.cr/index.php/educacion/article/view/1252/1315</b:URL>
    <b:RefOrder>13</b:RefOrder>
  </b:Source>
  <b:Source>
    <b:Tag>Gar14</b:Tag>
    <b:SourceType>JournalArticle</b:SourceType>
    <b:Guid>{F7315008-52B5-44DE-9AD1-DF982C8C0F7A}</b:Guid>
    <b:Author>
      <b:Author>
        <b:NameList>
          <b:Person>
            <b:Last>Garbanzo</b:Last>
            <b:First>Guiselle</b:First>
          </b:Person>
        </b:NameList>
      </b:Author>
    </b:Author>
    <b:Title>Factores asociados al rendimiento académico tomando en cuenta el nivel socioeconómico: Estudio de regresión múltiple en estudiantes universitarios</b:Title>
    <b:JournalName>Revista Electrónica Educare</b:JournalName>
    <b:Year>2014</b:Year>
    <b:Volume>18</b:Volume>
    <b:Issue>1</b:Issue>
    <b:URL>https://www.scielo.sa.cr/scielo.php?script=sci_arttext&amp;pid=S1409-42582014000100007</b:URL>
    <b:RefOrder>14</b:RefOrder>
  </b:Source>
  <b:Source>
    <b:Tag>Llo14</b:Tag>
    <b:SourceType>JournalArticle</b:SourceType>
    <b:Guid>{9132BD2F-1784-47E2-8981-2791E31C92D5}</b:Guid>
    <b:Author>
      <b:Author>
        <b:NameList>
          <b:Person>
            <b:Last>Llorent</b:Last>
            <b:First>Vicente</b:First>
          </b:Person>
          <b:Person>
            <b:Last>Terrón</b:Last>
            <b:First>Teresa</b:First>
          </b:Person>
        </b:NameList>
      </b:Author>
    </b:Author>
    <b:Title>La desigualdad socioeconómica y su efecto en el rendimiento académico en el sistema de educación de México</b:Title>
    <b:JournalName>Estudios sobre las Cultura Contemporáneas</b:JournalName>
    <b:Year>2014</b:Year>
    <b:Pages>67-87</b:Pages>
    <b:Volume>20</b:Volume>
    <b:Issue>40</b:Issue>
    <b:URL>https://www.redalyc.org/pdf/316/31632785004.pdf</b:URL>
    <b:RefOrder>15</b:RefOrder>
  </b:Source>
  <b:Source>
    <b:Tag>Med21</b:Tag>
    <b:SourceType>JournalArticle</b:SourceType>
    <b:Guid>{E610C9A4-F2C6-47F2-92EE-999D0E5CB9D6}</b:Guid>
    <b:Author>
      <b:Author>
        <b:NameList>
          <b:Person>
            <b:Last>Medina</b:Last>
            <b:First>Julio</b:First>
          </b:Person>
          <b:Person>
            <b:Last>Pinzón</b:Last>
            <b:First>Kathia</b:First>
          </b:Person>
          <b:Person>
            <b:Last>Salazar</b:Last>
            <b:First>Yasmín</b:First>
          </b:Person>
        </b:NameList>
      </b:Author>
    </b:Author>
    <b:Title>Determinantes del rendimiento académico de los estudiantes de una universidad pública ecuatoriana</b:Title>
    <b:JournalName>Revista Politécnica</b:JournalName>
    <b:Year>2021</b:Year>
    <b:Volume>47</b:Volume>
    <b:Issue>2</b:Issue>
    <b:DOI>10.33333/rp.vol47n2.05 </b:DOI>
    <b:URL>http://scielo.senescyt.gob.ec/scielo.php?pid=S1390-01292021000200053&amp;script=sci_arttext</b:URL>
    <b:RefOrder>16</b:RefOrder>
  </b:Source>
  <b:Source>
    <b:Tag>Pla21</b:Tag>
    <b:SourceType>JournalArticle</b:SourceType>
    <b:Guid>{F288C1E0-A39E-48AD-9013-42AD2FF82239}</b:Guid>
    <b:Author>
      <b:Author>
        <b:NameList>
          <b:Person>
            <b:Last>Pla</b:Last>
            <b:First>Jesica</b:First>
          </b:Person>
          <b:Person>
            <b:Last>Poy</b:Last>
            <b:First>Santiago</b:First>
          </b:Person>
          <b:Person>
            <b:Last>Salata</b:Last>
            <b:First>André</b:First>
          </b:Person>
          <b:Person>
            <b:Last>Salvia</b:Last>
            <b:First>Agustín</b:First>
          </b:Person>
        </b:NameList>
      </b:Author>
    </b:Author>
    <b:Title>Desigualdades de clase y acceso a la educación superior en Argentina y Brasil durante una fase expansiva del sistema educativo</b:Title>
    <b:JournalName>Foro de Educación</b:JournalName>
    <b:Year>2021</b:Year>
    <b:Pages>69-92</b:Pages>
    <b:Volume>19</b:Volume>
    <b:Issue>2</b:Issue>
    <b:URL>chrome-extension:https://repositorio.uca.edu.ar/bitstream/123456789/13986/1/desigualdades-clase-acceso.pdf</b:URL>
    <b:RefOrder>17</b:RefOrder>
  </b:Source>
  <b:Source>
    <b:Tag>Pin21</b:Tag>
    <b:SourceType>JournalArticle</b:SourceType>
    <b:Guid>{BB88BD36-745B-44D8-84BC-5730D6720509}</b:Guid>
    <b:Author>
      <b:Author>
        <b:NameList>
          <b:Person>
            <b:Last>Pinto</b:Last>
            <b:First>Ruben</b:First>
          </b:Person>
        </b:NameList>
      </b:Author>
    </b:Author>
    <b:Title>¿Quiénes son los menos aventajados?: desigualdad educativa en la educación superior</b:Title>
    <b:JournalName>Revista Ciencia y Cultura</b:JournalName>
    <b:Year>2021</b:Year>
    <b:Volume>25</b:Volume>
    <b:Issue>46</b:Issue>
    <b:URL>http://www.scielo.org.bo/scielo.php?script=sci_arttext&amp;pid=S2077-33232021000100006</b:URL>
    <b:RefOrder>18</b:RefOrder>
  </b:Source>
  <b:Source>
    <b:Tag>Ter22</b:Tag>
    <b:SourceType>JournalArticle</b:SourceType>
    <b:Guid>{3FCFE173-1775-47EB-B136-7E461C0784F6}</b:Guid>
    <b:Author>
      <b:Author>
        <b:NameList>
          <b:Person>
            <b:Last>Terán</b:Last>
            <b:First>Adriana</b:First>
          </b:Person>
          <b:Person>
            <b:Last>Schulmeyer</b:Last>
            <b:First>Marion</b:First>
          </b:Person>
        </b:NameList>
      </b:Author>
    </b:Author>
    <b:Title>Relación entre el rendimiento académico en secundaria y el rendimiento académico universitario</b:Title>
    <b:JournalName>Aportes</b:JournalName>
    <b:Year>2022</b:Year>
    <b:Pages>55-66</b:Pages>
    <b:Issue>32</b:Issue>
    <b:URL>http://www.scielo.org.bo/scielo.php?pid=S2306-86712022000100005&amp;script=sci_abstract</b:URL>
    <b:RefOrder>19</b:RefOrder>
  </b:Source>
  <b:Source>
    <b:Tag>Ver23</b:Tag>
    <b:SourceType>JournalArticle</b:SourceType>
    <b:Guid>{D27E75CE-3B50-46F5-970A-93351FE67C4A}</b:Guid>
    <b:Author>
      <b:Author>
        <b:NameList>
          <b:Person>
            <b:Last>Verdugo-Guamán</b:Last>
            <b:First>María</b:First>
            <b:Middle>Eugenia</b:Middle>
          </b:Person>
          <b:Person>
            <b:Last>Cabrera-Ortiz</b:Last>
            <b:First>Freddy</b:First>
            <b:Middle>Patricio</b:Middle>
          </b:Person>
          <b:Person>
            <b:Last>Cabrera-Tenecela</b:Last>
            <b:First>Homero</b:First>
            <b:Middle>Patricio</b:Middle>
          </b:Person>
          <b:Person>
            <b:Last>Escudero-Durán</b:Last>
            <b:First>María</b:First>
            <b:Middle>Lorena</b:Middle>
          </b:Person>
        </b:NameList>
      </b:Author>
    </b:Author>
    <b:Title>Factores que inciden en el rendimiento académico en los primero años de los estudiantes de la Universidad de Cuenca, Ecuador</b:Title>
    <b:JournalName>Revista Andina de Educación</b:JournalName>
    <b:Year>2023</b:Year>
    <b:Volume>6</b:Volume>
    <b:Issue>2</b:Issue>
    <b:URL>http://scielo.senescyt.gob.ec/scielo.php?script=sci_arttext&amp;pid=S2631-28162023000100013</b:URL>
    <b:RefOrder>20</b:RefOrder>
  </b:Source>
  <b:Source>
    <b:Tag>Car051</b:Tag>
    <b:SourceType>Book</b:SourceType>
    <b:Guid>{77150C55-AE71-49DA-BDA8-E07F93815D96}</b:Guid>
    <b:Author>
      <b:Author>
        <b:NameList>
          <b:Person>
            <b:Last>Carlino</b:Last>
            <b:First>Paula</b:First>
          </b:Person>
        </b:NameList>
      </b:Author>
    </b:Author>
    <b:Title>Escribir, leer y aprender en la universidad. Una introducción a la alfabetización académica</b:Title>
    <b:Year>2005</b:Year>
    <b:City>Buenos Aires</b:City>
    <b:Publisher>Fondo de Cultura Económica</b:Publisher>
    <b:RefOrder>21</b:RefOrder>
  </b:Source>
  <b:Source>
    <b:Tag>Baz16</b:Tag>
    <b:SourceType>Book</b:SourceType>
    <b:Guid>{54668E75-AA19-4956-ACB5-DD68A8C27D08}</b:Guid>
    <b:Author>
      <b:Author>
        <b:NameList>
          <b:Person>
            <b:Last>Bazerman</b:Last>
            <b:First>Charles</b:First>
          </b:Person>
          <b:Person>
            <b:Last>Little</b:Last>
            <b:First>Joseph</b:First>
          </b:Person>
          <b:Person>
            <b:Last>Bethel</b:Last>
            <b:First>Lisa</b:First>
          </b:Person>
          <b:Person>
            <b:Last>Chavkin</b:Last>
            <b:First>Teri</b:First>
          </b:Person>
          <b:Person>
            <b:Last>Fouquette</b:Last>
            <b:First>Danielle</b:First>
          </b:Person>
          <b:Person>
            <b:Last>Garufis</b:Last>
            <b:First>Janet</b:First>
          </b:Person>
        </b:NameList>
      </b:Author>
    </b:Author>
    <b:Title>Escribir a través del currículum. Una guía de referencia</b:Title>
    <b:Year>2016</b:Year>
    <b:City>Córdoba</b:City>
    <b:Publisher>Universidad Nacional de Córdoba</b:Publisher>
    <b:RefOrder>22</b:RefOrder>
  </b:Source>
  <b:Source>
    <b:Tag>Car09</b:Tag>
    <b:SourceType>Book</b:SourceType>
    <b:Guid>{CED82CE5-809C-41E4-B8A4-A7ABA9899008}</b:Guid>
    <b:Author>
      <b:Author>
        <b:NameList>
          <b:Person>
            <b:Last>Carlino</b:Last>
            <b:First>Paula</b:First>
          </b:Person>
          <b:Person>
            <b:Last>Martínez</b:Last>
            <b:First>Silvia</b:First>
            <b:Middle>(Coordinadoras)</b:Middle>
          </b:Person>
        </b:NameList>
      </b:Author>
    </b:Author>
    <b:Title>La lectura y la escritura: un asunto de todos/as</b:Title>
    <b:Year>2009</b:Year>
    <b:City>Neuquén</b:City>
    <b:Publisher>EDUCO</b:Publisher>
    <b:RefOrder>23</b:RefOrder>
  </b:Source>
  <b:Source>
    <b:Tag>Bon98</b:Tag>
    <b:SourceType>Book</b:SourceType>
    <b:Guid>{00A5083F-029D-4E62-B6AB-CD181D1659D7}</b:Guid>
    <b:Title>Sociología de la educación. Una aproximación crítica a las corrientes contemporáneas</b:Title>
    <b:Year>1998</b:Year>
    <b:Publisher>Paidós</b:Publisher>
    <b:Author>
      <b:Author>
        <b:NameList>
          <b:Person>
            <b:Last>Bonal</b:Last>
            <b:First>Xavier</b:First>
          </b:Person>
        </b:NameList>
      </b:Author>
    </b:Author>
    <b:City>Barcelona</b:City>
    <b:RefOrder>1</b:RefOrder>
  </b:Source>
  <b:Source>
    <b:Tag>Man15</b:Tag>
    <b:SourceType>Report</b:SourceType>
    <b:Guid>{2484ABBE-1CE1-4C7D-874F-4C0FC1A83557}</b:Guid>
    <b:Title>El complejo territorial de la Región Metropolitana de Cochabamba</b:Title>
    <b:Year>2015</b:Year>
    <b:Author>
      <b:Author>
        <b:NameList>
          <b:Person>
            <b:Last>Manzano</b:Last>
            <b:First>Nelson</b:First>
          </b:Person>
        </b:NameList>
      </b:Author>
    </b:Author>
    <b:Publisher>IESE-UMSS</b:Publisher>
    <b:RefOrder>24</b:RefOrder>
  </b:Source>
  <b:Source>
    <b:Tag>Com23</b:Tag>
    <b:SourceType>Misc</b:SourceType>
    <b:Guid>{69452C9C-0522-40B7-AE80-5FA4B2B1ECB1}</b:Guid>
    <b:Author>
      <b:Author>
        <b:Corporate>Comité Ejecutivo de la Universidad Boliviana</b:Corporate>
      </b:Author>
    </b:Author>
    <b:Title>Modelo educativo del Sistema de la Universidad Boliviana</b:Title>
    <b:Year>2023</b:Year>
    <b:URL>https://ceub.edu.bo/doc/sen/Modelo%20Educativo%20SUB%202023versi%C3%B3n%20final.pdf</b:URL>
    <b:RefOrder>25</b:RefOrder>
  </b:Source>
  <b:Source>
    <b:Tag>Uni05</b:Tag>
    <b:SourceType>Misc</b:SourceType>
    <b:Guid>{E073E1EA-ABEB-422C-B63D-8B19B607C121}</b:Guid>
    <b:Author>
      <b:Author>
        <b:Corporate>Universidad boliviana</b:Corporate>
      </b:Author>
    </b:Author>
    <b:Title>Estatuto orgánico de la Universidad Boliviana</b:Title>
    <b:Year>2005</b:Year>
    <b:URL>https://faadu.umsa.bo/wp-content/uploads/2021/07/a01_estatuto_universidad_boliviana-1.pdf</b:URL>
    <b:RefOrder>26</b:RefOrder>
  </b:Source>
  <b:Source>
    <b:Tag>Uni90</b:Tag>
    <b:SourceType>Misc</b:SourceType>
    <b:Guid>{10F6F893-1F71-4D62-A853-2192109FBA36}</b:Guid>
    <b:Author>
      <b:Author>
        <b:Corporate>Universidad Mayor de San Simón</b:Corporate>
      </b:Author>
    </b:Author>
    <b:Title>Estatuto orgánico de la UMSS</b:Title>
    <b:Year>1990</b:Year>
    <b:URL> https://www.umss.edu.bo/wp-content/uploads/2019/12/Estatuto-organico-de-la-UMSS.pdf</b:URL>
    <b:RefOrder>27</b:RefOrder>
  </b:Source>
  <b:Source>
    <b:Tag>Uni25</b:Tag>
    <b:SourceType>InternetSite</b:SourceType>
    <b:Guid>{87D269CB-D7F3-4112-8D78-B08DCFA1A138}</b:Guid>
    <b:Title>Portal Estadístico San Simón UMSS STAT</b:Title>
    <b:Year>2025</b:Year>
    <b:Month>Febrero</b:Month>
    <b:Day>18</b:Day>
    <b:Author>
      <b:Author>
        <b:Corporate>Universidad Mayor de San Simón</b:Corporate>
      </b:Author>
    </b:Author>
    <b:URL>https://umssstat.umss.edu.bo/</b:URL>
    <b:RefOrder>28</b:RefOrder>
  </b:Source>
  <b:Source>
    <b:Tag>Uni21</b:Tag>
    <b:SourceType>Misc</b:SourceType>
    <b:Guid>{A50C6CCE-6B84-4DBB-8CC4-B98CE30CA918}</b:Guid>
    <b:Title>Diagnóstico Académico 2021 Facultad de Humanidades</b:Title>
    <b:Year>2021</b:Year>
    <b:URL>https://es.scribd.com/document/793986664/Umss-Diagnostico-Academico-2021-Facultad-de-Humanidades</b:URL>
    <b:Author>
      <b:Author>
        <b:Corporate>Universidad Mayor de San Simón</b:Corporate>
      </b:Author>
    </b:Author>
    <b:RefOrder>29</b:RefOrder>
  </b:Source>
  <b:Source>
    <b:Tag>Bar072</b:Tag>
    <b:SourceType>Book</b:SourceType>
    <b:Guid>{D4C75F00-CA97-4521-9545-D67B66F12421}</b:Guid>
    <b:Author>
      <b:Author>
        <b:NameList>
          <b:Person>
            <b:Last>Barragan</b:Last>
            <b:First>Rossana</b:First>
          </b:Person>
        </b:NameList>
      </b:Author>
    </b:Author>
    <b:Title>Guía para la formulación y ejecución de proyectos de investigación</b:Title>
    <b:Year>2007</b:Year>
    <b:City>La Paz</b:City>
    <b:Publisher>Fundación PIEB</b:Publisher>
    <b:RefOrder>30</b:RefOrder>
  </b:Source>
  <b:Source>
    <b:Tag>Sal071</b:Tag>
    <b:SourceType>BookSection</b:SourceType>
    <b:Guid>{06ADAC39-D4BC-4438-9085-0F6FB99E76ED}</b:Guid>
    <b:Title>La complementariedad entre estudios cuantitativos y cualitativos</b:Title>
    <b:Year>2007</b:Year>
    <b:Publisher>Fundación PIEB</b:Publisher>
    <b:Author>
      <b:Author>
        <b:NameList>
          <b:Person>
            <b:Last>Salman</b:Last>
            <b:First>Ton</b:First>
          </b:Person>
        </b:NameList>
      </b:Author>
      <b:BookAuthor>
        <b:NameList>
          <b:Person>
            <b:Last>Barragan</b:Last>
            <b:First>Rossana</b:First>
          </b:Person>
        </b:NameList>
      </b:BookAuthor>
    </b:Author>
    <b:BookTitle>Guía para la formulación y ejecución de proyectos de investigación</b:BookTitle>
    <b:Pages>102-105</b:Pages>
    <b:City>La Paz</b:City>
    <b:RefOrder>31</b:RefOrder>
  </b:Source>
</b:Sources>
</file>

<file path=customXml/itemProps1.xml><?xml version="1.0" encoding="utf-8"?>
<ds:datastoreItem xmlns:ds="http://schemas.openxmlformats.org/officeDocument/2006/customXml" ds:itemID="{4348457B-5BF2-41F0-9D64-EA383E9E6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18</Pages>
  <Words>6847</Words>
  <Characters>37664</Characters>
  <Application>Microsoft Office Word</Application>
  <DocSecurity>0</DocSecurity>
  <Lines>313</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mayorgantonio mayorgantonio</cp:lastModifiedBy>
  <cp:revision>13</cp:revision>
  <dcterms:created xsi:type="dcterms:W3CDTF">2026-05-12T19:07:00Z</dcterms:created>
  <dcterms:modified xsi:type="dcterms:W3CDTF">2026-06-30T19:19:00Z</dcterms:modified>
</cp:coreProperties>
</file>