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5D701725" w:rsidR="00C802F5" w:rsidRPr="00BA642E" w:rsidRDefault="00997DA1" w:rsidP="001923DC">
      <w:pPr>
        <w:jc w:val="center"/>
        <w:rPr>
          <w:rFonts w:ascii="Times New Roman" w:hAnsi="Times New Roman" w:cs="Times New Roman"/>
        </w:rPr>
      </w:pPr>
      <w:r w:rsidRPr="00997DA1">
        <w:rPr>
          <w:rFonts w:ascii="Times New Roman" w:hAnsi="Times New Roman" w:cs="Times New Roman"/>
          <w:b/>
          <w:bCs/>
          <w:lang w:val="es-ES"/>
        </w:rPr>
        <w:t>Evidencia con identidad: innovaciones e idiosincrasia en el sistema de indicadores académicos de la UNLaM</w:t>
      </w:r>
      <w:r w:rsidRPr="00997DA1">
        <w:rPr>
          <w:rFonts w:ascii="Times New Roman" w:hAnsi="Times New Roman" w:cs="Times New Roman"/>
        </w:rPr>
        <w:t> </w:t>
      </w:r>
    </w:p>
    <w:p w14:paraId="43C49479" w14:textId="77777777" w:rsidR="005F3B2E" w:rsidRPr="00BA642E" w:rsidRDefault="005F3B2E" w:rsidP="001923DC">
      <w:pPr>
        <w:jc w:val="center"/>
        <w:rPr>
          <w:rFonts w:ascii="Times New Roman" w:hAnsi="Times New Roman" w:cs="Times New Roman"/>
        </w:rPr>
      </w:pPr>
    </w:p>
    <w:p w14:paraId="4E738780" w14:textId="06FC2470" w:rsidR="005F3B2E" w:rsidRPr="00BA642E" w:rsidRDefault="00997DA1" w:rsidP="005F3B2E">
      <w:pPr>
        <w:spacing w:after="0" w:line="240" w:lineRule="auto"/>
        <w:jc w:val="right"/>
        <w:rPr>
          <w:rFonts w:ascii="Times New Roman" w:hAnsi="Times New Roman" w:cs="Times New Roman"/>
        </w:rPr>
      </w:pPr>
      <w:proofErr w:type="spellStart"/>
      <w:r>
        <w:rPr>
          <w:rFonts w:ascii="Times New Roman" w:hAnsi="Times New Roman" w:cs="Times New Roman"/>
        </w:rPr>
        <w:t>Bidiña</w:t>
      </w:r>
      <w:proofErr w:type="spellEnd"/>
      <w:r>
        <w:rPr>
          <w:rFonts w:ascii="Times New Roman" w:hAnsi="Times New Roman" w:cs="Times New Roman"/>
        </w:rPr>
        <w:t>, Ana Marcela</w:t>
      </w:r>
    </w:p>
    <w:p w14:paraId="6C2AECCA" w14:textId="5B4C87C3" w:rsidR="005F3B2E" w:rsidRPr="00BA642E" w:rsidRDefault="00997DA1" w:rsidP="005F3B2E">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7D0026CD" w14:textId="442A26D2" w:rsidR="005F3B2E" w:rsidRPr="00BA642E" w:rsidRDefault="00997DA1" w:rsidP="005F3B2E">
      <w:pPr>
        <w:spacing w:after="0" w:line="240" w:lineRule="auto"/>
        <w:jc w:val="right"/>
        <w:rPr>
          <w:rFonts w:ascii="Times New Roman" w:hAnsi="Times New Roman" w:cs="Times New Roman"/>
        </w:rPr>
      </w:pPr>
      <w:r>
        <w:rPr>
          <w:rFonts w:ascii="Times New Roman" w:hAnsi="Times New Roman" w:cs="Times New Roman"/>
        </w:rPr>
        <w:t>abidina@unlam.edu.ar</w:t>
      </w:r>
    </w:p>
    <w:p w14:paraId="1FA0F857" w14:textId="77777777" w:rsidR="005F3B2E" w:rsidRPr="00BA642E" w:rsidRDefault="005F3B2E" w:rsidP="005F3B2E">
      <w:pPr>
        <w:rPr>
          <w:rFonts w:ascii="Times New Roman" w:hAnsi="Times New Roman" w:cs="Times New Roman"/>
        </w:rPr>
      </w:pPr>
    </w:p>
    <w:p w14:paraId="1275A9C7" w14:textId="0087574A" w:rsidR="005F3B2E" w:rsidRPr="00BA642E" w:rsidRDefault="00997DA1" w:rsidP="005F3B2E">
      <w:pPr>
        <w:spacing w:after="0" w:line="240" w:lineRule="auto"/>
        <w:jc w:val="right"/>
        <w:rPr>
          <w:rFonts w:ascii="Times New Roman" w:hAnsi="Times New Roman" w:cs="Times New Roman"/>
        </w:rPr>
      </w:pPr>
      <w:r>
        <w:rPr>
          <w:rFonts w:ascii="Times New Roman" w:hAnsi="Times New Roman" w:cs="Times New Roman"/>
        </w:rPr>
        <w:t>Carnevali, Francisco Marcos</w:t>
      </w:r>
    </w:p>
    <w:p w14:paraId="28E45290" w14:textId="77777777" w:rsidR="00997DA1" w:rsidRPr="00BA642E" w:rsidRDefault="00997DA1" w:rsidP="00997DA1">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3CAC774D" w14:textId="25863D71" w:rsidR="005F3B2E" w:rsidRPr="00BA642E" w:rsidRDefault="00997DA1" w:rsidP="005F3B2E">
      <w:pPr>
        <w:spacing w:after="0" w:line="240" w:lineRule="auto"/>
        <w:jc w:val="right"/>
        <w:rPr>
          <w:rFonts w:ascii="Times New Roman" w:hAnsi="Times New Roman" w:cs="Times New Roman"/>
        </w:rPr>
      </w:pPr>
      <w:r>
        <w:rPr>
          <w:rFonts w:ascii="Times New Roman" w:hAnsi="Times New Roman" w:cs="Times New Roman"/>
        </w:rPr>
        <w:t>fcarneva@unlam.edu.ar</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2B40D941"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997DA1">
        <w:rPr>
          <w:rFonts w:ascii="Times New Roman" w:hAnsi="Times New Roman" w:cs="Times New Roman"/>
        </w:rPr>
        <w:t>Jehin, Mariano Patricio</w:t>
      </w:r>
    </w:p>
    <w:p w14:paraId="09683199" w14:textId="77777777" w:rsidR="00997DA1" w:rsidRPr="00BA642E" w:rsidRDefault="00997DA1" w:rsidP="00997DA1">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7B9027E2" w14:textId="1F786647" w:rsidR="00BA642E" w:rsidRPr="004E4DE6" w:rsidRDefault="00997DA1" w:rsidP="004E4DE6">
      <w:pPr>
        <w:spacing w:after="0" w:line="240" w:lineRule="auto"/>
        <w:jc w:val="right"/>
        <w:rPr>
          <w:rFonts w:ascii="Times New Roman" w:hAnsi="Times New Roman" w:cs="Times New Roman"/>
        </w:rPr>
      </w:pPr>
      <w:r>
        <w:rPr>
          <w:rFonts w:ascii="Times New Roman" w:hAnsi="Times New Roman" w:cs="Times New Roman"/>
        </w:rPr>
        <w:t>mjehin@unlam.edu.ar</w:t>
      </w:r>
    </w:p>
    <w:p w14:paraId="35A6682C" w14:textId="5F02473B" w:rsidR="00BA642E" w:rsidRDefault="00BA642E" w:rsidP="007B5B5F">
      <w:pPr>
        <w:spacing w:line="240" w:lineRule="auto"/>
        <w:jc w:val="both"/>
        <w:rPr>
          <w:rFonts w:ascii="Times New Roman" w:hAnsi="Times New Roman" w:cs="Times New Roman"/>
          <w:lang w:val="en-US"/>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p>
    <w:p w14:paraId="6C30E70E" w14:textId="062E2C91" w:rsidR="00997DA1" w:rsidRPr="00997DA1" w:rsidRDefault="00997DA1" w:rsidP="007B5B5F">
      <w:pPr>
        <w:spacing w:line="240" w:lineRule="auto"/>
        <w:jc w:val="both"/>
        <w:rPr>
          <w:rFonts w:ascii="Times New Roman" w:hAnsi="Times New Roman" w:cs="Times New Roman"/>
          <w:lang w:val="es-AR"/>
        </w:rPr>
      </w:pPr>
      <w:r w:rsidRPr="00997DA1">
        <w:rPr>
          <w:rFonts w:ascii="Times New Roman" w:hAnsi="Times New Roman" w:cs="Times New Roman"/>
          <w:lang w:val="es-ES"/>
        </w:rPr>
        <w:t xml:space="preserve">La ponencia presenta el proceso de diseño y discusión institucional de un sistema de indicadores académicos desarrollado por la Secretaría Académica de la Universidad Nacional de La Matanza (UNLaM). El objetivo central es construir un dispositivo de evaluación y gestión que no se limite a medir resultados, sino que integre competencias, contextos e identidad institucional. Esta perspectiva se incorpora, en gran parte, por la propuesta de un nuevo Sistema Institucional de Aseguramiento de la Calidad (SIAC), que asume a la excelencia académica desde una configuración que no puede reducirse a parámetros utilitarios ni a lógicas exclusivamente estandarizadas, sino que exige incorporar dimensiones situadas que expresen principios de justicia educativa, territorialidad e interoperabilidad digital. El rasgo distintivo del sistema propuesto es que articula indicadores tradicionales del sistema universitario con un conjunto de indicadores innovadores y otros específicamente vinculados con la idiosincrasia de la UNLaM. Esta combinación permite superar el enfoque de “cumplimiento mínimo” para incluir elementos que caracterizan la trayectoria institucional: inclusión de estudiantes con trayectorias no lineales, impacto regional, continuidad pedagógica, articulación docente e integración digital, entre otros. De este modo, el sistema aporta valor agregado a la toma de decisiones al habilitar lecturas más precisas sobre desigualdades, oportunidades reales de cursada, pertinencia de los planes de estudio y sostenibilidad de los procesos de mejora. Entre los principales hallazgos se destacan avances en flexibilización curricular vinculados al Sistema Argentino de Créditos Académicos Universitarios (SACAU) y al reconocimiento de estudios previos; la identificación de brechas educativas por origen social y territorio; la evaluación de la continuidad pedagógica en entornos híbridos; y la medición del impacto regional de las actividades de transferencia. Asimismo, se consolidan indicadores que permiten analizar la docencia desde un enfoque integral, donde convergen enseñanza, investigación, extensión y gestión como dimensiones constitutivas del trabajo académico. El sistema organiza sus indicadores en cuatro dimensiones —Planes de Estudio, Docentes, Alumnos y Gestión— ofreciendo una </w:t>
      </w:r>
      <w:r w:rsidRPr="00997DA1">
        <w:rPr>
          <w:rFonts w:ascii="Times New Roman" w:hAnsi="Times New Roman" w:cs="Times New Roman"/>
          <w:lang w:val="es-ES"/>
        </w:rPr>
        <w:lastRenderedPageBreak/>
        <w:t>mirada integrada. Esto favorece decisiones estratégicas tales como focalizar apoyos según brechas detectadas, priorizar actualizaciones curriculares con enfoque centrado en el estudiante, fortalecer procesos de interoperabilidad entre sistemas y consolidar políticas de vinculación con impacto regional. Finalmente, este proceso se inscribe en el proyecto de investigación PROINCE 2024-2025, “Construcción de un sistema de variables e indicadores de gestión académica en la UNLaM”, realizado por el equipo de la Secretaría Académica de Rectorado y cuyo propósito es avanzar hacia un modelo de administración universitaria de calidad basado en evidencia contextualizada y con identidad institucional.</w:t>
      </w:r>
      <w:r w:rsidRPr="00997DA1">
        <w:rPr>
          <w:rFonts w:ascii="Times New Roman" w:hAnsi="Times New Roman" w:cs="Times New Roman"/>
        </w:rPr>
        <w:t> </w:t>
      </w:r>
    </w:p>
    <w:p w14:paraId="2994BAB3" w14:textId="6B6484F8" w:rsidR="00BA642E" w:rsidRPr="00997DA1" w:rsidRDefault="00BA642E" w:rsidP="007B5B5F">
      <w:pPr>
        <w:spacing w:line="240" w:lineRule="auto"/>
        <w:jc w:val="both"/>
        <w:rPr>
          <w:rFonts w:ascii="Times New Roman" w:hAnsi="Times New Roman" w:cs="Times New Roman"/>
          <w:b/>
          <w:bCs/>
          <w:lang w:val="es-AR"/>
        </w:rPr>
      </w:pPr>
      <w:r w:rsidRPr="00997DA1">
        <w:rPr>
          <w:rFonts w:ascii="Times New Roman" w:hAnsi="Times New Roman" w:cs="Times New Roman"/>
          <w:b/>
          <w:bCs/>
          <w:lang w:val="es-AR"/>
        </w:rPr>
        <w:t xml:space="preserve">Palabras clave: </w:t>
      </w:r>
      <w:r w:rsidR="009321FC" w:rsidRPr="009321FC">
        <w:rPr>
          <w:rFonts w:ascii="Times New Roman" w:hAnsi="Times New Roman" w:cs="Times New Roman"/>
          <w:lang w:val="es-ES"/>
        </w:rPr>
        <w:t>Indicadores, Evaluación, Calidad, Gestión</w:t>
      </w:r>
    </w:p>
    <w:p w14:paraId="6A5547A1" w14:textId="36B7FAC2" w:rsidR="00BA642E" w:rsidRPr="00997DA1" w:rsidRDefault="00BA642E" w:rsidP="007B5B5F">
      <w:pPr>
        <w:spacing w:line="240" w:lineRule="auto"/>
        <w:rPr>
          <w:rFonts w:ascii="Times New Roman" w:hAnsi="Times New Roman" w:cs="Times New Roman"/>
          <w:b/>
          <w:bCs/>
          <w:lang w:val="en-US"/>
        </w:rPr>
      </w:pPr>
      <w:proofErr w:type="spellStart"/>
      <w:r w:rsidRPr="00997DA1">
        <w:rPr>
          <w:rFonts w:ascii="Times New Roman" w:hAnsi="Times New Roman" w:cs="Times New Roman"/>
          <w:b/>
          <w:bCs/>
          <w:lang w:val="en-US"/>
        </w:rPr>
        <w:t>Introducción</w:t>
      </w:r>
      <w:proofErr w:type="spellEnd"/>
    </w:p>
    <w:p w14:paraId="740E7960" w14:textId="77777777" w:rsidR="009321FC" w:rsidRPr="009321FC" w:rsidRDefault="009321FC" w:rsidP="009321FC">
      <w:pPr>
        <w:spacing w:after="0" w:line="240" w:lineRule="auto"/>
        <w:jc w:val="both"/>
        <w:rPr>
          <w:rFonts w:ascii="Times New Roman" w:hAnsi="Times New Roman" w:cs="Times New Roman"/>
          <w:lang w:val="es-AR"/>
        </w:rPr>
      </w:pPr>
      <w:r w:rsidRPr="009321FC">
        <w:rPr>
          <w:rFonts w:ascii="Times New Roman" w:hAnsi="Times New Roman" w:cs="Times New Roman"/>
          <w:lang w:val="es-ES"/>
        </w:rPr>
        <w:t>La noción de calidad en la educación superior ha adquirido, en las últimas décadas, un lugar central tanto en las políticas públicas como en la gestión de las instituciones universitarias. En un escenario global caracterizado por la ampliación del acceso y la creciente diversificación de la oferta formativa, las universidades se enfrentan al reto de asegurar niveles básicos de calidad sin descuidar principios como la equidad y la pertinencia social. En consecuencia, los indicadores académicos emergen como instrumentos estratégicos que permiten analizar la organización y el desempeño del sistema universitario, identificar fortalezas y debilidades, y sustentar los procesos de toma de decisiones en los planos institucional y gubernamental (UNESCO, 1998; OCDE, 2019).</w:t>
      </w:r>
      <w:r w:rsidRPr="009321FC">
        <w:rPr>
          <w:rFonts w:ascii="Times New Roman" w:hAnsi="Times New Roman" w:cs="Times New Roman"/>
          <w:lang w:val="es-AR"/>
        </w:rPr>
        <w:t> </w:t>
      </w:r>
    </w:p>
    <w:p w14:paraId="6A533A7A" w14:textId="77777777" w:rsidR="009321FC" w:rsidRPr="009321FC" w:rsidRDefault="009321FC" w:rsidP="009321FC">
      <w:pPr>
        <w:spacing w:after="0" w:line="240" w:lineRule="auto"/>
        <w:jc w:val="both"/>
        <w:rPr>
          <w:rFonts w:ascii="Times New Roman" w:hAnsi="Times New Roman" w:cs="Times New Roman"/>
          <w:lang w:val="es-AR"/>
        </w:rPr>
      </w:pPr>
      <w:r w:rsidRPr="009321FC">
        <w:rPr>
          <w:rFonts w:ascii="Times New Roman" w:hAnsi="Times New Roman" w:cs="Times New Roman"/>
          <w:lang w:val="es-ES"/>
        </w:rPr>
        <w:t>La noción de calidad ha evolucionado desde una concepción implícita, vinculada al prestigio institucional, hacia un componente explícito de las políticas públicas y de la gobernanza universitaria. La UNESCO (1998) la definió como la adecuación del ser y quehacer de la educación superior a su deber ser, configurándose después como un proceso dinámico de mejora continua (Pedroza, 2019), que debe </w:t>
      </w:r>
      <w:r w:rsidRPr="009321FC">
        <w:rPr>
          <w:rFonts w:ascii="Times New Roman" w:hAnsi="Times New Roman" w:cs="Times New Roman"/>
          <w:b/>
          <w:bCs/>
          <w:lang w:val="es-ES"/>
        </w:rPr>
        <w:t>c</w:t>
      </w:r>
      <w:r w:rsidRPr="009321FC">
        <w:rPr>
          <w:rFonts w:ascii="Times New Roman" w:hAnsi="Times New Roman" w:cs="Times New Roman"/>
          <w:lang w:val="es-ES"/>
        </w:rPr>
        <w:t>onceptualizarse en función de su contexto de aplicación, integrando dimensiones institucionales, pedagógicas y organizacionales para asegurar coherencia en las políticas y prácticas educativas (Acevedo, Menese y da Silva Muñoz, 2024); pero que dista de ser unívoco, pues su significado, alcance y criterios de aplicación varían según el enfoque adoptado, los objetivos perseguidos y el momento institucional en que se lo emplea (Mazzeo, Pontes y </w:t>
      </w:r>
      <w:proofErr w:type="spellStart"/>
      <w:r w:rsidRPr="009321FC">
        <w:rPr>
          <w:rFonts w:ascii="Times New Roman" w:hAnsi="Times New Roman" w:cs="Times New Roman"/>
          <w:lang w:val="es-ES"/>
        </w:rPr>
        <w:t>Géglio</w:t>
      </w:r>
      <w:proofErr w:type="spellEnd"/>
      <w:r w:rsidRPr="009321FC">
        <w:rPr>
          <w:rFonts w:ascii="Times New Roman" w:hAnsi="Times New Roman" w:cs="Times New Roman"/>
          <w:lang w:val="es-ES"/>
        </w:rPr>
        <w:t>, 2026). Por eso, en educación superior, tiene un lugar central en los debates contemporáneos sobre evaluación, acreditación y mejora institucional.</w:t>
      </w:r>
      <w:r w:rsidRPr="009321FC">
        <w:rPr>
          <w:rFonts w:ascii="Times New Roman" w:hAnsi="Times New Roman" w:cs="Times New Roman"/>
          <w:lang w:val="es-AR"/>
        </w:rPr>
        <w:t> </w:t>
      </w:r>
    </w:p>
    <w:p w14:paraId="15F75C06" w14:textId="77777777" w:rsidR="009321FC" w:rsidRPr="009321FC" w:rsidRDefault="009321FC" w:rsidP="009321FC">
      <w:pPr>
        <w:spacing w:after="0" w:line="240" w:lineRule="auto"/>
        <w:jc w:val="both"/>
        <w:rPr>
          <w:rFonts w:ascii="Times New Roman" w:hAnsi="Times New Roman" w:cs="Times New Roman"/>
          <w:lang w:val="es-AR"/>
        </w:rPr>
      </w:pPr>
      <w:r w:rsidRPr="009321FC">
        <w:rPr>
          <w:rFonts w:ascii="Times New Roman" w:hAnsi="Times New Roman" w:cs="Times New Roman"/>
          <w:lang w:val="es-ES"/>
        </w:rPr>
        <w:t xml:space="preserve">Globalmente, se reconocen dos enfoques básicos de calidad educativa: uno basado en herramientas de medición (productividad, producción, aumento económico), cuyos criterios básicos son la eficiencia, la eficacia y la pertinencia (Zuñiga Salazar &amp; Cedeño Castillo, 2017); y otro enfoque basado en los derechos, que significa pasar de un tipo de proceso de transferencia de conocimiento a otro metacognitivo, que abarca no solo el desarrollo del conocimiento (saber, saber vivir, saber hacer) sino también el desarrollo crítico del pensamiento, las habilidades reflexivas y la capacidad de resolver los problemas de la vida. Así, la calidad está directamente relacionada con la formación y el desarrollo integral en un contexto específico y aspira, en sentido amplio, a una </w:t>
      </w:r>
      <w:r w:rsidRPr="009321FC">
        <w:rPr>
          <w:rFonts w:ascii="Times New Roman" w:hAnsi="Times New Roman" w:cs="Times New Roman"/>
          <w:lang w:val="es-ES"/>
        </w:rPr>
        <w:lastRenderedPageBreak/>
        <w:t>sociedad educativa (Arellano Solorzano, 2021). Ambos fueron contemplados al pensar el sistema de indicadores de UNLaM.</w:t>
      </w:r>
      <w:r w:rsidRPr="009321FC">
        <w:rPr>
          <w:rFonts w:ascii="Times New Roman" w:hAnsi="Times New Roman" w:cs="Times New Roman"/>
          <w:lang w:val="es-AR"/>
        </w:rPr>
        <w:t> </w:t>
      </w:r>
    </w:p>
    <w:p w14:paraId="4D9215C4" w14:textId="77777777" w:rsidR="009321FC" w:rsidRPr="009321FC" w:rsidRDefault="009321FC" w:rsidP="009321FC">
      <w:pPr>
        <w:spacing w:after="0" w:line="240" w:lineRule="auto"/>
        <w:jc w:val="both"/>
        <w:rPr>
          <w:rFonts w:ascii="Times New Roman" w:hAnsi="Times New Roman" w:cs="Times New Roman"/>
          <w:lang w:val="es-AR"/>
        </w:rPr>
      </w:pPr>
      <w:r w:rsidRPr="009321FC">
        <w:rPr>
          <w:rFonts w:ascii="Times New Roman" w:hAnsi="Times New Roman" w:cs="Times New Roman"/>
          <w:lang w:val="es-ES"/>
        </w:rPr>
        <w:t>En Argentina, la sanción de la Ley de Educación Superior en 1995 marcó un punto de inflexión al establecer un modelo que combina autonomía universitaria con mecanismos de evaluación externa. Con la creación de la Comisión Nacional de Evaluación y Acreditación Universitaria (CONEAU) y los relevamientos sistemáticos de la Secretaría de Políticas Universitarias (SPU) se ha consolidado la relevancia del uso de los indicadores como instrumentos de monitoreo y planificación (Ministerio de Educación, 2023).</w:t>
      </w:r>
      <w:r w:rsidRPr="009321FC">
        <w:rPr>
          <w:rFonts w:ascii="Times New Roman" w:hAnsi="Times New Roman" w:cs="Times New Roman"/>
          <w:lang w:val="es-AR"/>
        </w:rPr>
        <w:t> </w:t>
      </w:r>
    </w:p>
    <w:p w14:paraId="7859D3E5" w14:textId="77777777" w:rsidR="009321FC" w:rsidRPr="009321FC" w:rsidRDefault="009321FC" w:rsidP="009321FC">
      <w:pPr>
        <w:spacing w:after="0" w:line="240" w:lineRule="auto"/>
        <w:jc w:val="both"/>
        <w:rPr>
          <w:rFonts w:ascii="Times New Roman" w:hAnsi="Times New Roman" w:cs="Times New Roman"/>
          <w:lang w:val="es-AR"/>
        </w:rPr>
      </w:pPr>
      <w:r w:rsidRPr="009321FC">
        <w:rPr>
          <w:rFonts w:ascii="Times New Roman" w:hAnsi="Times New Roman" w:cs="Times New Roman"/>
          <w:lang w:val="es-ES"/>
        </w:rPr>
        <w:t xml:space="preserve">Ante esto, los estudios de </w:t>
      </w:r>
      <w:proofErr w:type="spellStart"/>
      <w:r w:rsidRPr="009321FC">
        <w:rPr>
          <w:rFonts w:ascii="Times New Roman" w:hAnsi="Times New Roman" w:cs="Times New Roman"/>
          <w:lang w:val="es-ES"/>
        </w:rPr>
        <w:t>Fachelli</w:t>
      </w:r>
      <w:proofErr w:type="spellEnd"/>
      <w:r w:rsidRPr="009321FC">
        <w:rPr>
          <w:rFonts w:ascii="Times New Roman" w:hAnsi="Times New Roman" w:cs="Times New Roman"/>
          <w:lang w:val="es-ES"/>
        </w:rPr>
        <w:t>, López Roldán y Meiller (2020) aportaron una tipología que distingue entre indicadores de insumo, proceso y resultado, subrayando la necesidad de incorporar indicadores de contexto para interpretar desigualdades regionales y socioeconómicas. También, durante la primera década del siglo XXI, la creación de nuevas universidades nacionales y las políticas de inclusión educativa, que incrementaron la matrícula y diversificaron el perfil estudiantil, impulsaron la incorporación de nuevos indicadores específicos vinculados a equidad, género, discapacidad y movilidad estudiantil (García de Fanelli, 2015).</w:t>
      </w:r>
      <w:r w:rsidRPr="009321FC">
        <w:rPr>
          <w:rFonts w:ascii="Times New Roman" w:hAnsi="Times New Roman" w:cs="Times New Roman"/>
          <w:lang w:val="es-AR"/>
        </w:rPr>
        <w:t> </w:t>
      </w:r>
    </w:p>
    <w:p w14:paraId="2922F446" w14:textId="77777777" w:rsidR="009321FC" w:rsidRPr="009321FC" w:rsidRDefault="009321FC" w:rsidP="009321FC">
      <w:pPr>
        <w:spacing w:after="0" w:line="240" w:lineRule="auto"/>
        <w:jc w:val="both"/>
        <w:rPr>
          <w:rFonts w:ascii="Times New Roman" w:hAnsi="Times New Roman" w:cs="Times New Roman"/>
          <w:lang w:val="es-AR"/>
        </w:rPr>
      </w:pPr>
      <w:r w:rsidRPr="009321FC">
        <w:rPr>
          <w:rFonts w:ascii="Times New Roman" w:hAnsi="Times New Roman" w:cs="Times New Roman"/>
          <w:lang w:val="es-ES"/>
        </w:rPr>
        <w:t>La normativa reciente reforzó esta perspectiva. Por caso, el Acuerdo Plenario </w:t>
      </w:r>
      <w:proofErr w:type="spellStart"/>
      <w:r w:rsidRPr="009321FC">
        <w:rPr>
          <w:rFonts w:ascii="Times New Roman" w:hAnsi="Times New Roman" w:cs="Times New Roman"/>
          <w:lang w:val="es-ES"/>
        </w:rPr>
        <w:t>N°</w:t>
      </w:r>
      <w:proofErr w:type="spellEnd"/>
      <w:r w:rsidRPr="009321FC">
        <w:rPr>
          <w:rFonts w:ascii="Times New Roman" w:hAnsi="Times New Roman" w:cs="Times New Roman"/>
          <w:lang w:val="es-ES"/>
        </w:rPr>
        <w:t> 272 del Consejo de Universidades y la Resolución Ministerial 2597/2023 establecen la obligatoriedad de implementar Sistemas Institucionales de Aseguramiento de la Calidad (SIAC), que buscan consolidar una cultura de evaluación y rendición de cuentas. Este cambio normativo implica una transformación cultural profunda: pasar de una visión reactiva, centrada en cumplir con acreditaciones externas, a una proactiva, que instale la calidad como parte de la gestión cotidiana y estratégica según la idiosincrasia de cada institución. </w:t>
      </w:r>
      <w:r w:rsidRPr="009321FC">
        <w:rPr>
          <w:rFonts w:ascii="Times New Roman" w:hAnsi="Times New Roman" w:cs="Times New Roman"/>
          <w:lang w:val="es-AR"/>
        </w:rPr>
        <w:t> </w:t>
      </w:r>
    </w:p>
    <w:p w14:paraId="3D01F37A" w14:textId="3AB5B563" w:rsidR="009321FC" w:rsidRPr="00A54BB2" w:rsidRDefault="009321FC" w:rsidP="009321FC">
      <w:pPr>
        <w:spacing w:after="0" w:line="240" w:lineRule="auto"/>
        <w:jc w:val="both"/>
        <w:rPr>
          <w:rFonts w:ascii="Times New Roman" w:hAnsi="Times New Roman" w:cs="Times New Roman"/>
        </w:rPr>
      </w:pPr>
      <w:r>
        <w:rPr>
          <w:rFonts w:ascii="Times New Roman" w:hAnsi="Times New Roman" w:cs="Times New Roman"/>
          <w:lang w:val="es-AR"/>
        </w:rPr>
        <w:t>Para esta transformación surgieron como guía las experiencias internacionales</w:t>
      </w:r>
      <w:r w:rsidR="00A54BB2" w:rsidRPr="00A54BB2">
        <w:rPr>
          <w:rFonts w:ascii="Times New Roman" w:hAnsi="Times New Roman" w:cs="Times New Roman"/>
        </w:rPr>
        <w:t>, como el Modelo de Excelencia EFQM, el Sistema de Gestión de la Calidad ISO 9001 y el Modelo de Aseguramiento de la Calidad, que promueven estándares para la autoevaluación, la mejora continua y la rendición de cuentas y ofrecen referencias, adaptables al contexto argentino, para la comparación de resultados y garantizar transparencia. (Asensi, Soler &amp; Bernabeu, 2017).</w:t>
      </w:r>
    </w:p>
    <w:p w14:paraId="0EE66531" w14:textId="77777777" w:rsidR="009321FC" w:rsidRPr="009321FC" w:rsidRDefault="009321FC" w:rsidP="009321FC">
      <w:pPr>
        <w:spacing w:after="0" w:line="240" w:lineRule="auto"/>
        <w:jc w:val="both"/>
        <w:rPr>
          <w:rFonts w:ascii="Times New Roman" w:hAnsi="Times New Roman" w:cs="Times New Roman"/>
          <w:lang w:val="es-AR"/>
        </w:rPr>
      </w:pPr>
      <w:r w:rsidRPr="009321FC">
        <w:rPr>
          <w:rFonts w:ascii="Times New Roman" w:hAnsi="Times New Roman" w:cs="Times New Roman"/>
          <w:lang w:val="es-ES"/>
        </w:rPr>
        <w:t>En este marco, la Universidad Nacional de La Matanza (UNLaM) constituye un caso paradigmático. Creada en 1989 con el objetivo de democratizar el acceso a la educación superior pública, gratuita y de calidad, desde su lema, “El camino a la excelencia”, ha articulado varias políticas de equidad, inclusión y mejora continua hasta esta última: la proyección de su propio SIAC. La innovación de este sistema, tema de la presente ponencia, radica en vincular los indicadores académicos con el principio de justicia educativa, incorporando innovadoras variables cualitativas propias como el clima inclusivo, la existencia de protocolos de género y discapacidad, y la percepción de equidad en las trayectorias académicas (Fraser, 2006; Sen, 2011).</w:t>
      </w:r>
      <w:r w:rsidRPr="009321FC">
        <w:rPr>
          <w:rFonts w:ascii="Times New Roman" w:hAnsi="Times New Roman" w:cs="Times New Roman"/>
          <w:lang w:val="es-AR"/>
        </w:rPr>
        <w:t> </w:t>
      </w:r>
    </w:p>
    <w:p w14:paraId="2A4ECE15" w14:textId="62091301" w:rsidR="002E0B09" w:rsidRDefault="009321FC" w:rsidP="009321FC">
      <w:pPr>
        <w:spacing w:after="0" w:line="240" w:lineRule="auto"/>
        <w:jc w:val="both"/>
        <w:rPr>
          <w:rFonts w:ascii="Times New Roman" w:hAnsi="Times New Roman" w:cs="Times New Roman"/>
          <w:lang w:val="es-AR"/>
        </w:rPr>
      </w:pPr>
      <w:r w:rsidRPr="009321FC">
        <w:rPr>
          <w:rFonts w:ascii="Times New Roman" w:hAnsi="Times New Roman" w:cs="Times New Roman"/>
          <w:lang w:val="es-ES"/>
        </w:rPr>
        <w:t xml:space="preserve">En síntesis, la incorporación de un sistema de variables UNLaM, orientado a la construcción de indicadores de calidad en la educación superior, se configura como un instrumento estratégico para abordar la complejidad del ámbito universitario y orientar políticas que fortalezcan la calidad, la equidad y la pertinencia. Su desarrollo requiere un enfoque integral que articule el rigor técnico con una adecuada sensibilidad hacia las </w:t>
      </w:r>
      <w:r w:rsidRPr="009321FC">
        <w:rPr>
          <w:rFonts w:ascii="Times New Roman" w:hAnsi="Times New Roman" w:cs="Times New Roman"/>
          <w:lang w:val="es-ES"/>
        </w:rPr>
        <w:lastRenderedPageBreak/>
        <w:t>condiciones sociales, conjugando referencias internacionales con las especificidades del contexto nacional. En este marco, la presente ponencia muestra una experiencia institucional de Secretaría Académica situada y destinada a diseñar un sistema de indicadores académicos con identidad propia, capaz de vincular la medición con la interpretación contextual y la toma de decisiones estratégicas.</w:t>
      </w:r>
      <w:r w:rsidRPr="009321FC">
        <w:rPr>
          <w:rFonts w:ascii="Times New Roman" w:hAnsi="Times New Roman" w:cs="Times New Roman"/>
          <w:lang w:val="es-AR"/>
        </w:rPr>
        <w:t> </w:t>
      </w:r>
    </w:p>
    <w:p w14:paraId="58559977" w14:textId="77777777" w:rsidR="00A54BB2" w:rsidRPr="009321FC" w:rsidRDefault="00A54BB2" w:rsidP="009321FC">
      <w:pPr>
        <w:spacing w:after="0" w:line="240" w:lineRule="auto"/>
        <w:jc w:val="both"/>
        <w:rPr>
          <w:rFonts w:ascii="Times New Roman" w:hAnsi="Times New Roman" w:cs="Times New Roman"/>
          <w:lang w:val="es-AR"/>
        </w:rPr>
      </w:pPr>
    </w:p>
    <w:p w14:paraId="2FD138AD" w14:textId="2A200AE5" w:rsidR="005F3B2E" w:rsidRPr="00997DA1" w:rsidRDefault="005F3B2E" w:rsidP="007B5B5F">
      <w:pPr>
        <w:spacing w:line="240" w:lineRule="auto"/>
        <w:rPr>
          <w:rFonts w:ascii="Times New Roman" w:hAnsi="Times New Roman" w:cs="Times New Roman"/>
          <w:b/>
          <w:bCs/>
          <w:lang w:val="en-US"/>
        </w:rPr>
      </w:pPr>
      <w:r w:rsidRPr="00997DA1">
        <w:rPr>
          <w:rFonts w:ascii="Times New Roman" w:hAnsi="Times New Roman" w:cs="Times New Roman"/>
          <w:b/>
          <w:bCs/>
          <w:lang w:val="en-US"/>
        </w:rPr>
        <w:t>Desarrollo</w:t>
      </w:r>
    </w:p>
    <w:p w14:paraId="1A061A21" w14:textId="417BD6B9"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b/>
          <w:bCs/>
          <w:i/>
          <w:iCs/>
          <w:kern w:val="0"/>
          <w:lang w:val="es-ES" w:eastAsia="es-AR"/>
          <w14:ligatures w14:val="none"/>
        </w:rPr>
        <w:t>Indicadores del Sistema Universitario Argentino y sus antecedentes</w:t>
      </w:r>
    </w:p>
    <w:p w14:paraId="7725326F" w14:textId="46E94E59"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La medición y análisis del sistema universitario argentino constituye una herramienta estratégica para comprender su estructura, funcionamiento y evolución. Los indicadores permiten evaluar dimensiones clave como acceso, permanencia, egreso, entre muchos otros, que ofrecen insumos para la formulación de políticas públicas y la toma de decisiones institucionales. En un contexto actual caracterizado por la expansión de la matrícula y la diversificación de la oferta académica, la construcción de sistemas de indicadores que detallen la calidad académica se vincula con la necesidad de garantizar transparencia, rendición de cuentas y mejora continua en la educación superior.</w:t>
      </w:r>
    </w:p>
    <w:p w14:paraId="690CD358" w14:textId="68F87A3F"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Desde 1995, el sistema universitario argentino ha combinado su autonomía con evaluación externa a través de la CONEAU y los procesos de acreditación; así, los indicadores se consolidaron como herramientas clave para controlar estándares y orientar políticas. En esta situación, con datos de las UUNN, la Secretaría de Políticas Universitarias ha producido datos sistemáticos (matrícula, graduación, deserción y planta docente) que sustentan informes nacionales y comparaciones internacionales. A raíz de esto, se volvió una necesidad incorporar indicadores de contexto que permitan interpretar las desigualdades regionales y socioeconómicas que atraviesan el sistema, como son la tasa bruta de matrícula, la tasa de egreso por cohorte, la duración real de las carreras en relación con la duración teórica, la tasa de deserción y el índice de desgranamiento. Estos ofrecen una visión cuantitativa del desempeño institucional, pero presentan limitaciones cuando se trata de evaluar aspectos cualitativos. Por ello, en los últimos años se ha impulsado la incorporación de indicadores vinculados a la inclusión, la calidad académica, la integración tecnológica, en consonancia con las recomendaciones de organismos internacionales como la UNESCO y la OCDE.</w:t>
      </w:r>
    </w:p>
    <w:p w14:paraId="2C14BD19" w14:textId="281ED270"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 xml:space="preserve">A partir de esas ideas, los estudios de </w:t>
      </w:r>
      <w:proofErr w:type="spellStart"/>
      <w:r w:rsidRPr="00A54BB2">
        <w:rPr>
          <w:rFonts w:ascii="Times New Roman" w:eastAsia="Times New Roman" w:hAnsi="Times New Roman" w:cs="Times New Roman"/>
          <w:kern w:val="0"/>
          <w:lang w:val="es-ES" w:eastAsia="es-AR"/>
          <w14:ligatures w14:val="none"/>
        </w:rPr>
        <w:t>Fachelli</w:t>
      </w:r>
      <w:proofErr w:type="spellEnd"/>
      <w:r w:rsidRPr="00A54BB2">
        <w:rPr>
          <w:rFonts w:ascii="Times New Roman" w:eastAsia="Times New Roman" w:hAnsi="Times New Roman" w:cs="Times New Roman"/>
          <w:kern w:val="0"/>
          <w:lang w:val="es-ES" w:eastAsia="es-AR"/>
          <w14:ligatures w14:val="none"/>
        </w:rPr>
        <w:t>, López Roldán y Meiller (2017; 2020) representan un aporte significativo para el análisis del sistema universitario argentino, pues al sistematizar en detalle indicadores sobre ingreso, egreso y graduación, aportan una mirada macro sobre el sistema universitario y sus desigualdades regionales. Y, al mismo tiempo, proponen tipologías y metodologías para la construcción de indicadores comparables en el tiempo y entre instituciones, diferenciando indicadores de insumo (recursos disponibles), proceso (dinámicas internas) y resultado (logros académicos).</w:t>
      </w:r>
    </w:p>
    <w:p w14:paraId="32A731AA" w14:textId="6252D633"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 xml:space="preserve">Así, durante el siglo XXI, la calidad universitaria se vinculó no solo con políticas impulsadas por el CIN y los procesos de acreditación regulados por la CONEAU, sino también con otras políticas públicas de incidencia en la mejora universitaria (García de Fanelli, 2015). Además, surgieron iniciativas orientadas a desarrollar indicadores que contemplen dimensiones de equidad, género, discapacidad y movilidad estudiantil, reconociendo que la calidad no puede reducirse a parámetros exclusivamente técnicos, </w:t>
      </w:r>
      <w:r w:rsidRPr="00A54BB2">
        <w:rPr>
          <w:rFonts w:ascii="Times New Roman" w:eastAsia="Times New Roman" w:hAnsi="Times New Roman" w:cs="Times New Roman"/>
          <w:kern w:val="0"/>
          <w:lang w:val="es-ES" w:eastAsia="es-AR"/>
          <w14:ligatures w14:val="none"/>
        </w:rPr>
        <w:lastRenderedPageBreak/>
        <w:t>sino que debe incorporar criterios de justicia social, acceso irrestricto y homologación. Asimismo, se han sumado los desafíos </w:t>
      </w:r>
      <w:proofErr w:type="spellStart"/>
      <w:r w:rsidRPr="00A54BB2">
        <w:rPr>
          <w:rFonts w:ascii="Times New Roman" w:eastAsia="Times New Roman" w:hAnsi="Times New Roman" w:cs="Times New Roman"/>
          <w:kern w:val="0"/>
          <w:lang w:val="es-ES" w:eastAsia="es-AR"/>
          <w14:ligatures w14:val="none"/>
        </w:rPr>
        <w:t>pospandemia</w:t>
      </w:r>
      <w:proofErr w:type="spellEnd"/>
      <w:r w:rsidRPr="00A54BB2">
        <w:rPr>
          <w:rFonts w:ascii="Times New Roman" w:eastAsia="Times New Roman" w:hAnsi="Times New Roman" w:cs="Times New Roman"/>
          <w:kern w:val="0"/>
          <w:lang w:val="es-ES" w:eastAsia="es-AR"/>
          <w14:ligatures w14:val="none"/>
        </w:rPr>
        <w:t> por COVID 19 relacionados con la virtualización, la flexibilidad curricular y la necesidad de garantizar calidad en entornos híbridos (Steiman, 2021).</w:t>
      </w:r>
    </w:p>
    <w:p w14:paraId="53290878" w14:textId="6B7D6C2B" w:rsidR="00A54BB2" w:rsidRPr="00A54BB2" w:rsidRDefault="00A54BB2" w:rsidP="00A54BB2">
      <w:pPr>
        <w:spacing w:after="0" w:line="240" w:lineRule="auto"/>
        <w:rPr>
          <w:rFonts w:ascii="Times New Roman" w:hAnsi="Times New Roman" w:cs="Times New Roman"/>
        </w:rPr>
      </w:pPr>
      <w:r w:rsidRPr="00BF213C">
        <w:rPr>
          <w:rFonts w:ascii="Times New Roman" w:hAnsi="Times New Roman" w:cs="Times New Roman"/>
        </w:rPr>
        <w:t xml:space="preserve">Por último, la reciente normativa ha reforzado dicha perspectiva. El Acuerdo Plenario </w:t>
      </w:r>
      <w:proofErr w:type="spellStart"/>
      <w:r w:rsidRPr="00BF213C">
        <w:rPr>
          <w:rFonts w:ascii="Times New Roman" w:hAnsi="Times New Roman" w:cs="Times New Roman"/>
        </w:rPr>
        <w:t>N°</w:t>
      </w:r>
      <w:proofErr w:type="spellEnd"/>
      <w:r w:rsidRPr="00BF213C">
        <w:rPr>
          <w:rFonts w:ascii="Times New Roman" w:hAnsi="Times New Roman" w:cs="Times New Roman"/>
        </w:rPr>
        <w:t xml:space="preserve"> 272 del Consejo de Universidades y la Resolución Ministerial 2597/2023 establecen la obligatoriedad de implementar Sistemas Institucionales de Aseguramiento de la Calidad (SIAC) en todas las universidades argentinas. Estos sistemas buscan promover una cultura de evaluación que trascienda la lógica de control y se convierta en una práctica institucional permanente para administrar, por ejemplo, los procesos de certificación de carreras no reguladas por el artículo 43 de la Ley de Educación Superior y generar planes de mejora continua basados en evidencia</w:t>
      </w:r>
      <w:r>
        <w:rPr>
          <w:rFonts w:ascii="Times New Roman" w:hAnsi="Times New Roman" w:cs="Times New Roman"/>
        </w:rPr>
        <w:t>.</w:t>
      </w:r>
    </w:p>
    <w:p w14:paraId="6402361B" w14:textId="77777777" w:rsidR="004E4DE6" w:rsidRPr="004E4DE6" w:rsidRDefault="004E4DE6" w:rsidP="004E4DE6">
      <w:pPr>
        <w:spacing w:after="0" w:line="240" w:lineRule="auto"/>
        <w:jc w:val="both"/>
        <w:rPr>
          <w:rFonts w:ascii="Times New Roman" w:eastAsia="Arial" w:hAnsi="Times New Roman" w:cs="Times New Roman"/>
          <w:kern w:val="0"/>
          <w:lang w:eastAsia="es-AR"/>
          <w14:ligatures w14:val="none"/>
        </w:rPr>
      </w:pPr>
      <w:r w:rsidRPr="004E4DE6">
        <w:rPr>
          <w:rFonts w:ascii="Times New Roman" w:eastAsia="Arial" w:hAnsi="Times New Roman" w:cs="Times New Roman"/>
          <w:kern w:val="0"/>
          <w:lang w:eastAsia="es-AR"/>
          <w14:ligatures w14:val="none"/>
        </w:rPr>
        <w:t xml:space="preserve">Además, en 2025 la CONEAU aprobó la Ordenanza </w:t>
      </w:r>
      <w:proofErr w:type="spellStart"/>
      <w:r w:rsidRPr="004E4DE6">
        <w:rPr>
          <w:rFonts w:ascii="Times New Roman" w:eastAsia="Arial" w:hAnsi="Times New Roman" w:cs="Times New Roman"/>
          <w:kern w:val="0"/>
          <w:lang w:eastAsia="es-AR"/>
          <w14:ligatures w14:val="none"/>
        </w:rPr>
        <w:t>Nº</w:t>
      </w:r>
      <w:proofErr w:type="spellEnd"/>
      <w:r w:rsidRPr="004E4DE6">
        <w:rPr>
          <w:rFonts w:ascii="Times New Roman" w:eastAsia="Arial" w:hAnsi="Times New Roman" w:cs="Times New Roman"/>
          <w:kern w:val="0"/>
          <w:lang w:eastAsia="es-AR"/>
          <w14:ligatures w14:val="none"/>
        </w:rPr>
        <w:t xml:space="preserve"> 77, que introduce un nuevo procedimiento denominado evaluación externa focalizada, buscando consolidar una cultura de evaluación que permita a las universidades monitorear sus procesos y resultados, identificar áreas de mejora y rendir cuentas ante la sociedad, una vez acreditado su SIAC.</w:t>
      </w:r>
    </w:p>
    <w:p w14:paraId="18C5E936" w14:textId="6380D87C"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color w:val="000000"/>
          <w:kern w:val="0"/>
          <w:lang w:val="es-ES" w:eastAsia="es-AR"/>
          <w14:ligatures w14:val="none"/>
        </w:rPr>
        <w:t>Estas normativas representan un hito en la evolución del sistema de aseguramiento de la calidad, pues proponen un modelo de evaluación institucional orientado explícitamente a fortalecer la mejora continua y a profundizar la articulación entre los procesos internos de gestión de la calidad y las evaluaciones externas del organismo.</w:t>
      </w:r>
      <w:r w:rsidRPr="00A54BB2">
        <w:rPr>
          <w:rFonts w:ascii="Times New Roman" w:eastAsia="Times New Roman" w:hAnsi="Times New Roman" w:cs="Times New Roman"/>
          <w:kern w:val="0"/>
          <w:lang w:val="es-ES" w:eastAsia="es-AR"/>
          <w14:ligatures w14:val="none"/>
        </w:rPr>
        <w:t> A razón de esto, la CONEAU, como organismo responsable de la evaluación externa, ha elaborado guías y criterios para la construcción de indicadores, enfatizando la necesidad de que sean válidos, confiables, comparables y pertinentes; en este caso en particular, la “Guía para la implementación y consolidación de sistemas internos de aseguramiento de la calidad universitaria”.</w:t>
      </w:r>
    </w:p>
    <w:p w14:paraId="7B90854B" w14:textId="0D0FE4C5"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color w:val="000000"/>
          <w:kern w:val="0"/>
          <w:lang w:val="es-ES" w:eastAsia="es-AR"/>
          <w14:ligatures w14:val="none"/>
        </w:rPr>
        <w:t>De esta manera, se refuerza la noción </w:t>
      </w:r>
      <w:r w:rsidRPr="00A54BB2">
        <w:rPr>
          <w:rFonts w:ascii="Times New Roman" w:eastAsia="Times New Roman" w:hAnsi="Times New Roman" w:cs="Times New Roman"/>
          <w:kern w:val="0"/>
          <w:lang w:val="es-ES" w:eastAsia="es-AR"/>
          <w14:ligatures w14:val="none"/>
        </w:rPr>
        <w:t>de que</w:t>
      </w:r>
      <w:r w:rsidRPr="00A54BB2">
        <w:rPr>
          <w:rFonts w:ascii="Times New Roman" w:eastAsia="Times New Roman" w:hAnsi="Times New Roman" w:cs="Times New Roman"/>
          <w:color w:val="000000"/>
          <w:kern w:val="0"/>
          <w:lang w:val="es-ES" w:eastAsia="es-AR"/>
          <w14:ligatures w14:val="none"/>
        </w:rPr>
        <w:t> l</w:t>
      </w:r>
      <w:r w:rsidRPr="00A54BB2">
        <w:rPr>
          <w:rFonts w:ascii="Times New Roman" w:eastAsia="Times New Roman" w:hAnsi="Times New Roman" w:cs="Times New Roman"/>
          <w:kern w:val="0"/>
          <w:lang w:val="es-ES" w:eastAsia="es-AR"/>
          <w14:ligatures w14:val="none"/>
        </w:rPr>
        <w:t>a calidad institucional en la educación superior es un concepto multidimensional que involucra dimensiones estructurales, procesuales y de resultados (Fernández Lamarra, 2007). Y, como diversos autores han señalado, la evaluación universitaria no puede reducirse a indicadores cuantitativos aislados, sino que debe contemplar la complejidad del fenómeno educativo, incluyendo factores sociales, culturales y territoriales (García de Fanelli, 2005; Suasnábar, 2011).</w:t>
      </w:r>
    </w:p>
    <w:p w14:paraId="725695CA" w14:textId="60FE0B99"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Por ende, el sistema de indicadores se introduce en los desafíos actuales centrados en la integración de información cuantitativa y cualitativa, como así también en la interoperabilidad de los sistemas de información y la generación de datos abiertos que favorezcan la transparencia y la investigación académica. A la par, se plantea la necesidad de avanzar hacia indicadores que midan el impacto social de la universidad, su contribución al desarrollo regional e internacional y su capacidad para garantizar igualdad de oportunidades; sin alejarse de la experiencia externa que ofrece modelos adaptables al contexto argentino, como los propuestos por la OCDE, la Unión Europea y el Proyecto Regional de Indicadores Educativos de la UNESCO.</w:t>
      </w:r>
    </w:p>
    <w:p w14:paraId="7EBD56D9" w14:textId="35C81A88"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 xml:space="preserve">En definitiva, el proyecto de SIAC de la UNLaM concibe que la calidad y la gestión académica en la educación superior constituyen ejes estratégicos para garantizar la pertinencia, eficacia y sostenibilidad de las instituciones universitarias, Así, la calidad dejó de ser un atributo implícito para convertirse en un componente explícito de las </w:t>
      </w:r>
      <w:r w:rsidRPr="00A54BB2">
        <w:rPr>
          <w:rFonts w:ascii="Times New Roman" w:eastAsia="Times New Roman" w:hAnsi="Times New Roman" w:cs="Times New Roman"/>
          <w:kern w:val="0"/>
          <w:lang w:val="es-ES" w:eastAsia="es-AR"/>
          <w14:ligatures w14:val="none"/>
        </w:rPr>
        <w:lastRenderedPageBreak/>
        <w:t>políticas públicas, vinculado a la gobernanza universitaria, la competitividad académica y la rendición de cuentas ante la sociedad –especialmente ante el pedido de auditorías por parte del Poder Ejecutivo Nacional-. </w:t>
      </w:r>
    </w:p>
    <w:p w14:paraId="40B9B566" w14:textId="58AE9963"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Asimismo, refleja el compromiso para articular sus dimensiones académicas, organizacionales, de investigación y extensión, además de garantizar la pertinencia de la formación profesional, optimizar la gestión universitaria y consolidar una cultura institucional de evaluación, integrando indicadores clásicos y situados, como equidad, inclusión, protocolos de género y movilidad estudiantil. Este modelo busca ser el vínculo entre calidad y justicia educativa, incorporando tres principios fundamentales: redistribución de oportunidades; reconocimiento de la diversidad; y empoderamiento de las trayectorias estudiantiles, en línea con el enfoque de capacidades de Sen (2011).</w:t>
      </w:r>
    </w:p>
    <w:p w14:paraId="1756EBB7" w14:textId="5DDDD019" w:rsidR="00A54BB2" w:rsidRDefault="00A54BB2" w:rsidP="00A54BB2">
      <w:pPr>
        <w:spacing w:after="0" w:line="240" w:lineRule="auto"/>
        <w:jc w:val="both"/>
        <w:textAlignment w:val="baseline"/>
        <w:rPr>
          <w:rFonts w:ascii="Times New Roman" w:eastAsia="Times New Roman" w:hAnsi="Times New Roman" w:cs="Times New Roman"/>
          <w:kern w:val="0"/>
          <w:lang w:val="es-ES" w:eastAsia="es-AR"/>
          <w14:ligatures w14:val="none"/>
        </w:rPr>
      </w:pPr>
      <w:r w:rsidRPr="00A54BB2">
        <w:rPr>
          <w:rFonts w:ascii="Times New Roman" w:eastAsia="Times New Roman" w:hAnsi="Times New Roman" w:cs="Times New Roman"/>
          <w:kern w:val="0"/>
          <w:lang w:val="es-ES" w:eastAsia="es-AR"/>
          <w14:ligatures w14:val="none"/>
        </w:rPr>
        <w:t>Por último, se orienta hacia la necesidad de imponer sus mecanismos de calidad, adaptando indicadores a las particularidades institucionales y sociales, integrados con modelos nacionales e internacionales, para no solo cumplir estándares mínimos compartidos, sino también a construir una cultura de evaluación, para reafirmar el papel de la universidad como agente de democratización del conocimiento y desarrollo humano. </w:t>
      </w:r>
    </w:p>
    <w:p w14:paraId="6C73545D" w14:textId="77777777" w:rsidR="004E4DE6" w:rsidRPr="00A54BB2" w:rsidRDefault="004E4DE6"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p>
    <w:p w14:paraId="7C9D77C2" w14:textId="2185275A"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b/>
          <w:bCs/>
          <w:i/>
          <w:iCs/>
          <w:kern w:val="0"/>
          <w:lang w:val="es-ES" w:eastAsia="es-AR"/>
          <w14:ligatures w14:val="none"/>
        </w:rPr>
        <w:t>Indicadores Académicos en la Universidad Nacional de La Matanza</w:t>
      </w:r>
    </w:p>
    <w:p w14:paraId="40085B17" w14:textId="0C435A20"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El proyecto de investigación “Construcción de un sistema de variables e indicadores de gestión académica en la Universidad Nacional de La Matanza”, realizado por la Secretaría Académica de la UNLAM, surgió en un momento de diversificación de la oferta académica, expansión de la matrícula, el surgimiento de los sistemas SIAC y SACAU y la promoción de la internacionalización en la educación superior argentina. </w:t>
      </w:r>
    </w:p>
    <w:p w14:paraId="1B9B66E3" w14:textId="024B6FAE" w:rsidR="00A54BB2" w:rsidRPr="00A54BB2" w:rsidRDefault="00A54BB2" w:rsidP="00A54BB2">
      <w:pPr>
        <w:spacing w:after="0" w:line="240" w:lineRule="auto"/>
        <w:jc w:val="both"/>
        <w:rPr>
          <w:rFonts w:ascii="Times New Roman" w:hAnsi="Times New Roman" w:cs="Times New Roman"/>
        </w:rPr>
      </w:pPr>
      <w:r w:rsidRPr="00BF213C">
        <w:rPr>
          <w:rFonts w:ascii="Times New Roman" w:hAnsi="Times New Roman" w:cs="Times New Roman"/>
        </w:rPr>
        <w:t>A partir del marco regulatorio argentino —que combina autonomía universitaria con evaluación externa—, se ha trabajado en la construcción de un sistema de variables con indicadores válidos, confiables, comparables y pertinentes que habiliten diagnósticos precisos y decisiones basadas en evidencia. A partir de los lineamientos internacionales (UNESCO, OCDE) y nacionales (CONEAU, SPU), y de los recientes Sistemas Institucionales de Aseguramiento de la Calidad (SIAC), la propuesta busca articular estándares técnicos con un enfoque innovador de justicia educativa que incorpore criterios de equidad, inclusión y pertinencia social desde la idiosincrasia UNLaM.</w:t>
      </w:r>
    </w:p>
    <w:p w14:paraId="33C6CAAA" w14:textId="752D72B5"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El sistema de variables propuesto nace en un contexto en el que la educación superior enfrenta desafíos vinculados a la heterogeneidad estudiantil, la necesidad de asegurar estándares nacionales e internacionales, la masificación de matrícula y deserción temprana, entre otros, y los indicadores permiten monitorear procesos clave y orientar decisiones basadas en evidencia (</w:t>
      </w:r>
      <w:proofErr w:type="spellStart"/>
      <w:r w:rsidRPr="00A54BB2">
        <w:rPr>
          <w:rFonts w:ascii="Times New Roman" w:eastAsia="Times New Roman" w:hAnsi="Times New Roman" w:cs="Times New Roman"/>
          <w:kern w:val="0"/>
          <w:lang w:val="es-ES" w:eastAsia="es-AR"/>
          <w14:ligatures w14:val="none"/>
        </w:rPr>
        <w:t>Fachelli</w:t>
      </w:r>
      <w:proofErr w:type="spellEnd"/>
      <w:r w:rsidRPr="00A54BB2">
        <w:rPr>
          <w:rFonts w:ascii="Times New Roman" w:eastAsia="Times New Roman" w:hAnsi="Times New Roman" w:cs="Times New Roman"/>
          <w:kern w:val="0"/>
          <w:lang w:val="es-ES" w:eastAsia="es-AR"/>
          <w14:ligatures w14:val="none"/>
        </w:rPr>
        <w:t>, López Roldán &amp; Meiller, 2020), para sopesar un entorno económico desfavorable para toda la comunidad académica. </w:t>
      </w:r>
    </w:p>
    <w:p w14:paraId="6C599813" w14:textId="6B967CEB"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La UNLaM, desde 1989, ha experimentado un crecimiento sostenido en matrícula y oferta académica. Este proceso ha exigido el desarrollo de mecanismos de evaluación que permitan garantizar la pertinencia y efectividad de sus funciones sustantivas: docencia, investigación y extensión. En este sentido, su Resolución HCS </w:t>
      </w:r>
      <w:proofErr w:type="spellStart"/>
      <w:r w:rsidRPr="00A54BB2">
        <w:rPr>
          <w:rFonts w:ascii="Times New Roman" w:eastAsia="Times New Roman" w:hAnsi="Times New Roman" w:cs="Times New Roman"/>
          <w:kern w:val="0"/>
          <w:lang w:val="es-ES" w:eastAsia="es-AR"/>
          <w14:ligatures w14:val="none"/>
        </w:rPr>
        <w:t>N°</w:t>
      </w:r>
      <w:proofErr w:type="spellEnd"/>
      <w:r w:rsidRPr="00A54BB2">
        <w:rPr>
          <w:rFonts w:ascii="Times New Roman" w:eastAsia="Times New Roman" w:hAnsi="Times New Roman" w:cs="Times New Roman"/>
          <w:kern w:val="0"/>
          <w:lang w:val="es-ES" w:eastAsia="es-AR"/>
          <w14:ligatures w14:val="none"/>
        </w:rPr>
        <w:t xml:space="preserve"> 111/2009 y los informes de autoevaluación institucional constituyen antecedentes fundamentales para la definición de indicadores académicos que comprenden variables indispensables, sin </w:t>
      </w:r>
      <w:r w:rsidRPr="00A54BB2">
        <w:rPr>
          <w:rFonts w:ascii="Times New Roman" w:eastAsia="Times New Roman" w:hAnsi="Times New Roman" w:cs="Times New Roman"/>
          <w:kern w:val="0"/>
          <w:lang w:val="es-ES" w:eastAsia="es-AR"/>
          <w14:ligatures w14:val="none"/>
        </w:rPr>
        <w:lastRenderedPageBreak/>
        <w:t>embargo, en este caso, se apunta a las variables consideradas innovadoras y/o propias de la idiosincrasia UNLaM. </w:t>
      </w:r>
    </w:p>
    <w:p w14:paraId="442BF335" w14:textId="07432442"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Así, se creó un sistema de variables que configura una mirada integrada del quehacer académico y su impacto institucional y territorial, organizado en cuatro dimensiones analíticas: </w:t>
      </w:r>
    </w:p>
    <w:p w14:paraId="651E1E14" w14:textId="35D2A635" w:rsidR="00A54BB2" w:rsidRPr="00A54BB2" w:rsidRDefault="00A54BB2" w:rsidP="00A54BB2">
      <w:pPr>
        <w:numPr>
          <w:ilvl w:val="0"/>
          <w:numId w:val="5"/>
        </w:numPr>
        <w:spacing w:after="0" w:line="240" w:lineRule="auto"/>
        <w:ind w:left="1080" w:firstLine="0"/>
        <w:jc w:val="both"/>
        <w:textAlignment w:val="baseline"/>
        <w:rPr>
          <w:rFonts w:ascii="Times New Roman" w:eastAsia="Times New Roman" w:hAnsi="Times New Roman" w:cs="Times New Roman"/>
          <w:kern w:val="0"/>
          <w:lang w:val="es-AR" w:eastAsia="es-AR"/>
          <w14:ligatures w14:val="none"/>
        </w:rPr>
      </w:pPr>
      <w:r w:rsidRPr="00A54BB2">
        <w:rPr>
          <w:rFonts w:ascii="Times New Roman" w:eastAsia="Times New Roman" w:hAnsi="Times New Roman" w:cs="Times New Roman"/>
          <w:kern w:val="0"/>
          <w:lang w:val="es-ES" w:eastAsia="es-AR"/>
          <w14:ligatures w14:val="none"/>
        </w:rPr>
        <w:t>Planes de Estudio </w:t>
      </w:r>
    </w:p>
    <w:p w14:paraId="4F74DFB3" w14:textId="6D3F1BDD" w:rsidR="00A54BB2" w:rsidRPr="00A54BB2" w:rsidRDefault="00A54BB2" w:rsidP="00A54BB2">
      <w:pPr>
        <w:numPr>
          <w:ilvl w:val="0"/>
          <w:numId w:val="6"/>
        </w:numPr>
        <w:spacing w:after="0" w:line="240" w:lineRule="auto"/>
        <w:ind w:left="1080" w:firstLine="0"/>
        <w:jc w:val="both"/>
        <w:textAlignment w:val="baseline"/>
        <w:rPr>
          <w:rFonts w:ascii="Times New Roman" w:eastAsia="Times New Roman" w:hAnsi="Times New Roman" w:cs="Times New Roman"/>
          <w:kern w:val="0"/>
          <w:lang w:val="es-AR" w:eastAsia="es-AR"/>
          <w14:ligatures w14:val="none"/>
        </w:rPr>
      </w:pPr>
      <w:r w:rsidRPr="00A54BB2">
        <w:rPr>
          <w:rFonts w:ascii="Times New Roman" w:eastAsia="Times New Roman" w:hAnsi="Times New Roman" w:cs="Times New Roman"/>
          <w:kern w:val="0"/>
          <w:lang w:val="es-ES" w:eastAsia="es-AR"/>
          <w14:ligatures w14:val="none"/>
        </w:rPr>
        <w:t>Docentes</w:t>
      </w:r>
    </w:p>
    <w:p w14:paraId="51B6A839" w14:textId="291CDA9B" w:rsidR="00A54BB2" w:rsidRPr="00A54BB2" w:rsidRDefault="00A54BB2" w:rsidP="00A54BB2">
      <w:pPr>
        <w:numPr>
          <w:ilvl w:val="0"/>
          <w:numId w:val="7"/>
        </w:numPr>
        <w:spacing w:after="0" w:line="240" w:lineRule="auto"/>
        <w:ind w:left="1080" w:firstLine="0"/>
        <w:jc w:val="both"/>
        <w:textAlignment w:val="baseline"/>
        <w:rPr>
          <w:rFonts w:ascii="Times New Roman" w:eastAsia="Times New Roman" w:hAnsi="Times New Roman" w:cs="Times New Roman"/>
          <w:kern w:val="0"/>
          <w:lang w:val="es-AR" w:eastAsia="es-AR"/>
          <w14:ligatures w14:val="none"/>
        </w:rPr>
      </w:pPr>
      <w:r w:rsidRPr="00A54BB2">
        <w:rPr>
          <w:rFonts w:ascii="Times New Roman" w:eastAsia="Times New Roman" w:hAnsi="Times New Roman" w:cs="Times New Roman"/>
          <w:kern w:val="0"/>
          <w:lang w:val="es-ES" w:eastAsia="es-AR"/>
          <w14:ligatures w14:val="none"/>
        </w:rPr>
        <w:t>Alumnos </w:t>
      </w:r>
    </w:p>
    <w:p w14:paraId="67607682" w14:textId="52FB46BF" w:rsidR="00A54BB2" w:rsidRPr="00A54BB2" w:rsidRDefault="00A54BB2" w:rsidP="00A54BB2">
      <w:pPr>
        <w:numPr>
          <w:ilvl w:val="0"/>
          <w:numId w:val="8"/>
        </w:numPr>
        <w:spacing w:after="0" w:line="240" w:lineRule="auto"/>
        <w:ind w:left="851" w:firstLine="229"/>
        <w:jc w:val="both"/>
        <w:textAlignment w:val="baseline"/>
        <w:rPr>
          <w:rFonts w:ascii="Times New Roman" w:eastAsia="Times New Roman" w:hAnsi="Times New Roman" w:cs="Times New Roman"/>
          <w:kern w:val="0"/>
          <w:lang w:val="es-AR" w:eastAsia="es-AR"/>
          <w14:ligatures w14:val="none"/>
        </w:rPr>
      </w:pPr>
      <w:r w:rsidRPr="00A54BB2">
        <w:rPr>
          <w:rFonts w:ascii="Times New Roman" w:eastAsia="Times New Roman" w:hAnsi="Times New Roman" w:cs="Times New Roman"/>
          <w:kern w:val="0"/>
          <w:lang w:val="es-ES" w:eastAsia="es-AR"/>
          <w14:ligatures w14:val="none"/>
        </w:rPr>
        <w:t>Gestión</w:t>
      </w:r>
    </w:p>
    <w:p w14:paraId="7AAF5754" w14:textId="371E9624"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p>
    <w:p w14:paraId="33B62641" w14:textId="2B72C396"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b/>
          <w:bCs/>
          <w:kern w:val="0"/>
          <w:lang w:val="es-ES" w:eastAsia="es-AR"/>
          <w14:ligatures w14:val="none"/>
        </w:rPr>
        <w:t>Planes de Estudio</w:t>
      </w:r>
    </w:p>
    <w:p w14:paraId="6DE66573" w14:textId="6CC62988"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La dimensión Planes de Estudio constituye un componente estructural del aseguramiento de la calidad académica, ya que ordena, regula y actualiza la oferta formativa en función de criterios institucionales, normativos y disciplinares. La matriz de variables propuesta organiza esta dimensión en tres grandes ejes: </w:t>
      </w:r>
      <w:r w:rsidRPr="00A54BB2">
        <w:rPr>
          <w:rFonts w:ascii="Times New Roman" w:eastAsia="Times New Roman" w:hAnsi="Times New Roman" w:cs="Times New Roman"/>
          <w:i/>
          <w:iCs/>
          <w:kern w:val="0"/>
          <w:lang w:val="es-ES" w:eastAsia="es-AR"/>
          <w14:ligatures w14:val="none"/>
        </w:rPr>
        <w:t>Estructura académica</w:t>
      </w:r>
      <w:r w:rsidRPr="00A54BB2">
        <w:rPr>
          <w:rFonts w:ascii="Times New Roman" w:eastAsia="Times New Roman" w:hAnsi="Times New Roman" w:cs="Times New Roman"/>
          <w:kern w:val="0"/>
          <w:lang w:val="es-ES" w:eastAsia="es-AR"/>
          <w14:ligatures w14:val="none"/>
        </w:rPr>
        <w:t>, </w:t>
      </w:r>
      <w:r w:rsidRPr="00A54BB2">
        <w:rPr>
          <w:rFonts w:ascii="Times New Roman" w:eastAsia="Times New Roman" w:hAnsi="Times New Roman" w:cs="Times New Roman"/>
          <w:i/>
          <w:iCs/>
          <w:kern w:val="0"/>
          <w:lang w:val="es-ES" w:eastAsia="es-AR"/>
          <w14:ligatures w14:val="none"/>
        </w:rPr>
        <w:t>Oferta académica</w:t>
      </w:r>
      <w:r w:rsidRPr="00A54BB2">
        <w:rPr>
          <w:rFonts w:ascii="Times New Roman" w:eastAsia="Times New Roman" w:hAnsi="Times New Roman" w:cs="Times New Roman"/>
          <w:kern w:val="0"/>
          <w:lang w:val="es-ES" w:eastAsia="es-AR"/>
          <w14:ligatures w14:val="none"/>
        </w:rPr>
        <w:t> y características</w:t>
      </w:r>
      <w:r w:rsidRPr="00A54BB2">
        <w:rPr>
          <w:rFonts w:ascii="Times New Roman" w:eastAsia="Times New Roman" w:hAnsi="Times New Roman" w:cs="Times New Roman"/>
          <w:i/>
          <w:iCs/>
          <w:kern w:val="0"/>
          <w:lang w:val="es-ES" w:eastAsia="es-AR"/>
          <w14:ligatures w14:val="none"/>
        </w:rPr>
        <w:t> Por carrera</w:t>
      </w:r>
      <w:r w:rsidRPr="00A54BB2">
        <w:rPr>
          <w:rFonts w:ascii="Times New Roman" w:eastAsia="Times New Roman" w:hAnsi="Times New Roman" w:cs="Times New Roman"/>
          <w:kern w:val="0"/>
          <w:lang w:val="es-ES" w:eastAsia="es-AR"/>
          <w14:ligatures w14:val="none"/>
        </w:rPr>
        <w:t>, incorporando indicadores de identificación, actualización, reconocimiento oficial, acreditación y flexibilidad curricular.</w:t>
      </w:r>
    </w:p>
    <w:p w14:paraId="4A18A590" w14:textId="77777777" w:rsidR="00867E54" w:rsidRPr="004A12E8" w:rsidRDefault="00867E54" w:rsidP="00867E54">
      <w:pPr>
        <w:spacing w:after="0" w:line="240" w:lineRule="auto"/>
        <w:jc w:val="both"/>
        <w:rPr>
          <w:rFonts w:ascii="Times New Roman" w:hAnsi="Times New Roman" w:cs="Times New Roman"/>
        </w:rPr>
      </w:pPr>
      <w:r w:rsidRPr="004A12E8">
        <w:rPr>
          <w:rFonts w:ascii="Times New Roman" w:hAnsi="Times New Roman" w:cs="Times New Roman"/>
        </w:rPr>
        <w:t>En el plano de la Estructura Académica se incluyen variables clásicas de acreditación indispensables que permiten identificar la pertenencia al CPRES Metropolitano, según el tipo de unidad académica, y describir el soporte organizacional de diseño y administración de los planes de estudio. Por su parte, los indicadores Por Carrera profundizan en el ciclo de vida normativo y académico de cada plan de estudios, y son esenciales para evaluar la calidad interna de cada plan y su adecuación a los estándares de actualización disciplinar. En esta dimensión se creó el indicador “Normativas e historial”, compuesto por el historial de Disposiciones, Resoluciones y Planes de estudio históricos y actuales de cada UUAA -HCS, CONEAU o Ministeriales-, para recuperar los antecedentes de cada Plan de Estudio respetando la idiosincrasia UNLaM.</w:t>
      </w:r>
    </w:p>
    <w:p w14:paraId="3C7B17E6" w14:textId="77777777" w:rsidR="00A54BB2" w:rsidRPr="00BF213C" w:rsidRDefault="00A54BB2" w:rsidP="00A54BB2">
      <w:pPr>
        <w:spacing w:after="0" w:line="240" w:lineRule="auto"/>
        <w:jc w:val="both"/>
        <w:rPr>
          <w:rFonts w:ascii="Times New Roman" w:hAnsi="Times New Roman" w:cs="Times New Roman"/>
        </w:rPr>
      </w:pPr>
      <w:r w:rsidRPr="00BF213C">
        <w:rPr>
          <w:rFonts w:ascii="Times New Roman" w:hAnsi="Times New Roman" w:cs="Times New Roman"/>
        </w:rPr>
        <w:t>Por último, la dimensión Oferta académica agrupa indicadores innovadores que caracterizan la estructura curricular vigente y permite evaluar el alineamiento de la oferta con el régimen normativo nacional, así como con las tendencias contemporáneas en flexibilidad y pertinencia. Aquí se incorporan indicadores que desagregan por cada “Rama disciplinar” el porcentaje vigente de “Carreras acreditadas”, “Carreras reguladas”, “Carreras actualizadas” y “Actualización de planes de estudios”. Así, se agrupan según el campo del conocimiento al que pertenecen y ordena el sistema educativo y responde al nomenclador oficial. Este nivel de detalle es consistente con los criterios de evaluación de la calidad curricular utilizados en acreditaciones nacionales y estándares internacionales (CONEAU; EFQM; ISO 9001).</w:t>
      </w:r>
    </w:p>
    <w:p w14:paraId="0991969C" w14:textId="40365EF7"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 xml:space="preserve">El indicador innovador “Opciones pedagógicas y flexibilización curricular” es altamente relevante para evaluar, por Unidades Académicas, cada Plan de Estudio según su alineación con el modelo SACAU y con tendencias contemporáneas como prácticas profesionalizantes, trabajo final integrador, aprendizaje basado en problemas, ciclos comunes y avanzados, materias optativas y reconocimiento de trayectorias previas. Estos elementos constituyen indicadores de modernización curricular que permiten medir la apertura del sistema académico hacia trayectorias diversas y articulaciones horizontales </w:t>
      </w:r>
      <w:r w:rsidRPr="00A54BB2">
        <w:rPr>
          <w:rFonts w:ascii="Times New Roman" w:eastAsia="Times New Roman" w:hAnsi="Times New Roman" w:cs="Times New Roman"/>
          <w:kern w:val="0"/>
          <w:lang w:val="es-ES" w:eastAsia="es-AR"/>
          <w14:ligatures w14:val="none"/>
        </w:rPr>
        <w:lastRenderedPageBreak/>
        <w:t>y verticales, en línea con abordajes de equidad y justicia educativa (Fraser, 2006; Sen, 2011).</w:t>
      </w:r>
    </w:p>
    <w:p w14:paraId="314BA22F" w14:textId="00E5F257"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sz w:val="22"/>
          <w:szCs w:val="22"/>
          <w:lang w:val="es-ES" w:eastAsia="es-AR"/>
          <w14:ligatures w14:val="none"/>
        </w:rPr>
        <w:t>Entre los indicadores de idiosincrasia UNLaM se incorpora “Títulos con trámite de validez nacional en curso/ o no res</w:t>
      </w:r>
      <w:r w:rsidRPr="00A54BB2">
        <w:rPr>
          <w:rFonts w:ascii="Times New Roman" w:eastAsia="Times New Roman" w:hAnsi="Times New Roman" w:cs="Times New Roman"/>
          <w:kern w:val="0"/>
          <w:lang w:val="es-ES" w:eastAsia="es-AR"/>
          <w14:ligatures w14:val="none"/>
        </w:rPr>
        <w:t>uelto”, o sea, cuantificar aquellos que han iniciado el trámite de validez nacional, pero que aún no cuentan con resolución definitiva al finalizar el año, para poder identificar los trámites pendientes y visibilizar el tiempo real del trámite a partir de la cantidad pendiente, proporción pendiente y tiempo promedio de presentación. Otro es “Trámites de planes de estudios ante DNGU”, que mide la cantidad de presentaciones anuales a dicho ente por trámites planes de estudios, en un año.</w:t>
      </w:r>
    </w:p>
    <w:p w14:paraId="3D99B1CD" w14:textId="108EA776"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En suma, la pertinencia de la oferta académica frente a las demandas del entorno social y productivo se convierte en un criterio central, y se complementa con el seguimiento de graduados y su inserción laboral, lo que permite evaluar el impacto real de la formación universitaria en la sociedad.</w:t>
      </w:r>
    </w:p>
    <w:p w14:paraId="4C46DF50" w14:textId="4BBB01A8"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b/>
          <w:bCs/>
          <w:kern w:val="0"/>
          <w:lang w:val="es-ES" w:eastAsia="es-AR"/>
          <w14:ligatures w14:val="none"/>
        </w:rPr>
        <w:t>Docentes</w:t>
      </w:r>
    </w:p>
    <w:p w14:paraId="5E50B100" w14:textId="77777777" w:rsidR="00A54BB2" w:rsidRPr="00BF213C" w:rsidRDefault="00A54BB2" w:rsidP="00A54BB2">
      <w:pPr>
        <w:spacing w:after="0" w:line="240" w:lineRule="auto"/>
        <w:jc w:val="both"/>
        <w:rPr>
          <w:rFonts w:ascii="Times New Roman" w:hAnsi="Times New Roman" w:cs="Times New Roman"/>
        </w:rPr>
      </w:pPr>
      <w:r w:rsidRPr="00BF213C">
        <w:rPr>
          <w:rFonts w:ascii="Times New Roman" w:hAnsi="Times New Roman" w:cs="Times New Roman"/>
        </w:rPr>
        <w:t>La segunda dimensión Docentes constituye un eje central para evaluar la calidad académica institucional, dado que el cuerpo docente es el principal agente formador y un componente clave en los procesos de enseñanza, investigación, extensión, internacionalización y gestión. La propuesta estructura esta dimensión en tres áreas analíticas: Nominalización en la estructura académica, Competencias académicas y Docencia con gestión académica.</w:t>
      </w:r>
    </w:p>
    <w:p w14:paraId="58A326C3" w14:textId="77777777" w:rsidR="00A54BB2" w:rsidRPr="00BF213C" w:rsidRDefault="00A54BB2" w:rsidP="00A54BB2">
      <w:pPr>
        <w:spacing w:after="0" w:line="240" w:lineRule="auto"/>
        <w:jc w:val="both"/>
        <w:rPr>
          <w:rFonts w:ascii="Times New Roman" w:hAnsi="Times New Roman" w:cs="Times New Roman"/>
        </w:rPr>
      </w:pPr>
      <w:r w:rsidRPr="00BF213C">
        <w:rPr>
          <w:rFonts w:ascii="Times New Roman" w:hAnsi="Times New Roman" w:cs="Times New Roman"/>
        </w:rPr>
        <w:t xml:space="preserve">La Nominalización en la estructura académica incluye los indicadores cuantitativos tradicionales recomendados por el CIN, la CONEAU o el Ministerio. Solo se incorpora uno que es la medición de “Reconocimientos Externos”, como innovación, para determinar la cantidad de docentes que recibieron distinciones por su trabajo universitario o área laboral disciplinar en un determinado período de tiempo. </w:t>
      </w:r>
    </w:p>
    <w:p w14:paraId="0612F7E9" w14:textId="77777777" w:rsidR="00A54BB2" w:rsidRPr="00BF213C" w:rsidRDefault="00A54BB2" w:rsidP="00A54BB2">
      <w:pPr>
        <w:spacing w:after="0" w:line="240" w:lineRule="auto"/>
        <w:jc w:val="both"/>
        <w:rPr>
          <w:rFonts w:ascii="Times New Roman" w:hAnsi="Times New Roman" w:cs="Times New Roman"/>
        </w:rPr>
      </w:pPr>
      <w:r w:rsidRPr="00BF213C">
        <w:rPr>
          <w:rFonts w:ascii="Times New Roman" w:hAnsi="Times New Roman" w:cs="Times New Roman"/>
        </w:rPr>
        <w:t xml:space="preserve">Por su parte, el eje Competencias académicas incluye indicadores cualitativos innovadores relacionados con el desempeño docente como el nivel de “Conocimiento del plan de estudios/carrera y articulación curricular”, que reconoce la necesidad de que cada docente comprenda su rol dentro del mapa curricular y contribuya a la coherencia formativa. También la “Alfabetización académica”, que mide el grado de contribución para fortalecer competencias transversales como la lectura, escritura y oralidad académica, investigación, uso de tecnologías y formación ciudadana. Todos en línea con las transformaciones </w:t>
      </w:r>
      <w:proofErr w:type="spellStart"/>
      <w:proofErr w:type="gramStart"/>
      <w:r w:rsidRPr="00BF213C">
        <w:rPr>
          <w:rFonts w:ascii="Times New Roman" w:hAnsi="Times New Roman" w:cs="Times New Roman"/>
        </w:rPr>
        <w:t>post-pandemia</w:t>
      </w:r>
      <w:proofErr w:type="spellEnd"/>
      <w:proofErr w:type="gramEnd"/>
      <w:r w:rsidRPr="00BF213C">
        <w:rPr>
          <w:rFonts w:ascii="Times New Roman" w:hAnsi="Times New Roman" w:cs="Times New Roman"/>
        </w:rPr>
        <w:t xml:space="preserve"> analizadas por Steiman (2021).</w:t>
      </w:r>
    </w:p>
    <w:p w14:paraId="7C09CF02" w14:textId="46844028"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Finalmente, se suma como indicador de idiosincrasia UNLaM la “Responsabilidad Administrativa”, que detalla el nivel de cumplimiento con las obligaciones docentes formales, como la carga de actas, asistencia, entrega de documentación y respeto a la normativa institucional, según su designación.</w:t>
      </w:r>
    </w:p>
    <w:p w14:paraId="1F577212" w14:textId="40A3891E"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La dimensión referida a la D</w:t>
      </w:r>
      <w:r w:rsidRPr="00A54BB2">
        <w:rPr>
          <w:rFonts w:ascii="Times New Roman" w:eastAsia="Times New Roman" w:hAnsi="Times New Roman" w:cs="Times New Roman"/>
          <w:i/>
          <w:iCs/>
          <w:kern w:val="0"/>
          <w:lang w:val="es-ES" w:eastAsia="es-AR"/>
          <w14:ligatures w14:val="none"/>
        </w:rPr>
        <w:t>ocencia con gestión académica</w:t>
      </w:r>
      <w:r w:rsidRPr="00A54BB2">
        <w:rPr>
          <w:rFonts w:ascii="Times New Roman" w:eastAsia="Times New Roman" w:hAnsi="Times New Roman" w:cs="Times New Roman"/>
          <w:kern w:val="0"/>
          <w:lang w:val="es-ES" w:eastAsia="es-AR"/>
          <w14:ligatures w14:val="none"/>
        </w:rPr>
        <w:t> reúne un conjunto de indicadores orientados a evaluar el grado de responsabilidad institucional que asume cada docente en los procesos de gobernanza universitaria. En esta área, la “Capacitación, participación y/o colaboración con la gestión académica”, indicador idiosincrático de la UNLaM, describe la f</w:t>
      </w:r>
      <w:r w:rsidRPr="00A54BB2">
        <w:rPr>
          <w:rFonts w:ascii="Times New Roman" w:eastAsia="Times New Roman" w:hAnsi="Times New Roman" w:cs="Times New Roman"/>
          <w:color w:val="000000"/>
          <w:kern w:val="0"/>
          <w:lang w:val="es-ES" w:eastAsia="es-AR"/>
          <w14:ligatures w14:val="none"/>
        </w:rPr>
        <w:t xml:space="preserve">ormación del docente en gestión universitaria y su disposición a colaborar en procesos administrativos, académicos y organizacionales. Así, su SIGEVA e Informes de actividades departamentales e </w:t>
      </w:r>
      <w:r w:rsidRPr="00A54BB2">
        <w:rPr>
          <w:rFonts w:ascii="Times New Roman" w:eastAsia="Times New Roman" w:hAnsi="Times New Roman" w:cs="Times New Roman"/>
          <w:color w:val="000000"/>
          <w:kern w:val="0"/>
          <w:lang w:val="es-ES" w:eastAsia="es-AR"/>
          <w14:ligatures w14:val="none"/>
        </w:rPr>
        <w:lastRenderedPageBreak/>
        <w:t>institucionales </w:t>
      </w:r>
      <w:r w:rsidRPr="00A54BB2">
        <w:rPr>
          <w:rFonts w:ascii="Times New Roman" w:eastAsia="Times New Roman" w:hAnsi="Times New Roman" w:cs="Times New Roman"/>
          <w:kern w:val="0"/>
          <w:lang w:val="es-ES" w:eastAsia="es-AR"/>
          <w14:ligatures w14:val="none"/>
        </w:rPr>
        <w:t>dan cuenta de una cultura institucional basada en el involucramiento activo y de apoyo a los procesos departamentales y universitarios</w:t>
      </w:r>
      <w:r w:rsidRPr="00A54BB2">
        <w:rPr>
          <w:rFonts w:ascii="Times New Roman" w:eastAsia="Times New Roman" w:hAnsi="Times New Roman" w:cs="Times New Roman"/>
          <w:color w:val="000000"/>
          <w:kern w:val="0"/>
          <w:lang w:val="es-ES" w:eastAsia="es-AR"/>
          <w14:ligatures w14:val="none"/>
        </w:rPr>
        <w:t>.</w:t>
      </w:r>
    </w:p>
    <w:p w14:paraId="78BFE298" w14:textId="5CD02A40"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En lo que respecta al cuerpo docente, los indicadores son esenciales para evaluar la capacidad académica de la institución y su potencial para garantizar una enseñanza de calidad. El caso de la incorporación de graduados de la UNLaM al cuerpo docente y la categorización en programas de incentivos a la investigación constituyen variables que fortalecen la identidad institucional y la vinculación entre docencia e investigación (Rodera, Walker &amp; Rovelli, 2023). A estos se suman indicadores de competencias docentes, que incluyen el conocimiento disciplinar, la actualización permanente, el dominio pedagógico, el compromiso con la formación integral de los estudiantes y la responsabilidad administrativa, aspectos que se han comenzado a sistematizar en proyectos de investigación institucional (</w:t>
      </w:r>
      <w:proofErr w:type="spellStart"/>
      <w:r w:rsidRPr="00A54BB2">
        <w:rPr>
          <w:rFonts w:ascii="Times New Roman" w:eastAsia="Times New Roman" w:hAnsi="Times New Roman" w:cs="Times New Roman"/>
          <w:kern w:val="0"/>
          <w:lang w:val="es-ES" w:eastAsia="es-AR"/>
          <w14:ligatures w14:val="none"/>
        </w:rPr>
        <w:t>Bidiña</w:t>
      </w:r>
      <w:proofErr w:type="spellEnd"/>
      <w:r w:rsidRPr="00A54BB2">
        <w:rPr>
          <w:rFonts w:ascii="Times New Roman" w:eastAsia="Times New Roman" w:hAnsi="Times New Roman" w:cs="Times New Roman"/>
          <w:kern w:val="0"/>
          <w:lang w:val="es-ES" w:eastAsia="es-AR"/>
          <w14:ligatures w14:val="none"/>
        </w:rPr>
        <w:t>, Martínez, Buzzoni, Jehin y Carnevali, 2024).</w:t>
      </w:r>
    </w:p>
    <w:p w14:paraId="7464DB0D" w14:textId="38F1B7BC"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b/>
          <w:bCs/>
          <w:kern w:val="0"/>
          <w:lang w:val="es-ES" w:eastAsia="es-AR"/>
          <w14:ligatures w14:val="none"/>
        </w:rPr>
        <w:t>Alumnos</w:t>
      </w:r>
    </w:p>
    <w:p w14:paraId="5C34690C" w14:textId="2C228303"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La dimensión Alumnos constituye uno de los pilares centrales para comprender el funcionamiento, la calidad y la equidad del sistema universitario. La matriz que se propone agrupa indicadores en cuatro grandes áreas: </w:t>
      </w:r>
      <w:r w:rsidRPr="00A54BB2">
        <w:rPr>
          <w:rFonts w:ascii="Times New Roman" w:eastAsia="Times New Roman" w:hAnsi="Times New Roman" w:cs="Times New Roman"/>
          <w:i/>
          <w:iCs/>
          <w:kern w:val="0"/>
          <w:lang w:val="es-ES" w:eastAsia="es-AR"/>
          <w14:ligatures w14:val="none"/>
        </w:rPr>
        <w:t>Ingreso, Permanencia y Egreso; Desempeño Académico; Investigación, Internacionalización y Extensión; y Participación, Inclusión y Bienestar</w:t>
      </w:r>
      <w:r w:rsidRPr="00A54BB2">
        <w:rPr>
          <w:rFonts w:ascii="Times New Roman" w:eastAsia="Times New Roman" w:hAnsi="Times New Roman" w:cs="Times New Roman"/>
          <w:kern w:val="0"/>
          <w:lang w:val="es-ES" w:eastAsia="es-AR"/>
          <w14:ligatures w14:val="none"/>
        </w:rPr>
        <w:t>. Los indicadores abarcan desde métricas clásicas hasta indicadores novedosos vinculados a desigualdades educativas (p. ej., aprobación según nivel educativo de los padres o zona de residencia), movilidad estudiantil, discapacidad y adaptaciones razonables. Este enfoque integral coincide con la literatura que sostiene que la calidad en educación superior debe contemplar tanto resultados académicos como condiciones de equidad, inclusión y justicia educativa (UNESCO, 1998; Fraser, 2006; Sen, 2011).</w:t>
      </w:r>
    </w:p>
    <w:p w14:paraId="61AEDDC7" w14:textId="031A4746" w:rsidR="00A54BB2" w:rsidRPr="00A54BB2" w:rsidRDefault="00A54BB2" w:rsidP="00A54BB2">
      <w:pPr>
        <w:spacing w:after="0" w:line="240" w:lineRule="auto"/>
        <w:jc w:val="both"/>
        <w:rPr>
          <w:rFonts w:ascii="Times New Roman" w:hAnsi="Times New Roman" w:cs="Times New Roman"/>
        </w:rPr>
      </w:pPr>
      <w:r w:rsidRPr="00BF213C">
        <w:rPr>
          <w:rFonts w:ascii="Times New Roman" w:hAnsi="Times New Roman" w:cs="Times New Roman"/>
        </w:rPr>
        <w:t xml:space="preserve">Los indicadores del área Ingreso, permanencia y egreso permiten describir las trayectorias estudiantiles en términos de continuidad, avance y </w:t>
      </w:r>
      <w:proofErr w:type="spellStart"/>
      <w:r w:rsidRPr="00BF213C">
        <w:rPr>
          <w:rFonts w:ascii="Times New Roman" w:hAnsi="Times New Roman" w:cs="Times New Roman"/>
        </w:rPr>
        <w:t>terminalidad</w:t>
      </w:r>
      <w:proofErr w:type="spellEnd"/>
      <w:r w:rsidRPr="00BF213C">
        <w:rPr>
          <w:rFonts w:ascii="Times New Roman" w:hAnsi="Times New Roman" w:cs="Times New Roman"/>
        </w:rPr>
        <w:t>. Con esta idea, se establecen algunos indicadores nuevos con idiosincrasia UNLaM, como son la “Tasa de reincorporación” (por ciclo lectivo, según fórmula propia), “Reincorporados por carrera” (de acuerdo a su última inscripción), “Cantidad de estudiantes que realizan cambio de carrera” (distinguiéndose por año de ingreso a carrera inicial y trayectoria según su institución previa), “Tasas de cambio de carrera” (porcentaje por ingresantes) y “Cantidad de alumnos incorporados por año” (número total, por pérdida de  regularidad y que recuperan efectivamente su matrícula).</w:t>
      </w:r>
    </w:p>
    <w:p w14:paraId="0C7F1521" w14:textId="77777777"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Los anteriores articulan con las tasas de retención, permanencia y deserción que permiten evaluar la capacidad institucional para sostener la continuidad educativa, aspecto crítico en el debate sobre equidad y democratización del acceso. Y las Reincorporaciones y cambios de carrera son indicadores idiosincráticos que permiten reconocer trayectorias no lineales y la posibilidad de reorientación académica, algo característico en contextos de gran población de primera generación universitaria. Así, la presencia simultánea de indicadores cuantitativos y cualitativos sobre tránsitos académicos refleja un enfoque situado, capaz de captar la complejidad de las trayectorias contemporáneas.</w:t>
      </w:r>
      <w:r w:rsidRPr="00A54BB2">
        <w:rPr>
          <w:rFonts w:ascii="Times New Roman" w:eastAsia="Times New Roman" w:hAnsi="Times New Roman" w:cs="Times New Roman"/>
          <w:kern w:val="0"/>
          <w:bdr w:val="none" w:sz="0" w:space="0" w:color="auto" w:frame="1"/>
          <w:shd w:val="clear" w:color="auto" w:fill="C6C6C6"/>
          <w:lang w:val="es-AR" w:eastAsia="es-AR"/>
          <w14:ligatures w14:val="none"/>
        </w:rPr>
        <w:t> </w:t>
      </w:r>
    </w:p>
    <w:p w14:paraId="025A53CE" w14:textId="77777777"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Por otra parte, los indicadores de </w:t>
      </w:r>
      <w:r w:rsidRPr="00A54BB2">
        <w:rPr>
          <w:rFonts w:ascii="Times New Roman" w:eastAsia="Times New Roman" w:hAnsi="Times New Roman" w:cs="Times New Roman"/>
          <w:i/>
          <w:iCs/>
          <w:kern w:val="0"/>
          <w:lang w:val="es-ES" w:eastAsia="es-AR"/>
          <w14:ligatures w14:val="none"/>
        </w:rPr>
        <w:t>Desempeño Académico</w:t>
      </w:r>
      <w:r w:rsidRPr="00A54BB2">
        <w:rPr>
          <w:rFonts w:ascii="Times New Roman" w:eastAsia="Times New Roman" w:hAnsi="Times New Roman" w:cs="Times New Roman"/>
          <w:kern w:val="0"/>
          <w:lang w:val="es-ES" w:eastAsia="es-AR"/>
          <w14:ligatures w14:val="none"/>
        </w:rPr>
        <w:t xml:space="preserve"> profundizan en el análisis del progreso curricular. Aquí la innovación se produce en incorporar las “Tasa de aprobación de asignaturas por nivel de estudio de sus padres” y “Tasa de aprobación </w:t>
      </w:r>
      <w:r w:rsidRPr="00A54BB2">
        <w:rPr>
          <w:rFonts w:ascii="Times New Roman" w:eastAsia="Times New Roman" w:hAnsi="Times New Roman" w:cs="Times New Roman"/>
          <w:kern w:val="0"/>
          <w:lang w:val="es-ES" w:eastAsia="es-AR"/>
          <w14:ligatures w14:val="none"/>
        </w:rPr>
        <w:lastRenderedPageBreak/>
        <w:t>de asignaturas por zona de residencia”, según los datos declarados por cada estudiante en el momento de su inscripción y tras completar el año completo de ciclo lectivo.</w:t>
      </w:r>
      <w:r w:rsidRPr="00A54BB2">
        <w:rPr>
          <w:rFonts w:ascii="Times New Roman" w:eastAsia="Times New Roman" w:hAnsi="Times New Roman" w:cs="Times New Roman"/>
          <w:kern w:val="0"/>
          <w:bdr w:val="none" w:sz="0" w:space="0" w:color="auto" w:frame="1"/>
          <w:shd w:val="clear" w:color="auto" w:fill="C6C6C6"/>
          <w:lang w:val="es-AR" w:eastAsia="es-AR"/>
          <w14:ligatures w14:val="none"/>
        </w:rPr>
        <w:t> </w:t>
      </w:r>
    </w:p>
    <w:p w14:paraId="5E4DBDE1" w14:textId="1EDB2DF8"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Aprobación según nivel educativo de los padres o zona de residencia son indicadores innovadores que permiten analizar desigualdades sociales y territoriales, en línea con los enfoques de justicia educativa. Estos son vitales para interpretar cómo las condiciones socioeconómicas impactan en el desempeño, y coherentes con la bibliografía que señala que el origen social condiciona la trayectoria académica (García de Fanelli, 2015).</w:t>
      </w:r>
    </w:p>
    <w:p w14:paraId="677A5BD9" w14:textId="013D86A1"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El área </w:t>
      </w:r>
      <w:r w:rsidRPr="00A54BB2">
        <w:rPr>
          <w:rFonts w:ascii="Times New Roman" w:eastAsia="Times New Roman" w:hAnsi="Times New Roman" w:cs="Times New Roman"/>
          <w:i/>
          <w:iCs/>
          <w:kern w:val="0"/>
          <w:lang w:val="es-ES" w:eastAsia="es-AR"/>
          <w14:ligatures w14:val="none"/>
        </w:rPr>
        <w:t>Participación, inclusión y bienestar estudiantil</w:t>
      </w:r>
      <w:r w:rsidRPr="00A54BB2">
        <w:rPr>
          <w:rFonts w:ascii="Times New Roman" w:eastAsia="Times New Roman" w:hAnsi="Times New Roman" w:cs="Times New Roman"/>
          <w:b/>
          <w:bCs/>
          <w:kern w:val="0"/>
          <w:lang w:val="es-ES" w:eastAsia="es-AR"/>
          <w14:ligatures w14:val="none"/>
        </w:rPr>
        <w:t> </w:t>
      </w:r>
      <w:r w:rsidRPr="00A54BB2">
        <w:rPr>
          <w:rFonts w:ascii="Times New Roman" w:eastAsia="Times New Roman" w:hAnsi="Times New Roman" w:cs="Times New Roman"/>
          <w:kern w:val="0"/>
          <w:lang w:val="es-ES" w:eastAsia="es-AR"/>
          <w14:ligatures w14:val="none"/>
        </w:rPr>
        <w:t>articula indicadores vinculados a condiciones institucionales para la equidad. La innovación es sumar la inclusión de estudiantes con discapacidad, tasas de accesibilidad e indicadores innovadores sobre adaptaciones razonables, para medir su cantidad y porcentaje, según registros de la Dirección de Bienestar Universitario. Estos permiten evaluar la capacidad institucional para desarrollar políticas compensatorias y de acompañamiento, necesarias en sistemas inclusivos y masificados.</w:t>
      </w:r>
    </w:p>
    <w:p w14:paraId="5C226F05" w14:textId="306272FB"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En la dimensión estudiantil, a los indicadores clásicos -Cantidad de inscriptos por carrera, la relación ingreso-egreso, la tasa de desgranamiento y deserción, la duración real de las carreras en comparación con la duración teórica, la cantidad de materias aprobadas por rango y la movilidad interna- se incorporan indicadores situados como la “Cobertura de becas”, la “Participación en tutorías” y las “Reincorporaciones”, que reflejan el compromiso institucional con la equidad y la inclusión (Steiman, 2021). Estos datos permiten evaluar la eficiencia del sistema formativo y detectar factores que inciden en la permanencia y graduación, como las condiciones socioeconómicas, la calidad de la formación previa y la disponibilidad de recursos institucionales.</w:t>
      </w:r>
    </w:p>
    <w:p w14:paraId="3009EED4" w14:textId="4BE1CC45"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b/>
          <w:bCs/>
          <w:kern w:val="0"/>
          <w:lang w:val="es-ES" w:eastAsia="es-AR"/>
          <w14:ligatures w14:val="none"/>
        </w:rPr>
        <w:t>Gestión</w:t>
      </w:r>
    </w:p>
    <w:p w14:paraId="3DE13041" w14:textId="77777777" w:rsidR="004E4DE6" w:rsidRPr="00D52C9A" w:rsidRDefault="004E4DE6" w:rsidP="004E4DE6">
      <w:pPr>
        <w:spacing w:after="0" w:line="240" w:lineRule="auto"/>
        <w:jc w:val="both"/>
        <w:rPr>
          <w:rFonts w:ascii="Times New Roman" w:hAnsi="Times New Roman" w:cs="Times New Roman"/>
        </w:rPr>
      </w:pPr>
      <w:r w:rsidRPr="00D52C9A">
        <w:rPr>
          <w:rFonts w:ascii="Times New Roman" w:hAnsi="Times New Roman" w:cs="Times New Roman"/>
        </w:rPr>
        <w:t>La dimensión Gestión reúne un conjunto amplio y transversal de indicadores que permiten evaluar la capacidad institucional para planificar, organizar, ejecutar y mejorar los procesos académicos, administrativos, infraestructurales y de vinculación con el entorno. El sistema de indicadores propuesto se estructura en cuatro áreas centrales: Estructura organizacional; Funciones, actividades y procesos; Infraestructura; y Relación con el entorno.</w:t>
      </w:r>
    </w:p>
    <w:p w14:paraId="0304F9E5" w14:textId="77777777" w:rsidR="004E4DE6" w:rsidRPr="00BF213C" w:rsidRDefault="004E4DE6" w:rsidP="004E4DE6">
      <w:pPr>
        <w:spacing w:after="0" w:line="240" w:lineRule="auto"/>
        <w:jc w:val="both"/>
        <w:rPr>
          <w:rFonts w:ascii="Times New Roman" w:hAnsi="Times New Roman" w:cs="Times New Roman"/>
        </w:rPr>
      </w:pPr>
      <w:r w:rsidRPr="00D52C9A">
        <w:rPr>
          <w:rFonts w:ascii="Times New Roman" w:hAnsi="Times New Roman" w:cs="Times New Roman"/>
        </w:rPr>
        <w:t xml:space="preserve">Destacando solamente los indicadores innovadores y los asociados a la identidad institucional de la UNLaM, abarcan aspectos diversos en una amplitud que permite hacer una lectura holística del funcionamiento institucional y coherente con los estándares contemporáneos de los Sistemas de Aseguramiento de la Calidad (SIAC) argentinos y con los marcos internacionales de gestión y calidad universitaria como ISO 9001, EFQM y los lineamientos de </w:t>
      </w:r>
      <w:proofErr w:type="gramStart"/>
      <w:r w:rsidRPr="00D52C9A">
        <w:rPr>
          <w:rFonts w:ascii="Times New Roman" w:hAnsi="Times New Roman" w:cs="Times New Roman"/>
        </w:rPr>
        <w:t>UNESCO</w:t>
      </w:r>
      <w:proofErr w:type="gramEnd"/>
      <w:r w:rsidRPr="00D52C9A">
        <w:rPr>
          <w:rFonts w:ascii="Times New Roman" w:hAnsi="Times New Roman" w:cs="Times New Roman"/>
        </w:rPr>
        <w:t xml:space="preserve"> y OCDE.</w:t>
      </w:r>
    </w:p>
    <w:p w14:paraId="555F30C3" w14:textId="4143AB0B" w:rsidR="00A54BB2" w:rsidRPr="00A54BB2" w:rsidRDefault="00A54BB2" w:rsidP="004E4DE6">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El área </w:t>
      </w:r>
      <w:r w:rsidRPr="00A54BB2">
        <w:rPr>
          <w:rFonts w:ascii="Times New Roman" w:eastAsia="Times New Roman" w:hAnsi="Times New Roman" w:cs="Times New Roman"/>
          <w:i/>
          <w:iCs/>
          <w:kern w:val="0"/>
          <w:lang w:val="es-ES" w:eastAsia="es-AR"/>
          <w14:ligatures w14:val="none"/>
        </w:rPr>
        <w:t>Estructura organizacional</w:t>
      </w:r>
      <w:r w:rsidRPr="00A54BB2">
        <w:rPr>
          <w:rFonts w:ascii="Times New Roman" w:eastAsia="Times New Roman" w:hAnsi="Times New Roman" w:cs="Times New Roman"/>
          <w:kern w:val="0"/>
          <w:lang w:val="es-ES" w:eastAsia="es-AR"/>
          <w14:ligatures w14:val="none"/>
        </w:rPr>
        <w:t> comprende la arquitectura institucional sobre la cual se despliegan las funciones académicas y administrativas de la universidad. Un componente central innovador y que a su vez demuestra la idiosincrasia UNLaM es la “Implementación de políticas de inclusión y equidad”, que sitúa a la gestión institucional dentro de un marco de justicia educativa -y que recupera los aportes teóricos de Fraser (2006) y Sen (2011)- al reconocer que la calidad no puede restringirse a parámetros técnico-administrativos, sino que debe incorporar criterios de redistribución de oportunidades, reconocimiento de las diversidades y ampliación de capacidades.</w:t>
      </w:r>
    </w:p>
    <w:p w14:paraId="3FDE818E" w14:textId="5EC24861"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lastRenderedPageBreak/>
        <w:t>Del mismo modo, la “Actualización de normativas” constituye un indicador innovador que mide la agilidad de la institución para revisar y renovar reglamentos, instructivos y resoluciones, asegurando un marco regulativo actualizado, pertinente y funcional.</w:t>
      </w:r>
    </w:p>
    <w:p w14:paraId="2D538334" w14:textId="77777777" w:rsidR="004E4DE6" w:rsidRDefault="004E4DE6" w:rsidP="00A54BB2">
      <w:pPr>
        <w:spacing w:after="0" w:line="240" w:lineRule="auto"/>
        <w:jc w:val="both"/>
        <w:textAlignment w:val="baseline"/>
        <w:rPr>
          <w:rFonts w:ascii="Times New Roman" w:hAnsi="Times New Roman" w:cs="Times New Roman"/>
        </w:rPr>
      </w:pPr>
      <w:r w:rsidRPr="00D52C9A">
        <w:rPr>
          <w:rFonts w:ascii="Times New Roman" w:hAnsi="Times New Roman" w:cs="Times New Roman"/>
        </w:rPr>
        <w:t>En Funciones, actividades y procesos se agrupan los indicadores orientados a evaluar la eficacia, eficiencia y madurez de los procesos institucionales, permitiendo caracterizar el grado de desarrollo organizacional y la calidad de la gestión universitaria. Así, se incorpora la “Satisfacción de usuarios digitales”, basada en encuestas dirigidas a estudiantes y docentes, que aporta información valiosa sobre la percepción general del funcionamiento de los servicios, constituyéndose en una medida cualitativa que complementa los indicadores estrictamente técnicos. A su vez, se suma la “Interoperabilidad entre sistemas informáticos”, que representa un indicador innovador que cobra especial importancia en el escenario actual, ya que la integración entre plataformas como SIU, intranet, sistemas académicos y entornos virtuales de aprendizaje resulta esencial para el funcionamiento cotidiano y la gestión basada en datos</w:t>
      </w:r>
      <w:r>
        <w:rPr>
          <w:rFonts w:ascii="Times New Roman" w:hAnsi="Times New Roman" w:cs="Times New Roman"/>
        </w:rPr>
        <w:t>.</w:t>
      </w:r>
    </w:p>
    <w:p w14:paraId="561D00D2" w14:textId="1A82F73C"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En este mismo sentido, el “Índice de continuidad pedagógica” permite medir la resiliencia institucional frente a contingencias, evaluando la capacidad de sostener actividades curriculares y prácticas profesionalizantes en contextos críticos. Finalmente, la cantidad de “Innovaciones pedagógicas” implementadas anualmente refleja el dinamismo académico de la universidad y su compromiso con la actualización metodológica, incluyendo tecnologías educativas, prácticas integradas y enfoques interdisciplinarios que fortalecen la calidad de la enseñanza.</w:t>
      </w:r>
    </w:p>
    <w:p w14:paraId="31B56922" w14:textId="77DD2386"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i/>
          <w:iCs/>
          <w:kern w:val="0"/>
          <w:lang w:val="es-ES" w:eastAsia="es-AR"/>
          <w14:ligatures w14:val="none"/>
        </w:rPr>
        <w:t>Infraestructura</w:t>
      </w:r>
      <w:r w:rsidRPr="00A54BB2">
        <w:rPr>
          <w:rFonts w:ascii="Times New Roman" w:eastAsia="Times New Roman" w:hAnsi="Times New Roman" w:cs="Times New Roman"/>
          <w:kern w:val="0"/>
          <w:lang w:val="es-ES" w:eastAsia="es-AR"/>
          <w14:ligatures w14:val="none"/>
        </w:rPr>
        <w:t> constituye un componente esencial del aseguramiento de la calidad académica, dado que condiciona directamente las posibilidades de enseñanza, investigación, extensión y vinculación con el territorio. El “Porcentaje de aulas equipadas con tecnología multimedia” se ha vuelto fundamental en contextos educativos contemporáneos, donde las metodologías de enseñanza requieren soporte digital e infraestructura tecnológica actualizada. Un indicador innovador dentro de esta dimensión es la “Relación teoría–práctica por carrera”, que permite evaluar si la infraestructura disponible —incluyendo laboratorios, clínicas, talleres o espacios de práctica— es coherente con los perfiles profesionales que cada programa pretende formar.</w:t>
      </w:r>
    </w:p>
    <w:p w14:paraId="178F05F6" w14:textId="77777777"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La matriz propuesta también incorpora indicadores vinculados al rol social de la universidad, como el “Índice de infraestructura comunitaria”, que contempla la existencia de clubes, actividades federadas, natatorios, pistas deportivas y otros espacios que fortalecen el vínculo con la comunidad y promueven el desarrollo integral de estudiantes y vecinos. En relación con la equidad, el “Nivel de accesibilidad física y tecnológica” constituye un componente innovador indispensable, ya que mide la disponibilidad de rampas, ascensores, señalética accesible, materiales adaptados y plataformas digitales inclusivas, lo cual se articula con políticas institucionales orientadas a la inclusión educativa. Finalmente, la “Adecuación de espacios para prácticas profesionalizantes”, según idiosincrasia UNLaM, permite evaluar la pertinencia de la infraestructura en función de los requerimientos formativos de cada carrera, garantizando que los entornos de aprendizaje repliquen condiciones reales del campo profesional y favorezcan la adquisición de competencias específicas.</w:t>
      </w:r>
      <w:r w:rsidRPr="00A54BB2">
        <w:rPr>
          <w:rFonts w:ascii="Times New Roman" w:eastAsia="Times New Roman" w:hAnsi="Times New Roman" w:cs="Times New Roman"/>
          <w:kern w:val="0"/>
          <w:lang w:val="es-AR" w:eastAsia="es-AR"/>
          <w14:ligatures w14:val="none"/>
        </w:rPr>
        <w:t> </w:t>
      </w:r>
    </w:p>
    <w:p w14:paraId="64E46237" w14:textId="5C4EE716"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lastRenderedPageBreak/>
        <w:t>El área </w:t>
      </w:r>
      <w:r w:rsidRPr="00A54BB2">
        <w:rPr>
          <w:rFonts w:ascii="Times New Roman" w:eastAsia="Times New Roman" w:hAnsi="Times New Roman" w:cs="Times New Roman"/>
          <w:i/>
          <w:iCs/>
          <w:kern w:val="0"/>
          <w:lang w:val="es-ES" w:eastAsia="es-AR"/>
          <w14:ligatures w14:val="none"/>
        </w:rPr>
        <w:t>Relación con el entorno </w:t>
      </w:r>
      <w:r w:rsidRPr="00A54BB2">
        <w:rPr>
          <w:rFonts w:ascii="Times New Roman" w:eastAsia="Times New Roman" w:hAnsi="Times New Roman" w:cs="Times New Roman"/>
          <w:kern w:val="0"/>
          <w:lang w:val="es-ES" w:eastAsia="es-AR"/>
          <w14:ligatures w14:val="none"/>
        </w:rPr>
        <w:t>permite analizar la apertura institucional hacia la comunidad y el modo en que la universidad construye, sostiene y proyecta sus vínculos con el territorio. Un rasgo distintivo dentro de esta área es la “Participación estudiantil en programas comunitarios”, indicador innovador que se vincula estrechamente con la identidad de la UNLaM y con su misión territorial. Asimismo, el “Porcentaje de convenios con transferencia social o tecnológica” constituye un nuevo indicador altamente relevante para medir el impacto transformador real de la vinculación institucional, ya que permite distinguir entre acuerdos meramente formales y aquellos que efectivamente generan innovación, mejoras en servicios, desarrollos tecnológicos o intervenciones comunitarias.</w:t>
      </w:r>
    </w:p>
    <w:p w14:paraId="2898CC7F" w14:textId="6D33DCF0" w:rsidR="00A54BB2" w:rsidRPr="00A54BB2" w:rsidRDefault="00A54BB2"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r w:rsidRPr="00A54BB2">
        <w:rPr>
          <w:rFonts w:ascii="Times New Roman" w:eastAsia="Times New Roman" w:hAnsi="Times New Roman" w:cs="Times New Roman"/>
          <w:kern w:val="0"/>
          <w:lang w:val="es-ES" w:eastAsia="es-AR"/>
          <w14:ligatures w14:val="none"/>
        </w:rPr>
        <w:t>Por último, el índice “Impacto regional” junto con “Reconocimiento externo” de la institución permiten captar la percepción pública sobre la universidad y su influencia en el entorno. Estos indicadores reúnen información derivada de encuestas, evaluaciones externas y análisis de redes de colaboración, ofreciendo una perspectiva amplia sobre el posicionamiento institucional en el territorio. En conjunto, la dimensión permite comprender cómo la universidad dialoga con su alrededor, cómo contribuye al desarrollo regional y cómo se proyecta en su rol de actor social relevante en términos de calidad, pertinencia y compromiso comunitario.</w:t>
      </w:r>
    </w:p>
    <w:p w14:paraId="08E9E8ED" w14:textId="79AFE470" w:rsidR="00A54BB2" w:rsidRDefault="00A54BB2" w:rsidP="00A54BB2">
      <w:pPr>
        <w:spacing w:after="0" w:line="240" w:lineRule="auto"/>
        <w:jc w:val="both"/>
        <w:textAlignment w:val="baseline"/>
        <w:rPr>
          <w:rFonts w:ascii="Times New Roman" w:eastAsia="Times New Roman" w:hAnsi="Times New Roman" w:cs="Times New Roman"/>
          <w:kern w:val="0"/>
          <w:lang w:val="es-ES" w:eastAsia="es-AR"/>
          <w14:ligatures w14:val="none"/>
        </w:rPr>
      </w:pPr>
      <w:r w:rsidRPr="00A54BB2">
        <w:rPr>
          <w:rFonts w:ascii="Times New Roman" w:eastAsia="Times New Roman" w:hAnsi="Times New Roman" w:cs="Times New Roman"/>
          <w:kern w:val="0"/>
          <w:lang w:val="es-ES" w:eastAsia="es-AR"/>
          <w14:ligatures w14:val="none"/>
        </w:rPr>
        <w:t>En suma, la gestión institucional se evalúa mediante indicadores vinculados a la eficiencia administrativa, la certificación de procesos bajo normas internacionales como ISO 9001, la gestión de información y la interoperabilidad de sistemas académicos. El Sistema Institucional de Aseguramiento de la Calidad (SIAC-UNLaM), en desarrollo desde 2024, busca consolidar una cultura de evaluación y mejora continua, articulando estándares técnicos con criterios de equidad y pertinencia social (Ministerio de Educación, 2023). Este sistema propuesto articula la autonomía institucional con una planificación basada en evidencia empírica, mediante el uso de indicadores que retroalimenten las decisiones de política académica orientadas a la mejora de la calidad educativa.</w:t>
      </w:r>
    </w:p>
    <w:p w14:paraId="39E4FD51" w14:textId="77777777" w:rsidR="004E4DE6" w:rsidRPr="00A54BB2" w:rsidRDefault="004E4DE6" w:rsidP="00A54BB2">
      <w:pPr>
        <w:spacing w:after="0" w:line="240" w:lineRule="auto"/>
        <w:jc w:val="both"/>
        <w:textAlignment w:val="baseline"/>
        <w:rPr>
          <w:rFonts w:ascii="Segoe UI" w:eastAsia="Times New Roman" w:hAnsi="Segoe UI" w:cs="Segoe UI"/>
          <w:kern w:val="0"/>
          <w:sz w:val="18"/>
          <w:szCs w:val="18"/>
          <w:lang w:val="es-AR" w:eastAsia="es-AR"/>
          <w14:ligatures w14:val="none"/>
        </w:rPr>
      </w:pPr>
    </w:p>
    <w:p w14:paraId="12CE0BCB" w14:textId="6A82741F" w:rsidR="005F3B2E" w:rsidRPr="00997DA1" w:rsidRDefault="005F3B2E" w:rsidP="007B5B5F">
      <w:pPr>
        <w:spacing w:line="240" w:lineRule="auto"/>
        <w:rPr>
          <w:rFonts w:ascii="Times New Roman" w:hAnsi="Times New Roman" w:cs="Times New Roman"/>
          <w:b/>
          <w:bCs/>
          <w:lang w:val="en-US"/>
        </w:rPr>
      </w:pPr>
      <w:proofErr w:type="spellStart"/>
      <w:r w:rsidRPr="00997DA1">
        <w:rPr>
          <w:rFonts w:ascii="Times New Roman" w:hAnsi="Times New Roman" w:cs="Times New Roman"/>
          <w:b/>
          <w:bCs/>
          <w:lang w:val="en-US"/>
        </w:rPr>
        <w:t>Conclusiones</w:t>
      </w:r>
      <w:proofErr w:type="spellEnd"/>
    </w:p>
    <w:p w14:paraId="2B9B7B2F" w14:textId="20D6E7C4" w:rsidR="004E4DE6" w:rsidRDefault="004E4DE6" w:rsidP="004E4DE6">
      <w:pPr>
        <w:pStyle w:val="paragraph"/>
        <w:spacing w:before="0" w:beforeAutospacing="0" w:after="0" w:afterAutospacing="0"/>
        <w:jc w:val="both"/>
        <w:textAlignment w:val="baseline"/>
        <w:rPr>
          <w:rFonts w:ascii="Segoe UI" w:hAnsi="Segoe UI" w:cs="Segoe UI"/>
          <w:sz w:val="18"/>
          <w:szCs w:val="18"/>
          <w:lang w:val="es-ES"/>
        </w:rPr>
      </w:pPr>
      <w:r>
        <w:rPr>
          <w:rStyle w:val="normaltextrun"/>
          <w:lang w:val="es-ES"/>
        </w:rPr>
        <w:t>El sistema de indicadores propuesto por la Secretaría Académica de la UNLaM constituye un aporte significativo a la gestión universitaria al integrar dimensiones cuantitativas y cualitativas en un marco de análisis contextualizado, capaz de articular las funciones académicas, administrativas y territoriales de la institución. Más allá de su utilidad para fortalecer la toma de decisiones basada en evidencia, mejorar la planificación y aportar nueva información adicional a la obtenida durante los procesos de evaluación, la experiencia analizada evidencia la relevancia de construir sistemas de información que expresen la identidad institucional y las particularidades del contexto en el que la universidad desarrolla sus funciones sustantivas.</w:t>
      </w:r>
    </w:p>
    <w:p w14:paraId="06D182AF" w14:textId="6F860DC9" w:rsidR="004E4DE6" w:rsidRDefault="004E4DE6" w:rsidP="004E4DE6">
      <w:pPr>
        <w:pStyle w:val="paragraph"/>
        <w:spacing w:before="0" w:beforeAutospacing="0" w:after="0" w:afterAutospacing="0"/>
        <w:jc w:val="both"/>
        <w:textAlignment w:val="baseline"/>
        <w:rPr>
          <w:rFonts w:ascii="Segoe UI" w:hAnsi="Segoe UI" w:cs="Segoe UI"/>
          <w:sz w:val="18"/>
          <w:szCs w:val="18"/>
          <w:lang w:val="es-ES"/>
        </w:rPr>
      </w:pPr>
      <w:r>
        <w:rPr>
          <w:rStyle w:val="normaltextrun"/>
          <w:lang w:val="es-ES"/>
        </w:rPr>
        <w:t>En este marco, la innovación proyectada para el SIAC-UNLaM supone concebir la evaluación como un proceso orientado a la medición del desempeño y a la comprensión de las condiciones que favorecen o limitan las trayectorias educativas, y que permite ampliar las perspectivas tradicionales de análisis y fortalecer su visión de la calidad académica.</w:t>
      </w:r>
    </w:p>
    <w:p w14:paraId="2E8F276D" w14:textId="77777777" w:rsidR="004E4DE6" w:rsidRDefault="004E4DE6" w:rsidP="004E4DE6">
      <w:pPr>
        <w:pStyle w:val="paragraph"/>
        <w:spacing w:before="0" w:beforeAutospacing="0" w:after="0" w:afterAutospacing="0"/>
        <w:jc w:val="both"/>
        <w:textAlignment w:val="baseline"/>
        <w:rPr>
          <w:rFonts w:ascii="Segoe UI" w:hAnsi="Segoe UI" w:cs="Segoe UI"/>
          <w:sz w:val="18"/>
          <w:szCs w:val="18"/>
          <w:lang w:val="es-ES"/>
        </w:rPr>
      </w:pPr>
      <w:r>
        <w:rPr>
          <w:rStyle w:val="normaltextrun"/>
          <w:lang w:val="es-ES"/>
        </w:rPr>
        <w:lastRenderedPageBreak/>
        <w:t>Asimismo, los desafíos futuros ponen de manifiesto la necesidad de avanzar hacia modelos de gestión más flexibles, articulados y orientados al aprendizaje institucional continuo. En conjunto, los indicadores innovadores y aquellos vinculados a la idiosincrasia institucional pueden agruparse en torno a tres orientaciones convergentes: por un lado, la ampliación de la mirada sobre la calidad académica mediante la incorporación de dimensiones cualitativas, contextuales y territoriales; por otro, la transformación de los procesos formativos y de gestión hacia modelos más flexibles, integrados y sostenidos en la interoperabilidad y la evidencia; y, finalmente, la afirmación de una identidad institucional basada en principios de justicia educativa, inclusión y reconocimiento de trayectorias diversas.</w:t>
      </w:r>
      <w:r>
        <w:rPr>
          <w:rStyle w:val="eop"/>
          <w:lang w:val="es-ES"/>
        </w:rPr>
        <w:t> </w:t>
      </w:r>
    </w:p>
    <w:p w14:paraId="544B704F" w14:textId="04CBD215" w:rsidR="00BC236F" w:rsidRDefault="004E4DE6" w:rsidP="004E4DE6">
      <w:pPr>
        <w:pStyle w:val="paragraph"/>
        <w:spacing w:before="0" w:beforeAutospacing="0" w:after="0" w:afterAutospacing="0"/>
        <w:jc w:val="both"/>
        <w:textAlignment w:val="baseline"/>
        <w:rPr>
          <w:rStyle w:val="eop"/>
          <w:bdr w:val="none" w:sz="0" w:space="0" w:color="auto" w:frame="1"/>
          <w:shd w:val="clear" w:color="auto" w:fill="C6C6C6"/>
          <w:lang w:val="es-ES"/>
        </w:rPr>
      </w:pPr>
      <w:r>
        <w:rPr>
          <w:rStyle w:val="normaltextrun"/>
          <w:lang w:val="es-ES"/>
        </w:rPr>
        <w:t>Desde esta perspectiva, la innovación no reside únicamente en la creación de nuevos instrumentos de medición, sino en la redefinición del sentido mismo de la evaluación como herramienta para la mejora continua, la planificación estratégica y el fortalecimiento del compromiso social universitario. Del mismo modo, la incorporación de indicadores, que reflejan la idiosincrasia de la UNLaM, permite situar estos procesos en una experiencia institucional concreta, donde la equidad, la territorialidad y la articulación de las funciones sustantivas se constituyen en componentes centrales de una concepción de calidad universitaria socialmente comprometida.</w:t>
      </w:r>
    </w:p>
    <w:p w14:paraId="61F5053C" w14:textId="77777777" w:rsidR="004E4DE6" w:rsidRPr="004E4DE6" w:rsidRDefault="004E4DE6" w:rsidP="004E4DE6">
      <w:pPr>
        <w:pStyle w:val="paragraph"/>
        <w:spacing w:before="0" w:beforeAutospacing="0" w:after="0" w:afterAutospacing="0"/>
        <w:jc w:val="both"/>
        <w:textAlignment w:val="baseline"/>
        <w:rPr>
          <w:rFonts w:ascii="Segoe UI" w:hAnsi="Segoe UI" w:cs="Segoe UI"/>
          <w:sz w:val="18"/>
          <w:szCs w:val="18"/>
          <w:lang w:val="es-ES"/>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760155D4" w14:textId="5F124B6B"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Acevedo Calamet, F., Menese Camargo, P., &amp; da Silva Muñoz, M. A. (2024). La noción calidad de la educación superior y sus principales componentes. Un estado del arte. </w:t>
      </w:r>
      <w:r>
        <w:rPr>
          <w:rStyle w:val="normaltextrun"/>
          <w:i/>
          <w:iCs/>
          <w:lang w:val="es-ES"/>
        </w:rPr>
        <w:t>Revista Educación Superior Y Sociedad (ESS)</w:t>
      </w:r>
      <w:r>
        <w:rPr>
          <w:rStyle w:val="normaltextrun"/>
          <w:lang w:val="es-ES"/>
        </w:rPr>
        <w:t>, </w:t>
      </w:r>
      <w:r>
        <w:rPr>
          <w:rStyle w:val="normaltextrun"/>
          <w:i/>
          <w:iCs/>
          <w:lang w:val="es-ES"/>
        </w:rPr>
        <w:t>36</w:t>
      </w:r>
      <w:r>
        <w:rPr>
          <w:rStyle w:val="normaltextrun"/>
          <w:lang w:val="es-ES"/>
        </w:rPr>
        <w:t>(1), 22-49. https://doi.org/10.54674/ess.v36i1.867 </w:t>
      </w:r>
    </w:p>
    <w:p w14:paraId="2C46AC4A" w14:textId="5BE4266E"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Arellano Solórzano, M. (2021). La calidad educativa en los centros educativos superiores en el Ecuador. </w:t>
      </w:r>
      <w:r>
        <w:rPr>
          <w:rStyle w:val="normaltextrun"/>
          <w:i/>
          <w:iCs/>
          <w:lang w:val="es-ES"/>
        </w:rPr>
        <w:t>Ciencia al Día</w:t>
      </w:r>
      <w:r>
        <w:rPr>
          <w:rStyle w:val="normaltextrun"/>
          <w:lang w:val="es-ES"/>
        </w:rPr>
        <w:t>, 4–36.</w:t>
      </w:r>
    </w:p>
    <w:p w14:paraId="2E4C598B" w14:textId="5AA32CA4"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Asensi, S. S., Soler, V. G., &amp; Bernabeu, E. P. (2017). Los 7 principios de gestión de la calidad en ISO 9001. </w:t>
      </w:r>
      <w:r>
        <w:rPr>
          <w:rStyle w:val="normaltextrun"/>
          <w:i/>
          <w:iCs/>
          <w:lang w:val="es-ES"/>
        </w:rPr>
        <w:t>3C Empresa: Investigación y Pensamiento Crítico</w:t>
      </w:r>
      <w:r>
        <w:rPr>
          <w:rStyle w:val="normaltextrun"/>
          <w:lang w:val="es-ES"/>
        </w:rPr>
        <w:t>, (1), 10–18.</w:t>
      </w:r>
    </w:p>
    <w:p w14:paraId="4213E7FD" w14:textId="40F471E2"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proofErr w:type="spellStart"/>
      <w:r>
        <w:rPr>
          <w:rStyle w:val="normaltextrun"/>
          <w:lang w:val="es-ES"/>
        </w:rPr>
        <w:t>Bidiña</w:t>
      </w:r>
      <w:proofErr w:type="spellEnd"/>
      <w:r>
        <w:rPr>
          <w:rStyle w:val="normaltextrun"/>
          <w:lang w:val="es-ES"/>
        </w:rPr>
        <w:t>, A. M., Martínez, Y. P., </w:t>
      </w:r>
      <w:proofErr w:type="spellStart"/>
      <w:r>
        <w:rPr>
          <w:rStyle w:val="normaltextrun"/>
          <w:lang w:val="es-ES"/>
        </w:rPr>
        <w:t>Buzzoni</w:t>
      </w:r>
      <w:proofErr w:type="spellEnd"/>
      <w:r>
        <w:rPr>
          <w:rStyle w:val="normaltextrun"/>
          <w:lang w:val="es-ES"/>
        </w:rPr>
        <w:t>, J. M., Jehin, M. P., &amp; Carnevali, F. M. (2024, noviembre). Repensando la carrera docente en la Universidad Nacional de La Matanza: Desafíos en un nuevo escenario del sistema universitario nacional. En </w:t>
      </w:r>
      <w:r>
        <w:rPr>
          <w:rStyle w:val="normaltextrun"/>
          <w:i/>
          <w:iCs/>
          <w:lang w:val="es-ES"/>
        </w:rPr>
        <w:t>IX Encuentro Nacional y VI Latinoamericano “La Universidad como objeto de investigación”</w:t>
      </w:r>
      <w:r>
        <w:rPr>
          <w:rStyle w:val="normaltextrun"/>
          <w:lang w:val="es-ES"/>
        </w:rPr>
        <w:t>. La Plata, Argentina. </w:t>
      </w:r>
      <w:hyperlink r:id="rId7" w:tgtFrame="_blank" w:history="1">
        <w:r>
          <w:rPr>
            <w:rStyle w:val="normaltextrun"/>
            <w:color w:val="467886"/>
            <w:u w:val="single"/>
            <w:lang w:val="es-ES"/>
          </w:rPr>
          <w:t>https://congresos.fahce.unlp.edu.ar/la-universidad-como-objeto-de-investigacion</w:t>
        </w:r>
      </w:hyperlink>
    </w:p>
    <w:p w14:paraId="10B79B1F" w14:textId="7CC1D0ED"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Consejo de Universidades. (2023). </w:t>
      </w:r>
      <w:r>
        <w:rPr>
          <w:rStyle w:val="normaltextrun"/>
          <w:i/>
          <w:iCs/>
          <w:lang w:val="es-ES"/>
        </w:rPr>
        <w:t>Acuerdo plenario N.º 272</w:t>
      </w:r>
      <w:r>
        <w:rPr>
          <w:rStyle w:val="normaltextrun"/>
          <w:lang w:val="es-ES"/>
        </w:rPr>
        <w:t>. </w:t>
      </w:r>
      <w:hyperlink r:id="rId8" w:tgtFrame="_blank" w:history="1">
        <w:r>
          <w:rPr>
            <w:rStyle w:val="normaltextrun"/>
            <w:color w:val="467886"/>
            <w:u w:val="single"/>
            <w:lang w:val="es-ES"/>
          </w:rPr>
          <w:t>https://www.argentina.gob.ar/educacion/universidades/consejo-de-universidades/acuerdos-plenarios</w:t>
        </w:r>
      </w:hyperlink>
    </w:p>
    <w:p w14:paraId="6EC6AF4D" w14:textId="32790E88"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De Fanelli, A. G. (2005). Acceso, abandono y graduación en la educación superior argentina. </w:t>
      </w:r>
      <w:r>
        <w:rPr>
          <w:rStyle w:val="normaltextrun"/>
          <w:i/>
          <w:iCs/>
          <w:lang w:val="es-ES"/>
        </w:rPr>
        <w:t>Sistema de Información de Tendencias Educativas en América Latina</w:t>
      </w:r>
      <w:r>
        <w:rPr>
          <w:rStyle w:val="normaltextrun"/>
          <w:lang w:val="es-ES"/>
        </w:rPr>
        <w:t>, 1–17.</w:t>
      </w:r>
    </w:p>
    <w:p w14:paraId="57402245" w14:textId="20767D46"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Fachelli, S., López Roldán, P., y Meiller, A. (2020). </w:t>
      </w:r>
      <w:r>
        <w:rPr>
          <w:rStyle w:val="normaltextrun"/>
          <w:i/>
          <w:iCs/>
          <w:lang w:val="es-ES"/>
        </w:rPr>
        <w:t>Indicadores básicos del sistema universitario argentino</w:t>
      </w:r>
      <w:r>
        <w:rPr>
          <w:rStyle w:val="normaltextrun"/>
          <w:lang w:val="es-ES"/>
        </w:rPr>
        <w:t> (Working Paper N.º 11). INCASI.</w:t>
      </w:r>
    </w:p>
    <w:p w14:paraId="526F904D" w14:textId="692F49C0"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Fraser, N. (2006). </w:t>
      </w:r>
      <w:r>
        <w:rPr>
          <w:rStyle w:val="normaltextrun"/>
          <w:i/>
          <w:iCs/>
          <w:lang w:val="es-ES"/>
        </w:rPr>
        <w:t>Redistribución o reconocimiento: Un debate político-filosófico</w:t>
      </w:r>
      <w:r>
        <w:rPr>
          <w:rStyle w:val="normaltextrun"/>
          <w:lang w:val="es-ES"/>
        </w:rPr>
        <w:t>. Morata.</w:t>
      </w:r>
    </w:p>
    <w:p w14:paraId="1CFFAEA5" w14:textId="562D3C7D"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lastRenderedPageBreak/>
        <w:t>García de Fanelli, A. (2015). La cuestión de la graduación en las universidades nacionales de la Argentina: Indicadores y políticas públicas a comienzos del siglo XXI. </w:t>
      </w:r>
      <w:r>
        <w:rPr>
          <w:rStyle w:val="normaltextrun"/>
          <w:i/>
          <w:iCs/>
          <w:lang w:val="es-ES"/>
        </w:rPr>
        <w:t>Propuesta Educativa</w:t>
      </w:r>
      <w:r>
        <w:rPr>
          <w:rStyle w:val="normaltextrun"/>
          <w:lang w:val="es-ES"/>
        </w:rPr>
        <w:t>, 43, 17–31.</w:t>
      </w:r>
    </w:p>
    <w:p w14:paraId="17DBAD29" w14:textId="7CB0B58D"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Lamarra, N. F. (2007). La universidad en América Latina y Argentina: Problemas y desafíos políticos y de gestión. </w:t>
      </w:r>
      <w:r>
        <w:rPr>
          <w:rStyle w:val="normaltextrun"/>
          <w:i/>
          <w:iCs/>
          <w:lang w:val="es-ES"/>
        </w:rPr>
        <w:t>Revista </w:t>
      </w:r>
      <w:proofErr w:type="spellStart"/>
      <w:r>
        <w:rPr>
          <w:rStyle w:val="normaltextrun"/>
          <w:i/>
          <w:iCs/>
          <w:lang w:val="es-ES"/>
        </w:rPr>
        <w:t>Gestão</w:t>
      </w:r>
      <w:proofErr w:type="spellEnd"/>
      <w:r>
        <w:rPr>
          <w:rStyle w:val="normaltextrun"/>
          <w:i/>
          <w:iCs/>
          <w:lang w:val="es-ES"/>
        </w:rPr>
        <w:t> </w:t>
      </w:r>
      <w:proofErr w:type="spellStart"/>
      <w:r>
        <w:rPr>
          <w:rStyle w:val="normaltextrun"/>
          <w:i/>
          <w:iCs/>
          <w:lang w:val="es-ES"/>
        </w:rPr>
        <w:t>Universitária</w:t>
      </w:r>
      <w:proofErr w:type="spellEnd"/>
      <w:r>
        <w:rPr>
          <w:rStyle w:val="normaltextrun"/>
          <w:i/>
          <w:iCs/>
          <w:lang w:val="es-ES"/>
        </w:rPr>
        <w:t> </w:t>
      </w:r>
      <w:proofErr w:type="spellStart"/>
      <w:r>
        <w:rPr>
          <w:rStyle w:val="normaltextrun"/>
          <w:i/>
          <w:iCs/>
          <w:lang w:val="es-ES"/>
        </w:rPr>
        <w:t>na</w:t>
      </w:r>
      <w:proofErr w:type="spellEnd"/>
      <w:r>
        <w:rPr>
          <w:rStyle w:val="normaltextrun"/>
          <w:i/>
          <w:iCs/>
          <w:lang w:val="es-ES"/>
        </w:rPr>
        <w:t> América Latina (GUAL)</w:t>
      </w:r>
      <w:r>
        <w:rPr>
          <w:rStyle w:val="normaltextrun"/>
          <w:lang w:val="es-ES"/>
        </w:rPr>
        <w:t>, 1(1), 1–25.</w:t>
      </w:r>
    </w:p>
    <w:p w14:paraId="618EC0BB" w14:textId="2231DB3C"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Mazzeo, I. D., Pontes, A. P. F. S., y </w:t>
      </w:r>
      <w:proofErr w:type="spellStart"/>
      <w:r>
        <w:rPr>
          <w:rStyle w:val="normaltextrun"/>
          <w:lang w:val="es-ES"/>
        </w:rPr>
        <w:t>Géglio</w:t>
      </w:r>
      <w:proofErr w:type="spellEnd"/>
      <w:r>
        <w:rPr>
          <w:rStyle w:val="normaltextrun"/>
          <w:lang w:val="es-ES"/>
        </w:rPr>
        <w:t>, P. C. (2026). Evaluación y acreditación en instituciones de educación superior: Regulación en Brasil y Argentina. </w:t>
      </w:r>
      <w:proofErr w:type="spellStart"/>
      <w:r>
        <w:rPr>
          <w:rStyle w:val="normaltextrun"/>
          <w:i/>
          <w:iCs/>
          <w:lang w:val="es-ES"/>
        </w:rPr>
        <w:t>Práxis</w:t>
      </w:r>
      <w:proofErr w:type="spellEnd"/>
      <w:r>
        <w:rPr>
          <w:rStyle w:val="normaltextrun"/>
          <w:i/>
          <w:iCs/>
          <w:lang w:val="es-ES"/>
        </w:rPr>
        <w:t> Educacional</w:t>
      </w:r>
      <w:r>
        <w:rPr>
          <w:rStyle w:val="normaltextrun"/>
          <w:lang w:val="es-ES"/>
        </w:rPr>
        <w:t>, 22(53), e18678.</w:t>
      </w:r>
    </w:p>
    <w:p w14:paraId="3C84A0AC" w14:textId="6DB44DC2"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Ministerio de Educación. (2023). </w:t>
      </w:r>
      <w:r>
        <w:rPr>
          <w:rStyle w:val="normaltextrun"/>
          <w:i/>
          <w:iCs/>
          <w:lang w:val="es-ES"/>
        </w:rPr>
        <w:t>Resolución ministerial N.º 2597/2023</w:t>
      </w:r>
      <w:r>
        <w:rPr>
          <w:rStyle w:val="normaltextrun"/>
          <w:lang w:val="es-ES"/>
        </w:rPr>
        <w:t>. Boletín Oficial de la República Argentina.</w:t>
      </w:r>
    </w:p>
    <w:p w14:paraId="4714BF0D" w14:textId="77777777"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OCDE. (2019). </w:t>
      </w:r>
      <w:proofErr w:type="spellStart"/>
      <w:r>
        <w:rPr>
          <w:rStyle w:val="normaltextrun"/>
          <w:i/>
          <w:iCs/>
          <w:lang w:val="es-ES"/>
        </w:rPr>
        <w:t>Education</w:t>
      </w:r>
      <w:proofErr w:type="spellEnd"/>
      <w:r>
        <w:rPr>
          <w:rStyle w:val="normaltextrun"/>
          <w:i/>
          <w:iCs/>
          <w:lang w:val="es-ES"/>
        </w:rPr>
        <w:t> at a </w:t>
      </w:r>
      <w:proofErr w:type="spellStart"/>
      <w:r>
        <w:rPr>
          <w:rStyle w:val="normaltextrun"/>
          <w:i/>
          <w:iCs/>
          <w:lang w:val="es-ES"/>
        </w:rPr>
        <w:t>glance</w:t>
      </w:r>
      <w:proofErr w:type="spellEnd"/>
      <w:r>
        <w:rPr>
          <w:rStyle w:val="normaltextrun"/>
          <w:i/>
          <w:iCs/>
          <w:lang w:val="es-ES"/>
        </w:rPr>
        <w:t> 2019: OECD </w:t>
      </w:r>
      <w:proofErr w:type="spellStart"/>
      <w:r>
        <w:rPr>
          <w:rStyle w:val="normaltextrun"/>
          <w:i/>
          <w:iCs/>
          <w:lang w:val="es-ES"/>
        </w:rPr>
        <w:t>indicators</w:t>
      </w:r>
      <w:proofErr w:type="spellEnd"/>
      <w:r>
        <w:rPr>
          <w:rStyle w:val="normaltextrun"/>
          <w:lang w:val="es-ES"/>
        </w:rPr>
        <w:t>. OECD Publishing.</w:t>
      </w:r>
      <w:r>
        <w:rPr>
          <w:rStyle w:val="eop"/>
          <w:bdr w:val="none" w:sz="0" w:space="0" w:color="auto" w:frame="1"/>
          <w:shd w:val="clear" w:color="auto" w:fill="C6C6C6"/>
        </w:rPr>
        <w:t> </w:t>
      </w:r>
    </w:p>
    <w:p w14:paraId="01F22407" w14:textId="3917F7D3"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Pedroza, N. (2019). </w:t>
      </w:r>
      <w:r>
        <w:rPr>
          <w:rStyle w:val="normaltextrun"/>
          <w:i/>
          <w:iCs/>
          <w:lang w:val="es-ES"/>
        </w:rPr>
        <w:t>Sistema de gestión de la calidad académica</w:t>
      </w:r>
      <w:r>
        <w:rPr>
          <w:rStyle w:val="normaltextrun"/>
          <w:lang w:val="es-ES"/>
        </w:rPr>
        <w:t>. Facultad de Ciencias Químicas y Farmacia.</w:t>
      </w:r>
    </w:p>
    <w:p w14:paraId="415CCCE7" w14:textId="77777777"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Rodera, J., Walker, V., &amp; Rovelli, L. (2023). La carrera docente/académica como mecanismo de regulación: Un estado de situación de las universidades nacionales argentinas. En </w:t>
      </w:r>
      <w:r>
        <w:rPr>
          <w:rStyle w:val="normaltextrun"/>
          <w:i/>
          <w:iCs/>
          <w:lang w:val="es-ES"/>
        </w:rPr>
        <w:t>XIII Seminario Internacional de la RED ESTRADO</w:t>
      </w:r>
      <w:r>
        <w:rPr>
          <w:rStyle w:val="normaltextrun"/>
          <w:lang w:val="es-ES"/>
        </w:rPr>
        <w:t>. La Plata.</w:t>
      </w:r>
      <w:r>
        <w:rPr>
          <w:rStyle w:val="eop"/>
          <w:bdr w:val="none" w:sz="0" w:space="0" w:color="auto" w:frame="1"/>
          <w:shd w:val="clear" w:color="auto" w:fill="C6C6C6"/>
        </w:rPr>
        <w:t> </w:t>
      </w:r>
    </w:p>
    <w:p w14:paraId="202D81C7" w14:textId="678B264D"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Sen, A. (2011). </w:t>
      </w:r>
      <w:r>
        <w:rPr>
          <w:rStyle w:val="normaltextrun"/>
          <w:i/>
          <w:iCs/>
          <w:lang w:val="es-ES"/>
        </w:rPr>
        <w:t>La idea de la justicia</w:t>
      </w:r>
      <w:r>
        <w:rPr>
          <w:rStyle w:val="normaltextrun"/>
          <w:lang w:val="es-ES"/>
        </w:rPr>
        <w:t>. Taurus.</w:t>
      </w:r>
    </w:p>
    <w:p w14:paraId="0CD88131" w14:textId="60495134"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Steiman, J. (2021). Políticas académicas en la universidad argentina. </w:t>
      </w:r>
      <w:r>
        <w:rPr>
          <w:rStyle w:val="normaltextrun"/>
          <w:i/>
          <w:iCs/>
          <w:lang w:val="es-ES"/>
        </w:rPr>
        <w:t>Integración y Conocimiento</w:t>
      </w:r>
      <w:r>
        <w:rPr>
          <w:rStyle w:val="normaltextrun"/>
          <w:lang w:val="es-ES"/>
        </w:rPr>
        <w:t>, 10(1), 163–181.</w:t>
      </w:r>
    </w:p>
    <w:p w14:paraId="68E0FCBB" w14:textId="77BD340B"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Suasnábar, C. (2011). Políticas y reformas de la universidad argentina desde el retorno a la democracia: Tendencias históricas de cambio y movimiento pendular de las políticas públicas.</w:t>
      </w:r>
    </w:p>
    <w:p w14:paraId="1A4C7A29" w14:textId="30828960"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UNE-EN ISO 9001:2015. (2015). </w:t>
      </w:r>
      <w:r>
        <w:rPr>
          <w:rStyle w:val="normaltextrun"/>
          <w:i/>
          <w:iCs/>
          <w:lang w:val="es-ES"/>
        </w:rPr>
        <w:t>Sistemas de gestión de la calidad: Requisitos</w:t>
      </w:r>
      <w:r>
        <w:rPr>
          <w:rStyle w:val="normaltextrun"/>
          <w:lang w:val="es-ES"/>
        </w:rPr>
        <w:t>. AENOR.</w:t>
      </w:r>
    </w:p>
    <w:p w14:paraId="02F743C6" w14:textId="1ADCF9A0"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UNESCO. (1998). </w:t>
      </w:r>
      <w:r>
        <w:rPr>
          <w:rStyle w:val="normaltextrun"/>
          <w:i/>
          <w:iCs/>
          <w:lang w:val="es-ES"/>
        </w:rPr>
        <w:t>Declaración mundial sobre la educación superior en el siglo XXI: Visión y acción</w:t>
      </w:r>
      <w:r>
        <w:rPr>
          <w:rStyle w:val="normaltextrun"/>
          <w:lang w:val="es-ES"/>
        </w:rPr>
        <w:t>. UNESCO.</w:t>
      </w:r>
    </w:p>
    <w:p w14:paraId="62EFC457" w14:textId="77777777" w:rsidR="004E4DE6" w:rsidRDefault="004E4DE6" w:rsidP="004E4DE6">
      <w:pPr>
        <w:pStyle w:val="paragraph"/>
        <w:spacing w:before="0" w:beforeAutospacing="0" w:after="0" w:afterAutospacing="0"/>
        <w:ind w:left="450" w:hanging="450"/>
        <w:textAlignment w:val="baseline"/>
        <w:rPr>
          <w:rFonts w:ascii="Segoe UI" w:hAnsi="Segoe UI" w:cs="Segoe UI"/>
          <w:sz w:val="18"/>
          <w:szCs w:val="18"/>
        </w:rPr>
      </w:pPr>
      <w:r>
        <w:rPr>
          <w:rStyle w:val="normaltextrun"/>
          <w:lang w:val="es-ES"/>
        </w:rPr>
        <w:t>Zuñiga Salazar, S. M., &amp; Cedeño Castillo, J. D. (2017). Modelos descriptivos de la calidad educativa en el Ecuador. Universidad Técnica de Machala, 21–63</w:t>
      </w:r>
    </w:p>
    <w:p w14:paraId="7E83515B" w14:textId="1A471F10" w:rsidR="001923DC" w:rsidRPr="00BA642E" w:rsidRDefault="001923DC" w:rsidP="004E4DE6">
      <w:pPr>
        <w:spacing w:line="240" w:lineRule="auto"/>
        <w:rPr>
          <w:rFonts w:ascii="Times New Roman" w:hAnsi="Times New Roman" w:cs="Times New Roman"/>
          <w:lang w:val="pt-BR"/>
        </w:rPr>
      </w:pP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94246" w14:textId="77777777" w:rsidR="00324AA9" w:rsidRPr="00BA642E" w:rsidRDefault="00324AA9" w:rsidP="00C802F5">
      <w:pPr>
        <w:spacing w:after="0" w:line="240" w:lineRule="auto"/>
      </w:pPr>
      <w:r w:rsidRPr="00BA642E">
        <w:separator/>
      </w:r>
    </w:p>
  </w:endnote>
  <w:endnote w:type="continuationSeparator" w:id="0">
    <w:p w14:paraId="2644E067" w14:textId="77777777" w:rsidR="00324AA9" w:rsidRPr="00BA642E" w:rsidRDefault="00324AA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A84C5" w14:textId="77777777" w:rsidR="00324AA9" w:rsidRPr="00BA642E" w:rsidRDefault="00324AA9" w:rsidP="00C802F5">
      <w:pPr>
        <w:spacing w:after="0" w:line="240" w:lineRule="auto"/>
      </w:pPr>
      <w:r w:rsidRPr="00BA642E">
        <w:separator/>
      </w:r>
    </w:p>
  </w:footnote>
  <w:footnote w:type="continuationSeparator" w:id="0">
    <w:p w14:paraId="49E09901" w14:textId="77777777" w:rsidR="00324AA9" w:rsidRPr="00BA642E" w:rsidRDefault="00324AA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2FB8"/>
    <w:multiLevelType w:val="multilevel"/>
    <w:tmpl w:val="ABBE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DB0629"/>
    <w:multiLevelType w:val="multilevel"/>
    <w:tmpl w:val="090C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953155"/>
    <w:multiLevelType w:val="multilevel"/>
    <w:tmpl w:val="8B0C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FE0050"/>
    <w:multiLevelType w:val="multilevel"/>
    <w:tmpl w:val="79A6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C3031F"/>
    <w:multiLevelType w:val="multilevel"/>
    <w:tmpl w:val="D080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0E5F65"/>
    <w:multiLevelType w:val="multilevel"/>
    <w:tmpl w:val="F15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182F2C"/>
    <w:multiLevelType w:val="multilevel"/>
    <w:tmpl w:val="BCE4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DB04C8"/>
    <w:multiLevelType w:val="multilevel"/>
    <w:tmpl w:val="286E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2369474">
    <w:abstractNumId w:val="6"/>
  </w:num>
  <w:num w:numId="2" w16cid:durableId="474027015">
    <w:abstractNumId w:val="4"/>
  </w:num>
  <w:num w:numId="3" w16cid:durableId="1381978414">
    <w:abstractNumId w:val="7"/>
  </w:num>
  <w:num w:numId="4" w16cid:durableId="151993969">
    <w:abstractNumId w:val="1"/>
  </w:num>
  <w:num w:numId="5" w16cid:durableId="1430465570">
    <w:abstractNumId w:val="2"/>
  </w:num>
  <w:num w:numId="6" w16cid:durableId="980502181">
    <w:abstractNumId w:val="3"/>
  </w:num>
  <w:num w:numId="7" w16cid:durableId="1747460631">
    <w:abstractNumId w:val="5"/>
  </w:num>
  <w:num w:numId="8" w16cid:durableId="579099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2E0B09"/>
    <w:rsid w:val="00312392"/>
    <w:rsid w:val="00324AA9"/>
    <w:rsid w:val="003B1E32"/>
    <w:rsid w:val="004040C0"/>
    <w:rsid w:val="00437E9C"/>
    <w:rsid w:val="004C78B7"/>
    <w:rsid w:val="004E4DE6"/>
    <w:rsid w:val="00550766"/>
    <w:rsid w:val="005F3B2E"/>
    <w:rsid w:val="00701F64"/>
    <w:rsid w:val="007B5B5F"/>
    <w:rsid w:val="007D233B"/>
    <w:rsid w:val="0085070B"/>
    <w:rsid w:val="00867E54"/>
    <w:rsid w:val="009321FC"/>
    <w:rsid w:val="00933EB6"/>
    <w:rsid w:val="00997DA1"/>
    <w:rsid w:val="00A17247"/>
    <w:rsid w:val="00A54BB2"/>
    <w:rsid w:val="00B1248A"/>
    <w:rsid w:val="00B779AE"/>
    <w:rsid w:val="00BA642E"/>
    <w:rsid w:val="00BC236F"/>
    <w:rsid w:val="00C802F5"/>
    <w:rsid w:val="00C96B2C"/>
    <w:rsid w:val="00CC04C1"/>
    <w:rsid w:val="00D843EC"/>
    <w:rsid w:val="00FE63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customStyle="1" w:styleId="paragraph">
    <w:name w:val="paragraph"/>
    <w:basedOn w:val="Normal"/>
    <w:rsid w:val="004E4DE6"/>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customStyle="1" w:styleId="normaltextrun">
    <w:name w:val="normaltextrun"/>
    <w:basedOn w:val="Fuentedeprrafopredeter"/>
    <w:rsid w:val="004E4DE6"/>
  </w:style>
  <w:style w:type="character" w:customStyle="1" w:styleId="eop">
    <w:name w:val="eop"/>
    <w:basedOn w:val="Fuentedeprrafopredeter"/>
    <w:rsid w:val="004E4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gentina.gob.ar/educacion/universidades/consejo-de-universidades/acuerdos-plenarios" TargetMode="External"/><Relationship Id="rId3" Type="http://schemas.openxmlformats.org/officeDocument/2006/relationships/settings" Target="settings.xml"/><Relationship Id="rId7" Type="http://schemas.openxmlformats.org/officeDocument/2006/relationships/hyperlink" Target="https://congresos.fahce.unlp.edu.ar/la-universidad-como-objeto-de-investigac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14</Pages>
  <Words>6999</Words>
  <Characters>38495</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JEHIN MARIANO</cp:lastModifiedBy>
  <cp:revision>3</cp:revision>
  <dcterms:created xsi:type="dcterms:W3CDTF">2026-07-06T22:42:00Z</dcterms:created>
  <dcterms:modified xsi:type="dcterms:W3CDTF">2026-07-07T18:50:00Z</dcterms:modified>
</cp:coreProperties>
</file>