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4B0E23" w:rsidRDefault="00C802F5" w:rsidP="001923DC">
      <w:pPr>
        <w:jc w:val="center"/>
        <w:rPr>
          <w:rFonts w:ascii="Times New Roman" w:hAnsi="Times New Roman" w:cs="Times New Roman"/>
          <w:color w:val="000000" w:themeColor="text1"/>
        </w:rPr>
      </w:pPr>
    </w:p>
    <w:p w14:paraId="1DABD42B" w14:textId="2DE2CD80" w:rsidR="001923DC" w:rsidRPr="00D435AF" w:rsidRDefault="00547F79" w:rsidP="001923DC">
      <w:pPr>
        <w:jc w:val="center"/>
        <w:rPr>
          <w:rFonts w:ascii="Times New Roman" w:hAnsi="Times New Roman" w:cs="Times New Roman"/>
          <w:b/>
          <w:bCs/>
          <w:color w:val="000000" w:themeColor="text1"/>
        </w:rPr>
      </w:pPr>
      <w:r w:rsidRPr="00D435AF">
        <w:rPr>
          <w:rFonts w:ascii="Times New Roman" w:hAnsi="Times New Roman" w:cs="Times New Roman"/>
          <w:b/>
          <w:bCs/>
          <w:color w:val="000000" w:themeColor="text1"/>
        </w:rPr>
        <w:t>El uso de la información proveniente de los mecanismos de aseguramiento de la calidad universitaria en la toma de decisiones orientadas a la mejora de la investigación en ciencias sociales aplicadas</w:t>
      </w:r>
    </w:p>
    <w:p w14:paraId="43C49479" w14:textId="77777777" w:rsidR="005F3B2E" w:rsidRPr="00D435AF" w:rsidRDefault="005F3B2E" w:rsidP="001923DC">
      <w:pPr>
        <w:jc w:val="center"/>
        <w:rPr>
          <w:rFonts w:ascii="Times New Roman" w:hAnsi="Times New Roman" w:cs="Times New Roman"/>
          <w:color w:val="000000" w:themeColor="text1"/>
        </w:rPr>
      </w:pPr>
    </w:p>
    <w:p w14:paraId="4E738780" w14:textId="140DAAE8" w:rsidR="005F3B2E" w:rsidRPr="00D435AF" w:rsidRDefault="00547F79" w:rsidP="005F3B2E">
      <w:pPr>
        <w:spacing w:after="0" w:line="240" w:lineRule="auto"/>
        <w:jc w:val="right"/>
        <w:rPr>
          <w:rFonts w:ascii="Times New Roman" w:hAnsi="Times New Roman" w:cs="Times New Roman"/>
          <w:color w:val="000000" w:themeColor="text1"/>
        </w:rPr>
      </w:pPr>
      <w:r w:rsidRPr="00D435AF">
        <w:rPr>
          <w:rFonts w:ascii="Times New Roman" w:hAnsi="Times New Roman" w:cs="Times New Roman"/>
          <w:color w:val="000000" w:themeColor="text1"/>
        </w:rPr>
        <w:t>Schifrin Antonella</w:t>
      </w:r>
    </w:p>
    <w:p w14:paraId="6C2AECCA" w14:textId="409D6A3D" w:rsidR="005F3B2E" w:rsidRPr="00D435AF" w:rsidRDefault="00547F79" w:rsidP="005F3B2E">
      <w:pPr>
        <w:spacing w:after="0" w:line="240" w:lineRule="auto"/>
        <w:jc w:val="right"/>
        <w:rPr>
          <w:rFonts w:ascii="Times New Roman" w:hAnsi="Times New Roman" w:cs="Times New Roman"/>
          <w:color w:val="000000" w:themeColor="text1"/>
        </w:rPr>
      </w:pPr>
      <w:r w:rsidRPr="00D435AF">
        <w:rPr>
          <w:rFonts w:ascii="Times New Roman" w:hAnsi="Times New Roman" w:cs="Times New Roman"/>
          <w:color w:val="000000" w:themeColor="text1"/>
        </w:rPr>
        <w:t>Departamento de Ciencias Económicas de la Universidad Nacional de La Matanza</w:t>
      </w:r>
    </w:p>
    <w:p w14:paraId="7D0026CD" w14:textId="09254B19" w:rsidR="005F3B2E" w:rsidRPr="00D435AF" w:rsidRDefault="00547F79" w:rsidP="005F3B2E">
      <w:pPr>
        <w:spacing w:after="0" w:line="240" w:lineRule="auto"/>
        <w:jc w:val="right"/>
        <w:rPr>
          <w:rFonts w:ascii="Times New Roman" w:hAnsi="Times New Roman" w:cs="Times New Roman"/>
          <w:color w:val="000000" w:themeColor="text1"/>
        </w:rPr>
      </w:pPr>
      <w:r w:rsidRPr="00D435AF">
        <w:rPr>
          <w:rFonts w:ascii="Times New Roman" w:hAnsi="Times New Roman" w:cs="Times New Roman"/>
          <w:color w:val="000000" w:themeColor="text1"/>
        </w:rPr>
        <w:t>schifrinantonella@gmail.com</w:t>
      </w:r>
    </w:p>
    <w:p w14:paraId="7B9027E2" w14:textId="77777777" w:rsidR="00BA642E" w:rsidRPr="00D435AF" w:rsidRDefault="00BA642E" w:rsidP="005F3B2E">
      <w:pPr>
        <w:rPr>
          <w:rFonts w:ascii="Times New Roman" w:hAnsi="Times New Roman" w:cs="Times New Roman"/>
          <w:b/>
          <w:bCs/>
          <w:color w:val="000000" w:themeColor="text1"/>
        </w:rPr>
      </w:pPr>
    </w:p>
    <w:p w14:paraId="41E4BF15" w14:textId="77777777" w:rsidR="00AB00EE" w:rsidRPr="00D435AF" w:rsidRDefault="00BA642E" w:rsidP="007B5B5F">
      <w:pPr>
        <w:spacing w:line="240" w:lineRule="auto"/>
        <w:jc w:val="both"/>
        <w:rPr>
          <w:rFonts w:ascii="Times New Roman" w:hAnsi="Times New Roman" w:cs="Times New Roman"/>
          <w:b/>
          <w:bCs/>
          <w:color w:val="000000" w:themeColor="text1"/>
        </w:rPr>
      </w:pPr>
      <w:r w:rsidRPr="00D435AF">
        <w:rPr>
          <w:rFonts w:ascii="Times New Roman" w:hAnsi="Times New Roman" w:cs="Times New Roman"/>
          <w:b/>
          <w:bCs/>
          <w:color w:val="000000" w:themeColor="text1"/>
        </w:rPr>
        <w:t>Resumen:</w:t>
      </w:r>
    </w:p>
    <w:p w14:paraId="35A6682C" w14:textId="43456A0C" w:rsidR="00BA642E" w:rsidRPr="00D435AF" w:rsidRDefault="00AB00EE" w:rsidP="007B5B5F">
      <w:pPr>
        <w:spacing w:line="240" w:lineRule="auto"/>
        <w:jc w:val="both"/>
        <w:rPr>
          <w:rFonts w:ascii="Times New Roman" w:hAnsi="Times New Roman" w:cs="Times New Roman"/>
          <w:bCs/>
          <w:color w:val="000000" w:themeColor="text1"/>
        </w:rPr>
      </w:pPr>
      <w:r w:rsidRPr="00D435AF">
        <w:rPr>
          <w:rFonts w:ascii="Times New Roman" w:hAnsi="Times New Roman" w:cs="Times New Roman"/>
          <w:bCs/>
          <w:color w:val="000000" w:themeColor="text1"/>
        </w:rPr>
        <w:t xml:space="preserve">El presente trabajo expone avances de una tesis doctoral en desarrollo, cuyo propósito es analizar el uso de la información producida en los procesos de aseguramiento de la calidad universitaria en relación con la toma de decisiones orientadas al diseño e implementación de planes de mejora para la promoción de la investigación. La indagación se da </w:t>
      </w:r>
      <w:r w:rsidR="00547F79" w:rsidRPr="00D435AF">
        <w:rPr>
          <w:rFonts w:ascii="Times New Roman" w:hAnsi="Times New Roman" w:cs="Times New Roman"/>
          <w:color w:val="000000" w:themeColor="text1"/>
        </w:rPr>
        <w:t>en carreras de ciencias sociales aplicadas, particularmente en unidades académicas que dictan la carrera de Contador Público en universidades nacionales argentinas con estructuras departamentalizadas. El estudio se inscribe en el campo de la educación superior y aborda la tensión existente entre la producción de información derivada de mecanismos como la evaluación institucional, la autoevaluación y la acreditación de carreras, y su efectiva utilización en procesos decisionales. Si bien estos dispositivos generan evidencia relevante sobre el funcionamiento institucional, se advierte un déficit en su integración en la planificación y gestión de la investigación. Desde una perspectiva teórica, la investigación dialoga con los debates contemporáneos sobre aseguramiento de la calidad, gobernanza universitaria y toma de decisiones basadas en evidencia. Se recuperan aportes que señalan la transición desde modelos de control externo hacia enfoques orientados a los sistemas institucionales de aseguramiento de la calidad, así como la persistencia de tensiones entre lógicas burocráticas, académicas y políticas en la gestión universitaria. En este marco, se asume la noción de “decisión informada” como eje analítico para comprender cómo se construye, interpreta y utiliza la información en contextos institucionales complejos. Metodológicamente, el estudio adopta un enfoque cualitativo basado en la inducción analítica, enmarcado en el paradigma constructivista. Se desarrolla a partir de una estrategia de triangulación que combina análisis documental, revisión de normativa, estudio de informes de acreditación de 38 carreras de Contador Público en universidades nacionales, y entrevistas semiestructuradas a expertos en el campo y a actores clave de 5 casos institucionales de estudio en profundidad. Asimismo, se analiza el Programa de Fortalecimiento para la Investigación en Ciencias Económicas</w:t>
      </w:r>
      <w:r w:rsidR="004B0E23" w:rsidRPr="00D435AF">
        <w:rPr>
          <w:rFonts w:ascii="Times New Roman" w:hAnsi="Times New Roman" w:cs="Times New Roman"/>
          <w:color w:val="000000" w:themeColor="text1"/>
        </w:rPr>
        <w:t xml:space="preserve"> (PROMCE)</w:t>
      </w:r>
      <w:r w:rsidR="00547F79" w:rsidRPr="00D435AF">
        <w:rPr>
          <w:rFonts w:ascii="Times New Roman" w:hAnsi="Times New Roman" w:cs="Times New Roman"/>
          <w:color w:val="000000" w:themeColor="text1"/>
        </w:rPr>
        <w:t xml:space="preserve"> como instrumento de política pública orientado a la mejora de la función de investigación. Los resultados preliminares evidencian que, si bien los procesos de evaluación generan diagnósticos sistemáticos y recomendaciones recurrentes —especialmente en relación con debilidades</w:t>
      </w:r>
      <w:r w:rsidR="00DF2FF6" w:rsidRPr="00D435AF">
        <w:rPr>
          <w:rFonts w:ascii="Times New Roman" w:hAnsi="Times New Roman" w:cs="Times New Roman"/>
          <w:color w:val="000000" w:themeColor="text1"/>
        </w:rPr>
        <w:t xml:space="preserve"> en la función de investigación</w:t>
      </w:r>
      <w:r w:rsidR="00547F79" w:rsidRPr="00D435AF">
        <w:rPr>
          <w:rFonts w:ascii="Times New Roman" w:hAnsi="Times New Roman" w:cs="Times New Roman"/>
          <w:color w:val="000000" w:themeColor="text1"/>
        </w:rPr>
        <w:t>, su traducción en decision</w:t>
      </w:r>
      <w:r w:rsidR="004B0E23" w:rsidRPr="00D435AF">
        <w:rPr>
          <w:rFonts w:ascii="Times New Roman" w:hAnsi="Times New Roman" w:cs="Times New Roman"/>
          <w:color w:val="000000" w:themeColor="text1"/>
        </w:rPr>
        <w:t>es institucionales concretas es</w:t>
      </w:r>
      <w:r w:rsidR="00547F79" w:rsidRPr="00D435AF">
        <w:rPr>
          <w:rFonts w:ascii="Times New Roman" w:hAnsi="Times New Roman" w:cs="Times New Roman"/>
          <w:color w:val="000000" w:themeColor="text1"/>
        </w:rPr>
        <w:t xml:space="preserve">, en muchos casos, limitada. Se identifica una </w:t>
      </w:r>
      <w:r w:rsidR="00547F79" w:rsidRPr="00D435AF">
        <w:rPr>
          <w:rFonts w:ascii="Times New Roman" w:hAnsi="Times New Roman" w:cs="Times New Roman"/>
          <w:color w:val="000000" w:themeColor="text1"/>
        </w:rPr>
        <w:lastRenderedPageBreak/>
        <w:t>brecha persistente entre la producción de información y su uso efectivo, mediada por capacidades institucionales, liderazgos y dinámicas organizacionales. Si bien la evaluación es reconocida como un motor de mejora y aprendizaje organizacional, predomina un uso normativo de la información, asociado al cumplimiento de estándares externos, por sobre un uso estratégico orientado a la mejora. En este contexto, el PROMCE se configura como un instrumento de apoyo que tiende a reforzar procesos ya existentes más que a impulsar transformaciones estructurales, poniendo en evidencia las dificultades para sostener en el tiempo las acciones implementadas; al mismo tiempo, las decisiones de mejora se encuentran fuertemente condicionadas por la disponibilidad de financiamiento, las lógicas políticas y las tensiones persistentes entre los actores técnicos y los decisores que integran las instituciones de educación superior.</w:t>
      </w:r>
    </w:p>
    <w:p w14:paraId="678B2A01" w14:textId="77777777" w:rsidR="00AB00EE" w:rsidRPr="00D435AF" w:rsidRDefault="00AB00EE" w:rsidP="00547F79">
      <w:pPr>
        <w:spacing w:line="240" w:lineRule="auto"/>
        <w:jc w:val="both"/>
        <w:rPr>
          <w:rFonts w:ascii="Times New Roman" w:hAnsi="Times New Roman" w:cs="Times New Roman"/>
          <w:b/>
          <w:bCs/>
          <w:color w:val="000000" w:themeColor="text1"/>
        </w:rPr>
      </w:pPr>
      <w:r w:rsidRPr="00D435AF">
        <w:rPr>
          <w:rFonts w:ascii="Times New Roman" w:hAnsi="Times New Roman" w:cs="Times New Roman"/>
          <w:b/>
          <w:bCs/>
          <w:color w:val="000000" w:themeColor="text1"/>
        </w:rPr>
        <w:t>Palabras clave</w:t>
      </w:r>
      <w:r w:rsidR="00BA642E" w:rsidRPr="00D435AF">
        <w:rPr>
          <w:rFonts w:ascii="Times New Roman" w:hAnsi="Times New Roman" w:cs="Times New Roman"/>
          <w:b/>
          <w:bCs/>
          <w:color w:val="000000" w:themeColor="text1"/>
        </w:rPr>
        <w:t xml:space="preserve"> </w:t>
      </w:r>
    </w:p>
    <w:p w14:paraId="2994BAB3" w14:textId="4ABA48E4" w:rsidR="00BA642E" w:rsidRPr="00D435AF" w:rsidRDefault="00547F79" w:rsidP="00547F79">
      <w:pPr>
        <w:spacing w:line="240" w:lineRule="auto"/>
        <w:jc w:val="both"/>
        <w:rPr>
          <w:rFonts w:ascii="Times New Roman" w:hAnsi="Times New Roman" w:cs="Times New Roman"/>
          <w:b/>
          <w:bCs/>
          <w:color w:val="000000" w:themeColor="text1"/>
        </w:rPr>
      </w:pPr>
      <w:r w:rsidRPr="00D435AF">
        <w:rPr>
          <w:rFonts w:ascii="Times New Roman" w:hAnsi="Times New Roman" w:cs="Times New Roman"/>
          <w:color w:val="000000" w:themeColor="text1"/>
        </w:rPr>
        <w:t>Aseguramiento de la calidad universitaria; Toma de decisiones; Uso de la información; Gobernanza universitaria; Evaluación y acreditación; Investigación universitaria; Ciencias sociales aplicadas</w:t>
      </w:r>
    </w:p>
    <w:p w14:paraId="6A5547A1" w14:textId="36B7FAC2" w:rsidR="00BA642E" w:rsidRPr="00D435AF" w:rsidRDefault="00BA642E" w:rsidP="007B5B5F">
      <w:pPr>
        <w:spacing w:line="240" w:lineRule="auto"/>
        <w:rPr>
          <w:rFonts w:ascii="Times New Roman" w:hAnsi="Times New Roman" w:cs="Times New Roman"/>
          <w:b/>
          <w:bCs/>
          <w:color w:val="000000" w:themeColor="text1"/>
        </w:rPr>
      </w:pPr>
      <w:r w:rsidRPr="00D435AF">
        <w:rPr>
          <w:rFonts w:ascii="Times New Roman" w:hAnsi="Times New Roman" w:cs="Times New Roman"/>
          <w:b/>
          <w:bCs/>
          <w:color w:val="000000" w:themeColor="text1"/>
        </w:rPr>
        <w:t>Introducción</w:t>
      </w:r>
    </w:p>
    <w:p w14:paraId="52C8F824" w14:textId="77777777" w:rsidR="0001361B" w:rsidRPr="00D435AF" w:rsidRDefault="0001361B"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t>Esta ponencia recupera avances de una tesis doctoral que indaga acerca del uso de la información que se produce en el marco de los procesos de aseguramiento de la calidad universitaria, en relación con el diseño de políticas para la promoción de la investigación en espacios académicos de formación profesional del campo de las ciencias sociales aplicadas. Interesa conocer cómo y bajo qué criterios se toman las decisiones orientadas al fortalecimiento de la investigación, y cuál es su grado de integración con las distintas instancias de evaluación universitaria.</w:t>
      </w:r>
    </w:p>
    <w:p w14:paraId="02E46755" w14:textId="77777777" w:rsidR="0001361B" w:rsidRPr="00D435AF" w:rsidRDefault="0001361B"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t>Los mecanismos de aseguramiento de la calidad —evaluaciones institucionales, autoevaluación y acreditación de carreras, entre otros— constituyen dispositivos que, en un marco normativo estipulado por la Ley de Educación Superior N° 24.521/95, cumplen en algunos casos una función sumativa o de control y en otros una función formativa. La autonomía universitaria ocupa aquí un lugar central, en tanto define la interdependencia entre la toma de decisiones y el análisis crítico de los procesos de mejora vinculados a la investigación, convirtiendo a las herramientas evaluativas en un argumento que legitima decisiones académicas, políticas y económicas.</w:t>
      </w:r>
    </w:p>
    <w:p w14:paraId="0F5CCAB9" w14:textId="77777777" w:rsidR="0001361B" w:rsidRPr="00D435AF" w:rsidRDefault="0001361B"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t xml:space="preserve">La problemática que orienta el trabajo se centra en la tensión existente entre la información que se construye a partir de las evaluaciones, autoevaluaciones y recomendaciones —muchas veces estandarizadas— que surgen de los mecanismos de aseguramiento de la calidad, y su utilización efectiva en el diseño de planes de mejora orientados al fortalecimiento de la investigación. En el caso particular de la acreditación de carreras, se advierte un fuerte contenido prescriptivo y normativo que dificulta la apropiación de los resultados desde las especificidades de cada institución. Como conjetura inicial, se sostiene que existe un déficit en la integración entre la información producida en las instancias de evaluación universitaria y las decisiones que se adoptan en relación con los planes de mejora orientados a la investigación, la cual a lo largo del desarrollo de la investigación se va asentando. </w:t>
      </w:r>
    </w:p>
    <w:p w14:paraId="75D9E071" w14:textId="59021949" w:rsidR="0001361B" w:rsidRPr="00D435AF" w:rsidRDefault="0001361B"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lastRenderedPageBreak/>
        <w:t xml:space="preserve">A partir del análisis de los informes de Acreditación de Carrera de la totalidad de las universidades evaluadas, se identificaron componentes con marcada frecuencia de repetición en la función de investigación, lo que llevó a relevar un conjunto de políticas orientadas a promoverla en el ámbito de grado. Entre ellas se seleccionó el Programa Específico de Fortalecimiento para la Investigación en Ciencias Económicas, impulsado por la ex Secretaría de Políticas Universitarias, cuya aplicación se analiza tanto a nivel nacional como institucional. A su vez se analizó la perspectiva de expertos e informantes institucionales de 5 casos seleccionados con un criterio metodológico definido, con el objeto de conocer en profundidad las realidades de los equipos, de los procesos de decisión y de sus problemáticas al momento de usar (o no) la información en decisiones de mejora. </w:t>
      </w:r>
    </w:p>
    <w:p w14:paraId="2740F940" w14:textId="5E96D3B3" w:rsidR="0001361B" w:rsidRPr="00D435AF" w:rsidRDefault="0001361B"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t xml:space="preserve">El objetivo general del trabajo </w:t>
      </w:r>
      <w:r w:rsidR="00D435AF" w:rsidRPr="00D435AF">
        <w:rPr>
          <w:rFonts w:ascii="Times New Roman" w:hAnsi="Times New Roman" w:cs="Times New Roman"/>
          <w:color w:val="000000" w:themeColor="text1"/>
        </w:rPr>
        <w:t xml:space="preserve">doctoral </w:t>
      </w:r>
      <w:r w:rsidRPr="00D435AF">
        <w:rPr>
          <w:rFonts w:ascii="Times New Roman" w:hAnsi="Times New Roman" w:cs="Times New Roman"/>
          <w:color w:val="000000" w:themeColor="text1"/>
        </w:rPr>
        <w:t>consiste en analizar el uso de la información producida en los procesos de aseguramiento de la calidad en relación con las decisiones adoptadas en unidades académicas de ciencias sociales aplicadas de universidades nacionales con estructuras departamentalizadas. Y</w:t>
      </w:r>
      <w:r w:rsidR="005E0FE3" w:rsidRPr="00D435AF">
        <w:rPr>
          <w:rFonts w:ascii="Times New Roman" w:hAnsi="Times New Roman" w:cs="Times New Roman"/>
          <w:color w:val="000000" w:themeColor="text1"/>
        </w:rPr>
        <w:t xml:space="preserve"> el</w:t>
      </w:r>
      <w:r w:rsidRPr="00D435AF">
        <w:rPr>
          <w:rFonts w:ascii="Times New Roman" w:hAnsi="Times New Roman" w:cs="Times New Roman"/>
          <w:color w:val="000000" w:themeColor="text1"/>
        </w:rPr>
        <w:t xml:space="preserve"> propósito de esta ponencia </w:t>
      </w:r>
      <w:r w:rsidR="00D435AF" w:rsidRPr="00D435AF">
        <w:rPr>
          <w:rFonts w:ascii="Times New Roman" w:hAnsi="Times New Roman" w:cs="Times New Roman"/>
          <w:color w:val="000000" w:themeColor="text1"/>
        </w:rPr>
        <w:t>radica</w:t>
      </w:r>
      <w:r w:rsidRPr="00D435AF">
        <w:rPr>
          <w:rFonts w:ascii="Times New Roman" w:hAnsi="Times New Roman" w:cs="Times New Roman"/>
          <w:color w:val="000000" w:themeColor="text1"/>
        </w:rPr>
        <w:t xml:space="preserve"> en mencionar </w:t>
      </w:r>
      <w:r w:rsidR="005E0FE3" w:rsidRPr="00D435AF">
        <w:rPr>
          <w:rFonts w:ascii="Times New Roman" w:hAnsi="Times New Roman" w:cs="Times New Roman"/>
          <w:color w:val="000000" w:themeColor="text1"/>
        </w:rPr>
        <w:t xml:space="preserve">algunos hallazgos </w:t>
      </w:r>
      <w:r w:rsidRPr="00D435AF">
        <w:rPr>
          <w:rFonts w:ascii="Times New Roman" w:hAnsi="Times New Roman" w:cs="Times New Roman"/>
          <w:color w:val="000000" w:themeColor="text1"/>
        </w:rPr>
        <w:t xml:space="preserve">a partir de la indagación y el análisis sobre el uso de información en decisiones de mejora en la función de investigación en carreras profesionalizantes.  </w:t>
      </w:r>
    </w:p>
    <w:p w14:paraId="3718681C" w14:textId="6BAD8B24" w:rsidR="0082727C" w:rsidRPr="00D435AF" w:rsidRDefault="0082727C"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t>Al comparar las observaciones formuladas por la CONEAU con el Plan de Acción del PROMCE, se advierte que las propuestas institucionales presentan un alcance más amplio que las recomendaciones emitidas por el organismo evaluador. En este sentido, se identifica que dichas recomendaciones poseen un alto grado de estandarización, lo que habilitaría la posibilidad de diseñar políticas de carácter central orientadas a fortalecer, de manera transversal, áreas críticas del sistema universitario.</w:t>
      </w:r>
      <w:r w:rsidR="00D435AF" w:rsidRPr="00D435AF">
        <w:rPr>
          <w:rFonts w:ascii="Times New Roman" w:hAnsi="Times New Roman" w:cs="Times New Roman"/>
          <w:color w:val="000000" w:themeColor="text1"/>
        </w:rPr>
        <w:t xml:space="preserve"> </w:t>
      </w:r>
      <w:r w:rsidRPr="00D435AF">
        <w:rPr>
          <w:rFonts w:ascii="Times New Roman" w:hAnsi="Times New Roman" w:cs="Times New Roman"/>
          <w:color w:val="000000" w:themeColor="text1"/>
        </w:rPr>
        <w:t>No obstante, este enfoque requiere ser complementado con mecanismos que permitan su adecuada contextualización, a fin de atender las condiciones y particularidades propias de cada institución y evitar, de este modo, la implementación de respuestas homogéneas frente a realidades heterogéneas.</w:t>
      </w:r>
    </w:p>
    <w:p w14:paraId="3E5EBFA1" w14:textId="77777777" w:rsidR="0082727C" w:rsidRPr="00D435AF" w:rsidRDefault="0082727C"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t>En este análisis se relevaron distintas políticas e instrumentos orientados a la función de investigación en universidades nacionales. Se observa que solo una de ellas —el PROMCE— incorpora explícitamente las debilidades identificadas en las instituciones como punto de partida para su diseño.</w:t>
      </w:r>
    </w:p>
    <w:p w14:paraId="53EA6BF0" w14:textId="77777777" w:rsidR="0082727C" w:rsidRPr="00D435AF" w:rsidRDefault="0082727C"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t>Este hallazgo evidencia una escasa articulación entre los diagnósticos generados en los procesos de evaluación y las políticas públicas orientadas a la mejora. En consecuencia, se pone de manifiesto la necesidad de fortalecer los vínculos entre evaluación, planificación y toma de decisiones dentro del sistema universitario.</w:t>
      </w:r>
    </w:p>
    <w:p w14:paraId="633BB7F8" w14:textId="40C836E0" w:rsidR="0082727C" w:rsidRPr="00D435AF" w:rsidRDefault="0082727C"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t>Desde una perspectiva de gobernanza, esto permite problematizar el lugar de la evalua</w:t>
      </w:r>
      <w:r w:rsidR="00686F49" w:rsidRPr="00D435AF">
        <w:rPr>
          <w:rFonts w:ascii="Times New Roman" w:hAnsi="Times New Roman" w:cs="Times New Roman"/>
          <w:color w:val="000000" w:themeColor="text1"/>
        </w:rPr>
        <w:t>ción y el uso de la información,</w:t>
      </w:r>
      <w:r w:rsidRPr="00D435AF">
        <w:rPr>
          <w:rFonts w:ascii="Times New Roman" w:hAnsi="Times New Roman" w:cs="Times New Roman"/>
          <w:color w:val="000000" w:themeColor="text1"/>
        </w:rPr>
        <w:t xml:space="preserve"> más que constituirse en un insumo efectivo para la toma de decisiones</w:t>
      </w:r>
      <w:r w:rsidR="00D435AF" w:rsidRPr="00D435AF">
        <w:rPr>
          <w:rFonts w:ascii="Times New Roman" w:hAnsi="Times New Roman" w:cs="Times New Roman"/>
          <w:color w:val="000000" w:themeColor="text1"/>
        </w:rPr>
        <w:t xml:space="preserve"> basadas en evidencia. L</w:t>
      </w:r>
      <w:r w:rsidRPr="00D435AF">
        <w:rPr>
          <w:rFonts w:ascii="Times New Roman" w:hAnsi="Times New Roman" w:cs="Times New Roman"/>
          <w:color w:val="000000" w:themeColor="text1"/>
        </w:rPr>
        <w:t xml:space="preserve">a evaluación parece operar, en muchos casos, como un dispositivo formal que no logra traducirse plenamente en políticas o acciones concretas. En contraste, la experiencia del PROMCE resulta significativa en tanto exige </w:t>
      </w:r>
      <w:r w:rsidRPr="00D435AF">
        <w:rPr>
          <w:rFonts w:ascii="Times New Roman" w:hAnsi="Times New Roman" w:cs="Times New Roman"/>
          <w:color w:val="000000" w:themeColor="text1"/>
        </w:rPr>
        <w:lastRenderedPageBreak/>
        <w:t>a las universidades incorporar estos diagnósticos en la formulación de planes de mejora, promoviendo un uso más directo de la información producida.</w:t>
      </w:r>
    </w:p>
    <w:p w14:paraId="5A36EC3C" w14:textId="16EDF113" w:rsidR="0082727C" w:rsidRPr="00D435AF" w:rsidRDefault="0082727C" w:rsidP="00BF7D51">
      <w:pPr>
        <w:spacing w:line="240" w:lineRule="auto"/>
        <w:jc w:val="both"/>
        <w:rPr>
          <w:rFonts w:ascii="Times New Roman" w:hAnsi="Times New Roman" w:cs="Times New Roman"/>
          <w:color w:val="000000" w:themeColor="text1"/>
        </w:rPr>
      </w:pPr>
      <w:r w:rsidRPr="00D435AF">
        <w:rPr>
          <w:rFonts w:ascii="Times New Roman" w:hAnsi="Times New Roman" w:cs="Times New Roman"/>
          <w:color w:val="000000" w:themeColor="text1"/>
        </w:rPr>
        <w:t>Sin embargo, este proceso también pone en tensión la capacidad institucional de las universidades para transformar dichos diagnósticos en acciones efectivas, así como el rol de los organismos externos en el acompañamiento de estas dinámicas. En este sentido, no solo resulta relevante la identificación de debilidades, sino también el reconocimiento de las condiciones materiales, organizacionales y de financiamiento necesarias para sostener procesos de mejora. De este modo, la articulación entre evaluación, políticas y capacidad institucional emerge como un aspecto clave para comprender los alcances y limitaciones del uso de la información en la gobernanza del sistema universitario.</w:t>
      </w:r>
    </w:p>
    <w:p w14:paraId="6F5E3211" w14:textId="77777777" w:rsidR="00BF7D51" w:rsidRPr="00D435AF" w:rsidRDefault="00BF7D51"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El estudio tiene un contenido cualitativo y de inducción analítica predominante, a partir del paradigma constructivista (Guba y Lincoln, 2002). Según Sautu (2010), en el interior de las ciencias sociales, conviven diferentes paradigmas, con supuestos ontológicos, epistemológicos, axiológicos y metodológicos, que dan cuenta del andamiaje que sustenta el desarrollo de la investigación. En este caso, según el paradigma constructivista, la realidad es subjetiva y múltiple; y estamos inmersos en el contexto de interacción que desea investigar. Desde lo axiológico, se asume el conjunto de valores que guían la investigación con el compromiso de reflexionar cítricamente sobre este proceso que se viene investigando en espacios de trabajo orientados a esta tarea. Este proceso de indagación requiere de flexibilidad, sensibilidad e interacción con el medio, privilegiando el análisis en profundidad en relación con el contexto.</w:t>
      </w:r>
    </w:p>
    <w:p w14:paraId="52976771" w14:textId="54DCE5E1" w:rsidR="00BF7D51" w:rsidRPr="00D435AF" w:rsidRDefault="00BF7D51"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Este trabajo tiene impregnado una indeleble reflexión epistemológica como una “actividad persistente, que se renueva una y otra vez (…) permitiendo elucidar diferentes paradigmas que dan distintas respuestas a los interrogantes que se plantean” (Cohen y Piovani, 2008, p. 198) a lo largo del trabajo. La inmersión inicial al campo requiere dicha sensibilización en el ambiente en el cual se lleva a cabo este estudio, para lograr conocer y reconocer sus propiedades, elementos constitutivos, dinámicas y vinculaciones (Hérnandez Sampieri et al, 2010). Desde la lógica del método inductivo, se pretende formular regularidades que se observan en los casos singulares que se presentan, para posteriormente esbozar perspectivas teóricas. Por lo tanto, en las estrategias</w:t>
      </w:r>
      <w:r w:rsidR="00A84B9F" w:rsidRPr="00D435AF">
        <w:rPr>
          <w:rFonts w:eastAsiaTheme="minorHAnsi" w:cs="Times New Roman"/>
          <w:color w:val="000000" w:themeColor="text1"/>
          <w:kern w:val="2"/>
          <w:lang w:val="es-AR" w:eastAsia="en-US"/>
          <w14:ligatures w14:val="standardContextual"/>
        </w:rPr>
        <w:t xml:space="preserve"> de acceso al campo se trabajó</w:t>
      </w:r>
      <w:r w:rsidRPr="00D435AF">
        <w:rPr>
          <w:rFonts w:eastAsiaTheme="minorHAnsi" w:cs="Times New Roman"/>
          <w:color w:val="000000" w:themeColor="text1"/>
          <w:kern w:val="2"/>
          <w:lang w:val="es-AR" w:eastAsia="en-US"/>
          <w14:ligatures w14:val="standardContextual"/>
        </w:rPr>
        <w:t xml:space="preserve"> en el relevamiento de normativa y documentación institucional y oficial relacionada con los procesos de </w:t>
      </w:r>
      <w:r w:rsidR="00B0467C" w:rsidRPr="00D435AF">
        <w:rPr>
          <w:rFonts w:eastAsiaTheme="minorHAnsi" w:cs="Times New Roman"/>
          <w:color w:val="000000" w:themeColor="text1"/>
          <w:kern w:val="2"/>
          <w:lang w:val="es-AR" w:eastAsia="en-US"/>
          <w14:ligatures w14:val="standardContextual"/>
        </w:rPr>
        <w:t>aseguramiento de la calidad</w:t>
      </w:r>
      <w:r w:rsidRPr="00D435AF">
        <w:rPr>
          <w:rFonts w:eastAsiaTheme="minorHAnsi" w:cs="Times New Roman"/>
          <w:color w:val="000000" w:themeColor="text1"/>
          <w:kern w:val="2"/>
          <w:lang w:val="es-AR" w:eastAsia="en-US"/>
          <w14:ligatures w14:val="standardContextual"/>
        </w:rPr>
        <w:t xml:space="preserve"> y </w:t>
      </w:r>
      <w:r w:rsidR="00B0467C" w:rsidRPr="00D435AF">
        <w:rPr>
          <w:rFonts w:eastAsiaTheme="minorHAnsi" w:cs="Times New Roman"/>
          <w:color w:val="000000" w:themeColor="text1"/>
          <w:kern w:val="2"/>
          <w:lang w:val="es-AR" w:eastAsia="en-US"/>
          <w14:ligatures w14:val="standardContextual"/>
        </w:rPr>
        <w:t xml:space="preserve">de </w:t>
      </w:r>
      <w:r w:rsidRPr="00D435AF">
        <w:rPr>
          <w:rFonts w:eastAsiaTheme="minorHAnsi" w:cs="Times New Roman"/>
          <w:color w:val="000000" w:themeColor="text1"/>
          <w:kern w:val="2"/>
          <w:lang w:val="es-AR" w:eastAsia="en-US"/>
          <w14:ligatures w14:val="standardContextual"/>
        </w:rPr>
        <w:t xml:space="preserve">construcción de información que tienen lugar en las universidades durante puesta en marcha de los mecanismos </w:t>
      </w:r>
      <w:r w:rsidR="00A84B9F" w:rsidRPr="00D435AF">
        <w:rPr>
          <w:rFonts w:eastAsiaTheme="minorHAnsi" w:cs="Times New Roman"/>
          <w:color w:val="000000" w:themeColor="text1"/>
          <w:kern w:val="2"/>
          <w:lang w:val="es-AR" w:eastAsia="en-US"/>
          <w14:ligatures w14:val="standardContextual"/>
        </w:rPr>
        <w:t xml:space="preserve">de evaluación </w:t>
      </w:r>
      <w:r w:rsidRPr="00D435AF">
        <w:rPr>
          <w:rFonts w:eastAsiaTheme="minorHAnsi" w:cs="Times New Roman"/>
          <w:color w:val="000000" w:themeColor="text1"/>
          <w:kern w:val="2"/>
          <w:lang w:val="es-AR" w:eastAsia="en-US"/>
          <w14:ligatures w14:val="standardContextual"/>
        </w:rPr>
        <w:t xml:space="preserve">en relación en relación con las decisiones que se toman para fortalecer la investigación. También se contemplan, a través de la información suministrada por los informantes, los espacios de intercambio y diálogo que tienen lugar en las instituciones en materia de evaluación institucional. </w:t>
      </w:r>
    </w:p>
    <w:p w14:paraId="414626F1" w14:textId="396BD097" w:rsidR="00686F49" w:rsidRPr="00D435AF" w:rsidRDefault="00BF7D51"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Así mismo, en una segunda etapa de producción de in</w:t>
      </w:r>
      <w:r w:rsidR="00A84B9F" w:rsidRPr="00D435AF">
        <w:rPr>
          <w:rFonts w:eastAsiaTheme="minorHAnsi" w:cs="Times New Roman"/>
          <w:color w:val="000000" w:themeColor="text1"/>
          <w:kern w:val="2"/>
          <w:lang w:val="es-AR" w:eastAsia="en-US"/>
          <w14:ligatures w14:val="standardContextual"/>
        </w:rPr>
        <w:t>formación cualitativa se analizó</w:t>
      </w:r>
      <w:r w:rsidRPr="00D435AF">
        <w:rPr>
          <w:rFonts w:eastAsiaTheme="minorHAnsi" w:cs="Times New Roman"/>
          <w:color w:val="000000" w:themeColor="text1"/>
          <w:kern w:val="2"/>
          <w:lang w:val="es-AR" w:eastAsia="en-US"/>
          <w14:ligatures w14:val="standardContextual"/>
        </w:rPr>
        <w:t xml:space="preserve"> la normativa, los informes y las evidencias relacionadas con dichas decisiones de mejora echando luz a la opinión de funcionarios a través de entrevistas semiestructuradas y cuestionarios cerrados. Con la intención de lograr un proceso interpretativo de indagación que aborde el problema de la investigación, se lleva a cabo una triangulación de datos (Denzin, 1970) a partir de la combinación de teorías, fuentes de dato y métodos de </w:t>
      </w:r>
      <w:r w:rsidRPr="00D435AF">
        <w:rPr>
          <w:rFonts w:eastAsiaTheme="minorHAnsi" w:cs="Times New Roman"/>
          <w:color w:val="000000" w:themeColor="text1"/>
          <w:kern w:val="2"/>
          <w:lang w:val="es-AR" w:eastAsia="en-US"/>
          <w14:ligatures w14:val="standardContextual"/>
        </w:rPr>
        <w:lastRenderedPageBreak/>
        <w:t xml:space="preserve">investigación en el estudio del fenómeno de la evaluación institucional en la universidad y la integración de los conocimientos surgidos en los procesos de intercambio durante la toma de decisiones. </w:t>
      </w:r>
    </w:p>
    <w:p w14:paraId="50713981" w14:textId="22E6138D" w:rsidR="00DF2FF6" w:rsidRPr="00D435AF" w:rsidRDefault="00DF2FF6" w:rsidP="00BF7D51">
      <w:pPr>
        <w:pStyle w:val="CUERPO"/>
        <w:spacing w:line="240" w:lineRule="auto"/>
        <w:rPr>
          <w:rFonts w:eastAsiaTheme="minorHAnsi" w:cs="Times New Roman"/>
          <w:color w:val="000000" w:themeColor="text1"/>
          <w:kern w:val="2"/>
          <w:lang w:val="es-AR" w:eastAsia="en-US"/>
          <w14:ligatures w14:val="standardContextual"/>
        </w:rPr>
      </w:pPr>
      <w:r w:rsidRPr="00D435AF">
        <w:rPr>
          <w:color w:val="000000" w:themeColor="text1"/>
        </w:rPr>
        <w:t>De manera anticipatoria, el trabajo muestra que el uso de la información proveniente de los sistemas de aseguramiento de la calidad dista de configurarse como un proceso lineal entre evaluación y toma de decisiones, y se presenta más bien como una dinámica compleja, situada y mediada por múltiples actores y niveles institucionales. Si bien la evaluación es reconocida como un motor de mejora que habilita instancias de reflexión y aprendizaje organizacional, su consolidación como cultura institucional autónoma resulta aún incipiente, en tanto persiste una fuerte dependencia de financiamiento externo para sostener procesos de cambio. Asimismo, se identifican tensiones entre lógicas top-down y bottom-up, así como usos diferenciados de la información que oscilan entre el cumplimiento formal y su apropiación estratégica, en un escenario marcado por la fragmentación entre producción, interpretación y utilización de los datos. En este marco, instrumentos como el PROMCE tienden a reforzar dinámicas preexistentes más que a promover transformaciones estructurales, lo que pone en evidencia la necesidad de fortalecer la gobernanza universitaria mediante la consolidación de capacidades internas y el desarrollo de un uso estratégico de la información orientado a la mejora sostenida de la función de investigación.</w:t>
      </w:r>
    </w:p>
    <w:p w14:paraId="2FD138AD" w14:textId="65A287CF" w:rsidR="005F3B2E" w:rsidRPr="00D435AF" w:rsidRDefault="005F3B2E" w:rsidP="0001361B">
      <w:pPr>
        <w:spacing w:line="240" w:lineRule="auto"/>
        <w:rPr>
          <w:rFonts w:ascii="Times New Roman" w:hAnsi="Times New Roman" w:cs="Times New Roman"/>
          <w:b/>
          <w:bCs/>
          <w:color w:val="000000" w:themeColor="text1"/>
        </w:rPr>
      </w:pPr>
      <w:r w:rsidRPr="00D435AF">
        <w:rPr>
          <w:rFonts w:ascii="Times New Roman" w:hAnsi="Times New Roman" w:cs="Times New Roman"/>
          <w:b/>
          <w:bCs/>
          <w:color w:val="000000" w:themeColor="text1"/>
        </w:rPr>
        <w:t>Desarrollo</w:t>
      </w:r>
    </w:p>
    <w:p w14:paraId="15405C85" w14:textId="5BB8AC45" w:rsidR="0001361B"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Existen numerosas definiciones de evaluación, pero interesa aqu</w:t>
      </w:r>
      <w:r w:rsidR="004B0E23" w:rsidRPr="00D435AF">
        <w:rPr>
          <w:rFonts w:eastAsiaTheme="minorHAnsi" w:cs="Times New Roman"/>
          <w:color w:val="000000" w:themeColor="text1"/>
          <w:kern w:val="2"/>
          <w:lang w:val="es-AR" w:eastAsia="en-US"/>
          <w14:ligatures w14:val="standardContextual"/>
        </w:rPr>
        <w:t>í un posicionamiento particular,</w:t>
      </w:r>
      <w:r w:rsidRPr="00D435AF">
        <w:rPr>
          <w:rFonts w:eastAsiaTheme="minorHAnsi" w:cs="Times New Roman"/>
          <w:color w:val="000000" w:themeColor="text1"/>
          <w:kern w:val="2"/>
          <w:lang w:val="es-AR" w:eastAsia="en-US"/>
          <w14:ligatures w14:val="standardContextual"/>
        </w:rPr>
        <w:t xml:space="preserve"> Tenbrink (1981) sostiene que es el proceso de obtener información y usarla para formar juicios que, a su vez, se utilizarán en la toma de decisiones. Retomando esta definición, Toranzos (2014) explica que produce un conocimiento de carácter retroalimentador, en tanto ilumina aspectos y procesos que de otro modo permanecen ocultos, y distingue tres elementos constitutivos de todo proceso evaluativo: la recolección de información, la producción de juicios de valor y la orientación hacia la toma de decisiones, siendo este último el elemento que diferencia a la evaluación de otras formas de indagación.</w:t>
      </w:r>
    </w:p>
    <w:p w14:paraId="612A1116" w14:textId="56B5B632" w:rsidR="0001361B"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En el campo educativo, la evaluación y la acreditación universitaria se incorporaron progresivamente a partir de los años noventa, en el marco de la Ley de Educación Superior, que dio origen a la Comisión Nacional de Evaluación y Acreditación Universitaria (CONEAU). Una distinción conceptual relevante para este trabajo es la que diferencia procesos sumativos —de control— y procesos formativos —de mejora—. Mientras la evaluación sumativa se sostiene sobre relaciones de poder y capacidad de sanción, la formativa debería ser colaborativa y basarse en un diálogo abierto entre los actores intervinientes (Aiello, 2011; 2017). En esta línea, Brá y Sverdlick (2009) sostienen que la evaluación constituye un acto valorativo que no puede concebirse de manera aislada, sino como una construcción colectiva que habilita procesos de argumentación e interpretación compartida, adquiriendo así una dimensión formativa que la convierte en una instancia de aprendizaje institucional.</w:t>
      </w:r>
    </w:p>
    <w:p w14:paraId="25DE70BB" w14:textId="77777777" w:rsidR="0001361B"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Junto a la evaluación institucional, la Acreditación de Carrera —a cargo de la CONEAU— valida periódicamente las carreras de grado declaradas de interés público, </w:t>
      </w:r>
      <w:r w:rsidRPr="00D435AF">
        <w:rPr>
          <w:rFonts w:eastAsiaTheme="minorHAnsi" w:cs="Times New Roman"/>
          <w:color w:val="000000" w:themeColor="text1"/>
          <w:kern w:val="2"/>
          <w:lang w:val="es-AR" w:eastAsia="en-US"/>
          <w14:ligatures w14:val="standardContextual"/>
        </w:rPr>
        <w:lastRenderedPageBreak/>
        <w:t>entre ellas la de Contador Público, incorporada al régimen del artículo 43 de la Ley de Educación Superior mediante la Resolución Ministerial N° 1723/2013. Los estándares de acreditación, definidos en la Resolución 3400-E/2017, incorporan de manera transversal la función de investigación: exigen que la carrera se inserte en una unidad académica capaz de articular docencia, investigación y extensión, que el cuerpo académico sostenga estas funciones y que la institución garantice infraestructura y recursos adecuados para su desarrollo. Dentro de este proceso, la etapa de autoevaluación adquiere un rol central, en tanto habilita la construcción de un diagnóstico situado por parte de los propios actores institucionales, que luego deriva en la formulación de planes de mejora.</w:t>
      </w:r>
    </w:p>
    <w:p w14:paraId="61977373" w14:textId="77777777" w:rsidR="0001361B"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A los fines de comprender el uso que se hace de esta información, el trabajo recupera el concepto de decisión informada, asociado a las políticas basadas en evidencia. Siguiendo a Bracho (2010), estas políticas suponen el uso intencional de evidencia producida mediante procedimientos rigurosos y sistemáticos de recolección de datos, transformada en conocimiento útil para la toma de decisiones. En el mismo sentido, Jaime y Vaca Ávila (2017) sostienen que el paradigma de las políticas basadas en evidencia asume que los sistemas de información proveen insumos vitales para el manejo de sistemas sociales cada vez más complejos, y que tanto la disponibilidad como la validez de esa información resultan aspectos clave para su aprovechamiento efectivo.</w:t>
      </w:r>
    </w:p>
    <w:p w14:paraId="0A34E17E" w14:textId="1F07C61F" w:rsidR="0001361B"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Metodológicamente, el estudio adopta un enfoque cualitativo de inducción analítica enmarcado en el paradigma constructivista (Guba y Lincoln, 2002), a partir de una estrategia de triangulación de fuentes, técnicas y teorías (Denzin, 1970) que combina el análisis documental y normativo, el relevamiento de los 38 informes de Acreditación de Carrera de la convocatoria de Contador Público correspondientes a universidades nacionales, y entrevistas semiestructuradas a expertos y a referentes institucionales de cinco casos de estudio en profundidad, seleccionados entre universidades del Área Metropolitana de Buenos Aires creadas desde la recuperación de la democracia, con estructura departamentalizada y con resultados diferenciales en sus procesos de acreditación. A esto se suma el análisis del PROMCE, seleccionado</w:t>
      </w:r>
      <w:r w:rsidR="00D435AF" w:rsidRPr="00D435AF">
        <w:rPr>
          <w:rFonts w:eastAsiaTheme="minorHAnsi" w:cs="Times New Roman"/>
          <w:color w:val="000000" w:themeColor="text1"/>
          <w:kern w:val="2"/>
          <w:lang w:val="es-AR" w:eastAsia="en-US"/>
          <w14:ligatures w14:val="standardContextual"/>
        </w:rPr>
        <w:t xml:space="preserve"> por tratarse de un instrumento</w:t>
      </w:r>
      <w:r w:rsidRPr="00D435AF">
        <w:rPr>
          <w:rFonts w:eastAsiaTheme="minorHAnsi" w:cs="Times New Roman"/>
          <w:color w:val="000000" w:themeColor="text1"/>
          <w:kern w:val="2"/>
          <w:lang w:val="es-AR" w:eastAsia="en-US"/>
          <w14:ligatures w14:val="standardContextual"/>
        </w:rPr>
        <w:t xml:space="preserve"> post-acreditación que financia </w:t>
      </w:r>
      <w:r w:rsidR="00D435AF" w:rsidRPr="00D435AF">
        <w:rPr>
          <w:rFonts w:eastAsiaTheme="minorHAnsi" w:cs="Times New Roman"/>
          <w:color w:val="000000" w:themeColor="text1"/>
          <w:kern w:val="2"/>
          <w:lang w:val="es-AR" w:eastAsia="en-US"/>
          <w14:ligatures w14:val="standardContextual"/>
        </w:rPr>
        <w:t xml:space="preserve">(de forma “acotada”) </w:t>
      </w:r>
      <w:r w:rsidRPr="00D435AF">
        <w:rPr>
          <w:rFonts w:eastAsiaTheme="minorHAnsi" w:cs="Times New Roman"/>
          <w:color w:val="000000" w:themeColor="text1"/>
          <w:kern w:val="2"/>
          <w:lang w:val="es-AR" w:eastAsia="en-US"/>
          <w14:ligatures w14:val="standardContextual"/>
        </w:rPr>
        <w:t>insumos, honorarios y becas orientados a fortalecer la función de investigación en carreras de ciencias económicas.</w:t>
      </w:r>
    </w:p>
    <w:p w14:paraId="29BB42AA" w14:textId="77777777" w:rsidR="0001361B"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El análisis de los informes de acreditación permite identificar que las recomendaciones vinculadas a la función de investigación se repiten con marcada frecuencia entre las 38 carreras relevadas, lo que evidencia debilidades comunes de esta función dentro de carreras de perfil profesionalizante. La triangulación entre esta información documental y las entrevistas a expertos y referentes institucionales permite sostener que los mecanismos de aseguramiento de la calidad no operan únicamente como dispositivos de evaluación, sino como herramientas que estructuran y orientan los procesos de toma de decisiones al interior de las universidades, aunque de manera mediada por las capacidades institucionales, las trayectorias organizacionales y los liderazgos académicos. Ya sean para traccionar ideas o para legitimar necesidades de mejoras.</w:t>
      </w:r>
    </w:p>
    <w:p w14:paraId="1BD6ACAD" w14:textId="1B72AB58" w:rsidR="0001361B"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En relación con el PROMCE, su implementación muestra que este tipo de programas funciona más como mecanismo de apoyo o incentivo que como motor estructural de </w:t>
      </w:r>
      <w:r w:rsidRPr="00D435AF">
        <w:rPr>
          <w:rFonts w:eastAsiaTheme="minorHAnsi" w:cs="Times New Roman"/>
          <w:color w:val="000000" w:themeColor="text1"/>
          <w:kern w:val="2"/>
          <w:lang w:val="es-AR" w:eastAsia="en-US"/>
          <w14:ligatures w14:val="standardContextual"/>
        </w:rPr>
        <w:lastRenderedPageBreak/>
        <w:t>cambio, reforzando líneas de acción ya existentes en las instituciones antes que impulsando transformaciones profundas. Las entrevistas evidencian que la información producida por la evaluación suele utilizarse, en la práctica, como justificación posterior para la asignación de recursos —una suerte de integración invertida de la información— más que como insumo originario de la planificación. A esto se suma una lógica de urgencia en la formulación de proyectos para acceder a financiamiento, que limita la sostenibilidad de las acciones de mejora en el tiempo.</w:t>
      </w:r>
    </w:p>
    <w:p w14:paraId="67C86C0D" w14:textId="699AE819"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Uno de los aspectos registrados, es la idea del uso de la información como "excusa". En este sentido, </w:t>
      </w:r>
      <w:r w:rsidR="00D314F5" w:rsidRPr="00D435AF">
        <w:rPr>
          <w:rFonts w:eastAsiaTheme="minorHAnsi" w:cs="Times New Roman"/>
          <w:color w:val="000000" w:themeColor="text1"/>
          <w:kern w:val="2"/>
          <w:lang w:val="es-AR" w:eastAsia="en-US"/>
          <w14:ligatures w14:val="standardContextual"/>
        </w:rPr>
        <w:t>uno de las entrevistados</w:t>
      </w:r>
      <w:r w:rsidRPr="00D435AF">
        <w:rPr>
          <w:rFonts w:eastAsiaTheme="minorHAnsi" w:cs="Times New Roman"/>
          <w:color w:val="000000" w:themeColor="text1"/>
          <w:kern w:val="2"/>
          <w:lang w:val="es-AR" w:eastAsia="en-US"/>
          <w14:ligatures w14:val="standardContextual"/>
        </w:rPr>
        <w:t xml:space="preserve"> advierte que algunos gestores utilizan la presión de la CONEAU como una herramienta política para introducir cambios que, por iniciativa propia, no se atreverían a implementar. Por otro lado, el programa PROMCE actuó como un dispositivo que "obligó" a las autoridades a </w:t>
      </w:r>
      <w:r w:rsidR="0064258D">
        <w:rPr>
          <w:rFonts w:eastAsiaTheme="minorHAnsi" w:cs="Times New Roman"/>
          <w:color w:val="000000" w:themeColor="text1"/>
          <w:kern w:val="2"/>
          <w:lang w:val="es-AR" w:eastAsia="en-US"/>
          <w14:ligatures w14:val="standardContextual"/>
        </w:rPr>
        <w:t>involucrarse con</w:t>
      </w:r>
      <w:r w:rsidRPr="00D435AF">
        <w:rPr>
          <w:rFonts w:eastAsiaTheme="minorHAnsi" w:cs="Times New Roman"/>
          <w:color w:val="000000" w:themeColor="text1"/>
          <w:kern w:val="2"/>
          <w:lang w:val="es-AR" w:eastAsia="en-US"/>
          <w14:ligatures w14:val="standardContextual"/>
        </w:rPr>
        <w:t xml:space="preserve"> los informes de acreditación, ya que la alineación con las observaciones de CONEAU era un requisito para obtener fondos. Desde un primer momento se percibió una “evaluación policial” como respuesta reactiva basada en el "temor a la pena" o al “castigo”, más allá del estímulo. </w:t>
      </w:r>
    </w:p>
    <w:p w14:paraId="0EE6226A" w14:textId="30CCB5CE"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Por otra parte, entre los riesgos de simulación y formalismo, un punto de preocupación recurrente es que la evaluación se convierta en un ritual vacío. </w:t>
      </w:r>
      <w:r w:rsidR="0064258D">
        <w:rPr>
          <w:rFonts w:eastAsiaTheme="minorHAnsi" w:cs="Times New Roman"/>
          <w:color w:val="000000" w:themeColor="text1"/>
          <w:kern w:val="2"/>
          <w:lang w:val="es-AR" w:eastAsia="en-US"/>
          <w14:ligatures w14:val="standardContextual"/>
        </w:rPr>
        <w:t>Una de las</w:t>
      </w:r>
      <w:r w:rsidR="00D314F5" w:rsidRPr="00D435AF">
        <w:rPr>
          <w:rFonts w:eastAsiaTheme="minorHAnsi" w:cs="Times New Roman"/>
          <w:color w:val="000000" w:themeColor="text1"/>
          <w:kern w:val="2"/>
          <w:lang w:val="es-AR" w:eastAsia="en-US"/>
          <w14:ligatures w14:val="standardContextual"/>
        </w:rPr>
        <w:t xml:space="preserve"> experta</w:t>
      </w:r>
      <w:r w:rsidR="0064258D">
        <w:rPr>
          <w:rFonts w:eastAsiaTheme="minorHAnsi" w:cs="Times New Roman"/>
          <w:color w:val="000000" w:themeColor="text1"/>
          <w:kern w:val="2"/>
          <w:lang w:val="es-AR" w:eastAsia="en-US"/>
          <w14:ligatures w14:val="standardContextual"/>
        </w:rPr>
        <w:t>s</w:t>
      </w:r>
      <w:r w:rsidRPr="00D435AF">
        <w:rPr>
          <w:rFonts w:eastAsiaTheme="minorHAnsi" w:cs="Times New Roman"/>
          <w:color w:val="000000" w:themeColor="text1"/>
          <w:kern w:val="2"/>
          <w:lang w:val="es-AR" w:eastAsia="en-US"/>
          <w14:ligatures w14:val="standardContextual"/>
        </w:rPr>
        <w:t xml:space="preserve"> critica que en carreras profesionalizantes (como Contador) a veces se "inventan" o fuerzan proyectos de investigación solo para cumplir con los estándares y acceder a fondos, sin que haya un impacto real en el conocimiento</w:t>
      </w:r>
      <w:r w:rsidR="0064258D">
        <w:rPr>
          <w:rFonts w:eastAsiaTheme="minorHAnsi" w:cs="Times New Roman"/>
          <w:color w:val="000000" w:themeColor="text1"/>
          <w:kern w:val="2"/>
          <w:lang w:val="es-AR" w:eastAsia="en-US"/>
          <w14:ligatures w14:val="standardContextual"/>
        </w:rPr>
        <w:t>, debido a la escasa formación científica en el campo</w:t>
      </w:r>
      <w:r w:rsidRPr="00D435AF">
        <w:rPr>
          <w:rFonts w:eastAsiaTheme="minorHAnsi" w:cs="Times New Roman"/>
          <w:color w:val="000000" w:themeColor="text1"/>
          <w:kern w:val="2"/>
          <w:lang w:val="es-AR" w:eastAsia="en-US"/>
          <w14:ligatures w14:val="standardContextual"/>
        </w:rPr>
        <w:t>. Y otro de los principales componentes es la “sost</w:t>
      </w:r>
      <w:r w:rsidR="0064258D">
        <w:rPr>
          <w:rFonts w:eastAsiaTheme="minorHAnsi" w:cs="Times New Roman"/>
          <w:color w:val="000000" w:themeColor="text1"/>
          <w:kern w:val="2"/>
          <w:lang w:val="es-AR" w:eastAsia="en-US"/>
          <w14:ligatures w14:val="standardContextual"/>
        </w:rPr>
        <w:t xml:space="preserve">enibilidad” de esas propuestas, </w:t>
      </w:r>
      <w:r w:rsidRPr="00D435AF">
        <w:rPr>
          <w:rFonts w:eastAsiaTheme="minorHAnsi" w:cs="Times New Roman"/>
          <w:color w:val="000000" w:themeColor="text1"/>
          <w:kern w:val="2"/>
          <w:lang w:val="es-AR" w:eastAsia="en-US"/>
          <w14:ligatures w14:val="standardContextual"/>
        </w:rPr>
        <w:t>por ejemplo,</w:t>
      </w:r>
      <w:r w:rsidR="0064258D">
        <w:rPr>
          <w:rFonts w:eastAsiaTheme="minorHAnsi" w:cs="Times New Roman"/>
          <w:color w:val="000000" w:themeColor="text1"/>
          <w:kern w:val="2"/>
          <w:lang w:val="es-AR" w:eastAsia="en-US"/>
          <w14:ligatures w14:val="standardContextual"/>
        </w:rPr>
        <w:t xml:space="preserve"> becas, programas de formación</w:t>
      </w:r>
      <w:r w:rsidRPr="00D435AF">
        <w:rPr>
          <w:rFonts w:eastAsiaTheme="minorHAnsi" w:cs="Times New Roman"/>
          <w:color w:val="000000" w:themeColor="text1"/>
          <w:kern w:val="2"/>
          <w:lang w:val="es-AR" w:eastAsia="en-US"/>
          <w14:ligatures w14:val="standardContextual"/>
        </w:rPr>
        <w:t xml:space="preserve">.  </w:t>
      </w:r>
    </w:p>
    <w:p w14:paraId="2DC3015E" w14:textId="1A78F76A"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En los testimonios analizados emerge una percepción de la evaluación como un dispositivo de presión, particularmente en relación con los procesos de acreditación y con las exigencias es</w:t>
      </w:r>
      <w:r w:rsidR="004B0E23" w:rsidRPr="00D435AF">
        <w:rPr>
          <w:rFonts w:eastAsiaTheme="minorHAnsi" w:cs="Times New Roman"/>
          <w:color w:val="000000" w:themeColor="text1"/>
          <w:kern w:val="2"/>
          <w:lang w:val="es-AR" w:eastAsia="en-US"/>
          <w14:ligatures w14:val="standardContextual"/>
        </w:rPr>
        <w:t>tablecidas por los organismos externos</w:t>
      </w:r>
      <w:r w:rsidRPr="00D435AF">
        <w:rPr>
          <w:rFonts w:eastAsiaTheme="minorHAnsi" w:cs="Times New Roman"/>
          <w:color w:val="000000" w:themeColor="text1"/>
          <w:kern w:val="2"/>
          <w:lang w:val="es-AR" w:eastAsia="en-US"/>
          <w14:ligatures w14:val="standardContextual"/>
        </w:rPr>
        <w:t>. En este marco, algunos actores interpretan la evaluación como un mecanismo que puede adquirir un uso político, en tanto sus resultados, recomendaciones o exigencias son utilizados estratégicamente por distintos actores institucionales para impulsar determinadas decisiones, justificar demandas de recursos o promover cambios organizacionales.</w:t>
      </w:r>
    </w:p>
    <w:p w14:paraId="2D184A37" w14:textId="24D5CA55"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Asimismo, aparece la lógica del “como si”, entendida como la adopción de prácticas orientadas a cumplir formalmente con los requerimientos del proceso evaluativo sin que ello necesariamente implique transformaciones sustantivas en las prácticas académicas o institucionales. En este sentido, el component</w:t>
      </w:r>
      <w:r w:rsidR="004B0E23" w:rsidRPr="00D435AF">
        <w:rPr>
          <w:rFonts w:eastAsiaTheme="minorHAnsi" w:cs="Times New Roman"/>
          <w:color w:val="000000" w:themeColor="text1"/>
          <w:kern w:val="2"/>
          <w:lang w:val="es-AR" w:eastAsia="en-US"/>
          <w14:ligatures w14:val="standardContextual"/>
        </w:rPr>
        <w:t xml:space="preserve">e político </w:t>
      </w:r>
      <w:r w:rsidRPr="00D435AF">
        <w:rPr>
          <w:rFonts w:eastAsiaTheme="minorHAnsi" w:cs="Times New Roman"/>
          <w:color w:val="000000" w:themeColor="text1"/>
          <w:kern w:val="2"/>
          <w:lang w:val="es-AR" w:eastAsia="en-US"/>
          <w14:ligatures w14:val="standardContextual"/>
        </w:rPr>
        <w:t>resulta particularmente relevante, ya que la producción y el uso de la información evaluativa se inscriben en dinámicas de negociación, disputas de poder y estrategias institucionales. Los testimonios analizados también ponen de relieve la sensibilidad de la evaluación, evidenciando que sus resultados pueden ser interpretados y utilizados de diferentes maneras según los intereses, posicionamientos y contextos institucionales de los actores involucrados.</w:t>
      </w:r>
    </w:p>
    <w:p w14:paraId="17E3FC5F" w14:textId="2ADAB9E2"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Cuando una carrera en funcionamiento no ha sido concebida de acuerdo con un conjunto de estándares previamente establecidos, el proceso de adecuación exige adaptar las decisiones institucionales y las prácticas académicas a la nueva realidad esperada. Esta situación se observa claramente en los casos estudiados de la carrera de </w:t>
      </w:r>
      <w:r w:rsidR="00AB00EE" w:rsidRPr="00D435AF">
        <w:rPr>
          <w:rFonts w:eastAsiaTheme="minorHAnsi" w:cs="Times New Roman"/>
          <w:color w:val="000000" w:themeColor="text1"/>
          <w:kern w:val="2"/>
          <w:lang w:val="es-AR" w:eastAsia="en-US"/>
          <w14:ligatures w14:val="standardContextual"/>
        </w:rPr>
        <w:t>Contador Público</w:t>
      </w:r>
      <w:r w:rsidRPr="00D435AF">
        <w:rPr>
          <w:rFonts w:eastAsiaTheme="minorHAnsi" w:cs="Times New Roman"/>
          <w:color w:val="000000" w:themeColor="text1"/>
          <w:kern w:val="2"/>
          <w:lang w:val="es-AR" w:eastAsia="en-US"/>
          <w14:ligatures w14:val="standardContextual"/>
        </w:rPr>
        <w:t xml:space="preserve">, </w:t>
      </w:r>
      <w:r w:rsidRPr="00D435AF">
        <w:rPr>
          <w:rFonts w:eastAsiaTheme="minorHAnsi" w:cs="Times New Roman"/>
          <w:color w:val="000000" w:themeColor="text1"/>
          <w:kern w:val="2"/>
          <w:lang w:val="es-AR" w:eastAsia="en-US"/>
          <w14:ligatures w14:val="standardContextual"/>
        </w:rPr>
        <w:lastRenderedPageBreak/>
        <w:t xml:space="preserve">aunque podría replicarse en otras propuestas similares por sus características profesionalizantes, como, por ejemplo, Abogacía. </w:t>
      </w:r>
    </w:p>
    <w:p w14:paraId="0A4BCD0B" w14:textId="57B8B89B"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Siguiendo con la normativa vigente, y una vez abierta la Convocatoria para la carrera de </w:t>
      </w:r>
      <w:r w:rsidR="008F3B40">
        <w:rPr>
          <w:rFonts w:eastAsiaTheme="minorHAnsi" w:cs="Times New Roman"/>
          <w:color w:val="000000" w:themeColor="text1"/>
          <w:kern w:val="2"/>
          <w:lang w:val="es-AR" w:eastAsia="en-US"/>
          <w14:ligatures w14:val="standardContextual"/>
        </w:rPr>
        <w:t>Contador Público</w:t>
      </w:r>
      <w:r w:rsidRPr="00D435AF">
        <w:rPr>
          <w:rFonts w:eastAsiaTheme="minorHAnsi" w:cs="Times New Roman"/>
          <w:color w:val="000000" w:themeColor="text1"/>
          <w:kern w:val="2"/>
          <w:lang w:val="es-AR" w:eastAsia="en-US"/>
          <w14:ligatures w14:val="standardContextual"/>
        </w:rPr>
        <w:t>, fue necesario adecuar los planes de estudio a los estándares propuestos por el Consejo de Decanos de Ciencias Económicas y definidos por el entonces Ministerio de Cultura y Educación en acuerdo con el Consejo de Universidades.  A partir del diagnóstico inicial, y con el objeto de desandar los trayectos institucionales relevados, se llevaron a cabo 14 entrevistas en profundidad, entre expertos en evaluación institucional, acreditación de carrera y procesos de decisión en la gestión universitaria, e informantes claves involucrados en los mecanismos de aseguramiento de la calidad en el ámbito de la investigación de las instituciones estudiadas. A su vez se ha realizado el estudio de 5 casos institucionales, definidos en función de una selección a través de un muestreo selectivo, no probabilístico.</w:t>
      </w:r>
    </w:p>
    <w:p w14:paraId="1905D399" w14:textId="77777777"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Durante el trabajo de campo se fue reconstruyendo este pasaje, el cual implicó diversas complejidades. En primer lugar, se identificó que esta adaptación requirió un esfuerzo estructural significativo, no solo por parte de los equipos técnicos que integraban las propuestas formativas, sino de los decisores institucionales, quienes debían involucrarse en las instancias de evaluación, y definir prácticas académicas que dieran lugar a esta adecuación. Esta dinámica se evidenció tanto en el terreno curricular como también de la docencia, la investigación y la extensión. Idealmente dicha trasformación podría consolidarse integrando la información surgida de los espacios de autoevaluación.</w:t>
      </w:r>
    </w:p>
    <w:p w14:paraId="0F935BB1" w14:textId="77777777"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A partir del proceso de indagación, se observa que los actores que transitan estos espacios formativos –en algunos casos-, van configurando culturas (Clark,1991) y tradiciones que se instalan a lo largo del tiempo y se convierten en tradiciones, lo que podría ralentizar los procesos de mejora e innovación, a partir de las exigencias que requiere la adecuación a los estándares. Este desafío puso de relieve elementos por robustecer, lógicas que revisar, y la emergencia de una nueva dinámica que demanda adaptaciones urgentes como así también una sólida necesidad de construir evidencia (Bracho, 2010; Jaime y Vaca Ávila, 2017) –en algunos casos a contratiempo–. </w:t>
      </w:r>
    </w:p>
    <w:p w14:paraId="2331573D" w14:textId="31FD0794"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En este escenario, la carrera de </w:t>
      </w:r>
      <w:r w:rsidR="008F3B40">
        <w:rPr>
          <w:rFonts w:eastAsiaTheme="minorHAnsi" w:cs="Times New Roman"/>
          <w:color w:val="000000" w:themeColor="text1"/>
          <w:kern w:val="2"/>
          <w:lang w:val="es-AR" w:eastAsia="en-US"/>
          <w14:ligatures w14:val="standardContextual"/>
        </w:rPr>
        <w:t>Contador Público</w:t>
      </w:r>
      <w:r w:rsidRPr="00D435AF">
        <w:rPr>
          <w:rFonts w:eastAsiaTheme="minorHAnsi" w:cs="Times New Roman"/>
          <w:color w:val="000000" w:themeColor="text1"/>
          <w:kern w:val="2"/>
          <w:lang w:val="es-AR" w:eastAsia="en-US"/>
          <w14:ligatures w14:val="standardContextual"/>
        </w:rPr>
        <w:t xml:space="preserve"> requirió un trabajo focalizado en torno de la función de investigación, no como eje central de su formación sino como parte de los requerimientos emergentes, en el marco del proceso de adecuación institucional. Este enfoque, aunque no prioritario en la tradición disciplinar, se convirtió en un componente necesario para responder a las nuevas exigencias del sistema científico-académico.</w:t>
      </w:r>
    </w:p>
    <w:p w14:paraId="36EC9301" w14:textId="77777777"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El proceso de evaluación de carrera permitió visibilizar debilidades y aspectos a fortalecer al interior de las propuestas curriculares, particularmente en relación con la disponibilidad de recursos y el desarrollo de la función de investigación. En numerosas instituciones, el Programa operó como un argumento para evidenciar limitaciones estructurales —tales como déficits de financiamiento, infraestructura o formación académica del cuerpo docente— que incidían en el cumplimiento de los estándares de calidad. Lo que significa que el programa fue utilizado por las instituciones o por las carreras como una herramienta “discursiva o justificativa” frente a las autoridades universitarias o frente al </w:t>
      </w:r>
      <w:r w:rsidRPr="00D435AF">
        <w:rPr>
          <w:rFonts w:eastAsiaTheme="minorHAnsi" w:cs="Times New Roman"/>
          <w:color w:val="000000" w:themeColor="text1"/>
          <w:kern w:val="2"/>
          <w:lang w:val="es-AR" w:eastAsia="en-US"/>
          <w14:ligatures w14:val="standardContextual"/>
        </w:rPr>
        <w:lastRenderedPageBreak/>
        <w:t>Estado. Es decir, el programa permitió “respaldar con evidencia o con una política pública” ciertos reclamos institucionales.</w:t>
      </w:r>
    </w:p>
    <w:p w14:paraId="537B2861" w14:textId="6F362791"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No obstante, la evidencia muestra que muchas de estas iniciativas tuvieron un carácter coyuntural y estuvieron fuertemente asociadas a los plazos del propio programa. En este sentido, las acciones de mejora impulsadas no siempre lograron consolidarse como políticas institucionales sostenidas en el tiempo.</w:t>
      </w:r>
      <w:r w:rsidR="008F3B40">
        <w:rPr>
          <w:rFonts w:eastAsiaTheme="minorHAnsi" w:cs="Times New Roman"/>
          <w:color w:val="000000" w:themeColor="text1"/>
          <w:kern w:val="2"/>
          <w:lang w:val="es-AR" w:eastAsia="en-US"/>
          <w14:ligatures w14:val="standardContextual"/>
        </w:rPr>
        <w:t xml:space="preserve"> </w:t>
      </w:r>
      <w:bookmarkStart w:id="0" w:name="_GoBack"/>
      <w:bookmarkEnd w:id="0"/>
      <w:r w:rsidRPr="00D435AF">
        <w:rPr>
          <w:rFonts w:eastAsiaTheme="minorHAnsi" w:cs="Times New Roman"/>
          <w:color w:val="000000" w:themeColor="text1"/>
          <w:kern w:val="2"/>
          <w:lang w:val="es-AR" w:eastAsia="en-US"/>
          <w14:ligatures w14:val="standardContextual"/>
        </w:rPr>
        <w:t>En gran parte de los casos, la continuidad de dichas acciones quedó supeditada a las decisiones institucionales adoptadas a partir de la información producida en los procesos de acreditación de carreras, donde el argumento recurrente para explicar sus limitaciones fue la insuficiencia de recursos financieros.</w:t>
      </w:r>
    </w:p>
    <w:p w14:paraId="192409F1" w14:textId="36C8EA2E" w:rsidR="0082727C" w:rsidRPr="00D435AF" w:rsidRDefault="0082727C"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En este marco, cabe problematizar en qué medida estas iniciativas pueden ser consideradas efectivamente como procesos de mejora, en tanto no logran institucionalizarse, sino que tienden a manifestarse de forma fragmentada y episódica, más que como transformaciones sostenidas.</w:t>
      </w:r>
    </w:p>
    <w:p w14:paraId="12CE0BCB" w14:textId="6A2B57DD" w:rsidR="005F3B2E" w:rsidRPr="00D435AF" w:rsidRDefault="005F3B2E" w:rsidP="0001361B">
      <w:pPr>
        <w:spacing w:line="240" w:lineRule="auto"/>
        <w:rPr>
          <w:rFonts w:ascii="Times New Roman" w:hAnsi="Times New Roman" w:cs="Times New Roman"/>
          <w:b/>
          <w:bCs/>
          <w:color w:val="000000" w:themeColor="text1"/>
        </w:rPr>
      </w:pPr>
      <w:r w:rsidRPr="00D435AF">
        <w:rPr>
          <w:rFonts w:ascii="Times New Roman" w:hAnsi="Times New Roman" w:cs="Times New Roman"/>
          <w:b/>
          <w:bCs/>
          <w:color w:val="000000" w:themeColor="text1"/>
        </w:rPr>
        <w:t>Conclusiones</w:t>
      </w:r>
    </w:p>
    <w:p w14:paraId="78EFCDA0" w14:textId="77777777" w:rsidR="0001361B"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El análisis realizado permite sostener que el uso de la información derivada de los sistemas de aseguramiento de la calidad se configura como un proceso complejo, situado y dinámico, en el que intervienen múltiples actores, niveles de decisión y marcos de sentido, antes que como una relación lineal entre evaluación y acción. La evaluación es reconocida como un motor de mejora que habilita procesos de reflexión institucional y aprendizaje organizacional, pero esta dinámica no logra consolidarse aún como cultura institucional autónoma: persiste una fuerte asociación entre mejora y disponibilidad de financiamiento externo, lo que limita su potencial transformador cuando los recursos no están disponibles.</w:t>
      </w:r>
    </w:p>
    <w:p w14:paraId="22B0605F" w14:textId="77777777" w:rsidR="0001361B"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Se observa asimismo la coexistencia de lógicas top-down y bottom-up en los procesos de evaluación: mientras los estándares y procedimientos son definidos externamente por organismos como la CONEAU, los actores institucionales los reinterpretan y resignifican a partir de sus propios intereses y capacidades, lo que en algunos casos deriva en estrategias de cumplimiento meramente formal —una lógica del "como si"— y en otros habilita usos estratégicos de la información para justificar demandas de recursos o fortalecer agendas institucionales propias. En este marco, se advierte una fragmentación entre los espacios donde se produce la información, aquellos donde se interpreta y los ámbitos donde efectivamente se utiliza —o no— para la toma de decisiones, así como tensiones entre los actores técnicos, que producen y sistematizan los datos, y los decisores, cuya baja implicancia en los procesos de construcción de información dificulta su traducción en políticas concretas.</w:t>
      </w:r>
    </w:p>
    <w:p w14:paraId="544B704F" w14:textId="6DE7CDA9" w:rsidR="00BC236F" w:rsidRPr="00D435AF" w:rsidRDefault="0001361B" w:rsidP="00BF7D51">
      <w:pPr>
        <w:pStyle w:val="CUERPO"/>
        <w:spacing w:line="240" w:lineRule="auto"/>
        <w:rPr>
          <w:rFonts w:eastAsiaTheme="minorHAnsi" w:cs="Times New Roman"/>
          <w:color w:val="000000" w:themeColor="text1"/>
          <w:kern w:val="2"/>
          <w:lang w:val="es-AR" w:eastAsia="en-US"/>
          <w14:ligatures w14:val="standardContextual"/>
        </w:rPr>
      </w:pPr>
      <w:r w:rsidRPr="00D435AF">
        <w:rPr>
          <w:rFonts w:eastAsiaTheme="minorHAnsi" w:cs="Times New Roman"/>
          <w:color w:val="000000" w:themeColor="text1"/>
          <w:kern w:val="2"/>
          <w:lang w:val="es-AR" w:eastAsia="en-US"/>
          <w14:ligatures w14:val="standardContextual"/>
        </w:rPr>
        <w:t xml:space="preserve">En este sentido, el PROMCE se configura como un instrumento que tiende a reforzar procesos ya existentes en las instituciones antes </w:t>
      </w:r>
      <w:r w:rsidR="00BF7D51" w:rsidRPr="00D435AF">
        <w:rPr>
          <w:rFonts w:eastAsiaTheme="minorHAnsi" w:cs="Times New Roman"/>
          <w:color w:val="000000" w:themeColor="text1"/>
          <w:kern w:val="2"/>
          <w:lang w:val="es-AR" w:eastAsia="en-US"/>
          <w14:ligatures w14:val="standardContextual"/>
        </w:rPr>
        <w:t>que,</w:t>
      </w:r>
      <w:r w:rsidRPr="00D435AF">
        <w:rPr>
          <w:rFonts w:eastAsiaTheme="minorHAnsi" w:cs="Times New Roman"/>
          <w:color w:val="000000" w:themeColor="text1"/>
          <w:kern w:val="2"/>
          <w:lang w:val="es-AR" w:eastAsia="en-US"/>
          <w14:ligatures w14:val="standardContextual"/>
        </w:rPr>
        <w:t xml:space="preserve"> a impulsar transformaciones estructurales, evidenciando las dificultades para sostener en el tiempo las acciones de mejora implementadas. Las decisiones orientadas al fortalecimiento de la investigación aparecen así fuertemente condicionadas por la disponibilidad de financiamiento, las lógicas políticas propias de la gestión universitaria y las tensiones persistentes entre actores técnicos y decisores. El fortalecimiento de la gobernanza universitaria requiere, </w:t>
      </w:r>
      <w:r w:rsidRPr="00D435AF">
        <w:rPr>
          <w:rFonts w:eastAsiaTheme="minorHAnsi" w:cs="Times New Roman"/>
          <w:color w:val="000000" w:themeColor="text1"/>
          <w:kern w:val="2"/>
          <w:lang w:val="es-AR" w:eastAsia="en-US"/>
          <w14:ligatures w14:val="standardContextual"/>
        </w:rPr>
        <w:lastRenderedPageBreak/>
        <w:t>en consecuencia, consolidar a la información como un componente estratégico de la gestión, mediante el desarrollo de capacidades técnicas internas, la articulación entre niveles de decisión y la construcción de una cultura de la calidad compartida y sostenida en el tiempo, que trascienda las gestiones de turno y permita transitar de un uso normativo de la información —centrado en el cumplimiento de estándares externos— hacia un uso estratégico orientado a la mejora continua de la función de investigación en las carreras profesionalizantes de ciencias sociales aplicadas.</w:t>
      </w:r>
    </w:p>
    <w:p w14:paraId="39B57161" w14:textId="69DC08D7" w:rsidR="005F3B2E" w:rsidRPr="00D435AF" w:rsidRDefault="005F3B2E" w:rsidP="007B5B5F">
      <w:pPr>
        <w:spacing w:line="240" w:lineRule="auto"/>
        <w:rPr>
          <w:rFonts w:ascii="Times New Roman" w:hAnsi="Times New Roman" w:cs="Times New Roman"/>
          <w:b/>
          <w:bCs/>
          <w:color w:val="000000" w:themeColor="text1"/>
        </w:rPr>
      </w:pPr>
      <w:r w:rsidRPr="00D435AF">
        <w:rPr>
          <w:rFonts w:ascii="Times New Roman" w:hAnsi="Times New Roman" w:cs="Times New Roman"/>
          <w:b/>
          <w:bCs/>
          <w:color w:val="000000" w:themeColor="text1"/>
        </w:rPr>
        <w:t>Referencias Bibliográficas (APA 7)</w:t>
      </w:r>
    </w:p>
    <w:p w14:paraId="1BD040C0"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 xml:space="preserve">Aiello, M. (2011). Evaluación institucional y cultura académica. Editorial Académica Española. </w:t>
      </w:r>
    </w:p>
    <w:p w14:paraId="1F50B3AF"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Aiello, M. (2017). Repensando la evaluación y el aseguramiento de la calidad universitaria en la Argentina del siglo XXI. En La Agenda Universitaria III: propuestas de políticas y acciones.</w:t>
      </w:r>
    </w:p>
    <w:p w14:paraId="760A014F"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 xml:space="preserve">Brá, M. A. y Sverdlick, I. (2009). La evaluación de las universidades. Un análisis de las perspectivas de gestión de calidad. LPP, Laboratorio de Políticas Públicas. </w:t>
      </w:r>
      <w:hyperlink r:id="rId7" w:history="1">
        <w:r w:rsidRPr="00D435AF">
          <w:rPr>
            <w:rStyle w:val="Hipervnculo"/>
            <w:rFonts w:ascii="Times New Roman" w:hAnsi="Times New Roman" w:cs="Times New Roman"/>
            <w:color w:val="000000" w:themeColor="text1"/>
          </w:rPr>
          <w:t>https://biblioteca.clacso.edu.ar/Argentina/lpp/20100426085143/6.pdf</w:t>
        </w:r>
      </w:hyperlink>
    </w:p>
    <w:p w14:paraId="78E13180"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Bracho, T. (2010). Políticas basadas en evidencia. La política pública como acción informada y objeto de investigación. En M. Merino y G. Cejudo (Comps.), Problemas, decisiones y soluciones. Enfoques de política pública. Fondo de Cultura Económica y CIDE.</w:t>
      </w:r>
    </w:p>
    <w:p w14:paraId="7234FACD" w14:textId="77777777" w:rsidR="00B51D06" w:rsidRPr="00D435AF" w:rsidRDefault="00B51D06" w:rsidP="00B51D06">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Cohen, N. y Piovani, J.I. (2008). La metodología de la investigación en debate. Universidad Nacional de La Plata: Eudeba.</w:t>
      </w:r>
    </w:p>
    <w:p w14:paraId="75867BB0"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Denzin, N. K. (1970). Sociological methods: A source book. Aldine.</w:t>
      </w:r>
    </w:p>
    <w:p w14:paraId="21EC4D85"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Fernández Lamarra, N., Aiello, M. y Grandoli, M. E. (2013). ¿Evaluación para la mejora? La evaluación institucional en las universidades argentinas. En N. Fernández Lamarra (Comp.), Estudios de política y administración de la educación. EDUNTREF.</w:t>
      </w:r>
    </w:p>
    <w:p w14:paraId="0166BA31"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Guba, E. y Lincoln, Y. (2002). Paradigmas en competencia en la investigación cualitativa. En C. Denman y J. A. Haro (Comps.), Por los rincones. Antología de métodos cualitativos en la investigación social (pp. 113-145). El Colegio de Sonora.</w:t>
      </w:r>
    </w:p>
    <w:p w14:paraId="5D01993B" w14:textId="77777777" w:rsidR="00B51D06" w:rsidRPr="00D435AF" w:rsidRDefault="00B51D06" w:rsidP="00B51D06">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Hérnandez Sampieri R., Fernández Collado, C y Baptista Lucio, M. (2010). Metodología de la Investigación. Perú: Mc Graw Hill.</w:t>
      </w:r>
    </w:p>
    <w:p w14:paraId="21604574"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 xml:space="preserve">Jaime, F. y Vaca Ávila, P. (2017). Las políticas basadas en evidencia como plataformas para la innovación de políticas públicas. Estado Abierto. Revista sobre el Estado, la Administración y las Políticas Públicas, 2(1), 51-76. </w:t>
      </w:r>
      <w:hyperlink r:id="rId8" w:history="1">
        <w:r w:rsidRPr="00D435AF">
          <w:rPr>
            <w:rStyle w:val="Hipervnculo"/>
            <w:rFonts w:ascii="Times New Roman" w:hAnsi="Times New Roman" w:cs="Times New Roman"/>
            <w:color w:val="000000" w:themeColor="text1"/>
          </w:rPr>
          <w:t>https://publicaciones.inap.gob.ar/index.php/EA/article/view/44/44</w:t>
        </w:r>
      </w:hyperlink>
    </w:p>
    <w:p w14:paraId="055529FE"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 xml:space="preserve">Ley de Educación Superior N° 24.521. (1995, 7 de agosto). Boletín Oficial. </w:t>
      </w:r>
      <w:hyperlink r:id="rId9" w:history="1">
        <w:r w:rsidRPr="00D435AF">
          <w:rPr>
            <w:rStyle w:val="Hipervnculo"/>
            <w:rFonts w:ascii="Times New Roman" w:hAnsi="Times New Roman" w:cs="Times New Roman"/>
            <w:color w:val="000000" w:themeColor="text1"/>
          </w:rPr>
          <w:t>https://servicios.infoleg.gob.ar/infolegInternet/anexos/25000-29999/25394/texact.htm</w:t>
        </w:r>
      </w:hyperlink>
    </w:p>
    <w:p w14:paraId="2F38A741"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lastRenderedPageBreak/>
        <w:t xml:space="preserve">Resolución Ministerial N° 3400-E/2017. Ministerio de Educación de la Nación. </w:t>
      </w:r>
      <w:hyperlink r:id="rId10" w:history="1">
        <w:r w:rsidRPr="00D435AF">
          <w:rPr>
            <w:rStyle w:val="Hipervnculo"/>
            <w:rFonts w:ascii="Times New Roman" w:hAnsi="Times New Roman" w:cs="Times New Roman"/>
            <w:color w:val="000000" w:themeColor="text1"/>
          </w:rPr>
          <w:t>https://www.coneau.gob.ar/archivos/resoluciones/rm-3400-e-2017-contador-59ba98cd4525c.pdf</w:t>
        </w:r>
      </w:hyperlink>
    </w:p>
    <w:p w14:paraId="2B752203" w14:textId="77777777" w:rsidR="00B51D06" w:rsidRPr="00D435AF" w:rsidRDefault="00B51D06" w:rsidP="00B51D06">
      <w:pPr>
        <w:spacing w:before="240" w:after="240" w:line="240" w:lineRule="auto"/>
        <w:jc w:val="both"/>
        <w:rPr>
          <w:rFonts w:ascii="Times New Roman" w:eastAsia="Calibri" w:hAnsi="Times New Roman" w:cs="Times New Roman"/>
          <w:color w:val="000000" w:themeColor="text1"/>
        </w:rPr>
      </w:pPr>
      <w:r w:rsidRPr="00D435AF">
        <w:rPr>
          <w:rFonts w:ascii="Times New Roman" w:eastAsia="Calibri" w:hAnsi="Times New Roman" w:cs="Times New Roman"/>
          <w:color w:val="000000" w:themeColor="text1"/>
        </w:rPr>
        <w:t>Sautu, et al (2010). Manual de Metodología: Construcción del marco teórico, formulación de los objetivos, y elección de la metodología. Buenos Aires: Prometeo Libros y CLACSO.</w:t>
      </w:r>
    </w:p>
    <w:p w14:paraId="47A685CF" w14:textId="77777777" w:rsidR="00B51D06" w:rsidRPr="00D435AF"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Tenbrink, T. D. (1981). Evaluación. Guía práctica para profesores. Narcea.</w:t>
      </w:r>
    </w:p>
    <w:p w14:paraId="5A68434B" w14:textId="77777777" w:rsidR="00B51D06" w:rsidRPr="004B0E23" w:rsidRDefault="00B51D06" w:rsidP="0001361B">
      <w:pPr>
        <w:spacing w:line="240" w:lineRule="auto"/>
        <w:rPr>
          <w:rFonts w:ascii="Times New Roman" w:hAnsi="Times New Roman" w:cs="Times New Roman"/>
          <w:color w:val="000000" w:themeColor="text1"/>
        </w:rPr>
      </w:pPr>
      <w:r w:rsidRPr="00D435AF">
        <w:rPr>
          <w:rFonts w:ascii="Times New Roman" w:hAnsi="Times New Roman" w:cs="Times New Roman"/>
          <w:color w:val="000000" w:themeColor="text1"/>
        </w:rPr>
        <w:t xml:space="preserve">Toranzos, L. V. (2014). Evaluación educativa: hacia la construcción de un espacio de aprendizaje. Propuesta Educativa, (41), 9-19. </w:t>
      </w:r>
      <w:hyperlink r:id="rId11" w:history="1">
        <w:r w:rsidRPr="00D435AF">
          <w:rPr>
            <w:rStyle w:val="Hipervnculo"/>
            <w:rFonts w:ascii="Times New Roman" w:hAnsi="Times New Roman" w:cs="Times New Roman"/>
            <w:color w:val="000000" w:themeColor="text1"/>
          </w:rPr>
          <w:t>https://www.redalyc.org/pdf/4030/403041712003.pdf</w:t>
        </w:r>
      </w:hyperlink>
    </w:p>
    <w:sectPr w:rsidR="00B51D06" w:rsidRPr="004B0E23"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D63436" w16cex:dateUtc="2026-07-11T13:43:00Z"/>
  <w16cex:commentExtensible w16cex:durableId="1A7885A7" w16cex:dateUtc="2026-07-11T13:36:00Z"/>
  <w16cex:commentExtensible w16cex:durableId="4C430A0B" w16cex:dateUtc="2026-07-11T13:50:00Z"/>
  <w16cex:commentExtensible w16cex:durableId="46728ED4" w16cex:dateUtc="2026-07-11T13:35:00Z"/>
  <w16cex:commentExtensible w16cex:durableId="0752AF6C" w16cex:dateUtc="2026-07-11T13:47:00Z"/>
  <w16cex:commentExtensible w16cex:durableId="2C4EC681" w16cex:dateUtc="2026-07-11T13:38:00Z"/>
  <w16cex:commentExtensible w16cex:durableId="7536FF07" w16cex:dateUtc="2026-07-11T13:48:00Z"/>
  <w16cex:commentExtensible w16cex:durableId="29DAED51" w16cex:dateUtc="2026-07-11T14:08:00Z"/>
  <w16cex:commentExtensible w16cex:durableId="76515E88" w16cex:dateUtc="2026-07-11T14:03:00Z"/>
  <w16cex:commentExtensible w16cex:durableId="2FB2A38A" w16cex:dateUtc="2026-07-11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1EA363" w16cid:durableId="78D63436"/>
  <w16cid:commentId w16cid:paraId="31B0F3B4" w16cid:durableId="1A7885A7"/>
  <w16cid:commentId w16cid:paraId="0CA73330" w16cid:durableId="4C430A0B"/>
  <w16cid:commentId w16cid:paraId="7197A8BC" w16cid:durableId="46728ED4"/>
  <w16cid:commentId w16cid:paraId="6BBC4500" w16cid:durableId="0752AF6C"/>
  <w16cid:commentId w16cid:paraId="0DCB0115" w16cid:durableId="2C4EC681"/>
  <w16cid:commentId w16cid:paraId="5AAD1788" w16cid:durableId="7536FF07"/>
  <w16cid:commentId w16cid:paraId="749E33C8" w16cid:durableId="29DAED51"/>
  <w16cid:commentId w16cid:paraId="31F169E1" w16cid:durableId="76515E88"/>
  <w16cid:commentId w16cid:paraId="2DAC16D8" w16cid:durableId="2FB2A38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8DFD6" w14:textId="77777777" w:rsidR="005873B0" w:rsidRPr="00BA642E" w:rsidRDefault="005873B0" w:rsidP="00C802F5">
      <w:pPr>
        <w:spacing w:after="0" w:line="240" w:lineRule="auto"/>
      </w:pPr>
      <w:r w:rsidRPr="00BA642E">
        <w:separator/>
      </w:r>
    </w:p>
  </w:endnote>
  <w:endnote w:type="continuationSeparator" w:id="0">
    <w:p w14:paraId="058ADC10" w14:textId="77777777" w:rsidR="005873B0" w:rsidRPr="00BA642E" w:rsidRDefault="005873B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A6F4B" w14:textId="77777777" w:rsidR="005873B0" w:rsidRPr="00BA642E" w:rsidRDefault="005873B0" w:rsidP="00C802F5">
      <w:pPr>
        <w:spacing w:after="0" w:line="240" w:lineRule="auto"/>
      </w:pPr>
      <w:r w:rsidRPr="00BA642E">
        <w:separator/>
      </w:r>
    </w:p>
  </w:footnote>
  <w:footnote w:type="continuationSeparator" w:id="0">
    <w:p w14:paraId="235189F0" w14:textId="77777777" w:rsidR="005873B0" w:rsidRPr="00BA642E" w:rsidRDefault="005873B0"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1361B"/>
    <w:rsid w:val="00051A6D"/>
    <w:rsid w:val="000E72A4"/>
    <w:rsid w:val="00123691"/>
    <w:rsid w:val="001816D6"/>
    <w:rsid w:val="00185F5E"/>
    <w:rsid w:val="001923DC"/>
    <w:rsid w:val="002327C3"/>
    <w:rsid w:val="00251A90"/>
    <w:rsid w:val="00312392"/>
    <w:rsid w:val="00397B26"/>
    <w:rsid w:val="004040C0"/>
    <w:rsid w:val="00437E9C"/>
    <w:rsid w:val="00470683"/>
    <w:rsid w:val="004B0E23"/>
    <w:rsid w:val="00547F79"/>
    <w:rsid w:val="00550766"/>
    <w:rsid w:val="005865F0"/>
    <w:rsid w:val="005873B0"/>
    <w:rsid w:val="005E0FE3"/>
    <w:rsid w:val="005F3B2E"/>
    <w:rsid w:val="006133EC"/>
    <w:rsid w:val="00615413"/>
    <w:rsid w:val="00627BCC"/>
    <w:rsid w:val="0064258D"/>
    <w:rsid w:val="0064603C"/>
    <w:rsid w:val="00686F49"/>
    <w:rsid w:val="006E0C5D"/>
    <w:rsid w:val="00701F64"/>
    <w:rsid w:val="007B5B5F"/>
    <w:rsid w:val="007D233B"/>
    <w:rsid w:val="0082727C"/>
    <w:rsid w:val="0085070B"/>
    <w:rsid w:val="008C585B"/>
    <w:rsid w:val="008F3B40"/>
    <w:rsid w:val="00961C69"/>
    <w:rsid w:val="00963039"/>
    <w:rsid w:val="00A17247"/>
    <w:rsid w:val="00A272CC"/>
    <w:rsid w:val="00A53753"/>
    <w:rsid w:val="00A84B9F"/>
    <w:rsid w:val="00AB00EE"/>
    <w:rsid w:val="00B0467C"/>
    <w:rsid w:val="00B51D06"/>
    <w:rsid w:val="00BA642E"/>
    <w:rsid w:val="00BC236F"/>
    <w:rsid w:val="00BF7D51"/>
    <w:rsid w:val="00C35125"/>
    <w:rsid w:val="00C802F5"/>
    <w:rsid w:val="00C96B2C"/>
    <w:rsid w:val="00CC04C1"/>
    <w:rsid w:val="00CD3020"/>
    <w:rsid w:val="00D314F5"/>
    <w:rsid w:val="00D435AF"/>
    <w:rsid w:val="00D843EC"/>
    <w:rsid w:val="00D96574"/>
    <w:rsid w:val="00DF2F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Hipervnculovisitado">
    <w:name w:val="FollowedHyperlink"/>
    <w:basedOn w:val="Fuentedeprrafopredeter"/>
    <w:uiPriority w:val="99"/>
    <w:semiHidden/>
    <w:unhideWhenUsed/>
    <w:rsid w:val="00251A90"/>
    <w:rPr>
      <w:color w:val="954F72" w:themeColor="followedHyperlink"/>
      <w:u w:val="single"/>
    </w:rPr>
  </w:style>
  <w:style w:type="paragraph" w:customStyle="1" w:styleId="CUERPO">
    <w:name w:val="CUERPO"/>
    <w:basedOn w:val="Normal"/>
    <w:link w:val="CUERPOCar"/>
    <w:qFormat/>
    <w:rsid w:val="00BF7D51"/>
    <w:pPr>
      <w:spacing w:before="120" w:after="120" w:line="360" w:lineRule="auto"/>
      <w:jc w:val="both"/>
    </w:pPr>
    <w:rPr>
      <w:rFonts w:ascii="Times New Roman" w:eastAsia="Calibri" w:hAnsi="Times New Roman" w:cs="Calibri"/>
      <w:color w:val="000000"/>
      <w:kern w:val="0"/>
      <w:lang w:val="es" w:eastAsia="es-AR"/>
      <w14:ligatures w14:val="none"/>
    </w:rPr>
  </w:style>
  <w:style w:type="character" w:customStyle="1" w:styleId="CUERPOCar">
    <w:name w:val="CUERPO Car"/>
    <w:basedOn w:val="Fuentedeprrafopredeter"/>
    <w:link w:val="CUERPO"/>
    <w:rsid w:val="00BF7D51"/>
    <w:rPr>
      <w:rFonts w:ascii="Times New Roman" w:eastAsia="Calibri" w:hAnsi="Times New Roman" w:cs="Calibri"/>
      <w:color w:val="000000"/>
      <w:kern w:val="0"/>
      <w:lang w:val="es" w:eastAsia="es-AR"/>
      <w14:ligatures w14:val="none"/>
    </w:rPr>
  </w:style>
  <w:style w:type="character" w:styleId="Refdecomentario">
    <w:name w:val="annotation reference"/>
    <w:basedOn w:val="Fuentedeprrafopredeter"/>
    <w:uiPriority w:val="99"/>
    <w:semiHidden/>
    <w:unhideWhenUsed/>
    <w:rsid w:val="000E72A4"/>
    <w:rPr>
      <w:sz w:val="16"/>
      <w:szCs w:val="16"/>
    </w:rPr>
  </w:style>
  <w:style w:type="paragraph" w:styleId="Textocomentario">
    <w:name w:val="annotation text"/>
    <w:basedOn w:val="Normal"/>
    <w:link w:val="TextocomentarioCar"/>
    <w:uiPriority w:val="99"/>
    <w:unhideWhenUsed/>
    <w:rsid w:val="000E72A4"/>
    <w:pPr>
      <w:spacing w:line="240" w:lineRule="auto"/>
    </w:pPr>
    <w:rPr>
      <w:sz w:val="20"/>
      <w:szCs w:val="20"/>
    </w:rPr>
  </w:style>
  <w:style w:type="character" w:customStyle="1" w:styleId="TextocomentarioCar">
    <w:name w:val="Texto comentario Car"/>
    <w:basedOn w:val="Fuentedeprrafopredeter"/>
    <w:link w:val="Textocomentario"/>
    <w:uiPriority w:val="99"/>
    <w:rsid w:val="000E72A4"/>
    <w:rPr>
      <w:sz w:val="20"/>
      <w:szCs w:val="20"/>
    </w:rPr>
  </w:style>
  <w:style w:type="paragraph" w:styleId="Asuntodelcomentario">
    <w:name w:val="annotation subject"/>
    <w:basedOn w:val="Textocomentario"/>
    <w:next w:val="Textocomentario"/>
    <w:link w:val="AsuntodelcomentarioCar"/>
    <w:uiPriority w:val="99"/>
    <w:semiHidden/>
    <w:unhideWhenUsed/>
    <w:rsid w:val="000E72A4"/>
    <w:rPr>
      <w:b/>
      <w:bCs/>
    </w:rPr>
  </w:style>
  <w:style w:type="character" w:customStyle="1" w:styleId="AsuntodelcomentarioCar">
    <w:name w:val="Asunto del comentario Car"/>
    <w:basedOn w:val="TextocomentarioCar"/>
    <w:link w:val="Asuntodelcomentario"/>
    <w:uiPriority w:val="99"/>
    <w:semiHidden/>
    <w:rsid w:val="000E72A4"/>
    <w:rPr>
      <w:b/>
      <w:bCs/>
      <w:sz w:val="20"/>
      <w:szCs w:val="20"/>
    </w:rPr>
  </w:style>
  <w:style w:type="paragraph" w:styleId="Textodeglobo">
    <w:name w:val="Balloon Text"/>
    <w:basedOn w:val="Normal"/>
    <w:link w:val="TextodegloboCar"/>
    <w:uiPriority w:val="99"/>
    <w:semiHidden/>
    <w:unhideWhenUsed/>
    <w:rsid w:val="00AB00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00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iones.inap.gob.ar/index.php/EA/article/view/44/4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blioteca.clacso.edu.ar/Argentina/lpp/20100426085143/6.pdf" TargetMode="Externa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edalyc.org/pdf/4030/403041712003.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oneau.gob.ar/archivos/resoluciones/rm-3400-e-2017-contador-59ba98cd4525c.pdf" TargetMode="External"/><Relationship Id="rId4" Type="http://schemas.openxmlformats.org/officeDocument/2006/relationships/webSettings" Target="webSettings.xml"/><Relationship Id="rId9" Type="http://schemas.openxmlformats.org/officeDocument/2006/relationships/hyperlink" Target="https://servicios.infoleg.gob.ar/infolegInternet/anexos/25000-29999/25394/texact.ht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69289-4CFB-4A1C-9330-34FB37E5F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5258</Words>
  <Characters>28919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Antonella Schifrin</cp:lastModifiedBy>
  <cp:revision>2</cp:revision>
  <dcterms:created xsi:type="dcterms:W3CDTF">2026-07-12T23:02:00Z</dcterms:created>
  <dcterms:modified xsi:type="dcterms:W3CDTF">2026-07-12T23:02:00Z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55dd901e-1238-4a06-b180-bb4c2e03a48c</vt:lpwstr>
  </property>
</Properties>
</file>