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6F5747" w:rsidRDefault="00C802F5" w:rsidP="001923DC">
      <w:pPr>
        <w:jc w:val="center"/>
        <w:rPr>
          <w:rFonts w:ascii="Times New Roman" w:hAnsi="Times New Roman" w:cs="Times New Roman"/>
          <w:lang w:val="es-ES_tradnl"/>
        </w:rPr>
      </w:pPr>
    </w:p>
    <w:p w14:paraId="1DABD42B" w14:textId="230CE30E" w:rsidR="001923DC" w:rsidRPr="006F5747" w:rsidRDefault="006F5747" w:rsidP="006F5747">
      <w:pPr>
        <w:jc w:val="center"/>
        <w:rPr>
          <w:rFonts w:ascii="Times New Roman" w:hAnsi="Times New Roman" w:cs="Times New Roman"/>
          <w:b/>
          <w:bCs/>
          <w:lang w:val="es-ES_tradnl"/>
        </w:rPr>
      </w:pPr>
      <w:r w:rsidRPr="006F5747">
        <w:rPr>
          <w:rFonts w:ascii="Times New Roman" w:hAnsi="Times New Roman" w:cs="Times New Roman"/>
          <w:b/>
          <w:bCs/>
          <w:lang w:val="es-ES_tradnl"/>
        </w:rPr>
        <w:t>La formación para el aseguramiento de la calidad: el caso de la Especialización en Evaluación Universitaria de la Universidad de Buenos Aires</w:t>
      </w:r>
    </w:p>
    <w:p w14:paraId="0CC6C034" w14:textId="77777777" w:rsidR="006F5747" w:rsidRPr="006F5747" w:rsidRDefault="006F5747" w:rsidP="006F5747">
      <w:pPr>
        <w:rPr>
          <w:rFonts w:ascii="Times New Roman" w:hAnsi="Times New Roman" w:cs="Times New Roman"/>
          <w:b/>
          <w:bCs/>
          <w:lang w:val="es-ES_tradnl"/>
        </w:rPr>
      </w:pPr>
    </w:p>
    <w:p w14:paraId="43C49479" w14:textId="77777777" w:rsidR="005F3B2E" w:rsidRPr="006F5747" w:rsidRDefault="005F3B2E" w:rsidP="001923DC">
      <w:pPr>
        <w:jc w:val="center"/>
        <w:rPr>
          <w:rFonts w:ascii="Times New Roman" w:hAnsi="Times New Roman" w:cs="Times New Roman"/>
          <w:lang w:val="es-ES_tradnl"/>
        </w:rPr>
      </w:pPr>
    </w:p>
    <w:p w14:paraId="4E738780" w14:textId="4C96B07C" w:rsidR="005F3B2E" w:rsidRPr="006F5747" w:rsidRDefault="006F5747" w:rsidP="005F3B2E">
      <w:pPr>
        <w:spacing w:after="0" w:line="240" w:lineRule="auto"/>
        <w:jc w:val="right"/>
        <w:rPr>
          <w:rFonts w:ascii="Times New Roman" w:hAnsi="Times New Roman" w:cs="Times New Roman"/>
          <w:lang w:val="es-ES_tradnl"/>
        </w:rPr>
      </w:pPr>
      <w:r w:rsidRPr="006F5747">
        <w:rPr>
          <w:rFonts w:ascii="Times New Roman" w:hAnsi="Times New Roman" w:cs="Times New Roman"/>
          <w:lang w:val="es-ES_tradnl"/>
        </w:rPr>
        <w:t>Roig Hebe Irene</w:t>
      </w:r>
    </w:p>
    <w:p w14:paraId="6C2AECCA" w14:textId="6A630F10" w:rsidR="005F3B2E" w:rsidRPr="006F5747" w:rsidRDefault="006F5747" w:rsidP="005F3B2E">
      <w:pPr>
        <w:spacing w:after="0" w:line="240" w:lineRule="auto"/>
        <w:jc w:val="right"/>
        <w:rPr>
          <w:rFonts w:ascii="Times New Roman" w:hAnsi="Times New Roman" w:cs="Times New Roman"/>
          <w:lang w:val="es-ES_tradnl"/>
        </w:rPr>
      </w:pPr>
      <w:r w:rsidRPr="006F5747">
        <w:rPr>
          <w:rFonts w:ascii="Times New Roman" w:hAnsi="Times New Roman" w:cs="Times New Roman"/>
          <w:lang w:val="es-ES_tradnl"/>
        </w:rPr>
        <w:t>Universidad de Buenos Aires</w:t>
      </w:r>
    </w:p>
    <w:p w14:paraId="7D0026CD" w14:textId="325390E7" w:rsidR="005F3B2E" w:rsidRPr="006F5747" w:rsidRDefault="006F5747" w:rsidP="005F3B2E">
      <w:pPr>
        <w:spacing w:after="0" w:line="240" w:lineRule="auto"/>
        <w:jc w:val="right"/>
        <w:rPr>
          <w:rFonts w:ascii="Times New Roman" w:hAnsi="Times New Roman" w:cs="Times New Roman"/>
          <w:lang w:val="es-ES_tradnl"/>
        </w:rPr>
      </w:pPr>
      <w:r w:rsidRPr="006F5747">
        <w:rPr>
          <w:rFonts w:ascii="Times New Roman" w:hAnsi="Times New Roman" w:cs="Times New Roman"/>
          <w:lang w:val="es-ES_tradnl"/>
        </w:rPr>
        <w:t>heberoig@gmail.com</w:t>
      </w:r>
    </w:p>
    <w:p w14:paraId="1FA0F857" w14:textId="77777777" w:rsidR="005F3B2E" w:rsidRDefault="005F3B2E" w:rsidP="005F3B2E">
      <w:pPr>
        <w:rPr>
          <w:rFonts w:ascii="Times New Roman" w:hAnsi="Times New Roman" w:cs="Times New Roman"/>
          <w:lang w:val="es-ES_tradnl"/>
        </w:rPr>
      </w:pPr>
    </w:p>
    <w:p w14:paraId="1AAEA10C" w14:textId="77777777" w:rsidR="008D4172" w:rsidRPr="006F5747" w:rsidRDefault="008D4172" w:rsidP="005F3B2E">
      <w:pPr>
        <w:rPr>
          <w:rFonts w:ascii="Times New Roman" w:hAnsi="Times New Roman" w:cs="Times New Roman"/>
          <w:lang w:val="es-ES_tradnl"/>
        </w:rPr>
      </w:pPr>
    </w:p>
    <w:p w14:paraId="296371D4" w14:textId="719D0A50" w:rsidR="006F5747" w:rsidRPr="006F5747" w:rsidRDefault="00BA642E" w:rsidP="007F06DD">
      <w:pPr>
        <w:spacing w:line="240" w:lineRule="auto"/>
        <w:jc w:val="both"/>
        <w:rPr>
          <w:rFonts w:ascii="Times New Roman" w:hAnsi="Times New Roman" w:cs="Times New Roman"/>
          <w:lang w:val="es-ES_tradnl"/>
        </w:rPr>
      </w:pPr>
      <w:r w:rsidRPr="006F5747">
        <w:rPr>
          <w:rFonts w:ascii="Times New Roman" w:hAnsi="Times New Roman" w:cs="Times New Roman"/>
          <w:b/>
          <w:bCs/>
          <w:lang w:val="es-ES_tradnl"/>
        </w:rPr>
        <w:t>Resumen:</w:t>
      </w:r>
      <w:r w:rsidR="007B5B5F" w:rsidRPr="006F5747">
        <w:rPr>
          <w:rFonts w:ascii="Times New Roman" w:hAnsi="Times New Roman" w:cs="Times New Roman"/>
          <w:b/>
          <w:bCs/>
          <w:lang w:val="es-ES_tradnl"/>
        </w:rPr>
        <w:t xml:space="preserve"> </w:t>
      </w:r>
      <w:r w:rsidR="006F5747" w:rsidRPr="006F5747">
        <w:rPr>
          <w:rFonts w:ascii="Times New Roman" w:hAnsi="Times New Roman" w:cs="Times New Roman"/>
          <w:lang w:val="es-ES_tradnl"/>
        </w:rPr>
        <w:t>La presente ponencia tiene por objetivo sistematizar una experiencia formativa orientada a la profesionalización del campo de la evaluación universitaria. Hace una década se gestó en la Universidad de Buenos Aires una propuesta de posgrado específicamente diseñada para fortalecer las capacidades institucionales en materia de evaluación de instituciones, programas y proyectos, en articulación con los procesos de aseguramiento de la calidad.</w:t>
      </w:r>
    </w:p>
    <w:p w14:paraId="6712A1D0" w14:textId="77777777" w:rsidR="006F5747" w:rsidRPr="006F5747" w:rsidRDefault="006F5747" w:rsidP="007F06DD">
      <w:pPr>
        <w:spacing w:line="240" w:lineRule="auto"/>
        <w:jc w:val="both"/>
        <w:rPr>
          <w:rFonts w:ascii="Times New Roman" w:hAnsi="Times New Roman" w:cs="Times New Roman"/>
          <w:lang w:val="es-ES_tradnl"/>
        </w:rPr>
      </w:pPr>
      <w:r w:rsidRPr="006F5747">
        <w:rPr>
          <w:rFonts w:ascii="Times New Roman" w:hAnsi="Times New Roman" w:cs="Times New Roman"/>
          <w:lang w:val="es-ES_tradnl"/>
        </w:rPr>
        <w:t>La formación del personal universitario en este campo se concibe como una condición estratégica para promover la producción de conocimiento situado sobre la propia universidad, actualizar agendas académicas y favorecer una reflexión informada sobre el sistema de educación superior, en clave de autonomía responsable. Asimismo, contribuye al intercambio de perspectivas teóricas y metodológicas diversas, al fortalecimiento de redes de cooperación interinstitucional y a una participación más activa en el debate público sobre los desafíos actuales y futuros de la universidad en la región.</w:t>
      </w:r>
    </w:p>
    <w:p w14:paraId="50D6938F" w14:textId="7129F3DD" w:rsidR="006F5747" w:rsidRPr="006F5747" w:rsidRDefault="006F5747" w:rsidP="007F06DD">
      <w:pPr>
        <w:spacing w:line="240" w:lineRule="auto"/>
        <w:jc w:val="both"/>
        <w:rPr>
          <w:rFonts w:ascii="Times New Roman" w:hAnsi="Times New Roman" w:cs="Times New Roman"/>
          <w:lang w:val="es-ES_tradnl"/>
        </w:rPr>
      </w:pPr>
      <w:r w:rsidRPr="006F5747">
        <w:rPr>
          <w:rFonts w:ascii="Times New Roman" w:hAnsi="Times New Roman" w:cs="Times New Roman"/>
          <w:lang w:val="es-ES_tradnl"/>
        </w:rPr>
        <w:t>Desde una perspectiva metodológica, el trabajo se basa en el análisis de un corpus de 68 trabajos finales elaborados por estudiantes de la Especialización, entendidos como producciones que articulan formación académica e intervención profesional. El análisis permite identificar las principales líneas temáticas, enfoques y tipos de producción que caracterizan esta experiencia formativa.</w:t>
      </w:r>
    </w:p>
    <w:p w14:paraId="52E7BD79" w14:textId="1B9791EA" w:rsidR="006F5747" w:rsidRDefault="006F5747" w:rsidP="007F06DD">
      <w:pPr>
        <w:spacing w:line="240" w:lineRule="auto"/>
        <w:jc w:val="both"/>
        <w:rPr>
          <w:rFonts w:ascii="Times New Roman" w:hAnsi="Times New Roman" w:cs="Times New Roman"/>
          <w:lang w:val="es-ES_tradnl"/>
        </w:rPr>
      </w:pPr>
      <w:r w:rsidRPr="006F5747">
        <w:rPr>
          <w:rFonts w:ascii="Times New Roman" w:hAnsi="Times New Roman" w:cs="Times New Roman"/>
          <w:lang w:val="es-ES_tradnl"/>
        </w:rPr>
        <w:t>Los resultados muestran una marcada concentración en torno a problemáticas vinculadas con el aseguramiento de la calidad, los procesos de acreditación, la evaluación curricular y la evaluación de la enseñanza y las prácticas profesionales, con particular énfasis en carreras del área de la salud. Predominan los estudios de carácter analítico y evaluativo basados en casos institucionales, lo que da cuenta de una fuerte orientación hacia la comprensión situada de los procesos evaluativos. Al mismo tiempo, se destaca una proporción significativa de trabajos orientados al diseño de modelos, instrumentos y dispositivos de evaluación, lo que evidencia una impronta propositiva centrada en la mejora de prácticas y procesos.</w:t>
      </w:r>
    </w:p>
    <w:p w14:paraId="59656F51" w14:textId="77777777" w:rsidR="006F5747" w:rsidRDefault="006F5747" w:rsidP="007F06DD">
      <w:pPr>
        <w:spacing w:line="240" w:lineRule="auto"/>
        <w:jc w:val="both"/>
        <w:rPr>
          <w:rFonts w:ascii="Times New Roman" w:hAnsi="Times New Roman" w:cs="Times New Roman"/>
          <w:lang w:val="es-ES_tradnl"/>
        </w:rPr>
      </w:pPr>
      <w:r w:rsidRPr="006F5747">
        <w:rPr>
          <w:rFonts w:ascii="Times New Roman" w:hAnsi="Times New Roman" w:cs="Times New Roman"/>
          <w:lang w:val="es-ES_tradnl"/>
        </w:rPr>
        <w:lastRenderedPageBreak/>
        <w:t>En conjunto, la experiencia analizada permite dar cuenta de la consolidación de una cultura evaluativa en el ámbito universitario, en la que la formación especializada no solo contribuye a la comprensión crítica de las políticas y prácticas de evaluación, sino también al desarrollo de capacidades para su diseño e implementación en contextos institucionales diversos.</w:t>
      </w:r>
    </w:p>
    <w:p w14:paraId="1635E48E" w14:textId="77777777" w:rsidR="008D4172" w:rsidRPr="006F5747" w:rsidRDefault="008D4172" w:rsidP="007F06DD">
      <w:pPr>
        <w:spacing w:line="240" w:lineRule="auto"/>
        <w:jc w:val="both"/>
        <w:rPr>
          <w:rFonts w:ascii="Times New Roman" w:hAnsi="Times New Roman" w:cs="Times New Roman"/>
          <w:lang w:val="es-ES_tradnl"/>
        </w:rPr>
      </w:pPr>
    </w:p>
    <w:p w14:paraId="2994BAB3" w14:textId="5CC12E9E" w:rsidR="00BA642E" w:rsidRPr="006F5747" w:rsidRDefault="00BA642E" w:rsidP="007F06DD">
      <w:pPr>
        <w:spacing w:line="240" w:lineRule="auto"/>
        <w:jc w:val="both"/>
        <w:rPr>
          <w:rFonts w:ascii="Times New Roman" w:hAnsi="Times New Roman" w:cs="Times New Roman"/>
          <w:lang w:val="es-ES_tradnl"/>
        </w:rPr>
      </w:pPr>
      <w:r w:rsidRPr="006F5747">
        <w:rPr>
          <w:rFonts w:ascii="Times New Roman" w:hAnsi="Times New Roman" w:cs="Times New Roman"/>
          <w:b/>
          <w:bCs/>
          <w:lang w:val="es-ES_tradnl"/>
        </w:rPr>
        <w:t>Palabras clave:</w:t>
      </w:r>
      <w:r w:rsidR="006F5747">
        <w:rPr>
          <w:rFonts w:ascii="Times New Roman" w:hAnsi="Times New Roman" w:cs="Times New Roman"/>
          <w:b/>
          <w:bCs/>
          <w:lang w:val="es-ES_tradnl"/>
        </w:rPr>
        <w:t xml:space="preserve"> </w:t>
      </w:r>
      <w:r w:rsidR="006F5747" w:rsidRPr="006F5747">
        <w:rPr>
          <w:rFonts w:ascii="Times New Roman" w:hAnsi="Times New Roman" w:cs="Times New Roman"/>
          <w:lang w:val="es-ES_tradnl"/>
        </w:rPr>
        <w:t>Aseguramiento de la calidad, evaluación universitaria, formación profesional.</w:t>
      </w:r>
      <w:r w:rsidRPr="006F5747">
        <w:rPr>
          <w:rFonts w:ascii="Times New Roman" w:hAnsi="Times New Roman" w:cs="Times New Roman"/>
          <w:lang w:val="es-ES_tradnl"/>
        </w:rPr>
        <w:t xml:space="preserve"> </w:t>
      </w:r>
    </w:p>
    <w:p w14:paraId="3F34B5D1" w14:textId="77777777" w:rsidR="006F5747" w:rsidRDefault="006F5747" w:rsidP="007F06DD">
      <w:pPr>
        <w:spacing w:line="240" w:lineRule="auto"/>
        <w:rPr>
          <w:rFonts w:ascii="Times New Roman" w:hAnsi="Times New Roman" w:cs="Times New Roman"/>
          <w:b/>
          <w:bCs/>
          <w:lang w:val="es-ES_tradnl"/>
        </w:rPr>
      </w:pPr>
    </w:p>
    <w:p w14:paraId="5719ACD0" w14:textId="77777777" w:rsidR="008D4172" w:rsidRDefault="008D4172" w:rsidP="007F06DD">
      <w:pPr>
        <w:spacing w:line="240" w:lineRule="auto"/>
        <w:rPr>
          <w:rFonts w:ascii="Times New Roman" w:hAnsi="Times New Roman" w:cs="Times New Roman"/>
          <w:b/>
          <w:bCs/>
          <w:lang w:val="es-ES_tradnl"/>
        </w:rPr>
      </w:pPr>
    </w:p>
    <w:p w14:paraId="6A5547A1" w14:textId="30A1833E" w:rsidR="00BA642E" w:rsidRPr="006F5747" w:rsidRDefault="00BA642E" w:rsidP="007B5B5F">
      <w:pPr>
        <w:spacing w:line="240" w:lineRule="auto"/>
        <w:rPr>
          <w:rFonts w:ascii="Times New Roman" w:hAnsi="Times New Roman" w:cs="Times New Roman"/>
          <w:b/>
          <w:bCs/>
          <w:lang w:val="es-ES_tradnl"/>
        </w:rPr>
      </w:pPr>
      <w:r w:rsidRPr="006F5747">
        <w:rPr>
          <w:rFonts w:ascii="Times New Roman" w:hAnsi="Times New Roman" w:cs="Times New Roman"/>
          <w:b/>
          <w:bCs/>
          <w:lang w:val="es-ES_tradnl"/>
        </w:rPr>
        <w:t>Introducción</w:t>
      </w:r>
    </w:p>
    <w:p w14:paraId="43197303"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La presente ponencia analiza la Especialización en Evaluación Universitaria de la Universidad de Buenos Aires como una experiencia de formación de posgrado orientada a la profesionalización de la evaluación universitaria y al fortalecimiento de capacidades para el aseguramiento de la calidad. La carrera fue creada en 2017, comenzó a dictarse en 2018 y, desde entonces, se desarrolló en ocho cohortes, bajo la dependencia de la Secretaría de Asuntos Académicos y de la Unidad de Promoción de la Calidad del Rectorado.</w:t>
      </w:r>
    </w:p>
    <w:p w14:paraId="425E0D7C"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El caso permite observar de qué modo una carrera de especialización puede responder a demandas de formación surgidas de la expansión de políticas, dispositivos y prácticas de evaluación y acreditación en el sistema universitario argentino. En tanto carrera de posgrado profesionalizante, articula formación conceptual, análisis de prácticas institucionales y producción de un Trabajo Final Integrador orientado a problemas del campo.</w:t>
      </w:r>
    </w:p>
    <w:p w14:paraId="2D382E42"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El punto de partida del trabajo es que la evaluación universitaria se ha incorporado a las rutinas institucionales, pero su capacidad para promover aprendizaje y mejora depende de la formación de quienes diseñan, coordinan, interpretan y usan sus resultados. Por ello, la profesionalización se aborda como una condición para construir capacidad evaluativa, fundamentar juicios y evitar que la evaluación se reduzca al cumplimiento procedimental.</w:t>
      </w:r>
    </w:p>
    <w:p w14:paraId="5F535624"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Las preguntas que orientan el análisis se agrupan en tres ejes: el contexto de creación de la carrera y sus propósitos formativos; la concepción de evaluación y profesionalización que organiza la propuesta curricular; y las características de la comunidad convocada y de la producción académica desarrollada en los Trabajos Finales Integradores.</w:t>
      </w:r>
    </w:p>
    <w:p w14:paraId="1B1C9DD0"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Metodológicamente, la ponencia sistematiza fuentes documentales de la carrera, registros de preinscripción y cursado, y un corpus de 68 Trabajos Finales Integradores defendidos hasta mayo de 2026. El análisis de estos trabajos permite identificar temas, tipos de estudio, ámbitos de aplicación y campos disciplinares priorizados por los estudiantes.</w:t>
      </w:r>
    </w:p>
    <w:p w14:paraId="33DEFC45"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 xml:space="preserve">La presentación se organiza en siete apartados. En primer lugar, se reconstruye el contexto de surgimiento de la carrera. Luego se explicitan los debates disciplinares que justifican la formación especializada en evaluación universitaria, los propósitos de la propuesta, sus definiciones curriculares y su modalidad de enseñanza. Finalmente, se analiza quiénes se </w:t>
      </w:r>
      <w:r w:rsidRPr="00674FAA">
        <w:rPr>
          <w:rFonts w:ascii="Times New Roman" w:hAnsi="Times New Roman" w:cs="Times New Roman"/>
        </w:rPr>
        <w:lastRenderedPageBreak/>
        <w:t>sienten convocados por la carrera y qué temas, enfoques y ámbitos predominan en los trabajos finales.</w:t>
      </w:r>
    </w:p>
    <w:p w14:paraId="2545D3E9" w14:textId="77777777" w:rsidR="0031331B" w:rsidRDefault="0031331B" w:rsidP="007B5B5F">
      <w:pPr>
        <w:spacing w:line="240" w:lineRule="auto"/>
        <w:rPr>
          <w:rFonts w:ascii="Times New Roman" w:hAnsi="Times New Roman" w:cs="Times New Roman"/>
          <w:b/>
          <w:bCs/>
          <w:lang w:val="es-ES_tradnl"/>
        </w:rPr>
      </w:pPr>
    </w:p>
    <w:p w14:paraId="2FD138AD" w14:textId="649E3AE2" w:rsidR="005F3B2E" w:rsidRPr="006F5747" w:rsidRDefault="005F3B2E" w:rsidP="007B5B5F">
      <w:pPr>
        <w:spacing w:line="240" w:lineRule="auto"/>
        <w:rPr>
          <w:rFonts w:ascii="Times New Roman" w:hAnsi="Times New Roman" w:cs="Times New Roman"/>
          <w:b/>
          <w:bCs/>
          <w:lang w:val="es-ES_tradnl"/>
        </w:rPr>
      </w:pPr>
      <w:r w:rsidRPr="006F5747">
        <w:rPr>
          <w:rFonts w:ascii="Times New Roman" w:hAnsi="Times New Roman" w:cs="Times New Roman"/>
          <w:b/>
          <w:bCs/>
          <w:lang w:val="es-ES_tradnl"/>
        </w:rPr>
        <w:t>Desarrollo</w:t>
      </w:r>
    </w:p>
    <w:p w14:paraId="681A8829" w14:textId="77777777" w:rsidR="0031331B" w:rsidRPr="00674FAA" w:rsidRDefault="0031331B" w:rsidP="0031331B">
      <w:pPr>
        <w:spacing w:after="0" w:line="240" w:lineRule="auto"/>
        <w:rPr>
          <w:rFonts w:ascii="Times New Roman" w:hAnsi="Times New Roman" w:cs="Times New Roman"/>
          <w:b/>
          <w:bCs/>
        </w:rPr>
      </w:pPr>
    </w:p>
    <w:p w14:paraId="5CE66E60" w14:textId="77777777" w:rsidR="0031331B" w:rsidRDefault="0031331B" w:rsidP="0031331B">
      <w:pPr>
        <w:pStyle w:val="Prrafodelista"/>
        <w:numPr>
          <w:ilvl w:val="0"/>
          <w:numId w:val="1"/>
        </w:numPr>
        <w:spacing w:after="0" w:line="240" w:lineRule="auto"/>
        <w:contextualSpacing w:val="0"/>
        <w:jc w:val="both"/>
        <w:rPr>
          <w:rFonts w:ascii="Times New Roman" w:hAnsi="Times New Roman" w:cs="Times New Roman"/>
          <w:b/>
          <w:bCs/>
        </w:rPr>
      </w:pPr>
      <w:r w:rsidRPr="00674FAA">
        <w:rPr>
          <w:rFonts w:ascii="Times New Roman" w:hAnsi="Times New Roman" w:cs="Times New Roman"/>
          <w:b/>
          <w:bCs/>
        </w:rPr>
        <w:t>Contexto de surgimiento de la carrera</w:t>
      </w:r>
    </w:p>
    <w:p w14:paraId="2D892344" w14:textId="77777777" w:rsidR="008D4172" w:rsidRPr="008D4172" w:rsidRDefault="008D4172" w:rsidP="008D4172">
      <w:pPr>
        <w:spacing w:after="0" w:line="240" w:lineRule="auto"/>
        <w:ind w:left="3"/>
        <w:jc w:val="both"/>
        <w:rPr>
          <w:rFonts w:ascii="Times New Roman" w:hAnsi="Times New Roman" w:cs="Times New Roman"/>
          <w:b/>
          <w:bCs/>
        </w:rPr>
      </w:pPr>
    </w:p>
    <w:p w14:paraId="0F253EC8" w14:textId="77777777" w:rsidR="0031331B" w:rsidRPr="00674FAA" w:rsidRDefault="0031331B" w:rsidP="008D4172">
      <w:pPr>
        <w:spacing w:after="0" w:line="240" w:lineRule="auto"/>
        <w:ind w:left="3"/>
        <w:jc w:val="both"/>
        <w:rPr>
          <w:rFonts w:ascii="Times New Roman" w:hAnsi="Times New Roman" w:cs="Times New Roman"/>
        </w:rPr>
      </w:pPr>
      <w:r w:rsidRPr="00674FAA">
        <w:rPr>
          <w:rFonts w:ascii="Times New Roman" w:hAnsi="Times New Roman" w:cs="Times New Roman"/>
          <w:color w:val="000000" w:themeColor="text1"/>
        </w:rPr>
        <w:t xml:space="preserve">Desde la década de 1990 a la fecha, la evaluación de instituciones universitarias y </w:t>
      </w:r>
      <w:r w:rsidRPr="00674FAA">
        <w:rPr>
          <w:rFonts w:ascii="Times New Roman" w:hAnsi="Times New Roman" w:cs="Times New Roman"/>
        </w:rPr>
        <w:t>la acreditación de sus programas formativos ha pasado a ser parte de la actividad cotidiana de nuestras instituciones.</w:t>
      </w:r>
    </w:p>
    <w:p w14:paraId="22E63355"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A lo largo de los años, diversos estudios han destacado el fenómeno de burocratización de los procesos de evaluación donde este tipo de prácticas se limita a cumplir reglamentariamente los procedimientos (</w:t>
      </w:r>
      <w:proofErr w:type="spellStart"/>
      <w:r w:rsidRPr="00674FAA">
        <w:rPr>
          <w:rFonts w:ascii="Times New Roman" w:hAnsi="Times New Roman" w:cs="Times New Roman"/>
        </w:rPr>
        <w:t>Krotsch</w:t>
      </w:r>
      <w:proofErr w:type="spellEnd"/>
      <w:r w:rsidRPr="00674FAA">
        <w:rPr>
          <w:rFonts w:ascii="Times New Roman" w:hAnsi="Times New Roman" w:cs="Times New Roman"/>
        </w:rPr>
        <w:t>, 2007). Otros estudios han mostrado por el contrario, que la actividad evaluativa sí ha ejercido influencias positivas en las instituciones contemplando el rol de las dinámicas internas de las universidades (</w:t>
      </w:r>
      <w:proofErr w:type="spellStart"/>
      <w:r w:rsidRPr="00674FAA">
        <w:rPr>
          <w:rFonts w:ascii="Times New Roman" w:hAnsi="Times New Roman" w:cs="Times New Roman"/>
        </w:rPr>
        <w:t>Corengia</w:t>
      </w:r>
      <w:proofErr w:type="spellEnd"/>
      <w:r w:rsidRPr="00674FAA">
        <w:rPr>
          <w:rFonts w:ascii="Times New Roman" w:hAnsi="Times New Roman" w:cs="Times New Roman"/>
        </w:rPr>
        <w:t>, 2007). Estas lecturas no necesariamente se excluyen: muestran que la evaluación puede operar como cumplimiento formal o como insumo para el aprendizaje institucional, según las condiciones políticas, organizacionales y profesionales en que se desarrolla.</w:t>
      </w:r>
    </w:p>
    <w:p w14:paraId="744C11F4"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 xml:space="preserve">En las décadas transcurridas se confrontaron diferentes sentidos políticos, sociales y culturales para la universidad, particularmente la defensa de la educación superior como derecho frente a los intereses de convertirla en un bien de consumo negociable en los mercados nacional y global. En esas confrontaciones políticas entra también la disputa sobre los sentidos de la evaluación: ¿control o mejora? </w:t>
      </w:r>
    </w:p>
    <w:p w14:paraId="2559A1D2"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En el momento actual, es la propia universidad pública la que se tensiona frente a la posibilidad de dejar de existir. Mientras la institución universitaria nacional es atacada por el Estado mediante el desfinanciamiento, los universitarios nos vemos desafiados a seguir defendiendo el profesionalismo y la calidad de nuestro trabajo. En un contexto de restricción presupuestaria y disputa pública sobre el sentido de la universidad, la evaluación puede contribuir a sostener discusiones fundadas sobre condiciones institucionales, prioridades académicas y cumplimiento del derecho a la educación superior.</w:t>
      </w:r>
    </w:p>
    <w:p w14:paraId="7AA1C995"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 xml:space="preserve">La evaluación y al acreditación universitarias constituyen un campo dinámico donde a lo largo de su historia se han experimentado diferentes estrategias para promover el desarrollo de cambios, mejoras y transformaciones que permitan a las instituciones universitarias cumplir mejor sus propósitos y su misión. </w:t>
      </w:r>
    </w:p>
    <w:p w14:paraId="2BBF403B"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 xml:space="preserve">En la década de los años 2000, en Estados Unidos se difundió el uso de la noción de “construcción de capacidad evaluativa”, o </w:t>
      </w:r>
      <w:proofErr w:type="spellStart"/>
      <w:r w:rsidRPr="00674FAA">
        <w:rPr>
          <w:rFonts w:ascii="Times New Roman" w:hAnsi="Times New Roman" w:cs="Times New Roman"/>
        </w:rPr>
        <w:t>Evaluation</w:t>
      </w:r>
      <w:proofErr w:type="spellEnd"/>
      <w:r w:rsidRPr="00674FAA">
        <w:rPr>
          <w:rFonts w:ascii="Times New Roman" w:hAnsi="Times New Roman" w:cs="Times New Roman"/>
        </w:rPr>
        <w:t xml:space="preserve"> </w:t>
      </w:r>
      <w:proofErr w:type="spellStart"/>
      <w:r w:rsidRPr="00674FAA">
        <w:rPr>
          <w:rFonts w:ascii="Times New Roman" w:hAnsi="Times New Roman" w:cs="Times New Roman"/>
        </w:rPr>
        <w:t>Capacity</w:t>
      </w:r>
      <w:proofErr w:type="spellEnd"/>
      <w:r w:rsidRPr="00674FAA">
        <w:rPr>
          <w:rFonts w:ascii="Times New Roman" w:hAnsi="Times New Roman" w:cs="Times New Roman"/>
        </w:rPr>
        <w:t xml:space="preserve"> Building, en referencia a que la capacidad transformadora de la evaluación no es intrínseca sino que debe construirse. Se propuso considerar que es necesario crear y sostener procesos organizacionales que pongan en valor su uso. La noción de construcción de capacidad evaluativa permite sostener que la evaluación produce aprendizaje y mejora solo cuando existen condiciones organizacionales, saberes profesionales, prácticas institucionales y usos deliberados de la información evaluativa. En este sentido, los aportes de la teoría </w:t>
      </w:r>
      <w:r w:rsidRPr="00674FAA">
        <w:rPr>
          <w:rFonts w:ascii="Times New Roman" w:hAnsi="Times New Roman" w:cs="Times New Roman"/>
        </w:rPr>
        <w:lastRenderedPageBreak/>
        <w:t>social crítica y de las perspectivas democráticas de la evaluación permiten ampliar los modos de pensar y actuar en este campo, al fortalecer el sentido social de la evaluación y la participación de los actores involucrados.</w:t>
      </w:r>
    </w:p>
    <w:p w14:paraId="630FEEE0"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 xml:space="preserve">Según Leviton (2014) el fortalecimiento de la capacidad evaluativa se vincula con tres dimensiones: las características de las organizaciones en las que se desarrolla la evaluación, los sujetos evaluadores que orientan este tipo de actividades y la relación entre evaluación y financiamiento. </w:t>
      </w:r>
    </w:p>
    <w:p w14:paraId="754BE03D"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 xml:space="preserve">Desde estas perspectivas, la capacidad transformadora de la evaluación requiere construcción de sentido, conocimientos, herramientas y habilidades organizacionales para que sus resultados sean utilizados. </w:t>
      </w:r>
    </w:p>
    <w:p w14:paraId="7AE66E55"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En el caso argentino, podemos identificar diferentes estrategias que buscan asegurar la capacidad de la evaluación como herramienta de cambio. Compromisos de mejora, planeamiento, financiamiento, estándares, SIAC y evaluación focalizada pueden ser identificadas como algunas de estas estrategias.</w:t>
      </w:r>
    </w:p>
    <w:p w14:paraId="75239B8D"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En primer lugar, desde los primeros tiempos, una estrategia privilegiada han sido los compromisos de mejora que establecen las instituciones universitarias a partir de los resultados de la evaluación y de la acreditación. Los compromisos son un mecanismo básico del modelo evaluativo argentino para promover la superación de dificultades o falencias.</w:t>
      </w:r>
    </w:p>
    <w:p w14:paraId="721366FB"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Otra estrategia fue impulsar la articulación entre los resultados de la evaluación y el planeamiento estratégico institucional, dando cuenta de la importancia de comprender la evaluación y la acreditación como parte necesaria de un “ciclo de cambio” (Villanueva, 2008).</w:t>
      </w:r>
    </w:p>
    <w:p w14:paraId="6D62A7A3"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Entre estas estrategias también debemos destacar el desarrollo de instrumentos de financiamiento mediante acuerdos entre el Estado y cada universidad para articular las prioridades y objetivos institucionales derivados de la evaluación, con las líneas de política pública que el Estado promovía (García de Fanelli, 2012).</w:t>
      </w:r>
    </w:p>
    <w:p w14:paraId="7CC60D2D"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En la acreditación de carreras de grado y posgrado se instaló la idea de que los estándares deben evolucionar con el tiempo. La creación de estándares de segunda o tercera generación responde a la necesidad de actualizar las exigencias cuando los criterios mínimos establecidos en una etapa previa ya han sido alcanzados y forman parte del funcionamiento habitual. En ese contexto, nuevos estándares permiten orientar procesos de mejora hacia niveles más avanzados.</w:t>
      </w:r>
    </w:p>
    <w:p w14:paraId="54F46604"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A partir de 2023, la normativa nacional incorpora la exigencia de consolidar áreas específicas dedicadas al aseguramiento de la calidad al interior de las instituciones universitarias. En este marco, establece la creación de Sistemas Institucionales de Aseguramiento de la Calidad orientados a “fortalecer la cultura de evaluación de calidad; administrar y desarrollar las estrategias, instrumentos y procesos de evaluación institucional; realizar la certificación de carreras; promover planes de mejora acordes con las evaluaciones realizadas y en el marco del respectivo plan de desarrollo institucional” (Resolución ME 2597/2023).</w:t>
      </w:r>
    </w:p>
    <w:p w14:paraId="3EFA8C3B"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Más recientemente, se ha propuesto habilitar formas más dinámicas en los procesos de evaluación institucional (“evaluación externa focalizada”), particularmente para aquellas instituciones que ya han atravesado tres o más evaluaciones externas (Ordenanza CONEAU 77/25).</w:t>
      </w:r>
    </w:p>
    <w:p w14:paraId="2CE2990A"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lastRenderedPageBreak/>
        <w:t>Sin ser exhaustivos, estas son algunas de las principales estrategias que han buscado mejorar la capacidad de las evaluaciones para incidir sobre la gestión universitaria.</w:t>
      </w:r>
    </w:p>
    <w:p w14:paraId="0C15D3CD"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color w:val="000000" w:themeColor="text1"/>
        </w:rPr>
        <w:t>En el mismo contexto histórico en el que se han ideo desarrollando estas estrategias, surgen y se expanden</w:t>
      </w:r>
      <w:r w:rsidRPr="00674FAA">
        <w:rPr>
          <w:rFonts w:ascii="Times New Roman" w:hAnsi="Times New Roman" w:cs="Times New Roman"/>
        </w:rPr>
        <w:t xml:space="preserve"> las carreras de grado y posgrado orientadas al desarrollo de la gestión universitaria. La creación de estas carreras fue otra estrategia orientada a fortalecer cambios institucionales, aunque esta vez liderada por el propio ámbito académico. </w:t>
      </w:r>
    </w:p>
    <w:p w14:paraId="3C6B17AB"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En este sentido, la formación sistemática de evaluadores constituye una estrategia diferente de las anteriores: no regula procedimientos ni asigna recursos, sino que busca formar sujetos capaces de interpretar, diseñar y usar la evaluación en contextos universitarios concretos.</w:t>
      </w:r>
    </w:p>
    <w:p w14:paraId="7377DDCD" w14:textId="77777777" w:rsidR="0031331B" w:rsidRPr="00674FAA" w:rsidRDefault="0031331B" w:rsidP="008D4172">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La creación de la carrera de Especialización en Evaluación Universitaria de la Universidad de Buenos Aires asume que la formación del personal universitario en temas de evaluación es una condición estratégica para promover la producción de conocimiento situado sobre la propia universidad, actualizar agendas académicas y favorecer una reflexión informada sobre el sistema de educación superior. Asimismo, busca contribuir al intercambio de perspectivas teóricas y metodológicas en el debate público sobre los desafíos actuales y futuros de la universidad.</w:t>
      </w:r>
    </w:p>
    <w:p w14:paraId="5884E3C7" w14:textId="77777777" w:rsidR="0031331B" w:rsidRPr="00674FAA" w:rsidRDefault="0031331B" w:rsidP="008D4172">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Desde esta perspectiva, la profesionalización de los evaluadores permite ampliar la mirada y superar la idea de que la calidad radica en mayor eficiencia y eficacia para pasar a observar el sentido de estas herramientas de gestión comprometidas con la educación superior como derecho y con la universidad como actor central de la cultura, la ciencia y la tecnología en el país.</w:t>
      </w:r>
    </w:p>
    <w:p w14:paraId="7D232F1E" w14:textId="77777777" w:rsidR="0031331B" w:rsidRPr="00674FAA" w:rsidRDefault="0031331B" w:rsidP="0031331B">
      <w:pPr>
        <w:spacing w:after="0" w:line="240" w:lineRule="auto"/>
        <w:jc w:val="both"/>
        <w:rPr>
          <w:rFonts w:ascii="Times New Roman" w:hAnsi="Times New Roman" w:cs="Times New Roman"/>
          <w:color w:val="000000" w:themeColor="text1"/>
        </w:rPr>
      </w:pPr>
    </w:p>
    <w:p w14:paraId="2E37102B" w14:textId="77777777" w:rsidR="008D4172" w:rsidRDefault="0031331B" w:rsidP="0031331B">
      <w:pPr>
        <w:pStyle w:val="Prrafodelista"/>
        <w:numPr>
          <w:ilvl w:val="0"/>
          <w:numId w:val="1"/>
        </w:numPr>
        <w:spacing w:after="0" w:line="240" w:lineRule="auto"/>
        <w:contextualSpacing w:val="0"/>
        <w:jc w:val="both"/>
        <w:rPr>
          <w:rFonts w:ascii="Times New Roman" w:hAnsi="Times New Roman" w:cs="Times New Roman"/>
          <w:b/>
          <w:bCs/>
        </w:rPr>
      </w:pPr>
      <w:r w:rsidRPr="00674FAA">
        <w:rPr>
          <w:rFonts w:ascii="Times New Roman" w:hAnsi="Times New Roman" w:cs="Times New Roman"/>
          <w:b/>
          <w:bCs/>
        </w:rPr>
        <w:t>Fundamentos de la formación profesional en evaluación universitaria</w:t>
      </w:r>
    </w:p>
    <w:p w14:paraId="49D38C55" w14:textId="68BCCDFB" w:rsidR="0031331B" w:rsidRPr="008D4172" w:rsidRDefault="0031331B" w:rsidP="008D4172">
      <w:pPr>
        <w:spacing w:after="0" w:line="240" w:lineRule="auto"/>
        <w:ind w:left="3"/>
        <w:jc w:val="both"/>
        <w:rPr>
          <w:rFonts w:ascii="Times New Roman" w:hAnsi="Times New Roman" w:cs="Times New Roman"/>
          <w:b/>
          <w:bCs/>
        </w:rPr>
      </w:pPr>
      <w:r w:rsidRPr="008D4172">
        <w:rPr>
          <w:rFonts w:ascii="Times New Roman" w:hAnsi="Times New Roman" w:cs="Times New Roman"/>
          <w:b/>
          <w:bCs/>
        </w:rPr>
        <w:t xml:space="preserve"> </w:t>
      </w:r>
    </w:p>
    <w:p w14:paraId="53BB6B39" w14:textId="77777777" w:rsidR="0031331B"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La creación de la carrera se inscribe en debates sobre la evaluación como objeto de estudio y como campo de profesionalización. Estos debates remiten a su estatuto teórico, metodológico, ético y político, así como a la necesidad de formar evaluadores capaces de fundamentar juicios, interpretar contextos institucionales y participar en procesos de mejora y acreditación.</w:t>
      </w:r>
    </w:p>
    <w:p w14:paraId="185ABBFF" w14:textId="77777777" w:rsidR="008D4172" w:rsidRPr="00674FAA" w:rsidRDefault="008D4172" w:rsidP="0031331B">
      <w:pPr>
        <w:spacing w:after="0" w:line="240" w:lineRule="auto"/>
        <w:jc w:val="both"/>
        <w:rPr>
          <w:rFonts w:ascii="Times New Roman" w:hAnsi="Times New Roman" w:cs="Times New Roman"/>
        </w:rPr>
      </w:pPr>
    </w:p>
    <w:p w14:paraId="580D5B72" w14:textId="77777777" w:rsidR="0031331B" w:rsidRDefault="0031331B" w:rsidP="0031331B">
      <w:pPr>
        <w:pStyle w:val="Prrafodelista"/>
        <w:numPr>
          <w:ilvl w:val="1"/>
          <w:numId w:val="1"/>
        </w:numPr>
        <w:spacing w:after="0" w:line="240" w:lineRule="auto"/>
        <w:contextualSpacing w:val="0"/>
        <w:jc w:val="both"/>
        <w:rPr>
          <w:rFonts w:ascii="Times New Roman" w:hAnsi="Times New Roman" w:cs="Times New Roman"/>
          <w:b/>
          <w:bCs/>
          <w:color w:val="000000" w:themeColor="text1"/>
        </w:rPr>
      </w:pPr>
      <w:r w:rsidRPr="00674FAA">
        <w:rPr>
          <w:rFonts w:ascii="Times New Roman" w:hAnsi="Times New Roman" w:cs="Times New Roman"/>
          <w:b/>
          <w:bCs/>
          <w:color w:val="000000" w:themeColor="text1"/>
        </w:rPr>
        <w:t>¿La evaluación de la educación amerita ser un objeto de estudio particular?</w:t>
      </w:r>
    </w:p>
    <w:p w14:paraId="2B36439B" w14:textId="77777777" w:rsidR="008D4172" w:rsidRPr="008D4172" w:rsidRDefault="008D4172" w:rsidP="008D4172">
      <w:pPr>
        <w:spacing w:after="0" w:line="240" w:lineRule="auto"/>
        <w:ind w:left="3"/>
        <w:jc w:val="both"/>
        <w:rPr>
          <w:rFonts w:ascii="Times New Roman" w:hAnsi="Times New Roman" w:cs="Times New Roman"/>
          <w:b/>
          <w:bCs/>
          <w:color w:val="000000" w:themeColor="text1"/>
        </w:rPr>
      </w:pPr>
    </w:p>
    <w:p w14:paraId="137A1A48"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 xml:space="preserve">La creación de la carrera se fundamenta en una larga trayectoria de construcción teórica y práctica del campo de la evaluación educativa. El campo de la evaluación cuenta con importantes antecedentes teóricos desarrollados en el plano internacional, fundamentalmente, desde la década de 1960. Desde entonces, estudiosos de este campo señalan la necesidad del análisis </w:t>
      </w:r>
      <w:proofErr w:type="spellStart"/>
      <w:r w:rsidRPr="00674FAA">
        <w:rPr>
          <w:rFonts w:ascii="Times New Roman" w:hAnsi="Times New Roman" w:cs="Times New Roman"/>
          <w:color w:val="000000" w:themeColor="text1"/>
        </w:rPr>
        <w:t>metaevaluativo</w:t>
      </w:r>
      <w:proofErr w:type="spellEnd"/>
      <w:r w:rsidRPr="00674FAA">
        <w:rPr>
          <w:rFonts w:ascii="Times New Roman" w:hAnsi="Times New Roman" w:cs="Times New Roman"/>
          <w:color w:val="000000" w:themeColor="text1"/>
        </w:rPr>
        <w:t xml:space="preserve"> y la formación profesional de los evaluadores. </w:t>
      </w:r>
    </w:p>
    <w:p w14:paraId="4E4EE4EB"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 xml:space="preserve">La evaluación, ya sea institucional, de programas o proyectos educativos, o evaluación para la acreditación, constituye una práctica social, pública y situada, cuyo sentido se define en relación con los contextos sociales, políticos e institucionales en los que se desarrolla. No se limita a la aplicación de instrumentos ni a la producción de informes, sino que implica una construcción metodológica orientada a comprender, valorar y </w:t>
      </w:r>
      <w:r w:rsidRPr="00674FAA">
        <w:rPr>
          <w:rFonts w:ascii="Times New Roman" w:hAnsi="Times New Roman" w:cs="Times New Roman"/>
          <w:color w:val="000000" w:themeColor="text1"/>
        </w:rPr>
        <w:lastRenderedPageBreak/>
        <w:t>fundamentar decisiones sobre un objeto de intervención. Para ello, requiere definir quiénes participan, con qué propósitos se evalúa, qué aspectos serán considerados y mediante qué procedimientos se construirá la información.</w:t>
      </w:r>
    </w:p>
    <w:p w14:paraId="43B0DE04"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Evaluar supone emitir juicios de valor a partir de la comparación entre el objeto evaluado y referentes específicos tales como teorías del objeto, criterios, estándares, marcos normativos, indicadores o expectativas de los actores. Por esta razón, la evaluación exige criterios explícitos y una metodología rigurosa que sustente la validez, confiabilidad y utilidad de sus resultados.</w:t>
      </w:r>
    </w:p>
    <w:p w14:paraId="734226B4"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Sin embargo, sus problemas no se reducen a la validez metodológica. Tal como ya hemos señalado, sus problemas involucran tres planos: validez metodológica, legitimidad institucional y consecuencias del uso de la evaluación.</w:t>
      </w:r>
    </w:p>
    <w:p w14:paraId="4BD3ACC5"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 xml:space="preserve">La evaluación como instrumento al servicio de la planificación y de la gestión educativa cuenta con un extenso desarrollo, tanto en el campo práctico de sus experiencias de implementación como en el estudio de sus propuestas metodológicas y bases teóricas. El amplio desarrollo de este campo permite diseñar un espacio formativo dedicado especialmente al estudio de enfoques, métodos y técnicas que se asientan en diversas concepciones del sentido y la finalidad de la educación y del mismo proceso de evaluación. </w:t>
      </w:r>
    </w:p>
    <w:p w14:paraId="1297D244" w14:textId="77777777" w:rsidR="0031331B"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Todo sistema de evaluación, en tanto se trata de una construcción histórica, presenta impactos positivos y negativos, contradicciones y posibilidades, que requieren el estudio de sus dimensiones histórica, política, ética y metodológica.</w:t>
      </w:r>
    </w:p>
    <w:p w14:paraId="55493C25" w14:textId="77777777" w:rsidR="008D4172" w:rsidRPr="00674FAA" w:rsidRDefault="008D4172" w:rsidP="0031331B">
      <w:pPr>
        <w:spacing w:after="0" w:line="240" w:lineRule="auto"/>
        <w:jc w:val="both"/>
        <w:rPr>
          <w:rFonts w:ascii="Times New Roman" w:hAnsi="Times New Roman" w:cs="Times New Roman"/>
          <w:color w:val="000000" w:themeColor="text1"/>
        </w:rPr>
      </w:pPr>
    </w:p>
    <w:p w14:paraId="656A463B" w14:textId="77777777" w:rsidR="0031331B" w:rsidRDefault="0031331B" w:rsidP="0031331B">
      <w:pPr>
        <w:pStyle w:val="Prrafodelista"/>
        <w:numPr>
          <w:ilvl w:val="1"/>
          <w:numId w:val="1"/>
        </w:numPr>
        <w:spacing w:after="0" w:line="240" w:lineRule="auto"/>
        <w:contextualSpacing w:val="0"/>
        <w:jc w:val="both"/>
        <w:rPr>
          <w:rFonts w:ascii="Times New Roman" w:hAnsi="Times New Roman" w:cs="Times New Roman"/>
          <w:b/>
          <w:bCs/>
          <w:color w:val="000000" w:themeColor="text1"/>
        </w:rPr>
      </w:pPr>
      <w:r w:rsidRPr="00674FAA">
        <w:rPr>
          <w:rFonts w:ascii="Times New Roman" w:hAnsi="Times New Roman" w:cs="Times New Roman"/>
          <w:b/>
          <w:bCs/>
          <w:color w:val="000000" w:themeColor="text1"/>
        </w:rPr>
        <w:t>¿Qué entendemos por profesionalización de la gestión universitaria y de la evaluación?</w:t>
      </w:r>
    </w:p>
    <w:p w14:paraId="77EF448F" w14:textId="77777777" w:rsidR="008D4172" w:rsidRPr="008D4172" w:rsidRDefault="008D4172" w:rsidP="008D4172">
      <w:pPr>
        <w:spacing w:after="0" w:line="240" w:lineRule="auto"/>
        <w:ind w:left="3"/>
        <w:jc w:val="both"/>
        <w:rPr>
          <w:rFonts w:ascii="Times New Roman" w:hAnsi="Times New Roman" w:cs="Times New Roman"/>
          <w:b/>
          <w:bCs/>
          <w:color w:val="000000" w:themeColor="text1"/>
        </w:rPr>
      </w:pPr>
    </w:p>
    <w:p w14:paraId="391522DF" w14:textId="77777777" w:rsidR="0031331B" w:rsidRDefault="0031331B" w:rsidP="0031331B">
      <w:pPr>
        <w:spacing w:after="0" w:line="240" w:lineRule="auto"/>
        <w:jc w:val="both"/>
        <w:rPr>
          <w:rFonts w:ascii="Times New Roman" w:hAnsi="Times New Roman" w:cs="Times New Roman"/>
          <w:i/>
          <w:iCs/>
          <w:color w:val="000000" w:themeColor="text1"/>
        </w:rPr>
      </w:pPr>
      <w:r w:rsidRPr="00674FAA">
        <w:rPr>
          <w:rFonts w:ascii="Times New Roman" w:hAnsi="Times New Roman" w:cs="Times New Roman"/>
          <w:i/>
          <w:iCs/>
          <w:color w:val="000000" w:themeColor="text1"/>
        </w:rPr>
        <w:t>La evaluación como práctica social y situada</w:t>
      </w:r>
    </w:p>
    <w:p w14:paraId="70923E63" w14:textId="77777777" w:rsidR="008D4172" w:rsidRPr="00674FAA" w:rsidRDefault="008D4172" w:rsidP="0031331B">
      <w:pPr>
        <w:spacing w:after="0" w:line="240" w:lineRule="auto"/>
        <w:jc w:val="both"/>
        <w:rPr>
          <w:rFonts w:ascii="Times New Roman" w:hAnsi="Times New Roman" w:cs="Times New Roman"/>
          <w:i/>
          <w:iCs/>
          <w:color w:val="000000" w:themeColor="text1"/>
        </w:rPr>
      </w:pPr>
    </w:p>
    <w:p w14:paraId="7AE78BE4"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La evaluación ha sido concebida, con frecuencia, como una práctica orientada a producir información para la toma de decisiones. Esta perspectiva se apoya en la idea de que la información evaluativa contribuye a procesos racionales de mejora y que puede ser generada y transmitida a gestores, administradores o responsables institucionales para orientar decisiones. Sin embargo, esta concepción resulta muy insuficiente cuando se consideran las limitaciones que atraviesan los procesos de decisión y las condiciones concretas en que actúan los sujetos y las instituciones.</w:t>
      </w:r>
    </w:p>
    <w:p w14:paraId="1FEEA397"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La evaluación no puede comprenderse como una actividad exclusivamente técnica ni como un procedimiento externo a las formas en que los actores interpretan los problemas, producen conocimiento y se vinculan con otros en contextos institucionales determinados. Los métodos, reglas y procedimientos son necesarios, pero no eliminan las dificultades interpretativas propias de toda práctica evaluadora. Por ello, el desarrollo de la evaluación requiere que quienes participan en estos procesos puedan analizar sus propias prácticas, reconocer los supuestos que las orientan y comprender los efectos que producen en los espacios donde intervienen.</w:t>
      </w:r>
    </w:p>
    <w:p w14:paraId="210691C7" w14:textId="77777777" w:rsidR="0031331B"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 xml:space="preserve">En la vida cotidiana de las organizaciones, la evaluación aparece integrada a la acción mediante apreciaciones, valoraciones y decisiones que se producen de manera continua. La evaluación sistemática, en cambio, organiza esa actividad como un dispositivo de </w:t>
      </w:r>
      <w:r w:rsidRPr="00674FAA">
        <w:rPr>
          <w:rFonts w:ascii="Times New Roman" w:hAnsi="Times New Roman" w:cs="Times New Roman"/>
          <w:color w:val="000000" w:themeColor="text1"/>
        </w:rPr>
        <w:lastRenderedPageBreak/>
        <w:t>intervención institucional. Su institucionalización requiere evitar que la aplicación de procedimientos sustituya las formas de conocimiento profesional que ya operan en las prácticas organizacionales. En este sentido, mejorar la evaluación no equivale simplemente a evaluar más ni a incorporar métodos más elaborados, sino a fortalecer la formación de quienes evalúan.</w:t>
      </w:r>
    </w:p>
    <w:p w14:paraId="31F4564C" w14:textId="77777777" w:rsidR="008D4172" w:rsidRPr="00674FAA" w:rsidRDefault="008D4172" w:rsidP="0031331B">
      <w:pPr>
        <w:spacing w:after="0" w:line="240" w:lineRule="auto"/>
        <w:jc w:val="both"/>
        <w:rPr>
          <w:rFonts w:ascii="Times New Roman" w:hAnsi="Times New Roman" w:cs="Times New Roman"/>
          <w:color w:val="000000" w:themeColor="text1"/>
        </w:rPr>
      </w:pPr>
    </w:p>
    <w:p w14:paraId="1413426F" w14:textId="77777777" w:rsidR="0031331B" w:rsidRDefault="0031331B" w:rsidP="0031331B">
      <w:pPr>
        <w:spacing w:after="0" w:line="240" w:lineRule="auto"/>
        <w:jc w:val="both"/>
        <w:rPr>
          <w:rFonts w:ascii="Times New Roman" w:hAnsi="Times New Roman" w:cs="Times New Roman"/>
          <w:i/>
          <w:iCs/>
        </w:rPr>
      </w:pPr>
      <w:r w:rsidRPr="00674FAA">
        <w:rPr>
          <w:rFonts w:ascii="Times New Roman" w:hAnsi="Times New Roman" w:cs="Times New Roman"/>
          <w:i/>
          <w:iCs/>
        </w:rPr>
        <w:t>Profesionalización de la evaluación universitaria</w:t>
      </w:r>
    </w:p>
    <w:p w14:paraId="5291D979" w14:textId="77777777" w:rsidR="008D4172" w:rsidRPr="00674FAA" w:rsidRDefault="008D4172" w:rsidP="0031331B">
      <w:pPr>
        <w:spacing w:after="0" w:line="240" w:lineRule="auto"/>
        <w:jc w:val="both"/>
        <w:rPr>
          <w:rFonts w:ascii="Times New Roman" w:hAnsi="Times New Roman" w:cs="Times New Roman"/>
          <w:i/>
          <w:iCs/>
        </w:rPr>
      </w:pPr>
    </w:p>
    <w:p w14:paraId="41E84636" w14:textId="77777777" w:rsidR="0031331B" w:rsidRPr="00674FAA" w:rsidRDefault="0031331B" w:rsidP="008D4172">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La evaluación de la educación requiere conocimientos profesionales específicos y no puede reducirse a la aplicación de saberes técnicos. Estos saberes son necesarios para el manejo de instrumentos, procedimientos y estrategias de análisis, pero no alcanzan para comprender la complejidad de los procesos evaluativos, fundamentar juicios, interpretar contextos institucionales y orientar decisiones.</w:t>
      </w:r>
    </w:p>
    <w:p w14:paraId="06DA4DB4"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En evaluación universitaria, el dominio técnico de instrumentos y procedimientos es necesario, pero la formación profesional exige además interpretar marcos normativos, comprender dinámicas institucionales, fundamentar criterios y asumir responsabilidad por los usos de los resultados</w:t>
      </w:r>
    </w:p>
    <w:p w14:paraId="7FE39BD3"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Desde esta perspectiva, la formación en evaluación de la educación no puede quedar restringida a capacitaciones ad hoc ni a cursos diseñados para resolver demandas inmediatas de una evaluación o acreditación. Si la evaluación educativa requiere una formación profesional específica, la universidad constituye el ámbito institucional para desarrollarla, tanto por su función formativa como por su capacidad para producir conocimiento sobre el campo.</w:t>
      </w:r>
    </w:p>
    <w:p w14:paraId="59DDD8A6"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La profesionalización de la evaluación universitaria supone formar personas capaces de comprender los debates teóricos y prácticos del campo, responder a demandas externas de evaluación, idear y conducir procesos de autoevaluación ajustados a las particularidades institucionales, y participar en procesos de evaluación y acreditación en el marco de agencias nacionales y regionales.</w:t>
      </w:r>
    </w:p>
    <w:p w14:paraId="2ECD40D5"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La formación teórica y reflexiva permite comprender al evaluador como un sujeto situado, atravesado por aprendizajes, recorridos y condiciones que inciden en su intervención. Al mismo tiempo, lo ubica como participante de procesos que afectan espacios institucionales e intersubjetivos. Por ello, la profesionalización del evaluador requiere articular una lógica explicativa y una lógica comprensiva, de modo que los métodos y técnicas formen parte de una perspectiva integral sobre la evaluación.</w:t>
      </w:r>
    </w:p>
    <w:p w14:paraId="133CEDC5"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Esta formación también permite analizar las tensiones que atraviesan el campo, especialmente cuando predominan enfoques instrumentales o gerenciales que reducen la evaluación a una herramienta de control o de cumplimiento formal. Frente a ello, la profesionalización de la evaluación universitaria busca consolidar capacidades para producir conocimiento, interpretar contextos, fundamentar juicios y participar en procesos orientados a la mejora, el aseguramiento de la calidad y el desarrollo institucional.</w:t>
      </w:r>
    </w:p>
    <w:p w14:paraId="237A4F7F" w14:textId="77777777" w:rsidR="0031331B" w:rsidRPr="00674FAA" w:rsidRDefault="0031331B" w:rsidP="008D4172">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 xml:space="preserve">El desarrollo del campo de la evaluación universitaria exige, por lo tanto, un espacio formativo dedicado al estudio de enfoques, métodos y técnicas de evaluación institucional, articulado con una formación teórica que permita comprender las condiciones en que esos recursos se aplican. Esta formación no minimiza la dimensión </w:t>
      </w:r>
      <w:r w:rsidRPr="00674FAA">
        <w:rPr>
          <w:rFonts w:ascii="Times New Roman" w:hAnsi="Times New Roman" w:cs="Times New Roman"/>
          <w:color w:val="000000" w:themeColor="text1"/>
        </w:rPr>
        <w:lastRenderedPageBreak/>
        <w:t>metodológica, sino que la integra en abordajes que reconocen la participación de los sujetos, los contextos institucionales y las consecuencias de la evaluación.</w:t>
      </w:r>
    </w:p>
    <w:p w14:paraId="26488611" w14:textId="77777777" w:rsidR="0031331B" w:rsidRPr="00674FAA" w:rsidRDefault="0031331B" w:rsidP="0031331B">
      <w:pPr>
        <w:spacing w:after="0" w:line="240" w:lineRule="auto"/>
        <w:jc w:val="both"/>
        <w:rPr>
          <w:rFonts w:ascii="Times New Roman" w:hAnsi="Times New Roman" w:cs="Times New Roman"/>
          <w:color w:val="000000" w:themeColor="text1"/>
        </w:rPr>
      </w:pPr>
    </w:p>
    <w:p w14:paraId="474C063A" w14:textId="6A86B612" w:rsidR="0031331B" w:rsidRPr="008D4172" w:rsidRDefault="0031331B" w:rsidP="008D4172">
      <w:pPr>
        <w:pStyle w:val="Prrafodelista"/>
        <w:numPr>
          <w:ilvl w:val="0"/>
          <w:numId w:val="1"/>
        </w:numPr>
        <w:spacing w:after="0" w:line="240" w:lineRule="auto"/>
        <w:jc w:val="both"/>
        <w:rPr>
          <w:rFonts w:ascii="Times New Roman" w:hAnsi="Times New Roman" w:cs="Times New Roman"/>
          <w:b/>
          <w:bCs/>
          <w:color w:val="000000" w:themeColor="text1"/>
        </w:rPr>
      </w:pPr>
      <w:r w:rsidRPr="008D4172">
        <w:rPr>
          <w:rFonts w:ascii="Times New Roman" w:hAnsi="Times New Roman" w:cs="Times New Roman"/>
          <w:b/>
          <w:bCs/>
          <w:color w:val="000000" w:themeColor="text1"/>
        </w:rPr>
        <w:t>Propósitos de la carrera</w:t>
      </w:r>
    </w:p>
    <w:p w14:paraId="7A60B182" w14:textId="77777777" w:rsidR="008D4172" w:rsidRPr="008D4172" w:rsidRDefault="008D4172" w:rsidP="008D4172">
      <w:pPr>
        <w:pStyle w:val="Prrafodelista"/>
        <w:spacing w:after="0" w:line="240" w:lineRule="auto"/>
        <w:ind w:left="363"/>
        <w:jc w:val="both"/>
        <w:rPr>
          <w:rFonts w:ascii="Times New Roman" w:hAnsi="Times New Roman" w:cs="Times New Roman"/>
          <w:b/>
          <w:bCs/>
          <w:color w:val="000000" w:themeColor="text1"/>
        </w:rPr>
      </w:pPr>
    </w:p>
    <w:p w14:paraId="4A97C6EC" w14:textId="77777777" w:rsidR="0031331B"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En el año 2017 la Universidad de Buenos Aires crea la carrera de Especialización en Evaluación Universitaria con el fin de fortalecer las capacidades institucionales de la educación superior en materia de evaluación de instituciones, programas y proyectos y aseguramiento de la calidad. Esta carrera surgió con el propósito de aportar una alternativa a la necesidad de la comunidad universitaria de contar con mayor formación en este campo.</w:t>
      </w:r>
    </w:p>
    <w:p w14:paraId="15EC1BA6" w14:textId="77777777" w:rsidR="008D4172" w:rsidRPr="00674FAA" w:rsidRDefault="008D4172" w:rsidP="0031331B">
      <w:pPr>
        <w:spacing w:after="0" w:line="240" w:lineRule="auto"/>
        <w:jc w:val="both"/>
        <w:rPr>
          <w:rFonts w:ascii="Times New Roman" w:hAnsi="Times New Roman" w:cs="Times New Roman"/>
          <w:color w:val="000000" w:themeColor="text1"/>
        </w:rPr>
      </w:pPr>
    </w:p>
    <w:p w14:paraId="3BB71C22"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 xml:space="preserve">La carrera define sus propósitos a partir de una lectura de situación en el año 2017: </w:t>
      </w:r>
    </w:p>
    <w:p w14:paraId="7ABF1A5E"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1.</w:t>
      </w:r>
      <w:r w:rsidRPr="00674FAA">
        <w:rPr>
          <w:rFonts w:ascii="Times New Roman" w:hAnsi="Times New Roman" w:cs="Times New Roman"/>
          <w:color w:val="000000" w:themeColor="text1"/>
        </w:rPr>
        <w:tab/>
        <w:t>Las políticas vinculadas a la evaluación de instituciones y titulaciones universitarias se habían expandido internacionalmente e instalado en el país.</w:t>
      </w:r>
    </w:p>
    <w:p w14:paraId="10637612"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2.</w:t>
      </w:r>
      <w:r w:rsidRPr="00674FAA">
        <w:rPr>
          <w:rFonts w:ascii="Times New Roman" w:hAnsi="Times New Roman" w:cs="Times New Roman"/>
          <w:color w:val="000000" w:themeColor="text1"/>
        </w:rPr>
        <w:tab/>
        <w:t>Los universitarios que participaban en las tareas de evaluación, ya fuera como miembros de comisiones de autoevaluación o de comités de pares evaluadores en evaluación externa, aprendían fundamentalmente a partir de la experiencia.</w:t>
      </w:r>
    </w:p>
    <w:p w14:paraId="52B555FF"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3.</w:t>
      </w:r>
      <w:r w:rsidRPr="00674FAA">
        <w:rPr>
          <w:rFonts w:ascii="Times New Roman" w:hAnsi="Times New Roman" w:cs="Times New Roman"/>
          <w:color w:val="000000" w:themeColor="text1"/>
        </w:rPr>
        <w:tab/>
        <w:t>Las capacitaciones técnicas dadas por la CONEAU se centran en los procedimientos necesarios para la puesta en marcha de las evaluaciones institucionales y acreditación de carreras.</w:t>
      </w:r>
    </w:p>
    <w:p w14:paraId="11B10017" w14:textId="77777777" w:rsidR="0031331B"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4.</w:t>
      </w:r>
      <w:r w:rsidRPr="00674FAA">
        <w:rPr>
          <w:rFonts w:ascii="Times New Roman" w:hAnsi="Times New Roman" w:cs="Times New Roman"/>
          <w:color w:val="000000" w:themeColor="text1"/>
        </w:rPr>
        <w:tab/>
        <w:t>Por último, la lectura de situación también consideró que es la universidad la responsable de la formación de profesionales para ámbitos específicos en los que se requiera construcción de conocimiento experto, responsabilidad ética y autonomía de juicio.</w:t>
      </w:r>
    </w:p>
    <w:p w14:paraId="383B1596" w14:textId="77777777" w:rsidR="008D4172" w:rsidRPr="00674FAA" w:rsidRDefault="008D4172" w:rsidP="0031331B">
      <w:pPr>
        <w:spacing w:after="0" w:line="240" w:lineRule="auto"/>
        <w:jc w:val="both"/>
        <w:rPr>
          <w:rFonts w:ascii="Times New Roman" w:hAnsi="Times New Roman" w:cs="Times New Roman"/>
          <w:color w:val="000000" w:themeColor="text1"/>
        </w:rPr>
      </w:pPr>
    </w:p>
    <w:p w14:paraId="4E5D2DC6"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El plan de estudios plantea:</w:t>
      </w:r>
    </w:p>
    <w:p w14:paraId="67B1E057" w14:textId="77777777" w:rsidR="0031331B" w:rsidRDefault="0031331B" w:rsidP="0031331B">
      <w:pPr>
        <w:spacing w:after="0" w:line="240" w:lineRule="auto"/>
        <w:ind w:left="720"/>
        <w:jc w:val="both"/>
        <w:rPr>
          <w:rFonts w:ascii="Times New Roman" w:hAnsi="Times New Roman" w:cs="Times New Roman"/>
          <w:color w:val="000000" w:themeColor="text1"/>
        </w:rPr>
      </w:pPr>
      <w:r w:rsidRPr="00674FAA">
        <w:rPr>
          <w:rFonts w:ascii="Times New Roman" w:hAnsi="Times New Roman" w:cs="Times New Roman"/>
          <w:color w:val="000000" w:themeColor="text1"/>
        </w:rPr>
        <w:t>Faltan evaluadores con formación sistemática en este campo. Los universitarios, provenientes de los más variados perfiles académicos y profesionales, en muchas ocasiones carecen de una formación sobre evaluación y acreditación que supere los límites de las respuestas burocráticas a la norma, o por el contrario, los de una crítica doctrinaria que no logra construir alternativas a la necesidad de comprensión y mejora de la actividad universitaria. Otras situaciones que se vinculan con la falta de masa crítica de evaluadores formados se observan en las altas expectativas sobre el poder de influencia de la evaluación en el aseguramiento de la calidad educativa de las instituciones sin el estudio de los procesos institucionales, sus dinámicas y complejos entramados en los cuales se establecen la autoevaluación y la evaluación, así como también dificultades en el aprovechamiento de los resultados como oportunidad para cuestionarse, generar hipótesis de cambio e imaginar alternativas</w:t>
      </w:r>
      <w:r>
        <w:rPr>
          <w:rFonts w:ascii="Times New Roman" w:hAnsi="Times New Roman" w:cs="Times New Roman"/>
          <w:color w:val="000000" w:themeColor="text1"/>
        </w:rPr>
        <w:t>.</w:t>
      </w:r>
      <w:r w:rsidRPr="00674FAA">
        <w:rPr>
          <w:rFonts w:ascii="Times New Roman" w:hAnsi="Times New Roman" w:cs="Times New Roman"/>
          <w:color w:val="000000" w:themeColor="text1"/>
        </w:rPr>
        <w:t xml:space="preserve"> (</w:t>
      </w:r>
      <w:r>
        <w:rPr>
          <w:rFonts w:ascii="Times New Roman" w:hAnsi="Times New Roman" w:cs="Times New Roman"/>
          <w:color w:val="000000" w:themeColor="text1"/>
        </w:rPr>
        <w:t>Universidad de Buenos Aires, Consejo Superior,</w:t>
      </w:r>
      <w:r w:rsidRPr="00674FAA">
        <w:rPr>
          <w:rFonts w:ascii="Times New Roman" w:hAnsi="Times New Roman" w:cs="Times New Roman"/>
          <w:color w:val="000000" w:themeColor="text1"/>
        </w:rPr>
        <w:t xml:space="preserve"> 2017)</w:t>
      </w:r>
    </w:p>
    <w:p w14:paraId="23D020A0" w14:textId="77777777" w:rsidR="008D4172" w:rsidRPr="00674FAA" w:rsidRDefault="008D4172" w:rsidP="0031331B">
      <w:pPr>
        <w:spacing w:after="0" w:line="240" w:lineRule="auto"/>
        <w:ind w:left="720"/>
        <w:jc w:val="both"/>
        <w:rPr>
          <w:rFonts w:ascii="Times New Roman" w:hAnsi="Times New Roman" w:cs="Times New Roman"/>
          <w:color w:val="000000" w:themeColor="text1"/>
        </w:rPr>
      </w:pPr>
    </w:p>
    <w:p w14:paraId="2DF85A86"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 xml:space="preserve">Uno de los objetivos centrales de la Especialización es profesionalizar la evaluación universitaria mediante la formación de evaluadores capaces de intervenir en procesos de evaluación externa, autoevaluación y acreditación de instituciones, carreras y programas. </w:t>
      </w:r>
      <w:r w:rsidRPr="00674FAA">
        <w:rPr>
          <w:rFonts w:ascii="Times New Roman" w:hAnsi="Times New Roman" w:cs="Times New Roman"/>
          <w:color w:val="000000" w:themeColor="text1"/>
        </w:rPr>
        <w:lastRenderedPageBreak/>
        <w:t>Para ello, la carrera promueve la apropiación de conocimientos teóricos, metodológicos, técnicos, éticos y políticos que permiten comprender los debates del campo y responder a demandas concretas de evaluación.</w:t>
      </w:r>
    </w:p>
    <w:p w14:paraId="2BB59641"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Asimismo, busca formar profesionales capaces de diseñar, conducir y analizar procesos, modelos y dispositivos de evaluación adecuados a las particularidades institucionales. En este marco, los cursos articulan el estudio conceptual con el análisis de experiencias situadas, a fin de fortalecer capacidades para actuar en distintos contextos de evaluación universitaria.</w:t>
      </w:r>
    </w:p>
    <w:p w14:paraId="705211B4" w14:textId="77777777" w:rsidR="0031331B" w:rsidRPr="00674FAA"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Los propósitos de la carrera se traducen en una estructura curricular que combina fundamentos conceptuales, formación metodológica, análisis de políticas de aseguramiento de la calidad y producción de un trabajo final situado en problemas de evaluación universitaria.</w:t>
      </w:r>
    </w:p>
    <w:p w14:paraId="177E1B48" w14:textId="77777777" w:rsidR="0031331B" w:rsidRPr="00674FAA" w:rsidRDefault="0031331B" w:rsidP="0031331B">
      <w:pPr>
        <w:spacing w:after="0" w:line="240" w:lineRule="auto"/>
        <w:jc w:val="both"/>
        <w:rPr>
          <w:rFonts w:ascii="Times New Roman" w:hAnsi="Times New Roman" w:cs="Times New Roman"/>
          <w:color w:val="000000" w:themeColor="text1"/>
        </w:rPr>
      </w:pPr>
    </w:p>
    <w:p w14:paraId="5BE95A6B" w14:textId="54EA8213" w:rsidR="0031331B" w:rsidRPr="004D07B4" w:rsidRDefault="0031331B" w:rsidP="004D07B4">
      <w:pPr>
        <w:pStyle w:val="Prrafodelista"/>
        <w:numPr>
          <w:ilvl w:val="0"/>
          <w:numId w:val="1"/>
        </w:numPr>
        <w:spacing w:after="0" w:line="240" w:lineRule="auto"/>
        <w:rPr>
          <w:rFonts w:ascii="Times New Roman" w:hAnsi="Times New Roman" w:cs="Times New Roman"/>
          <w:b/>
          <w:bCs/>
        </w:rPr>
      </w:pPr>
      <w:r w:rsidRPr="004D07B4">
        <w:rPr>
          <w:rFonts w:ascii="Times New Roman" w:hAnsi="Times New Roman" w:cs="Times New Roman"/>
          <w:b/>
          <w:bCs/>
        </w:rPr>
        <w:t>Definiciones curriculares</w:t>
      </w:r>
    </w:p>
    <w:p w14:paraId="10251380" w14:textId="77777777" w:rsidR="008D4172" w:rsidRPr="008D4172" w:rsidRDefault="008D4172" w:rsidP="008D4172">
      <w:pPr>
        <w:spacing w:after="0" w:line="240" w:lineRule="auto"/>
        <w:rPr>
          <w:rFonts w:ascii="Times New Roman" w:hAnsi="Times New Roman" w:cs="Times New Roman"/>
          <w:b/>
          <w:bCs/>
        </w:rPr>
      </w:pPr>
    </w:p>
    <w:p w14:paraId="223E9CBB" w14:textId="77777777" w:rsidR="0031331B" w:rsidRPr="00674FAA" w:rsidRDefault="0031331B" w:rsidP="008D4172">
      <w:pPr>
        <w:spacing w:after="0" w:line="240" w:lineRule="auto"/>
        <w:jc w:val="both"/>
        <w:rPr>
          <w:rFonts w:ascii="Times New Roman" w:hAnsi="Times New Roman" w:cs="Times New Roman"/>
          <w:lang w:val="es-AR"/>
        </w:rPr>
      </w:pPr>
      <w:r w:rsidRPr="00674FAA">
        <w:rPr>
          <w:rFonts w:ascii="Times New Roman" w:hAnsi="Times New Roman" w:cs="Times New Roman"/>
          <w:lang w:val="es-AR"/>
        </w:rPr>
        <w:t xml:space="preserve">La propuesta formativa de esta carrera parte de reconocer que la evaluación se modifica en relación con los cambios políticos, sociales e institucionales. Por ello, resulta necesario abordar su desarrollo histórico, ya que “a menos que los miembros de una profesión elaboren y sostengan una perspectiva histórica sobre su trabajo, probablemente seguirán teniendo siempre una concepción limitada de su función social, sin poder estimular la innovación ni contribuir a ella” (Stufflebeam y </w:t>
      </w:r>
      <w:proofErr w:type="spellStart"/>
      <w:r w:rsidRPr="00674FAA">
        <w:rPr>
          <w:rFonts w:ascii="Times New Roman" w:hAnsi="Times New Roman" w:cs="Times New Roman"/>
          <w:lang w:val="es-AR"/>
        </w:rPr>
        <w:t>Shinkfield</w:t>
      </w:r>
      <w:proofErr w:type="spellEnd"/>
      <w:r w:rsidRPr="00674FAA">
        <w:rPr>
          <w:rFonts w:ascii="Times New Roman" w:hAnsi="Times New Roman" w:cs="Times New Roman"/>
          <w:lang w:val="es-AR"/>
        </w:rPr>
        <w:t>, 1987, pp.32-33).</w:t>
      </w:r>
    </w:p>
    <w:p w14:paraId="570F6DF3" w14:textId="77777777" w:rsidR="0031331B" w:rsidRDefault="0031331B" w:rsidP="0031331B">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Desde esta perspectiva, la carrera organiza sus contenidos en torno a la comprensión de las dimensiones histórica, política, epistemológica y metodológica de la evaluación de la educación y de la educación superior. Estos ejes estructuran los seis espacios curriculares, desarrollados de manera secuencial e intensiva, y se articulan con el Taller de Producción del Trabajo Final, que se cursa en paralelo a los seminarios. Este taller acompaña progresivamente la definición del tema, la construcción del problema de trabajo y el desarrollo de la escritura académica.</w:t>
      </w:r>
    </w:p>
    <w:p w14:paraId="7E863962" w14:textId="77777777" w:rsidR="008D4172" w:rsidRPr="00674FAA" w:rsidRDefault="008D4172" w:rsidP="0031331B">
      <w:pPr>
        <w:spacing w:after="0" w:line="240" w:lineRule="auto"/>
        <w:jc w:val="both"/>
        <w:rPr>
          <w:rFonts w:ascii="Times New Roman" w:hAnsi="Times New Roman" w:cs="Times New Roman"/>
          <w:color w:val="000000" w:themeColor="text1"/>
        </w:rPr>
      </w:pPr>
    </w:p>
    <w:p w14:paraId="05F9F014" w14:textId="77777777" w:rsidR="0031331B" w:rsidRDefault="0031331B" w:rsidP="0031331B">
      <w:pPr>
        <w:spacing w:after="0" w:line="240" w:lineRule="auto"/>
        <w:jc w:val="both"/>
        <w:rPr>
          <w:rFonts w:ascii="Times New Roman" w:hAnsi="Times New Roman" w:cs="Times New Roman"/>
          <w:i/>
          <w:iCs/>
          <w:color w:val="000000" w:themeColor="text1"/>
        </w:rPr>
      </w:pPr>
      <w:r w:rsidRPr="00674FAA">
        <w:rPr>
          <w:rFonts w:ascii="Times New Roman" w:hAnsi="Times New Roman" w:cs="Times New Roman"/>
          <w:i/>
          <w:iCs/>
          <w:color w:val="000000" w:themeColor="text1"/>
        </w:rPr>
        <w:t>Espacios curriculares con temáticas transversales</w:t>
      </w:r>
    </w:p>
    <w:p w14:paraId="058C9185" w14:textId="77777777" w:rsidR="008D4172" w:rsidRPr="00674FAA" w:rsidRDefault="008D4172" w:rsidP="0031331B">
      <w:pPr>
        <w:spacing w:after="0" w:line="240" w:lineRule="auto"/>
        <w:jc w:val="both"/>
        <w:rPr>
          <w:rFonts w:ascii="Times New Roman" w:hAnsi="Times New Roman" w:cs="Times New Roman"/>
          <w:i/>
          <w:iCs/>
          <w:color w:val="000000" w:themeColor="text1"/>
        </w:rPr>
      </w:pPr>
    </w:p>
    <w:p w14:paraId="607BD8D9" w14:textId="77777777" w:rsidR="0031331B" w:rsidRPr="00674FAA" w:rsidRDefault="0031331B" w:rsidP="0031331B">
      <w:pPr>
        <w:spacing w:after="0" w:line="240" w:lineRule="auto"/>
        <w:rPr>
          <w:rFonts w:ascii="Times New Roman" w:hAnsi="Times New Roman" w:cs="Times New Roman"/>
        </w:rPr>
      </w:pPr>
      <w:r w:rsidRPr="00674FAA">
        <w:rPr>
          <w:rFonts w:ascii="Times New Roman" w:hAnsi="Times New Roman" w:cs="Times New Roman"/>
        </w:rPr>
        <w:t>Una primera definición curricular fue incorporar una perspectiva epistemológica sobre la evaluación que encuadra conceptualmente nuestra tarea. Son tres perspectivas conceptuales que abren la posibilidad de pensamiento crítico:</w:t>
      </w:r>
    </w:p>
    <w:p w14:paraId="0A3AF5C5" w14:textId="77777777" w:rsidR="0031331B" w:rsidRPr="00674FAA" w:rsidRDefault="0031331B" w:rsidP="0031331B">
      <w:pPr>
        <w:pStyle w:val="Prrafodelista"/>
        <w:numPr>
          <w:ilvl w:val="0"/>
          <w:numId w:val="3"/>
        </w:numPr>
        <w:spacing w:after="0" w:line="240" w:lineRule="auto"/>
        <w:contextualSpacing w:val="0"/>
        <w:rPr>
          <w:rFonts w:ascii="Times New Roman" w:hAnsi="Times New Roman" w:cs="Times New Roman"/>
        </w:rPr>
      </w:pPr>
      <w:r w:rsidRPr="00674FAA">
        <w:rPr>
          <w:rFonts w:ascii="Times New Roman" w:hAnsi="Times New Roman" w:cs="Times New Roman"/>
        </w:rPr>
        <w:t xml:space="preserve">la evaluación es una práctica social, </w:t>
      </w:r>
    </w:p>
    <w:p w14:paraId="12F3407D" w14:textId="77777777" w:rsidR="0031331B" w:rsidRPr="00674FAA" w:rsidRDefault="0031331B" w:rsidP="0031331B">
      <w:pPr>
        <w:pStyle w:val="Prrafodelista"/>
        <w:numPr>
          <w:ilvl w:val="0"/>
          <w:numId w:val="3"/>
        </w:numPr>
        <w:spacing w:after="0" w:line="240" w:lineRule="auto"/>
        <w:contextualSpacing w:val="0"/>
        <w:rPr>
          <w:rFonts w:ascii="Times New Roman" w:hAnsi="Times New Roman" w:cs="Times New Roman"/>
        </w:rPr>
      </w:pPr>
      <w:r w:rsidRPr="00674FAA">
        <w:rPr>
          <w:rFonts w:ascii="Times New Roman" w:hAnsi="Times New Roman" w:cs="Times New Roman"/>
        </w:rPr>
        <w:t xml:space="preserve">sus formas de intervención se sustentan en las ciencias sociales, y </w:t>
      </w:r>
    </w:p>
    <w:p w14:paraId="18FDBE8C" w14:textId="77777777" w:rsidR="0031331B" w:rsidRPr="00674FAA" w:rsidRDefault="0031331B" w:rsidP="0031331B">
      <w:pPr>
        <w:pStyle w:val="Prrafodelista"/>
        <w:numPr>
          <w:ilvl w:val="0"/>
          <w:numId w:val="3"/>
        </w:numPr>
        <w:spacing w:after="0" w:line="240" w:lineRule="auto"/>
        <w:contextualSpacing w:val="0"/>
        <w:rPr>
          <w:rFonts w:ascii="Times New Roman" w:hAnsi="Times New Roman" w:cs="Times New Roman"/>
        </w:rPr>
      </w:pPr>
      <w:r w:rsidRPr="00674FAA">
        <w:rPr>
          <w:rFonts w:ascii="Times New Roman" w:hAnsi="Times New Roman" w:cs="Times New Roman"/>
        </w:rPr>
        <w:t>existen diferentes formas de entender cómo se relacionan la teoría y la práctica en las ciencias sociales</w:t>
      </w:r>
    </w:p>
    <w:p w14:paraId="5983D11B" w14:textId="77777777" w:rsidR="0031331B" w:rsidRPr="00674FAA" w:rsidRDefault="0031331B" w:rsidP="0031331B">
      <w:pPr>
        <w:spacing w:after="0" w:line="240" w:lineRule="auto"/>
        <w:rPr>
          <w:rFonts w:ascii="Times New Roman" w:hAnsi="Times New Roman" w:cs="Times New Roman"/>
        </w:rPr>
      </w:pPr>
      <w:r w:rsidRPr="00674FAA">
        <w:rPr>
          <w:rFonts w:ascii="Times New Roman" w:hAnsi="Times New Roman" w:cs="Times New Roman"/>
        </w:rPr>
        <w:t>La evaluación tiene características propias, comunes a toda práctica evaluativa. En este campo se reconocen diferentes tipologías y enfoques vinculados a tres raíces básicas de la disciplina: la investigación social, la responsabilidad ante la sociedad y la epistemología (</w:t>
      </w:r>
      <w:proofErr w:type="spellStart"/>
      <w:r w:rsidRPr="00674FAA">
        <w:rPr>
          <w:rFonts w:ascii="Times New Roman" w:hAnsi="Times New Roman" w:cs="Times New Roman"/>
        </w:rPr>
        <w:t>Alkin</w:t>
      </w:r>
      <w:proofErr w:type="spellEnd"/>
      <w:r w:rsidRPr="00674FAA">
        <w:rPr>
          <w:rFonts w:ascii="Times New Roman" w:hAnsi="Times New Roman" w:cs="Times New Roman"/>
        </w:rPr>
        <w:t xml:space="preserve">, 2013). </w:t>
      </w:r>
    </w:p>
    <w:p w14:paraId="30F9E741" w14:textId="77777777" w:rsidR="0031331B" w:rsidRDefault="0031331B" w:rsidP="0031331B">
      <w:pPr>
        <w:spacing w:after="0" w:line="240" w:lineRule="auto"/>
        <w:rPr>
          <w:rFonts w:ascii="Times New Roman" w:hAnsi="Times New Roman" w:cs="Times New Roman"/>
        </w:rPr>
      </w:pPr>
      <w:r w:rsidRPr="00674FAA">
        <w:rPr>
          <w:rFonts w:ascii="Times New Roman" w:hAnsi="Times New Roman" w:cs="Times New Roman"/>
        </w:rPr>
        <w:t xml:space="preserve">De esta forma, se abre un espacio curricular sobre la evaluación como objeto de estudio en sus características metodológicas, enfoques y modelos y otro sobre su dimensión política y normativa donde cobra relevancia la acreditación de programas académicos. </w:t>
      </w:r>
    </w:p>
    <w:p w14:paraId="5F895462" w14:textId="77777777" w:rsidR="008D4172" w:rsidRPr="00674FAA" w:rsidRDefault="008D4172" w:rsidP="0031331B">
      <w:pPr>
        <w:spacing w:after="0" w:line="240" w:lineRule="auto"/>
        <w:rPr>
          <w:rFonts w:ascii="Times New Roman" w:hAnsi="Times New Roman" w:cs="Times New Roman"/>
        </w:rPr>
      </w:pPr>
    </w:p>
    <w:p w14:paraId="7E297869" w14:textId="77777777" w:rsidR="0031331B" w:rsidRDefault="0031331B" w:rsidP="0031331B">
      <w:pPr>
        <w:spacing w:after="0" w:line="240" w:lineRule="auto"/>
        <w:rPr>
          <w:rFonts w:ascii="Times New Roman" w:hAnsi="Times New Roman" w:cs="Times New Roman"/>
          <w:i/>
          <w:iCs/>
        </w:rPr>
      </w:pPr>
      <w:r w:rsidRPr="00674FAA">
        <w:rPr>
          <w:rFonts w:ascii="Times New Roman" w:hAnsi="Times New Roman" w:cs="Times New Roman"/>
          <w:i/>
          <w:iCs/>
        </w:rPr>
        <w:t>Espacios curriculares enfocados en objetos de evaluación específicos</w:t>
      </w:r>
    </w:p>
    <w:p w14:paraId="1ED8191C" w14:textId="77777777" w:rsidR="008D4172" w:rsidRPr="00674FAA" w:rsidRDefault="008D4172" w:rsidP="0031331B">
      <w:pPr>
        <w:spacing w:after="0" w:line="240" w:lineRule="auto"/>
        <w:rPr>
          <w:rFonts w:ascii="Times New Roman" w:hAnsi="Times New Roman" w:cs="Times New Roman"/>
          <w:i/>
          <w:iCs/>
        </w:rPr>
      </w:pPr>
    </w:p>
    <w:p w14:paraId="17FD3F25"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La evaluación también asume características particulares según cuál sea el objeto que es evaluado, como pueden ser: aprendizaje, desempeño docente, plan de estudios, instituciones o centros educativos, calidad, programas y proyectos, políticas educativas.</w:t>
      </w:r>
    </w:p>
    <w:p w14:paraId="696C309A" w14:textId="77777777" w:rsidR="0031331B"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La teoría del objeto que se adopte (explícita o supuesta; basada en investigación o en sentido común) incide de modo sustantivo en las formas posibles de abordar su evaluación. En los seminarios de este plan de estudios se abordan particularmente la evaluación institucional de las universidades y sus funciones de docencia, investigación y extensión y transferencia, el currículo universitario y la evaluación de los aprendizajes.</w:t>
      </w:r>
    </w:p>
    <w:p w14:paraId="1EEC1B76" w14:textId="77777777" w:rsidR="008D4172" w:rsidRPr="00674FAA" w:rsidRDefault="008D4172" w:rsidP="008D4172">
      <w:pPr>
        <w:spacing w:after="0" w:line="240" w:lineRule="auto"/>
        <w:jc w:val="both"/>
        <w:rPr>
          <w:rFonts w:ascii="Times New Roman" w:hAnsi="Times New Roman" w:cs="Times New Roman"/>
        </w:rPr>
      </w:pPr>
    </w:p>
    <w:p w14:paraId="76916CB1" w14:textId="77777777" w:rsidR="0031331B" w:rsidRDefault="0031331B" w:rsidP="008D4172">
      <w:pPr>
        <w:spacing w:after="0" w:line="240" w:lineRule="auto"/>
        <w:jc w:val="both"/>
        <w:rPr>
          <w:rFonts w:ascii="Times New Roman" w:hAnsi="Times New Roman" w:cs="Times New Roman"/>
          <w:i/>
          <w:iCs/>
        </w:rPr>
      </w:pPr>
      <w:r w:rsidRPr="00674FAA">
        <w:rPr>
          <w:rFonts w:ascii="Times New Roman" w:hAnsi="Times New Roman" w:cs="Times New Roman"/>
          <w:i/>
          <w:iCs/>
        </w:rPr>
        <w:t>Seminarios abiertos</w:t>
      </w:r>
    </w:p>
    <w:p w14:paraId="6990B1C3" w14:textId="77777777" w:rsidR="008D4172" w:rsidRPr="00674FAA" w:rsidRDefault="008D4172" w:rsidP="008D4172">
      <w:pPr>
        <w:spacing w:after="0" w:line="240" w:lineRule="auto"/>
        <w:jc w:val="both"/>
        <w:rPr>
          <w:rFonts w:ascii="Times New Roman" w:hAnsi="Times New Roman" w:cs="Times New Roman"/>
          <w:i/>
          <w:iCs/>
        </w:rPr>
      </w:pPr>
    </w:p>
    <w:p w14:paraId="4403BFF5"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Como complemento de los espacios curriculares, la carrera desarrolla seminarios abiertos orientados a ampliar la formación mediante el abordaje de temas de actualización, experiencias comparadas y debates emergentes sobre evaluación y acreditación universitaria. Estos seminarios permiten incorporar perspectivas nacionales e internacionales, analizar políticas y prácticas desarrolladas en distintos sistemas universitarios y fortalecer el intercambio académico con graduados, estudiantes, especialistas y otros actores de la comunidad universitaria. Hasta el momento, se han realizado con la participación de invitados de Argentina, Uruguay, México, Brasil, Chile, Colombia, España, Noruega y Eslovenia. Por su carácter gratuito, virtual y abierto, constituyen además una acción de vinculación académica de la carrera con el campo profesional de la evaluación universitaria.</w:t>
      </w:r>
    </w:p>
    <w:p w14:paraId="5EE7E501" w14:textId="77777777" w:rsidR="0031331B" w:rsidRPr="00674FAA" w:rsidRDefault="0031331B" w:rsidP="008D4172">
      <w:pPr>
        <w:spacing w:after="0" w:line="240" w:lineRule="auto"/>
        <w:jc w:val="both"/>
        <w:rPr>
          <w:rFonts w:ascii="Times New Roman" w:hAnsi="Times New Roman" w:cs="Times New Roman"/>
          <w:color w:val="000000" w:themeColor="text1"/>
        </w:rPr>
      </w:pPr>
    </w:p>
    <w:p w14:paraId="014950C0" w14:textId="77777777" w:rsidR="0031331B" w:rsidRDefault="0031331B" w:rsidP="004D07B4">
      <w:pPr>
        <w:pStyle w:val="Prrafodelista"/>
        <w:numPr>
          <w:ilvl w:val="0"/>
          <w:numId w:val="1"/>
        </w:numPr>
        <w:spacing w:after="0" w:line="240" w:lineRule="auto"/>
        <w:contextualSpacing w:val="0"/>
        <w:rPr>
          <w:rFonts w:ascii="Times New Roman" w:hAnsi="Times New Roman" w:cs="Times New Roman"/>
          <w:b/>
          <w:bCs/>
        </w:rPr>
      </w:pPr>
      <w:r w:rsidRPr="00674FAA">
        <w:rPr>
          <w:rFonts w:ascii="Times New Roman" w:hAnsi="Times New Roman" w:cs="Times New Roman"/>
          <w:b/>
          <w:bCs/>
        </w:rPr>
        <w:t>Propuesta de enseñanza</w:t>
      </w:r>
    </w:p>
    <w:p w14:paraId="004BBAE2" w14:textId="77777777" w:rsidR="008D4172" w:rsidRPr="008D4172" w:rsidRDefault="008D4172" w:rsidP="008D4172">
      <w:pPr>
        <w:spacing w:after="0" w:line="240" w:lineRule="auto"/>
        <w:rPr>
          <w:rFonts w:ascii="Times New Roman" w:hAnsi="Times New Roman" w:cs="Times New Roman"/>
          <w:b/>
          <w:bCs/>
        </w:rPr>
      </w:pPr>
    </w:p>
    <w:p w14:paraId="74AB931D"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 xml:space="preserve">La propuesta de enseñanza busca superar la transmisión de información técnica mediante actividades orientadas al análisis de situaciones, la producción de criterios, la metaevaluación y la elaboración progresiva del trabajo final. </w:t>
      </w:r>
    </w:p>
    <w:p w14:paraId="7537B6AB"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Con este fin la carrera desarrolla cuatro estrategias: enseñanza a distancia; aprendizaje basado en la tarea; trabajo colaborativo; y taller de producción de trabajo final a lo largo de la carrera.</w:t>
      </w:r>
    </w:p>
    <w:p w14:paraId="7567C284"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La carrera se dicta en modalidad a distancia con el propósito de ampliar las oportunidades de acceso a profesionales y docentes que se desempeñan en el ámbito universitario. Esta modalidad favorece la superación de distancias geográficas, la construcción de vínculos de colaboración mediante la comunicación virtual y la organización autónoma de los tiempos de estudio. La propuesta puede cursarse en un año y medio, más el tiempo destinado a la elaboración del trabajo final.</w:t>
      </w:r>
    </w:p>
    <w:p w14:paraId="289E40A9"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 xml:space="preserve">El cursado se realiza a través de un campus virtual que ofrece materiales de estudio, recursos audiovisuales y herramientas para el desarrollo de actividades individuales y grupales, así como para la interacción con los docentes. Los cursos se dictan principalmente de manera asincrónica, complementados con encuentros sincrónicos no obligatorios que quedan grabados para su posterior consulta. </w:t>
      </w:r>
    </w:p>
    <w:p w14:paraId="5A234CDD"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lastRenderedPageBreak/>
        <w:t>Cada espacio curricular propone actividades de aprendizaje que buscan integrar conocimientos, habilidades y actitudes en contextos reales.</w:t>
      </w:r>
    </w:p>
    <w:p w14:paraId="1748A057" w14:textId="77777777" w:rsidR="0031331B" w:rsidRPr="00674FAA" w:rsidRDefault="0031331B" w:rsidP="008D4172">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La metaevaluación cumple un papel formativo porque permite analizar la calidad, pertinencia, consistencia y utilidad de evaluaciones ya realizadas. Su inclusión favorece que los estudiantes revisen decisiones metodológicas, criterios de valoración, usos de la información y efectos institucionales de los procesos evaluativos.</w:t>
      </w:r>
    </w:p>
    <w:p w14:paraId="583BEC37" w14:textId="77777777" w:rsidR="0031331B" w:rsidRPr="00674FAA" w:rsidRDefault="0031331B" w:rsidP="008D4172">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El Taller de Producción del Trabajo Final acompaña la construcción progresiva de un problema de evaluación universitaria, la definición del objeto de estudio, la selección de fuentes de información, la formulación de objetivos y la escritura académica. Su desarrollo a lo largo de la carrera busca articular los contenidos de los seminarios con una producción situada en ámbitos concretos de intervención profesional.</w:t>
      </w:r>
    </w:p>
    <w:p w14:paraId="0DE1E62E" w14:textId="77777777" w:rsidR="0031331B" w:rsidRPr="00674FAA" w:rsidRDefault="0031331B" w:rsidP="008D4172">
      <w:pPr>
        <w:spacing w:after="0" w:line="240" w:lineRule="auto"/>
        <w:jc w:val="both"/>
        <w:rPr>
          <w:rFonts w:ascii="Times New Roman" w:hAnsi="Times New Roman" w:cs="Times New Roman"/>
          <w:color w:val="000000" w:themeColor="text1"/>
        </w:rPr>
      </w:pPr>
      <w:r w:rsidRPr="00674FAA">
        <w:rPr>
          <w:rFonts w:ascii="Times New Roman" w:hAnsi="Times New Roman" w:cs="Times New Roman"/>
          <w:color w:val="000000" w:themeColor="text1"/>
        </w:rPr>
        <w:t>El trabajo colaborativo se incorpora como estrategia de formación porque los procesos de evaluación en las universidades requieren interacción entre actores, construcción de acuerdos, análisis de información compartida y elaboración de criterios comunes. En este sentido, las actividades grupales permiten experimentar formas de deliberación y producción colectiva vinculadas con la práctica evaluativa.</w:t>
      </w:r>
    </w:p>
    <w:p w14:paraId="2E483147" w14:textId="77777777" w:rsidR="0031331B" w:rsidRPr="00674FAA" w:rsidRDefault="0031331B" w:rsidP="0031331B">
      <w:pPr>
        <w:spacing w:after="0" w:line="240" w:lineRule="auto"/>
        <w:jc w:val="both"/>
        <w:rPr>
          <w:rFonts w:ascii="Times New Roman" w:hAnsi="Times New Roman" w:cs="Times New Roman"/>
          <w:color w:val="000000" w:themeColor="text1"/>
        </w:rPr>
      </w:pPr>
    </w:p>
    <w:p w14:paraId="22973DF9" w14:textId="77777777" w:rsidR="0031331B" w:rsidRDefault="0031331B" w:rsidP="004D07B4">
      <w:pPr>
        <w:pStyle w:val="Prrafodelista"/>
        <w:numPr>
          <w:ilvl w:val="0"/>
          <w:numId w:val="1"/>
        </w:numPr>
        <w:spacing w:after="0" w:line="240" w:lineRule="auto"/>
        <w:contextualSpacing w:val="0"/>
        <w:rPr>
          <w:rFonts w:ascii="Times New Roman" w:hAnsi="Times New Roman" w:cs="Times New Roman"/>
          <w:b/>
          <w:bCs/>
        </w:rPr>
      </w:pPr>
      <w:r w:rsidRPr="00674FAA">
        <w:rPr>
          <w:rFonts w:ascii="Times New Roman" w:hAnsi="Times New Roman" w:cs="Times New Roman"/>
          <w:b/>
          <w:bCs/>
        </w:rPr>
        <w:t>¿Quiénes se sienten interpelados por esta carrera?</w:t>
      </w:r>
    </w:p>
    <w:p w14:paraId="7C649FD0" w14:textId="77777777" w:rsidR="008D4172" w:rsidRPr="008D4172" w:rsidRDefault="008D4172" w:rsidP="008D4172">
      <w:pPr>
        <w:spacing w:after="0" w:line="240" w:lineRule="auto"/>
        <w:rPr>
          <w:rFonts w:ascii="Times New Roman" w:hAnsi="Times New Roman" w:cs="Times New Roman"/>
          <w:b/>
          <w:bCs/>
        </w:rPr>
      </w:pPr>
    </w:p>
    <w:p w14:paraId="1F313062"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El análisis de la composición de los grupos permite reconocer qué actores universitarios se sienten convocados por una formación especializada en evaluación universitaria. Para ello, se consideran tres dimensiones: la inserción laboral de los estudiantes regulares, el área disciplinar de formación de grado de los preinscriptos y los intereses expresados al momento de postularse.</w:t>
      </w:r>
    </w:p>
    <w:p w14:paraId="3D19D88C"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La modalidad a distancia, planteada desde su diseño inicial en el año 2017, ha favorecido la participación de miembros de instituciones de todo el territorio argentino e incluso de universidades del extranjero. Desde su creación, tal como se comentó antes, se ha dictado para ocho grupos. A lo largo de los años completaron la ficha de preinscripción más de 543 interesados entre los cuales, 243 efectivamente iniciaron regularmente la carrera en grupos que han variado entre 12 y 46 integrantes.</w:t>
      </w:r>
    </w:p>
    <w:p w14:paraId="23954E80" w14:textId="77777777" w:rsidR="0031331B" w:rsidRPr="00674FAA" w:rsidRDefault="0031331B" w:rsidP="008D4172">
      <w:pPr>
        <w:spacing w:after="0" w:line="240" w:lineRule="auto"/>
        <w:jc w:val="both"/>
        <w:rPr>
          <w:rFonts w:ascii="Times New Roman" w:hAnsi="Times New Roman" w:cs="Times New Roman"/>
        </w:rPr>
      </w:pPr>
      <w:r w:rsidRPr="00674FAA">
        <w:rPr>
          <w:rFonts w:ascii="Times New Roman" w:hAnsi="Times New Roman" w:cs="Times New Roman"/>
        </w:rPr>
        <w:t>La mayoría de los estudiantes regulares son personal administrativo o profesional (no docentes) y docentes con responsabilidades en la gestión. En mucha menor medida, también cursan docentes de diferentes procedencias y graduados en ciencias sociales interesados en comprender mejor la evaluación.</w:t>
      </w:r>
    </w:p>
    <w:p w14:paraId="31F13D99"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Respecto a cuál es la inserción laboral de los estudiantes regulares según tipo de institución, la mayor proporción corresponde a personas vinculadas con la Universidad de Buenos Aires, que representan el 41,98% del total. En segundo lugar se ubican quienes pertenecen a otras universidades nacionales, con el 30,04%. En conjunto, estos dos grupos reúnen el 72,02% de los estudiantes regulares, lo que muestra una presencia predominante de integrantes del sistema universitario público argentino.</w:t>
      </w:r>
    </w:p>
    <w:p w14:paraId="0ED4D9CC"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El 13,17% de los estudiantes pertenece a universidades extranjeras, mientras que el 9,05% se desempeña en universidades privadas. En menor proporción se registran estudiantes vinculados con organismos del Estado, que representan el 2,47%, y con otros ámbitos institucionales, que alcanzan el 3,29%.</w:t>
      </w:r>
    </w:p>
    <w:p w14:paraId="16B417F7" w14:textId="77777777" w:rsidR="0031331B"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lastRenderedPageBreak/>
        <w:t>En síntesis, la composición de las ocho cohortes muestra que la carrera convoca principalmente a personas insertas laboralmente en universidades públicas argentinas, aunque también incorpora estudiantes de universidades extranjeras, instituciones privadas, organismos estatales y otros espacios de desempeño.</w:t>
      </w:r>
    </w:p>
    <w:p w14:paraId="5F888DB7" w14:textId="77777777" w:rsidR="008D4172" w:rsidRPr="00674FAA" w:rsidRDefault="008D4172" w:rsidP="0031331B">
      <w:pPr>
        <w:spacing w:after="0" w:line="240" w:lineRule="auto"/>
        <w:jc w:val="both"/>
        <w:rPr>
          <w:rFonts w:ascii="Times New Roman" w:hAnsi="Times New Roman" w:cs="Times New Roman"/>
        </w:rPr>
      </w:pPr>
    </w:p>
    <w:p w14:paraId="7A5CA837" w14:textId="68F8AB26" w:rsidR="008D4172" w:rsidRDefault="0031331B" w:rsidP="0031331B">
      <w:pPr>
        <w:spacing w:after="0" w:line="240" w:lineRule="auto"/>
        <w:rPr>
          <w:rFonts w:ascii="Times New Roman" w:hAnsi="Times New Roman" w:cs="Times New Roman"/>
          <w:b/>
          <w:bCs/>
        </w:rPr>
      </w:pPr>
      <w:r w:rsidRPr="00674FAA">
        <w:rPr>
          <w:rFonts w:ascii="Times New Roman" w:hAnsi="Times New Roman" w:cs="Times New Roman"/>
          <w:b/>
          <w:bCs/>
        </w:rPr>
        <w:t>Tabla 1</w:t>
      </w:r>
    </w:p>
    <w:p w14:paraId="160822B1" w14:textId="14B18C36" w:rsidR="0031331B" w:rsidRDefault="0031331B" w:rsidP="0031331B">
      <w:pPr>
        <w:spacing w:after="0" w:line="240" w:lineRule="auto"/>
        <w:rPr>
          <w:rFonts w:ascii="Times New Roman" w:hAnsi="Times New Roman" w:cs="Times New Roman"/>
          <w:b/>
          <w:bCs/>
        </w:rPr>
      </w:pPr>
      <w:r w:rsidRPr="00674FAA">
        <w:rPr>
          <w:rFonts w:ascii="Times New Roman" w:hAnsi="Times New Roman" w:cs="Times New Roman"/>
          <w:b/>
          <w:bCs/>
        </w:rPr>
        <w:t xml:space="preserve">Inserción laboral de los estudiantes regulares </w:t>
      </w:r>
    </w:p>
    <w:p w14:paraId="4DE669B7" w14:textId="77777777" w:rsidR="008D4172" w:rsidRPr="00674FAA" w:rsidRDefault="008D4172" w:rsidP="0031331B">
      <w:pPr>
        <w:spacing w:after="0" w:line="240" w:lineRule="auto"/>
        <w:rPr>
          <w:rFonts w:ascii="Times New Roman" w:hAnsi="Times New Roman" w:cs="Times New Roman"/>
          <w:b/>
          <w:bCs/>
        </w:rPr>
      </w:pPr>
    </w:p>
    <w:tbl>
      <w:tblPr>
        <w:tblW w:w="7508" w:type="dxa"/>
        <w:tblCellMar>
          <w:left w:w="70" w:type="dxa"/>
          <w:right w:w="70" w:type="dxa"/>
        </w:tblCellMar>
        <w:tblLook w:val="04A0" w:firstRow="1" w:lastRow="0" w:firstColumn="1" w:lastColumn="0" w:noHBand="0" w:noVBand="1"/>
      </w:tblPr>
      <w:tblGrid>
        <w:gridCol w:w="4106"/>
        <w:gridCol w:w="1843"/>
        <w:gridCol w:w="1559"/>
      </w:tblGrid>
      <w:tr w:rsidR="0031331B" w:rsidRPr="00674FAA" w14:paraId="67979425" w14:textId="77777777" w:rsidTr="00736D5A">
        <w:trPr>
          <w:trHeight w:val="315"/>
        </w:trPr>
        <w:tc>
          <w:tcPr>
            <w:tcW w:w="4106" w:type="dxa"/>
            <w:tcBorders>
              <w:top w:val="single" w:sz="4" w:space="0" w:color="auto"/>
              <w:left w:val="single" w:sz="4" w:space="0" w:color="auto"/>
              <w:bottom w:val="single" w:sz="4" w:space="0" w:color="auto"/>
              <w:right w:val="single" w:sz="4" w:space="0" w:color="auto"/>
            </w:tcBorders>
            <w:noWrap/>
            <w:vAlign w:val="center"/>
            <w:hideMark/>
          </w:tcPr>
          <w:p w14:paraId="5127B079"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 xml:space="preserve">Inserción laboral </w:t>
            </w:r>
          </w:p>
        </w:tc>
        <w:tc>
          <w:tcPr>
            <w:tcW w:w="1843" w:type="dxa"/>
            <w:tcBorders>
              <w:top w:val="single" w:sz="4" w:space="0" w:color="auto"/>
              <w:left w:val="nil"/>
              <w:bottom w:val="single" w:sz="4" w:space="0" w:color="auto"/>
              <w:right w:val="single" w:sz="4" w:space="0" w:color="auto"/>
            </w:tcBorders>
            <w:noWrap/>
            <w:vAlign w:val="bottom"/>
            <w:hideMark/>
          </w:tcPr>
          <w:p w14:paraId="7AA9F96E" w14:textId="77777777" w:rsidR="0031331B" w:rsidRPr="00674FAA" w:rsidRDefault="0031331B" w:rsidP="00736D5A">
            <w:pPr>
              <w:spacing w:after="0" w:line="240" w:lineRule="auto"/>
              <w:jc w:val="center"/>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Total estudiantes regulares</w:t>
            </w:r>
          </w:p>
        </w:tc>
        <w:tc>
          <w:tcPr>
            <w:tcW w:w="1559" w:type="dxa"/>
            <w:tcBorders>
              <w:top w:val="single" w:sz="4" w:space="0" w:color="auto"/>
              <w:left w:val="nil"/>
              <w:bottom w:val="single" w:sz="4" w:space="0" w:color="auto"/>
              <w:right w:val="single" w:sz="4" w:space="0" w:color="auto"/>
            </w:tcBorders>
            <w:noWrap/>
            <w:vAlign w:val="center"/>
            <w:hideMark/>
          </w:tcPr>
          <w:p w14:paraId="65D2EB3E" w14:textId="77777777" w:rsidR="0031331B" w:rsidRPr="00674FAA" w:rsidRDefault="0031331B" w:rsidP="00736D5A">
            <w:pPr>
              <w:spacing w:after="0" w:line="240" w:lineRule="auto"/>
              <w:jc w:val="center"/>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w:t>
            </w:r>
          </w:p>
        </w:tc>
      </w:tr>
      <w:tr w:rsidR="0031331B" w:rsidRPr="00674FAA" w14:paraId="47BD6B47" w14:textId="77777777" w:rsidTr="00736D5A">
        <w:trPr>
          <w:trHeight w:val="300"/>
        </w:trPr>
        <w:tc>
          <w:tcPr>
            <w:tcW w:w="4106" w:type="dxa"/>
            <w:tcBorders>
              <w:top w:val="nil"/>
              <w:left w:val="single" w:sz="4" w:space="0" w:color="auto"/>
              <w:bottom w:val="single" w:sz="4" w:space="0" w:color="auto"/>
              <w:right w:val="single" w:sz="4" w:space="0" w:color="auto"/>
            </w:tcBorders>
            <w:noWrap/>
            <w:vAlign w:val="center"/>
            <w:hideMark/>
          </w:tcPr>
          <w:p w14:paraId="3D1B3B7D"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U Extranjera</w:t>
            </w:r>
          </w:p>
        </w:tc>
        <w:tc>
          <w:tcPr>
            <w:tcW w:w="1843" w:type="dxa"/>
            <w:tcBorders>
              <w:top w:val="nil"/>
              <w:left w:val="nil"/>
              <w:bottom w:val="single" w:sz="4" w:space="0" w:color="auto"/>
              <w:right w:val="single" w:sz="4" w:space="0" w:color="auto"/>
            </w:tcBorders>
            <w:noWrap/>
            <w:vAlign w:val="bottom"/>
            <w:hideMark/>
          </w:tcPr>
          <w:p w14:paraId="58C60167"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32</w:t>
            </w:r>
          </w:p>
        </w:tc>
        <w:tc>
          <w:tcPr>
            <w:tcW w:w="1559" w:type="dxa"/>
            <w:tcBorders>
              <w:top w:val="nil"/>
              <w:left w:val="nil"/>
              <w:bottom w:val="single" w:sz="4" w:space="0" w:color="auto"/>
              <w:right w:val="single" w:sz="4" w:space="0" w:color="auto"/>
            </w:tcBorders>
            <w:noWrap/>
            <w:vAlign w:val="bottom"/>
            <w:hideMark/>
          </w:tcPr>
          <w:p w14:paraId="3F30A1D6"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13,17</w:t>
            </w:r>
          </w:p>
        </w:tc>
      </w:tr>
      <w:tr w:rsidR="0031331B" w:rsidRPr="00674FAA" w14:paraId="2AC8ECA1" w14:textId="77777777" w:rsidTr="00736D5A">
        <w:trPr>
          <w:trHeight w:val="300"/>
        </w:trPr>
        <w:tc>
          <w:tcPr>
            <w:tcW w:w="4106" w:type="dxa"/>
            <w:tcBorders>
              <w:top w:val="nil"/>
              <w:left w:val="single" w:sz="4" w:space="0" w:color="auto"/>
              <w:bottom w:val="single" w:sz="4" w:space="0" w:color="auto"/>
              <w:right w:val="single" w:sz="4" w:space="0" w:color="auto"/>
            </w:tcBorders>
            <w:noWrap/>
            <w:vAlign w:val="center"/>
            <w:hideMark/>
          </w:tcPr>
          <w:p w14:paraId="48C96925"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Privada</w:t>
            </w:r>
          </w:p>
        </w:tc>
        <w:tc>
          <w:tcPr>
            <w:tcW w:w="1843" w:type="dxa"/>
            <w:tcBorders>
              <w:top w:val="nil"/>
              <w:left w:val="nil"/>
              <w:bottom w:val="single" w:sz="4" w:space="0" w:color="auto"/>
              <w:right w:val="single" w:sz="4" w:space="0" w:color="auto"/>
            </w:tcBorders>
            <w:noWrap/>
            <w:vAlign w:val="bottom"/>
            <w:hideMark/>
          </w:tcPr>
          <w:p w14:paraId="71D38EEC"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22</w:t>
            </w:r>
          </w:p>
        </w:tc>
        <w:tc>
          <w:tcPr>
            <w:tcW w:w="1559" w:type="dxa"/>
            <w:tcBorders>
              <w:top w:val="nil"/>
              <w:left w:val="nil"/>
              <w:bottom w:val="single" w:sz="4" w:space="0" w:color="auto"/>
              <w:right w:val="single" w:sz="4" w:space="0" w:color="auto"/>
            </w:tcBorders>
            <w:noWrap/>
            <w:vAlign w:val="bottom"/>
            <w:hideMark/>
          </w:tcPr>
          <w:p w14:paraId="5C1EF5CF"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9,05</w:t>
            </w:r>
          </w:p>
        </w:tc>
      </w:tr>
      <w:tr w:rsidR="0031331B" w:rsidRPr="00674FAA" w14:paraId="304772CD" w14:textId="77777777" w:rsidTr="00736D5A">
        <w:trPr>
          <w:trHeight w:val="300"/>
        </w:trPr>
        <w:tc>
          <w:tcPr>
            <w:tcW w:w="4106" w:type="dxa"/>
            <w:tcBorders>
              <w:top w:val="nil"/>
              <w:left w:val="single" w:sz="4" w:space="0" w:color="auto"/>
              <w:bottom w:val="single" w:sz="4" w:space="0" w:color="auto"/>
              <w:right w:val="single" w:sz="4" w:space="0" w:color="auto"/>
            </w:tcBorders>
            <w:noWrap/>
            <w:vAlign w:val="center"/>
            <w:hideMark/>
          </w:tcPr>
          <w:p w14:paraId="792A9B93"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U Nacional otra</w:t>
            </w:r>
          </w:p>
        </w:tc>
        <w:tc>
          <w:tcPr>
            <w:tcW w:w="1843" w:type="dxa"/>
            <w:tcBorders>
              <w:top w:val="nil"/>
              <w:left w:val="nil"/>
              <w:bottom w:val="single" w:sz="4" w:space="0" w:color="auto"/>
              <w:right w:val="single" w:sz="4" w:space="0" w:color="auto"/>
            </w:tcBorders>
            <w:noWrap/>
            <w:vAlign w:val="bottom"/>
            <w:hideMark/>
          </w:tcPr>
          <w:p w14:paraId="729F545B"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73</w:t>
            </w:r>
          </w:p>
        </w:tc>
        <w:tc>
          <w:tcPr>
            <w:tcW w:w="1559" w:type="dxa"/>
            <w:tcBorders>
              <w:top w:val="nil"/>
              <w:left w:val="nil"/>
              <w:bottom w:val="single" w:sz="4" w:space="0" w:color="auto"/>
              <w:right w:val="single" w:sz="4" w:space="0" w:color="auto"/>
            </w:tcBorders>
            <w:noWrap/>
            <w:vAlign w:val="bottom"/>
            <w:hideMark/>
          </w:tcPr>
          <w:p w14:paraId="65740DEF"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30,04</w:t>
            </w:r>
          </w:p>
        </w:tc>
      </w:tr>
      <w:tr w:rsidR="0031331B" w:rsidRPr="00674FAA" w14:paraId="38E00306" w14:textId="77777777" w:rsidTr="00736D5A">
        <w:trPr>
          <w:trHeight w:val="300"/>
        </w:trPr>
        <w:tc>
          <w:tcPr>
            <w:tcW w:w="4106" w:type="dxa"/>
            <w:tcBorders>
              <w:top w:val="nil"/>
              <w:left w:val="single" w:sz="4" w:space="0" w:color="auto"/>
              <w:bottom w:val="single" w:sz="4" w:space="0" w:color="auto"/>
              <w:right w:val="single" w:sz="4" w:space="0" w:color="auto"/>
            </w:tcBorders>
            <w:noWrap/>
            <w:vAlign w:val="center"/>
            <w:hideMark/>
          </w:tcPr>
          <w:p w14:paraId="400BE84E"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 xml:space="preserve">UBA </w:t>
            </w:r>
          </w:p>
        </w:tc>
        <w:tc>
          <w:tcPr>
            <w:tcW w:w="1843" w:type="dxa"/>
            <w:tcBorders>
              <w:top w:val="nil"/>
              <w:left w:val="nil"/>
              <w:bottom w:val="single" w:sz="4" w:space="0" w:color="auto"/>
              <w:right w:val="single" w:sz="4" w:space="0" w:color="auto"/>
            </w:tcBorders>
            <w:noWrap/>
            <w:vAlign w:val="bottom"/>
            <w:hideMark/>
          </w:tcPr>
          <w:p w14:paraId="23DBDD44"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102</w:t>
            </w:r>
          </w:p>
        </w:tc>
        <w:tc>
          <w:tcPr>
            <w:tcW w:w="1559" w:type="dxa"/>
            <w:tcBorders>
              <w:top w:val="nil"/>
              <w:left w:val="nil"/>
              <w:bottom w:val="single" w:sz="4" w:space="0" w:color="auto"/>
              <w:right w:val="single" w:sz="4" w:space="0" w:color="auto"/>
            </w:tcBorders>
            <w:noWrap/>
            <w:vAlign w:val="bottom"/>
            <w:hideMark/>
          </w:tcPr>
          <w:p w14:paraId="44C446E1"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41,98</w:t>
            </w:r>
          </w:p>
        </w:tc>
      </w:tr>
      <w:tr w:rsidR="0031331B" w:rsidRPr="00674FAA" w14:paraId="7C6F357F" w14:textId="77777777" w:rsidTr="00736D5A">
        <w:trPr>
          <w:trHeight w:val="300"/>
        </w:trPr>
        <w:tc>
          <w:tcPr>
            <w:tcW w:w="4106" w:type="dxa"/>
            <w:tcBorders>
              <w:top w:val="nil"/>
              <w:left w:val="single" w:sz="4" w:space="0" w:color="auto"/>
              <w:bottom w:val="single" w:sz="4" w:space="0" w:color="auto"/>
              <w:right w:val="single" w:sz="4" w:space="0" w:color="auto"/>
            </w:tcBorders>
            <w:noWrap/>
            <w:vAlign w:val="center"/>
            <w:hideMark/>
          </w:tcPr>
          <w:p w14:paraId="04E0DC7E"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Organismos del Estado</w:t>
            </w:r>
          </w:p>
        </w:tc>
        <w:tc>
          <w:tcPr>
            <w:tcW w:w="1843" w:type="dxa"/>
            <w:tcBorders>
              <w:top w:val="nil"/>
              <w:left w:val="nil"/>
              <w:bottom w:val="single" w:sz="4" w:space="0" w:color="auto"/>
              <w:right w:val="single" w:sz="4" w:space="0" w:color="auto"/>
            </w:tcBorders>
            <w:noWrap/>
            <w:vAlign w:val="bottom"/>
            <w:hideMark/>
          </w:tcPr>
          <w:p w14:paraId="4177830C"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6</w:t>
            </w:r>
          </w:p>
        </w:tc>
        <w:tc>
          <w:tcPr>
            <w:tcW w:w="1559" w:type="dxa"/>
            <w:tcBorders>
              <w:top w:val="nil"/>
              <w:left w:val="nil"/>
              <w:bottom w:val="single" w:sz="4" w:space="0" w:color="auto"/>
              <w:right w:val="single" w:sz="4" w:space="0" w:color="auto"/>
            </w:tcBorders>
            <w:noWrap/>
            <w:vAlign w:val="bottom"/>
            <w:hideMark/>
          </w:tcPr>
          <w:p w14:paraId="20EB42D2"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2,47</w:t>
            </w:r>
          </w:p>
        </w:tc>
      </w:tr>
      <w:tr w:rsidR="0031331B" w:rsidRPr="00674FAA" w14:paraId="59B4AB34" w14:textId="77777777" w:rsidTr="00736D5A">
        <w:trPr>
          <w:trHeight w:val="300"/>
        </w:trPr>
        <w:tc>
          <w:tcPr>
            <w:tcW w:w="4106" w:type="dxa"/>
            <w:tcBorders>
              <w:top w:val="nil"/>
              <w:left w:val="single" w:sz="4" w:space="0" w:color="auto"/>
              <w:bottom w:val="single" w:sz="4" w:space="0" w:color="auto"/>
              <w:right w:val="single" w:sz="4" w:space="0" w:color="auto"/>
            </w:tcBorders>
            <w:noWrap/>
            <w:vAlign w:val="center"/>
            <w:hideMark/>
          </w:tcPr>
          <w:p w14:paraId="516446B7"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Otros</w:t>
            </w:r>
          </w:p>
        </w:tc>
        <w:tc>
          <w:tcPr>
            <w:tcW w:w="1843" w:type="dxa"/>
            <w:tcBorders>
              <w:top w:val="nil"/>
              <w:left w:val="nil"/>
              <w:bottom w:val="single" w:sz="4" w:space="0" w:color="auto"/>
              <w:right w:val="single" w:sz="4" w:space="0" w:color="auto"/>
            </w:tcBorders>
            <w:noWrap/>
            <w:vAlign w:val="bottom"/>
            <w:hideMark/>
          </w:tcPr>
          <w:p w14:paraId="0EF9C4CF"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8</w:t>
            </w:r>
          </w:p>
        </w:tc>
        <w:tc>
          <w:tcPr>
            <w:tcW w:w="1559" w:type="dxa"/>
            <w:tcBorders>
              <w:top w:val="nil"/>
              <w:left w:val="nil"/>
              <w:bottom w:val="single" w:sz="4" w:space="0" w:color="auto"/>
              <w:right w:val="single" w:sz="4" w:space="0" w:color="auto"/>
            </w:tcBorders>
            <w:noWrap/>
            <w:vAlign w:val="bottom"/>
            <w:hideMark/>
          </w:tcPr>
          <w:p w14:paraId="1EFFE303"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3,29</w:t>
            </w:r>
          </w:p>
        </w:tc>
      </w:tr>
      <w:tr w:rsidR="0031331B" w:rsidRPr="00674FAA" w14:paraId="51277D3C" w14:textId="77777777" w:rsidTr="00736D5A">
        <w:trPr>
          <w:trHeight w:val="300"/>
        </w:trPr>
        <w:tc>
          <w:tcPr>
            <w:tcW w:w="4106" w:type="dxa"/>
            <w:tcBorders>
              <w:top w:val="nil"/>
              <w:left w:val="single" w:sz="4" w:space="0" w:color="auto"/>
              <w:bottom w:val="single" w:sz="4" w:space="0" w:color="auto"/>
              <w:right w:val="single" w:sz="4" w:space="0" w:color="auto"/>
            </w:tcBorders>
            <w:noWrap/>
            <w:vAlign w:val="center"/>
            <w:hideMark/>
          </w:tcPr>
          <w:p w14:paraId="0318BDD0"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Total</w:t>
            </w:r>
          </w:p>
        </w:tc>
        <w:tc>
          <w:tcPr>
            <w:tcW w:w="1843" w:type="dxa"/>
            <w:tcBorders>
              <w:top w:val="nil"/>
              <w:left w:val="nil"/>
              <w:bottom w:val="single" w:sz="4" w:space="0" w:color="auto"/>
              <w:right w:val="single" w:sz="4" w:space="0" w:color="auto"/>
            </w:tcBorders>
            <w:noWrap/>
            <w:vAlign w:val="bottom"/>
            <w:hideMark/>
          </w:tcPr>
          <w:p w14:paraId="673698D2"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243</w:t>
            </w:r>
          </w:p>
        </w:tc>
        <w:tc>
          <w:tcPr>
            <w:tcW w:w="1559" w:type="dxa"/>
            <w:tcBorders>
              <w:top w:val="nil"/>
              <w:left w:val="nil"/>
              <w:bottom w:val="single" w:sz="4" w:space="0" w:color="auto"/>
              <w:right w:val="single" w:sz="4" w:space="0" w:color="auto"/>
            </w:tcBorders>
            <w:noWrap/>
            <w:vAlign w:val="bottom"/>
            <w:hideMark/>
          </w:tcPr>
          <w:p w14:paraId="34919C57"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100,00</w:t>
            </w:r>
          </w:p>
        </w:tc>
      </w:tr>
    </w:tbl>
    <w:p w14:paraId="72FC5982" w14:textId="77777777" w:rsidR="0031331B" w:rsidRPr="00674FAA" w:rsidRDefault="0031331B" w:rsidP="0031331B">
      <w:pPr>
        <w:spacing w:after="0" w:line="240" w:lineRule="auto"/>
        <w:rPr>
          <w:rFonts w:ascii="Times New Roman" w:hAnsi="Times New Roman" w:cs="Times New Roman"/>
        </w:rPr>
      </w:pPr>
    </w:p>
    <w:p w14:paraId="5602D3F3" w14:textId="77777777" w:rsidR="0031331B"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 xml:space="preserve">El formulario de preinscripción permite identificar cuál es el área disciplinar de la carrera de grado de los candidatos. </w:t>
      </w:r>
    </w:p>
    <w:p w14:paraId="12F2F347" w14:textId="77777777" w:rsidR="008D4172" w:rsidRPr="00674FAA" w:rsidRDefault="008D4172" w:rsidP="0031331B">
      <w:pPr>
        <w:spacing w:after="0" w:line="240" w:lineRule="auto"/>
        <w:jc w:val="both"/>
        <w:rPr>
          <w:rFonts w:ascii="Times New Roman" w:hAnsi="Times New Roman" w:cs="Times New Roman"/>
        </w:rPr>
      </w:pPr>
    </w:p>
    <w:p w14:paraId="41DEB8B8" w14:textId="77777777" w:rsidR="008D4172" w:rsidRDefault="0031331B" w:rsidP="0031331B">
      <w:pPr>
        <w:spacing w:after="0" w:line="240" w:lineRule="auto"/>
        <w:rPr>
          <w:rFonts w:ascii="Times New Roman" w:hAnsi="Times New Roman" w:cs="Times New Roman"/>
          <w:b/>
          <w:bCs/>
        </w:rPr>
      </w:pPr>
      <w:r w:rsidRPr="00674FAA">
        <w:rPr>
          <w:rFonts w:ascii="Times New Roman" w:hAnsi="Times New Roman" w:cs="Times New Roman"/>
          <w:b/>
          <w:bCs/>
        </w:rPr>
        <w:t>Tabla 2</w:t>
      </w:r>
    </w:p>
    <w:p w14:paraId="4589F7B4" w14:textId="2D8AD373" w:rsidR="0031331B" w:rsidRDefault="0031331B" w:rsidP="0031331B">
      <w:pPr>
        <w:spacing w:after="0" w:line="240" w:lineRule="auto"/>
        <w:rPr>
          <w:rFonts w:ascii="Times New Roman" w:hAnsi="Times New Roman" w:cs="Times New Roman"/>
          <w:b/>
          <w:bCs/>
        </w:rPr>
      </w:pPr>
      <w:r w:rsidRPr="00674FAA">
        <w:rPr>
          <w:rFonts w:ascii="Times New Roman" w:hAnsi="Times New Roman" w:cs="Times New Roman"/>
          <w:b/>
          <w:bCs/>
        </w:rPr>
        <w:t>Preinscriptos según área disciplinar de título de grado</w:t>
      </w:r>
    </w:p>
    <w:p w14:paraId="688BC89D" w14:textId="77777777" w:rsidR="008D4172" w:rsidRPr="00674FAA" w:rsidRDefault="008D4172" w:rsidP="0031331B">
      <w:pPr>
        <w:spacing w:after="0" w:line="240" w:lineRule="auto"/>
        <w:rPr>
          <w:rFonts w:ascii="Times New Roman" w:hAnsi="Times New Roman" w:cs="Times New Roman"/>
          <w:b/>
          <w:bCs/>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1843"/>
        <w:gridCol w:w="1559"/>
      </w:tblGrid>
      <w:tr w:rsidR="0031331B" w:rsidRPr="00674FAA" w14:paraId="7FD3AA2D" w14:textId="77777777" w:rsidTr="00736D5A">
        <w:trPr>
          <w:trHeight w:val="300"/>
        </w:trPr>
        <w:tc>
          <w:tcPr>
            <w:tcW w:w="4106" w:type="dxa"/>
            <w:noWrap/>
            <w:vAlign w:val="bottom"/>
            <w:hideMark/>
          </w:tcPr>
          <w:p w14:paraId="58F099D8"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Área académica de formación de grado</w:t>
            </w:r>
          </w:p>
        </w:tc>
        <w:tc>
          <w:tcPr>
            <w:tcW w:w="1843" w:type="dxa"/>
            <w:noWrap/>
            <w:vAlign w:val="center"/>
            <w:hideMark/>
          </w:tcPr>
          <w:p w14:paraId="214ACB10" w14:textId="77777777" w:rsidR="0031331B" w:rsidRPr="00674FAA" w:rsidRDefault="0031331B" w:rsidP="00736D5A">
            <w:pPr>
              <w:spacing w:after="0" w:line="240" w:lineRule="auto"/>
              <w:jc w:val="center"/>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N</w:t>
            </w:r>
          </w:p>
        </w:tc>
        <w:tc>
          <w:tcPr>
            <w:tcW w:w="1559" w:type="dxa"/>
            <w:noWrap/>
            <w:vAlign w:val="center"/>
            <w:hideMark/>
          </w:tcPr>
          <w:p w14:paraId="4D5CE540" w14:textId="77777777" w:rsidR="0031331B" w:rsidRPr="00674FAA" w:rsidRDefault="0031331B" w:rsidP="00736D5A">
            <w:pPr>
              <w:spacing w:after="0" w:line="240" w:lineRule="auto"/>
              <w:jc w:val="center"/>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w:t>
            </w:r>
          </w:p>
        </w:tc>
      </w:tr>
      <w:tr w:rsidR="0031331B" w:rsidRPr="00674FAA" w14:paraId="411D73FB" w14:textId="77777777" w:rsidTr="00736D5A">
        <w:trPr>
          <w:trHeight w:val="300"/>
        </w:trPr>
        <w:tc>
          <w:tcPr>
            <w:tcW w:w="4106" w:type="dxa"/>
            <w:noWrap/>
            <w:vAlign w:val="bottom"/>
            <w:hideMark/>
          </w:tcPr>
          <w:p w14:paraId="7634900F"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Artes y Humanidades</w:t>
            </w:r>
          </w:p>
        </w:tc>
        <w:tc>
          <w:tcPr>
            <w:tcW w:w="1843" w:type="dxa"/>
            <w:noWrap/>
            <w:vAlign w:val="bottom"/>
            <w:hideMark/>
          </w:tcPr>
          <w:p w14:paraId="59877846"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81</w:t>
            </w:r>
          </w:p>
        </w:tc>
        <w:tc>
          <w:tcPr>
            <w:tcW w:w="1559" w:type="dxa"/>
            <w:noWrap/>
            <w:vAlign w:val="bottom"/>
            <w:hideMark/>
          </w:tcPr>
          <w:p w14:paraId="3D1DF3C4"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14,94</w:t>
            </w:r>
          </w:p>
        </w:tc>
      </w:tr>
      <w:tr w:rsidR="0031331B" w:rsidRPr="00674FAA" w14:paraId="0BA6D246" w14:textId="77777777" w:rsidTr="00736D5A">
        <w:trPr>
          <w:trHeight w:val="300"/>
        </w:trPr>
        <w:tc>
          <w:tcPr>
            <w:tcW w:w="4106" w:type="dxa"/>
            <w:noWrap/>
            <w:vAlign w:val="bottom"/>
            <w:hideMark/>
          </w:tcPr>
          <w:p w14:paraId="21F72C7E"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Ciencias Biológicas y de la Salud</w:t>
            </w:r>
          </w:p>
        </w:tc>
        <w:tc>
          <w:tcPr>
            <w:tcW w:w="1843" w:type="dxa"/>
            <w:noWrap/>
            <w:vAlign w:val="bottom"/>
            <w:hideMark/>
          </w:tcPr>
          <w:p w14:paraId="22729C1E"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216</w:t>
            </w:r>
          </w:p>
        </w:tc>
        <w:tc>
          <w:tcPr>
            <w:tcW w:w="1559" w:type="dxa"/>
            <w:noWrap/>
            <w:vAlign w:val="bottom"/>
            <w:hideMark/>
          </w:tcPr>
          <w:p w14:paraId="21DBE32C"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39,85</w:t>
            </w:r>
          </w:p>
        </w:tc>
      </w:tr>
      <w:tr w:rsidR="0031331B" w:rsidRPr="00674FAA" w14:paraId="4C080DE4" w14:textId="77777777" w:rsidTr="00736D5A">
        <w:trPr>
          <w:trHeight w:val="300"/>
        </w:trPr>
        <w:tc>
          <w:tcPr>
            <w:tcW w:w="4106" w:type="dxa"/>
            <w:noWrap/>
            <w:vAlign w:val="bottom"/>
            <w:hideMark/>
          </w:tcPr>
          <w:p w14:paraId="19DD7F41"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Ciencias Económicas y Derecho</w:t>
            </w:r>
          </w:p>
        </w:tc>
        <w:tc>
          <w:tcPr>
            <w:tcW w:w="1843" w:type="dxa"/>
            <w:noWrap/>
            <w:vAlign w:val="bottom"/>
            <w:hideMark/>
          </w:tcPr>
          <w:p w14:paraId="6167A073"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86</w:t>
            </w:r>
          </w:p>
        </w:tc>
        <w:tc>
          <w:tcPr>
            <w:tcW w:w="1559" w:type="dxa"/>
            <w:noWrap/>
            <w:vAlign w:val="bottom"/>
            <w:hideMark/>
          </w:tcPr>
          <w:p w14:paraId="5F8352B0"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15,87</w:t>
            </w:r>
          </w:p>
        </w:tc>
      </w:tr>
      <w:tr w:rsidR="0031331B" w:rsidRPr="00674FAA" w14:paraId="6F9607F9" w14:textId="77777777" w:rsidTr="00736D5A">
        <w:trPr>
          <w:trHeight w:val="300"/>
        </w:trPr>
        <w:tc>
          <w:tcPr>
            <w:tcW w:w="4106" w:type="dxa"/>
            <w:noWrap/>
            <w:vAlign w:val="bottom"/>
            <w:hideMark/>
          </w:tcPr>
          <w:p w14:paraId="6C09C981"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Ciencias Exactas</w:t>
            </w:r>
          </w:p>
        </w:tc>
        <w:tc>
          <w:tcPr>
            <w:tcW w:w="1843" w:type="dxa"/>
            <w:noWrap/>
            <w:vAlign w:val="bottom"/>
            <w:hideMark/>
          </w:tcPr>
          <w:p w14:paraId="4E84465C"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21</w:t>
            </w:r>
          </w:p>
        </w:tc>
        <w:tc>
          <w:tcPr>
            <w:tcW w:w="1559" w:type="dxa"/>
            <w:noWrap/>
            <w:vAlign w:val="bottom"/>
            <w:hideMark/>
          </w:tcPr>
          <w:p w14:paraId="438C11DC"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3,87</w:t>
            </w:r>
          </w:p>
        </w:tc>
      </w:tr>
      <w:tr w:rsidR="0031331B" w:rsidRPr="00674FAA" w14:paraId="32B7A52D" w14:textId="77777777" w:rsidTr="00736D5A">
        <w:trPr>
          <w:trHeight w:val="300"/>
        </w:trPr>
        <w:tc>
          <w:tcPr>
            <w:tcW w:w="4106" w:type="dxa"/>
            <w:noWrap/>
            <w:vAlign w:val="bottom"/>
            <w:hideMark/>
          </w:tcPr>
          <w:p w14:paraId="69BCE09A"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Ciencias sociales</w:t>
            </w:r>
          </w:p>
        </w:tc>
        <w:tc>
          <w:tcPr>
            <w:tcW w:w="1843" w:type="dxa"/>
            <w:noWrap/>
            <w:vAlign w:val="bottom"/>
            <w:hideMark/>
          </w:tcPr>
          <w:p w14:paraId="0E016B9C"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114</w:t>
            </w:r>
          </w:p>
        </w:tc>
        <w:tc>
          <w:tcPr>
            <w:tcW w:w="1559" w:type="dxa"/>
            <w:noWrap/>
            <w:vAlign w:val="bottom"/>
            <w:hideMark/>
          </w:tcPr>
          <w:p w14:paraId="6789F638"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21,03</w:t>
            </w:r>
          </w:p>
        </w:tc>
      </w:tr>
      <w:tr w:rsidR="0031331B" w:rsidRPr="00674FAA" w14:paraId="08D6AE5A" w14:textId="77777777" w:rsidTr="00736D5A">
        <w:trPr>
          <w:trHeight w:val="300"/>
        </w:trPr>
        <w:tc>
          <w:tcPr>
            <w:tcW w:w="4106" w:type="dxa"/>
            <w:noWrap/>
            <w:vAlign w:val="bottom"/>
            <w:hideMark/>
          </w:tcPr>
          <w:p w14:paraId="4A48793A"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Ingenierías</w:t>
            </w:r>
          </w:p>
        </w:tc>
        <w:tc>
          <w:tcPr>
            <w:tcW w:w="1843" w:type="dxa"/>
            <w:noWrap/>
            <w:vAlign w:val="bottom"/>
            <w:hideMark/>
          </w:tcPr>
          <w:p w14:paraId="595F83A8"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24</w:t>
            </w:r>
          </w:p>
        </w:tc>
        <w:tc>
          <w:tcPr>
            <w:tcW w:w="1559" w:type="dxa"/>
            <w:noWrap/>
            <w:vAlign w:val="bottom"/>
            <w:hideMark/>
          </w:tcPr>
          <w:p w14:paraId="404A98DA"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4,43</w:t>
            </w:r>
          </w:p>
        </w:tc>
      </w:tr>
      <w:tr w:rsidR="0031331B" w:rsidRPr="00674FAA" w14:paraId="282E5DB9" w14:textId="77777777" w:rsidTr="00736D5A">
        <w:trPr>
          <w:trHeight w:val="300"/>
        </w:trPr>
        <w:tc>
          <w:tcPr>
            <w:tcW w:w="4106" w:type="dxa"/>
            <w:noWrap/>
            <w:vAlign w:val="bottom"/>
          </w:tcPr>
          <w:p w14:paraId="2EEB6D4A" w14:textId="77777777" w:rsidR="0031331B" w:rsidRPr="00674FAA" w:rsidRDefault="0031331B" w:rsidP="00736D5A">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Total registros</w:t>
            </w:r>
          </w:p>
        </w:tc>
        <w:tc>
          <w:tcPr>
            <w:tcW w:w="1843" w:type="dxa"/>
            <w:noWrap/>
            <w:vAlign w:val="bottom"/>
          </w:tcPr>
          <w:p w14:paraId="18CC8B5F"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542</w:t>
            </w:r>
          </w:p>
        </w:tc>
        <w:tc>
          <w:tcPr>
            <w:tcW w:w="1559" w:type="dxa"/>
            <w:noWrap/>
            <w:vAlign w:val="bottom"/>
          </w:tcPr>
          <w:p w14:paraId="7A0B8D08" w14:textId="77777777" w:rsidR="0031331B" w:rsidRPr="00674FAA" w:rsidRDefault="0031331B" w:rsidP="00736D5A">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100,00</w:t>
            </w:r>
          </w:p>
        </w:tc>
      </w:tr>
    </w:tbl>
    <w:p w14:paraId="15CE58C1" w14:textId="77777777" w:rsidR="0031331B" w:rsidRPr="00674FAA" w:rsidRDefault="0031331B" w:rsidP="0031331B">
      <w:pPr>
        <w:spacing w:after="0" w:line="240" w:lineRule="auto"/>
        <w:jc w:val="both"/>
        <w:rPr>
          <w:rFonts w:ascii="Times New Roman" w:hAnsi="Times New Roman" w:cs="Times New Roman"/>
        </w:rPr>
      </w:pPr>
    </w:p>
    <w:p w14:paraId="282F8FB9"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Se destaca la mayor presencia de candidatos con formación de grado en Ciencias Biológicas y de la Salud, particularmente de Medicina, Odontología, Enfermería, Psicología, Kinesiología, Nutrición, Farmacia y Bioquímica. Muchas carreras de grado y posgrado vinculadas con la salud se han incorporado a las regulaciones de estándares profesionales y mecanismos periódicos de acreditación y se manifiesta desde estos ámbitos una demanda mayor de formación especializada en evaluación universitaria.</w:t>
      </w:r>
    </w:p>
    <w:p w14:paraId="43A97B1B"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 xml:space="preserve">La participación de candidatos provenientes de Ciencias Sociales, Ciencias Económicas y Derecho, y Artes y Humanidades se puede vincular con su inserción en espacios de gestión, docencia o investigación educativa. </w:t>
      </w:r>
    </w:p>
    <w:p w14:paraId="57E49EE9"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lastRenderedPageBreak/>
        <w:t>Por su parte, la baja proporción de candidatos provenientes de Ciencias Exactas podría ser un reflejo de la menor vinculación de estas áreas con las tareas de evaluación y acreditación demandadas por la normativa nacional.</w:t>
      </w:r>
    </w:p>
    <w:p w14:paraId="78B14441"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Finalmente, la menor presencia relativa de graduados de Ingenierías no se debe a una escasa vinculación histórica de estas carreras con la evaluación y la acreditación, ya que junto con Medicina integraron los primeros procesos de acreditación en el país. Una hipótesis posible es que, en este campo, la evaluación puede ser concebida principalmente desde una perspectiva técnico-procedimental, asociada con procesos de gestión, control, planificación y mejora continua propios de la formación en gestión empresarial presente en las ingenierías. Desde esta perspectiva, la evaluación universitaria podría ser entendida más como una práctica instrumental de aseguramiento y administración de procesos que como un campo específico de formación académica.</w:t>
      </w:r>
    </w:p>
    <w:p w14:paraId="43947C3B"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Cabe advertir que las diferencias entre carreras de origen de los candidatos por área disciplinar podría deberse a la cantidad de graduados por área disciplinar en el país. Comparamos la proporción de candidatos provenientes de Ciencias de la Salud y de Ingenierías con la proporción de graduados de áreas equivalentes en el anuario de estadísticas 2023 de la Secretaría de Políticas Universitarias. Esta comparación confirma que entre los candidatos a la carrera hay una sobrerrepresentación de egresados en Ciencias de la Salud y una representación reducida de graduados en Ciencias Aplicadas (donde predominan las ingenierías).</w:t>
      </w:r>
    </w:p>
    <w:p w14:paraId="326EBEC6"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El formulario de preinscripción también nos da la posibilidad de analizar los intereses a partir de los cuales se aproximan a la carrera y si cuentan con alguna experiencia previa en tareas de evaluación institucional y/o acreditación.</w:t>
      </w:r>
    </w:p>
    <w:p w14:paraId="5D997583"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Entre los candidatos a la carrera el 49% manifiesta tener alguna experiencia en evaluación institucional o en acreditación de carreras.</w:t>
      </w:r>
    </w:p>
    <w:p w14:paraId="633E1CA5" w14:textId="77777777" w:rsidR="0031331B" w:rsidRPr="00674FAA" w:rsidRDefault="0031331B" w:rsidP="0031331B">
      <w:pPr>
        <w:spacing w:after="0" w:line="240" w:lineRule="auto"/>
        <w:jc w:val="both"/>
        <w:rPr>
          <w:rFonts w:ascii="Times New Roman" w:hAnsi="Times New Roman" w:cs="Times New Roman"/>
        </w:rPr>
      </w:pPr>
    </w:p>
    <w:p w14:paraId="79B2CBA4" w14:textId="0C54064F" w:rsidR="008D4172" w:rsidRDefault="0031331B" w:rsidP="0031331B">
      <w:pPr>
        <w:spacing w:after="0" w:line="240" w:lineRule="auto"/>
        <w:jc w:val="both"/>
        <w:rPr>
          <w:rFonts w:ascii="Times New Roman" w:hAnsi="Times New Roman" w:cs="Times New Roman"/>
          <w:b/>
          <w:bCs/>
        </w:rPr>
      </w:pPr>
      <w:r w:rsidRPr="00674FAA">
        <w:rPr>
          <w:rFonts w:ascii="Times New Roman" w:hAnsi="Times New Roman" w:cs="Times New Roman"/>
          <w:b/>
          <w:bCs/>
        </w:rPr>
        <w:t>Tabla 3</w:t>
      </w:r>
    </w:p>
    <w:p w14:paraId="60DDE205" w14:textId="07B30426" w:rsidR="0031331B" w:rsidRDefault="0031331B" w:rsidP="0031331B">
      <w:pPr>
        <w:spacing w:after="0" w:line="240" w:lineRule="auto"/>
        <w:jc w:val="both"/>
        <w:rPr>
          <w:rFonts w:ascii="Times New Roman" w:hAnsi="Times New Roman" w:cs="Times New Roman"/>
          <w:b/>
          <w:bCs/>
        </w:rPr>
      </w:pPr>
      <w:r w:rsidRPr="00674FAA">
        <w:rPr>
          <w:rFonts w:ascii="Times New Roman" w:hAnsi="Times New Roman" w:cs="Times New Roman"/>
          <w:b/>
          <w:bCs/>
        </w:rPr>
        <w:t>Experiencia previa en el campo</w:t>
      </w:r>
    </w:p>
    <w:p w14:paraId="5F241E80" w14:textId="77777777" w:rsidR="008D4172" w:rsidRPr="00674FAA" w:rsidRDefault="008D4172" w:rsidP="0031331B">
      <w:pPr>
        <w:spacing w:after="0" w:line="240" w:lineRule="auto"/>
        <w:jc w:val="both"/>
        <w:rPr>
          <w:rFonts w:ascii="Times New Roman" w:hAnsi="Times New Roman" w:cs="Times New Roman"/>
          <w:b/>
          <w:bCs/>
        </w:rPr>
      </w:pP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1276"/>
      </w:tblGrid>
      <w:tr w:rsidR="0031331B" w:rsidRPr="00674FAA" w14:paraId="4D69672C" w14:textId="77777777" w:rsidTr="004D07B4">
        <w:trPr>
          <w:trHeight w:val="20"/>
        </w:trPr>
        <w:tc>
          <w:tcPr>
            <w:tcW w:w="4248" w:type="dxa"/>
            <w:vAlign w:val="center"/>
            <w:hideMark/>
          </w:tcPr>
          <w:p w14:paraId="3B34D23A" w14:textId="77777777" w:rsidR="0031331B" w:rsidRPr="00674FAA" w:rsidRDefault="0031331B" w:rsidP="00736D5A">
            <w:pPr>
              <w:spacing w:after="0" w:line="240" w:lineRule="auto"/>
              <w:rPr>
                <w:rFonts w:ascii="Times New Roman" w:eastAsia="Times New Roman" w:hAnsi="Times New Roman" w:cs="Times New Roman"/>
                <w:b/>
                <w:bCs/>
                <w:kern w:val="0"/>
                <w:lang w:eastAsia="es-ES"/>
                <w14:ligatures w14:val="none"/>
              </w:rPr>
            </w:pPr>
            <w:r w:rsidRPr="00674FAA">
              <w:rPr>
                <w:rFonts w:ascii="Times New Roman" w:eastAsia="Times New Roman" w:hAnsi="Times New Roman" w:cs="Times New Roman"/>
                <w:b/>
                <w:bCs/>
                <w:kern w:val="0"/>
                <w:lang w:eastAsia="es-ES"/>
                <w14:ligatures w14:val="none"/>
              </w:rPr>
              <w:t>Experiencia</w:t>
            </w:r>
          </w:p>
        </w:tc>
        <w:tc>
          <w:tcPr>
            <w:tcW w:w="1276" w:type="dxa"/>
            <w:vAlign w:val="center"/>
            <w:hideMark/>
          </w:tcPr>
          <w:p w14:paraId="7471D0EF" w14:textId="69D3384F" w:rsidR="0031331B" w:rsidRPr="00674FAA" w:rsidRDefault="0031331B" w:rsidP="00736D5A">
            <w:pPr>
              <w:spacing w:after="0" w:line="240" w:lineRule="auto"/>
              <w:jc w:val="center"/>
              <w:rPr>
                <w:rFonts w:ascii="Times New Roman" w:eastAsia="Times New Roman" w:hAnsi="Times New Roman" w:cs="Times New Roman"/>
                <w:b/>
                <w:bCs/>
                <w:kern w:val="0"/>
                <w:lang w:eastAsia="es-ES"/>
                <w14:ligatures w14:val="none"/>
              </w:rPr>
            </w:pPr>
            <w:r w:rsidRPr="00674FAA">
              <w:rPr>
                <w:rFonts w:ascii="Times New Roman" w:eastAsia="Times New Roman" w:hAnsi="Times New Roman" w:cs="Times New Roman"/>
                <w:b/>
                <w:bCs/>
                <w:kern w:val="0"/>
                <w:lang w:eastAsia="es-ES"/>
                <w14:ligatures w14:val="none"/>
              </w:rPr>
              <w:t xml:space="preserve">% </w:t>
            </w:r>
          </w:p>
        </w:tc>
      </w:tr>
      <w:tr w:rsidR="0031331B" w:rsidRPr="00674FAA" w14:paraId="7686B340" w14:textId="77777777" w:rsidTr="004D07B4">
        <w:trPr>
          <w:trHeight w:val="20"/>
        </w:trPr>
        <w:tc>
          <w:tcPr>
            <w:tcW w:w="4248" w:type="dxa"/>
            <w:noWrap/>
            <w:vAlign w:val="center"/>
            <w:hideMark/>
          </w:tcPr>
          <w:p w14:paraId="5FA7D0AF" w14:textId="77777777" w:rsidR="0031331B" w:rsidRPr="00674FAA" w:rsidRDefault="0031331B" w:rsidP="00947137">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Declara experiencia previa o actual</w:t>
            </w:r>
          </w:p>
        </w:tc>
        <w:tc>
          <w:tcPr>
            <w:tcW w:w="1276" w:type="dxa"/>
            <w:noWrap/>
            <w:vAlign w:val="center"/>
            <w:hideMark/>
          </w:tcPr>
          <w:p w14:paraId="43FDB146" w14:textId="77777777" w:rsidR="0031331B" w:rsidRPr="00674FAA" w:rsidRDefault="0031331B" w:rsidP="00947137">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49,2%</w:t>
            </w:r>
          </w:p>
        </w:tc>
      </w:tr>
      <w:tr w:rsidR="0031331B" w:rsidRPr="00674FAA" w14:paraId="0BA7C13F" w14:textId="77777777" w:rsidTr="004D07B4">
        <w:trPr>
          <w:trHeight w:val="20"/>
        </w:trPr>
        <w:tc>
          <w:tcPr>
            <w:tcW w:w="4248" w:type="dxa"/>
            <w:noWrap/>
            <w:vAlign w:val="center"/>
          </w:tcPr>
          <w:p w14:paraId="2897A2E0" w14:textId="77777777" w:rsidR="0031331B" w:rsidRPr="00674FAA" w:rsidRDefault="0031331B" w:rsidP="00947137">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Declara que no tiene experiencia previa</w:t>
            </w:r>
          </w:p>
        </w:tc>
        <w:tc>
          <w:tcPr>
            <w:tcW w:w="1276" w:type="dxa"/>
            <w:noWrap/>
            <w:vAlign w:val="center"/>
          </w:tcPr>
          <w:p w14:paraId="5C503255" w14:textId="77777777" w:rsidR="0031331B" w:rsidRPr="00674FAA" w:rsidRDefault="0031331B" w:rsidP="00947137">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5,2%</w:t>
            </w:r>
          </w:p>
        </w:tc>
      </w:tr>
      <w:tr w:rsidR="0031331B" w:rsidRPr="00674FAA" w14:paraId="2DC1F09D" w14:textId="77777777" w:rsidTr="004D07B4">
        <w:trPr>
          <w:trHeight w:val="20"/>
        </w:trPr>
        <w:tc>
          <w:tcPr>
            <w:tcW w:w="4248" w:type="dxa"/>
            <w:noWrap/>
            <w:vAlign w:val="center"/>
            <w:hideMark/>
          </w:tcPr>
          <w:p w14:paraId="3DAD439C" w14:textId="77777777" w:rsidR="0031331B" w:rsidRPr="00674FAA" w:rsidRDefault="0031331B" w:rsidP="00947137">
            <w:pPr>
              <w:spacing w:after="0" w:line="240" w:lineRule="auto"/>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No dice si tiene experiencia previa</w:t>
            </w:r>
          </w:p>
        </w:tc>
        <w:tc>
          <w:tcPr>
            <w:tcW w:w="1276" w:type="dxa"/>
            <w:noWrap/>
            <w:vAlign w:val="center"/>
            <w:hideMark/>
          </w:tcPr>
          <w:p w14:paraId="3B079A94" w14:textId="77777777" w:rsidR="0031331B" w:rsidRPr="00674FAA" w:rsidRDefault="0031331B" w:rsidP="00947137">
            <w:pPr>
              <w:spacing w:after="0" w:line="240" w:lineRule="auto"/>
              <w:jc w:val="right"/>
              <w:rPr>
                <w:rFonts w:ascii="Times New Roman" w:eastAsia="Times New Roman" w:hAnsi="Times New Roman" w:cs="Times New Roman"/>
                <w:color w:val="000000"/>
                <w:kern w:val="0"/>
                <w:lang w:eastAsia="es-ES"/>
                <w14:ligatures w14:val="none"/>
              </w:rPr>
            </w:pPr>
            <w:r w:rsidRPr="00674FAA">
              <w:rPr>
                <w:rFonts w:ascii="Times New Roman" w:eastAsia="Times New Roman" w:hAnsi="Times New Roman" w:cs="Times New Roman"/>
                <w:color w:val="000000"/>
                <w:kern w:val="0"/>
                <w:lang w:eastAsia="es-ES"/>
                <w14:ligatures w14:val="none"/>
              </w:rPr>
              <w:t>45,6%</w:t>
            </w:r>
          </w:p>
        </w:tc>
      </w:tr>
    </w:tbl>
    <w:p w14:paraId="04389081" w14:textId="77777777" w:rsidR="0031331B" w:rsidRPr="00674FAA" w:rsidRDefault="0031331B" w:rsidP="0031331B">
      <w:pPr>
        <w:spacing w:after="0" w:line="240" w:lineRule="auto"/>
        <w:jc w:val="both"/>
        <w:rPr>
          <w:rFonts w:ascii="Times New Roman" w:hAnsi="Times New Roman" w:cs="Times New Roman"/>
          <w:color w:val="000000" w:themeColor="text1"/>
        </w:rPr>
      </w:pPr>
    </w:p>
    <w:p w14:paraId="38F39B4C"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Respecto de los intereses manifestados por los candidatos, se observa un predominio de expectativas vinculadas con la comprensión, participación y fortalecimiento de procesos de evaluación institucional, autoevaluación, evaluación externa y acreditación de carreras, así como con el conocimiento de los vínculos entre las instituciones universitarias, la CONEAU y otros organismos de evaluación.</w:t>
      </w:r>
    </w:p>
    <w:p w14:paraId="74997EF5"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 xml:space="preserve">También se identifica una demanda de formación teórica, conceptual y metodológica que permita contar con herramientas específicas para evaluar con mayor fundamento. En este sentido, varios candidatos expresan interés por aplicar la evaluación a funciones de gestión académica e institucional, planificación, mejora de procesos y apoyo a la toma de decisiones. Otro grupo orienta sus expectativas hacia la investigación, la producción de </w:t>
      </w:r>
      <w:r w:rsidRPr="00674FAA">
        <w:rPr>
          <w:rFonts w:ascii="Times New Roman" w:hAnsi="Times New Roman" w:cs="Times New Roman"/>
        </w:rPr>
        <w:lastRenderedPageBreak/>
        <w:t>conocimiento académico y el desarrollo de trabajos finales, tesis o proyectos vinculados con la evaluación universitaria.</w:t>
      </w:r>
    </w:p>
    <w:p w14:paraId="3FA880BA"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En algunos casos, los intereses se asocian con la práctica docente, la enseñanza, la evaluación de los aprendizajes y la formación pedagógica universitaria. Frente a estas situaciones, la carrera establece comunicación con los interesados a fin de precisar que esos temas, si bien son parte de la formación en evaluación universitaria, no constituyen el eje central de la propuesta formativa.</w:t>
      </w:r>
    </w:p>
    <w:p w14:paraId="3E5F45FF" w14:textId="77777777" w:rsidR="0031331B" w:rsidRPr="00674FAA" w:rsidRDefault="0031331B" w:rsidP="0031331B">
      <w:pPr>
        <w:spacing w:after="0" w:line="240" w:lineRule="auto"/>
        <w:jc w:val="both"/>
        <w:rPr>
          <w:rFonts w:ascii="Times New Roman" w:hAnsi="Times New Roman" w:cs="Times New Roman"/>
          <w:b/>
          <w:bCs/>
        </w:rPr>
      </w:pPr>
    </w:p>
    <w:p w14:paraId="680D2D16" w14:textId="77777777" w:rsidR="0031331B" w:rsidRDefault="0031331B" w:rsidP="004D07B4">
      <w:pPr>
        <w:pStyle w:val="Prrafodelista"/>
        <w:numPr>
          <w:ilvl w:val="0"/>
          <w:numId w:val="1"/>
        </w:numPr>
        <w:spacing w:after="0" w:line="240" w:lineRule="auto"/>
        <w:contextualSpacing w:val="0"/>
        <w:rPr>
          <w:rFonts w:ascii="Times New Roman" w:hAnsi="Times New Roman" w:cs="Times New Roman"/>
          <w:b/>
          <w:bCs/>
        </w:rPr>
      </w:pPr>
      <w:r w:rsidRPr="00674FAA">
        <w:rPr>
          <w:rFonts w:ascii="Times New Roman" w:hAnsi="Times New Roman" w:cs="Times New Roman"/>
          <w:b/>
          <w:bCs/>
        </w:rPr>
        <w:t>¿Cuáles son los temas más elegidos para los trabajos finales?</w:t>
      </w:r>
    </w:p>
    <w:p w14:paraId="11D6ACBD" w14:textId="77777777" w:rsidR="00947137" w:rsidRPr="00947137" w:rsidRDefault="00947137" w:rsidP="00947137">
      <w:pPr>
        <w:spacing w:after="0" w:line="240" w:lineRule="auto"/>
        <w:rPr>
          <w:rFonts w:ascii="Times New Roman" w:hAnsi="Times New Roman" w:cs="Times New Roman"/>
          <w:b/>
          <w:bCs/>
        </w:rPr>
      </w:pPr>
    </w:p>
    <w:p w14:paraId="5C87A2F2"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El análisis de los Trabajos Finales Integradores permite observar cómo los estudiantes traducen sus intereses y la formación recibida en problemas de estudio, diseños de evaluación, propuestas de intervención y producciones académicas.</w:t>
      </w:r>
    </w:p>
    <w:p w14:paraId="5A8304B7"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Para este estudio se tomó como unidad de análisis cada Trabajo Final Integrador defendido y aprobado en la carrera hasta mayo de 2026. El corpus quedó conformado por 68 TFI correspondientes a estudiantes ingresantes entre 2018 y 2023. La clasificación se realizó a partir de la lectura de los títulos y objetivos de cada trabajo, considerando tres dimensiones: tema de estudio, tipo de producción y ámbito universitario de aplicación. En cada dimensión se asignó una única categoría predominante, definida según el foco principal del trabajo. Cuando un TFI podía vincularse con más de una categoría, se priorizó aquella que expresaba con mayor claridad el propósito central del estudio. En los casos en que el título u objetivo no permitía identificar un campo disciplinar específico, se utilizó la categoría “No focaliza”. Esta decisión permitió ordenar el corpus, hacer comparables los resultados y reconocer las principales orientaciones de la producción académica de la carrera.</w:t>
      </w:r>
    </w:p>
    <w:p w14:paraId="6F58C269" w14:textId="77777777" w:rsidR="0031331B" w:rsidRPr="00674FAA" w:rsidRDefault="0031331B" w:rsidP="0031331B">
      <w:pPr>
        <w:spacing w:after="0" w:line="240" w:lineRule="auto"/>
        <w:jc w:val="both"/>
        <w:rPr>
          <w:rFonts w:ascii="Times New Roman" w:hAnsi="Times New Roman" w:cs="Times New Roman"/>
        </w:rPr>
      </w:pPr>
    </w:p>
    <w:p w14:paraId="3B271F7F" w14:textId="66939ADE" w:rsidR="0031331B" w:rsidRPr="00947137" w:rsidRDefault="00947137" w:rsidP="004D07B4">
      <w:pPr>
        <w:pStyle w:val="Prrafodelista"/>
        <w:numPr>
          <w:ilvl w:val="1"/>
          <w:numId w:val="1"/>
        </w:numPr>
        <w:spacing w:after="0" w:line="240" w:lineRule="auto"/>
        <w:jc w:val="both"/>
        <w:rPr>
          <w:rFonts w:ascii="Times New Roman" w:hAnsi="Times New Roman" w:cs="Times New Roman"/>
          <w:b/>
          <w:bCs/>
        </w:rPr>
      </w:pPr>
      <w:r>
        <w:rPr>
          <w:rFonts w:ascii="Times New Roman" w:hAnsi="Times New Roman" w:cs="Times New Roman"/>
          <w:b/>
          <w:bCs/>
        </w:rPr>
        <w:t xml:space="preserve"> </w:t>
      </w:r>
      <w:r w:rsidR="0031331B" w:rsidRPr="00947137">
        <w:rPr>
          <w:rFonts w:ascii="Times New Roman" w:hAnsi="Times New Roman" w:cs="Times New Roman"/>
          <w:b/>
          <w:bCs/>
        </w:rPr>
        <w:t>Tema de estudio</w:t>
      </w:r>
    </w:p>
    <w:p w14:paraId="66F00D99"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Los temas que despiertan mayor interés entre los estudiantes se concentran en problemas directamente vinculados con la evaluación institucional, la acreditación y la mejora de la calidad universitaria. El tema más elegido es evaluación institucional y autoevaluación, con 13 trabajos, equivalentes al 19,1% del total. Este predominio muestra una clara preocupación por comprender y fortalecer los procesos internos de aseguramiento de la calidad, la cultura evaluativa, la autoevaluación institucional y los sistemas internos de mejora.</w:t>
      </w:r>
    </w:p>
    <w:p w14:paraId="224684D8"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En segundo lugar se ubican los trabajos sobre acreditación de carreras de grado y posgrados, con 11 casos, que representan el 16,2%. Este interés expresa la centralidad que tienen los procesos de acreditación, la normativa, los estándares, los criterios de calidad y sus efectos institucionales en la agenda profesional de quienes cursan la Especialización.</w:t>
      </w:r>
    </w:p>
    <w:p w14:paraId="06631948"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También se observa una presencia relevante de trabajos sobre evaluación de prácticas profesionales y gestión universitaria, con 7 casos cada uno (10,3%). A ellos se suman la evaluación de programas académicos e institucionales, la evaluación del currículum y la evaluación de los aprendizajes, con 6 trabajos cada tema (8,8%). En conjunto, estos resultados muestran que los estudiantes eligen profundizar en temas aplicados, situados y vinculados con procesos concretos de mejora institucional.</w:t>
      </w:r>
    </w:p>
    <w:p w14:paraId="22CD8539" w14:textId="77777777" w:rsidR="0031331B"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lastRenderedPageBreak/>
        <w:t>También se analizó si los TFI focalizan su objeto de estudio en un campo disciplinar específico. Para ello, se clasificaron los trabajos según las siguientes categorías: Artes y Humanidades, Ciencias de la Salud, Ciencias Económicas y Derecho, Ciencias Exactas, Ciencias Sociales, Ingenierías y “Temas institucionales o transversales”. Esta última categoría se utilizó cuando el título o los objetivos del trabajo no mencionaban una carrera, profesión, facultad o área disciplinar específica, sino que abordaban problemáticas institucionales, transversales o del sistema universitario en su conjunto.</w:t>
      </w:r>
    </w:p>
    <w:p w14:paraId="4153DEBF" w14:textId="77777777" w:rsidR="00947137" w:rsidRPr="00674FAA" w:rsidRDefault="00947137" w:rsidP="0031331B">
      <w:pPr>
        <w:spacing w:after="0" w:line="240" w:lineRule="auto"/>
        <w:jc w:val="both"/>
        <w:rPr>
          <w:rFonts w:ascii="Times New Roman" w:hAnsi="Times New Roman" w:cs="Times New Roman"/>
        </w:rPr>
      </w:pPr>
    </w:p>
    <w:p w14:paraId="1F7BFDB5" w14:textId="4EFBFB47" w:rsidR="00947137" w:rsidRDefault="0031331B" w:rsidP="0031331B">
      <w:pPr>
        <w:spacing w:after="0" w:line="240" w:lineRule="auto"/>
        <w:jc w:val="both"/>
        <w:rPr>
          <w:rFonts w:ascii="Times New Roman" w:hAnsi="Times New Roman" w:cs="Times New Roman"/>
          <w:b/>
          <w:bCs/>
        </w:rPr>
      </w:pPr>
      <w:r w:rsidRPr="00674FAA">
        <w:rPr>
          <w:rFonts w:ascii="Times New Roman" w:hAnsi="Times New Roman" w:cs="Times New Roman"/>
          <w:b/>
          <w:bCs/>
        </w:rPr>
        <w:t xml:space="preserve">Tabla </w:t>
      </w:r>
      <w:r w:rsidR="004D07B4">
        <w:rPr>
          <w:rFonts w:ascii="Times New Roman" w:hAnsi="Times New Roman" w:cs="Times New Roman"/>
          <w:b/>
          <w:bCs/>
        </w:rPr>
        <w:t>4</w:t>
      </w:r>
    </w:p>
    <w:p w14:paraId="417C99AC" w14:textId="27F28F9B" w:rsidR="0031331B" w:rsidRDefault="0031331B" w:rsidP="0031331B">
      <w:pPr>
        <w:spacing w:after="0" w:line="240" w:lineRule="auto"/>
        <w:jc w:val="both"/>
        <w:rPr>
          <w:rFonts w:ascii="Times New Roman" w:hAnsi="Times New Roman" w:cs="Times New Roman"/>
          <w:b/>
          <w:bCs/>
        </w:rPr>
      </w:pPr>
      <w:r w:rsidRPr="00674FAA">
        <w:rPr>
          <w:rFonts w:ascii="Times New Roman" w:hAnsi="Times New Roman" w:cs="Times New Roman"/>
          <w:b/>
          <w:bCs/>
        </w:rPr>
        <w:t>Temas de estudio según temas transversales o referidos a campo disciplinar</w:t>
      </w:r>
    </w:p>
    <w:p w14:paraId="6C2F197C" w14:textId="77777777" w:rsidR="00947137" w:rsidRPr="00674FAA" w:rsidRDefault="00947137" w:rsidP="0031331B">
      <w:pPr>
        <w:spacing w:after="0" w:line="240" w:lineRule="auto"/>
        <w:jc w:val="both"/>
        <w:rPr>
          <w:rFonts w:ascii="Times New Roman" w:hAnsi="Times New Roman" w:cs="Times New Roman"/>
          <w:b/>
          <w:bCs/>
        </w:rPr>
      </w:pPr>
    </w:p>
    <w:tbl>
      <w:tblPr>
        <w:tblStyle w:val="Tablaconcuadrcula"/>
        <w:tblW w:w="0" w:type="auto"/>
        <w:jc w:val="center"/>
        <w:tblLook w:val="04A0" w:firstRow="1" w:lastRow="0" w:firstColumn="1" w:lastColumn="0" w:noHBand="0" w:noVBand="1"/>
      </w:tblPr>
      <w:tblGrid>
        <w:gridCol w:w="2831"/>
        <w:gridCol w:w="1417"/>
        <w:gridCol w:w="1276"/>
      </w:tblGrid>
      <w:tr w:rsidR="0031331B" w:rsidRPr="00674FAA" w14:paraId="39F6E4BB" w14:textId="77777777" w:rsidTr="00736D5A">
        <w:trPr>
          <w:jc w:val="center"/>
        </w:trPr>
        <w:tc>
          <w:tcPr>
            <w:tcW w:w="2831" w:type="dxa"/>
          </w:tcPr>
          <w:p w14:paraId="64203DA3" w14:textId="77777777" w:rsidR="0031331B" w:rsidRPr="00674FAA" w:rsidRDefault="0031331B" w:rsidP="00736D5A">
            <w:pPr>
              <w:jc w:val="both"/>
              <w:rPr>
                <w:rFonts w:ascii="Times New Roman" w:hAnsi="Times New Roman" w:cs="Times New Roman"/>
                <w:b/>
                <w:bCs/>
              </w:rPr>
            </w:pPr>
            <w:r w:rsidRPr="00674FAA">
              <w:rPr>
                <w:rFonts w:ascii="Times New Roman" w:hAnsi="Times New Roman" w:cs="Times New Roman"/>
                <w:b/>
                <w:bCs/>
              </w:rPr>
              <w:t>Campo disciplinar</w:t>
            </w:r>
          </w:p>
        </w:tc>
        <w:tc>
          <w:tcPr>
            <w:tcW w:w="1417" w:type="dxa"/>
          </w:tcPr>
          <w:p w14:paraId="43E99478" w14:textId="77777777" w:rsidR="0031331B" w:rsidRPr="00674FAA" w:rsidRDefault="0031331B" w:rsidP="00736D5A">
            <w:pPr>
              <w:jc w:val="center"/>
              <w:rPr>
                <w:rFonts w:ascii="Times New Roman" w:hAnsi="Times New Roman" w:cs="Times New Roman"/>
                <w:b/>
                <w:bCs/>
              </w:rPr>
            </w:pPr>
            <w:r w:rsidRPr="00674FAA">
              <w:rPr>
                <w:rFonts w:ascii="Times New Roman" w:hAnsi="Times New Roman" w:cs="Times New Roman"/>
                <w:b/>
                <w:bCs/>
              </w:rPr>
              <w:t>N</w:t>
            </w:r>
          </w:p>
        </w:tc>
        <w:tc>
          <w:tcPr>
            <w:tcW w:w="1276" w:type="dxa"/>
          </w:tcPr>
          <w:p w14:paraId="72F19BE7" w14:textId="77777777" w:rsidR="0031331B" w:rsidRPr="00674FAA" w:rsidRDefault="0031331B" w:rsidP="00736D5A">
            <w:pPr>
              <w:jc w:val="center"/>
              <w:rPr>
                <w:rFonts w:ascii="Times New Roman" w:hAnsi="Times New Roman" w:cs="Times New Roman"/>
                <w:b/>
                <w:bCs/>
              </w:rPr>
            </w:pPr>
            <w:r w:rsidRPr="00674FAA">
              <w:rPr>
                <w:rFonts w:ascii="Times New Roman" w:hAnsi="Times New Roman" w:cs="Times New Roman"/>
                <w:b/>
                <w:bCs/>
              </w:rPr>
              <w:t>%</w:t>
            </w:r>
          </w:p>
        </w:tc>
      </w:tr>
      <w:tr w:rsidR="0031331B" w:rsidRPr="00674FAA" w14:paraId="04A174F6" w14:textId="77777777" w:rsidTr="00736D5A">
        <w:trPr>
          <w:jc w:val="center"/>
        </w:trPr>
        <w:tc>
          <w:tcPr>
            <w:tcW w:w="2831" w:type="dxa"/>
          </w:tcPr>
          <w:p w14:paraId="4FB19E7E" w14:textId="77777777" w:rsidR="0031331B" w:rsidRPr="00674FAA" w:rsidRDefault="0031331B" w:rsidP="00736D5A">
            <w:pPr>
              <w:jc w:val="both"/>
              <w:rPr>
                <w:rFonts w:ascii="Times New Roman" w:hAnsi="Times New Roman" w:cs="Times New Roman"/>
              </w:rPr>
            </w:pPr>
            <w:r w:rsidRPr="00674FAA">
              <w:rPr>
                <w:rFonts w:ascii="Times New Roman" w:hAnsi="Times New Roman" w:cs="Times New Roman"/>
              </w:rPr>
              <w:t>Artes y humanidades</w:t>
            </w:r>
          </w:p>
        </w:tc>
        <w:tc>
          <w:tcPr>
            <w:tcW w:w="1417" w:type="dxa"/>
          </w:tcPr>
          <w:p w14:paraId="6C1A2954" w14:textId="77777777" w:rsidR="0031331B" w:rsidRPr="00674FAA" w:rsidRDefault="0031331B" w:rsidP="00736D5A">
            <w:pPr>
              <w:jc w:val="center"/>
              <w:rPr>
                <w:rFonts w:ascii="Times New Roman" w:hAnsi="Times New Roman" w:cs="Times New Roman"/>
              </w:rPr>
            </w:pPr>
            <w:r w:rsidRPr="00674FAA">
              <w:rPr>
                <w:rFonts w:ascii="Times New Roman" w:hAnsi="Times New Roman" w:cs="Times New Roman"/>
              </w:rPr>
              <w:t>0</w:t>
            </w:r>
          </w:p>
        </w:tc>
        <w:tc>
          <w:tcPr>
            <w:tcW w:w="1276" w:type="dxa"/>
          </w:tcPr>
          <w:p w14:paraId="42B06863" w14:textId="77777777" w:rsidR="0031331B" w:rsidRPr="00674FAA" w:rsidRDefault="0031331B" w:rsidP="00736D5A">
            <w:pPr>
              <w:jc w:val="right"/>
              <w:rPr>
                <w:rFonts w:ascii="Times New Roman" w:hAnsi="Times New Roman" w:cs="Times New Roman"/>
              </w:rPr>
            </w:pPr>
            <w:r w:rsidRPr="00674FAA">
              <w:rPr>
                <w:rFonts w:ascii="Times New Roman" w:hAnsi="Times New Roman" w:cs="Times New Roman"/>
              </w:rPr>
              <w:t>0,0%</w:t>
            </w:r>
          </w:p>
        </w:tc>
      </w:tr>
      <w:tr w:rsidR="0031331B" w:rsidRPr="00674FAA" w14:paraId="143B07DC" w14:textId="77777777" w:rsidTr="00736D5A">
        <w:trPr>
          <w:jc w:val="center"/>
        </w:trPr>
        <w:tc>
          <w:tcPr>
            <w:tcW w:w="2831" w:type="dxa"/>
          </w:tcPr>
          <w:p w14:paraId="4110B06C" w14:textId="77777777" w:rsidR="0031331B" w:rsidRPr="00674FAA" w:rsidRDefault="0031331B" w:rsidP="00736D5A">
            <w:pPr>
              <w:jc w:val="both"/>
              <w:rPr>
                <w:rFonts w:ascii="Times New Roman" w:hAnsi="Times New Roman" w:cs="Times New Roman"/>
              </w:rPr>
            </w:pPr>
            <w:r w:rsidRPr="00674FAA">
              <w:rPr>
                <w:rFonts w:ascii="Times New Roman" w:hAnsi="Times New Roman" w:cs="Times New Roman"/>
              </w:rPr>
              <w:t>Ciencias de la Salud</w:t>
            </w:r>
          </w:p>
        </w:tc>
        <w:tc>
          <w:tcPr>
            <w:tcW w:w="1417" w:type="dxa"/>
          </w:tcPr>
          <w:p w14:paraId="384CFBC6" w14:textId="77777777" w:rsidR="0031331B" w:rsidRPr="00674FAA" w:rsidRDefault="0031331B" w:rsidP="00736D5A">
            <w:pPr>
              <w:jc w:val="center"/>
              <w:rPr>
                <w:rFonts w:ascii="Times New Roman" w:hAnsi="Times New Roman" w:cs="Times New Roman"/>
              </w:rPr>
            </w:pPr>
            <w:r w:rsidRPr="00674FAA">
              <w:rPr>
                <w:rFonts w:ascii="Times New Roman" w:hAnsi="Times New Roman" w:cs="Times New Roman"/>
              </w:rPr>
              <w:t>29</w:t>
            </w:r>
          </w:p>
        </w:tc>
        <w:tc>
          <w:tcPr>
            <w:tcW w:w="1276" w:type="dxa"/>
          </w:tcPr>
          <w:p w14:paraId="7C639AEA" w14:textId="77777777" w:rsidR="0031331B" w:rsidRPr="00674FAA" w:rsidRDefault="0031331B" w:rsidP="00736D5A">
            <w:pPr>
              <w:jc w:val="right"/>
              <w:rPr>
                <w:rFonts w:ascii="Times New Roman" w:hAnsi="Times New Roman" w:cs="Times New Roman"/>
              </w:rPr>
            </w:pPr>
            <w:r w:rsidRPr="00674FAA">
              <w:rPr>
                <w:rFonts w:ascii="Times New Roman" w:hAnsi="Times New Roman" w:cs="Times New Roman"/>
              </w:rPr>
              <w:t>42,6%</w:t>
            </w:r>
          </w:p>
        </w:tc>
      </w:tr>
      <w:tr w:rsidR="0031331B" w:rsidRPr="00674FAA" w14:paraId="12CD20F1" w14:textId="77777777" w:rsidTr="00736D5A">
        <w:trPr>
          <w:jc w:val="center"/>
        </w:trPr>
        <w:tc>
          <w:tcPr>
            <w:tcW w:w="2831" w:type="dxa"/>
          </w:tcPr>
          <w:p w14:paraId="37A93859" w14:textId="77777777" w:rsidR="0031331B" w:rsidRPr="00674FAA" w:rsidRDefault="0031331B" w:rsidP="00736D5A">
            <w:pPr>
              <w:jc w:val="both"/>
              <w:rPr>
                <w:rFonts w:ascii="Times New Roman" w:hAnsi="Times New Roman" w:cs="Times New Roman"/>
              </w:rPr>
            </w:pPr>
            <w:r w:rsidRPr="00674FAA">
              <w:rPr>
                <w:rFonts w:ascii="Times New Roman" w:hAnsi="Times New Roman" w:cs="Times New Roman"/>
              </w:rPr>
              <w:t>Ciencias Económicas y Derecho</w:t>
            </w:r>
          </w:p>
        </w:tc>
        <w:tc>
          <w:tcPr>
            <w:tcW w:w="1417" w:type="dxa"/>
          </w:tcPr>
          <w:p w14:paraId="71E3755D" w14:textId="77777777" w:rsidR="0031331B" w:rsidRPr="00674FAA" w:rsidRDefault="0031331B" w:rsidP="00736D5A">
            <w:pPr>
              <w:jc w:val="center"/>
              <w:rPr>
                <w:rFonts w:ascii="Times New Roman" w:hAnsi="Times New Roman" w:cs="Times New Roman"/>
              </w:rPr>
            </w:pPr>
            <w:r w:rsidRPr="00674FAA">
              <w:rPr>
                <w:rFonts w:ascii="Times New Roman" w:hAnsi="Times New Roman" w:cs="Times New Roman"/>
              </w:rPr>
              <w:t>2</w:t>
            </w:r>
          </w:p>
        </w:tc>
        <w:tc>
          <w:tcPr>
            <w:tcW w:w="1276" w:type="dxa"/>
          </w:tcPr>
          <w:p w14:paraId="3E1A521E" w14:textId="77777777" w:rsidR="0031331B" w:rsidRPr="00674FAA" w:rsidRDefault="0031331B" w:rsidP="00736D5A">
            <w:pPr>
              <w:jc w:val="right"/>
              <w:rPr>
                <w:rFonts w:ascii="Times New Roman" w:hAnsi="Times New Roman" w:cs="Times New Roman"/>
              </w:rPr>
            </w:pPr>
            <w:r w:rsidRPr="00674FAA">
              <w:rPr>
                <w:rFonts w:ascii="Times New Roman" w:hAnsi="Times New Roman" w:cs="Times New Roman"/>
              </w:rPr>
              <w:t>2,9%</w:t>
            </w:r>
          </w:p>
        </w:tc>
      </w:tr>
      <w:tr w:rsidR="0031331B" w:rsidRPr="00674FAA" w14:paraId="51D38524" w14:textId="77777777" w:rsidTr="00736D5A">
        <w:trPr>
          <w:jc w:val="center"/>
        </w:trPr>
        <w:tc>
          <w:tcPr>
            <w:tcW w:w="2831" w:type="dxa"/>
          </w:tcPr>
          <w:p w14:paraId="6275816F" w14:textId="77777777" w:rsidR="0031331B" w:rsidRPr="00674FAA" w:rsidRDefault="0031331B" w:rsidP="00736D5A">
            <w:pPr>
              <w:jc w:val="both"/>
              <w:rPr>
                <w:rFonts w:ascii="Times New Roman" w:hAnsi="Times New Roman" w:cs="Times New Roman"/>
              </w:rPr>
            </w:pPr>
            <w:r w:rsidRPr="00674FAA">
              <w:rPr>
                <w:rFonts w:ascii="Times New Roman" w:hAnsi="Times New Roman" w:cs="Times New Roman"/>
              </w:rPr>
              <w:t>Ciencias Exactas</w:t>
            </w:r>
          </w:p>
        </w:tc>
        <w:tc>
          <w:tcPr>
            <w:tcW w:w="1417" w:type="dxa"/>
          </w:tcPr>
          <w:p w14:paraId="50F36EE4" w14:textId="77777777" w:rsidR="0031331B" w:rsidRPr="00674FAA" w:rsidRDefault="0031331B" w:rsidP="00736D5A">
            <w:pPr>
              <w:jc w:val="center"/>
              <w:rPr>
                <w:rFonts w:ascii="Times New Roman" w:hAnsi="Times New Roman" w:cs="Times New Roman"/>
              </w:rPr>
            </w:pPr>
            <w:r w:rsidRPr="00674FAA">
              <w:rPr>
                <w:rFonts w:ascii="Times New Roman" w:hAnsi="Times New Roman" w:cs="Times New Roman"/>
              </w:rPr>
              <w:t>3</w:t>
            </w:r>
          </w:p>
        </w:tc>
        <w:tc>
          <w:tcPr>
            <w:tcW w:w="1276" w:type="dxa"/>
          </w:tcPr>
          <w:p w14:paraId="25F20C6D" w14:textId="77777777" w:rsidR="0031331B" w:rsidRPr="00674FAA" w:rsidRDefault="0031331B" w:rsidP="00736D5A">
            <w:pPr>
              <w:jc w:val="right"/>
              <w:rPr>
                <w:rFonts w:ascii="Times New Roman" w:hAnsi="Times New Roman" w:cs="Times New Roman"/>
              </w:rPr>
            </w:pPr>
            <w:r w:rsidRPr="00674FAA">
              <w:rPr>
                <w:rFonts w:ascii="Times New Roman" w:hAnsi="Times New Roman" w:cs="Times New Roman"/>
              </w:rPr>
              <w:t>4,4%</w:t>
            </w:r>
          </w:p>
        </w:tc>
      </w:tr>
      <w:tr w:rsidR="0031331B" w:rsidRPr="00674FAA" w14:paraId="045C8A25" w14:textId="77777777" w:rsidTr="00736D5A">
        <w:trPr>
          <w:jc w:val="center"/>
        </w:trPr>
        <w:tc>
          <w:tcPr>
            <w:tcW w:w="2831" w:type="dxa"/>
          </w:tcPr>
          <w:p w14:paraId="3AA7A439" w14:textId="77777777" w:rsidR="0031331B" w:rsidRPr="00674FAA" w:rsidRDefault="0031331B" w:rsidP="00736D5A">
            <w:pPr>
              <w:jc w:val="both"/>
              <w:rPr>
                <w:rFonts w:ascii="Times New Roman" w:hAnsi="Times New Roman" w:cs="Times New Roman"/>
              </w:rPr>
            </w:pPr>
            <w:r w:rsidRPr="00674FAA">
              <w:rPr>
                <w:rFonts w:ascii="Times New Roman" w:hAnsi="Times New Roman" w:cs="Times New Roman"/>
              </w:rPr>
              <w:t>Ciencias Sociales</w:t>
            </w:r>
          </w:p>
        </w:tc>
        <w:tc>
          <w:tcPr>
            <w:tcW w:w="1417" w:type="dxa"/>
          </w:tcPr>
          <w:p w14:paraId="4C53F8FF" w14:textId="77777777" w:rsidR="0031331B" w:rsidRPr="00674FAA" w:rsidRDefault="0031331B" w:rsidP="00736D5A">
            <w:pPr>
              <w:jc w:val="center"/>
              <w:rPr>
                <w:rFonts w:ascii="Times New Roman" w:hAnsi="Times New Roman" w:cs="Times New Roman"/>
              </w:rPr>
            </w:pPr>
            <w:r w:rsidRPr="00674FAA">
              <w:rPr>
                <w:rFonts w:ascii="Times New Roman" w:hAnsi="Times New Roman" w:cs="Times New Roman"/>
              </w:rPr>
              <w:t>4</w:t>
            </w:r>
          </w:p>
        </w:tc>
        <w:tc>
          <w:tcPr>
            <w:tcW w:w="1276" w:type="dxa"/>
          </w:tcPr>
          <w:p w14:paraId="4C8423C1" w14:textId="77777777" w:rsidR="0031331B" w:rsidRPr="00674FAA" w:rsidRDefault="0031331B" w:rsidP="00736D5A">
            <w:pPr>
              <w:jc w:val="right"/>
              <w:rPr>
                <w:rFonts w:ascii="Times New Roman" w:hAnsi="Times New Roman" w:cs="Times New Roman"/>
              </w:rPr>
            </w:pPr>
            <w:r w:rsidRPr="00674FAA">
              <w:rPr>
                <w:rFonts w:ascii="Times New Roman" w:hAnsi="Times New Roman" w:cs="Times New Roman"/>
              </w:rPr>
              <w:t>5,9%</w:t>
            </w:r>
          </w:p>
        </w:tc>
      </w:tr>
      <w:tr w:rsidR="0031331B" w:rsidRPr="00674FAA" w14:paraId="6D336EB6" w14:textId="77777777" w:rsidTr="00736D5A">
        <w:trPr>
          <w:jc w:val="center"/>
        </w:trPr>
        <w:tc>
          <w:tcPr>
            <w:tcW w:w="2831" w:type="dxa"/>
          </w:tcPr>
          <w:p w14:paraId="6D2C578C" w14:textId="77777777" w:rsidR="0031331B" w:rsidRPr="00674FAA" w:rsidRDefault="0031331B" w:rsidP="00736D5A">
            <w:pPr>
              <w:jc w:val="both"/>
              <w:rPr>
                <w:rFonts w:ascii="Times New Roman" w:hAnsi="Times New Roman" w:cs="Times New Roman"/>
              </w:rPr>
            </w:pPr>
            <w:r w:rsidRPr="00674FAA">
              <w:rPr>
                <w:rFonts w:ascii="Times New Roman" w:hAnsi="Times New Roman" w:cs="Times New Roman"/>
              </w:rPr>
              <w:t>Ingenierías</w:t>
            </w:r>
          </w:p>
        </w:tc>
        <w:tc>
          <w:tcPr>
            <w:tcW w:w="1417" w:type="dxa"/>
          </w:tcPr>
          <w:p w14:paraId="59279935" w14:textId="77777777" w:rsidR="0031331B" w:rsidRPr="00674FAA" w:rsidRDefault="0031331B" w:rsidP="00736D5A">
            <w:pPr>
              <w:jc w:val="center"/>
              <w:rPr>
                <w:rFonts w:ascii="Times New Roman" w:hAnsi="Times New Roman" w:cs="Times New Roman"/>
              </w:rPr>
            </w:pPr>
            <w:r w:rsidRPr="00674FAA">
              <w:rPr>
                <w:rFonts w:ascii="Times New Roman" w:hAnsi="Times New Roman" w:cs="Times New Roman"/>
              </w:rPr>
              <w:t>6</w:t>
            </w:r>
          </w:p>
        </w:tc>
        <w:tc>
          <w:tcPr>
            <w:tcW w:w="1276" w:type="dxa"/>
          </w:tcPr>
          <w:p w14:paraId="5F2D7020" w14:textId="77777777" w:rsidR="0031331B" w:rsidRPr="00674FAA" w:rsidRDefault="0031331B" w:rsidP="00736D5A">
            <w:pPr>
              <w:jc w:val="right"/>
              <w:rPr>
                <w:rFonts w:ascii="Times New Roman" w:hAnsi="Times New Roman" w:cs="Times New Roman"/>
              </w:rPr>
            </w:pPr>
            <w:r w:rsidRPr="00674FAA">
              <w:rPr>
                <w:rFonts w:ascii="Times New Roman" w:hAnsi="Times New Roman" w:cs="Times New Roman"/>
              </w:rPr>
              <w:t>8,8%</w:t>
            </w:r>
          </w:p>
        </w:tc>
      </w:tr>
      <w:tr w:rsidR="0031331B" w:rsidRPr="00674FAA" w14:paraId="2901E318" w14:textId="77777777" w:rsidTr="00736D5A">
        <w:trPr>
          <w:jc w:val="center"/>
        </w:trPr>
        <w:tc>
          <w:tcPr>
            <w:tcW w:w="2831" w:type="dxa"/>
          </w:tcPr>
          <w:p w14:paraId="692B3C51" w14:textId="77777777" w:rsidR="0031331B" w:rsidRPr="00674FAA" w:rsidRDefault="0031331B" w:rsidP="00736D5A">
            <w:pPr>
              <w:jc w:val="both"/>
              <w:rPr>
                <w:rFonts w:ascii="Times New Roman" w:hAnsi="Times New Roman" w:cs="Times New Roman"/>
              </w:rPr>
            </w:pPr>
            <w:r w:rsidRPr="00674FAA">
              <w:rPr>
                <w:rFonts w:ascii="Times New Roman" w:hAnsi="Times New Roman" w:cs="Times New Roman"/>
              </w:rPr>
              <w:t>Temas institucionales o transversales</w:t>
            </w:r>
          </w:p>
        </w:tc>
        <w:tc>
          <w:tcPr>
            <w:tcW w:w="1417" w:type="dxa"/>
          </w:tcPr>
          <w:p w14:paraId="3AB5E789" w14:textId="77777777" w:rsidR="0031331B" w:rsidRPr="00674FAA" w:rsidRDefault="0031331B" w:rsidP="00736D5A">
            <w:pPr>
              <w:jc w:val="center"/>
              <w:rPr>
                <w:rFonts w:ascii="Times New Roman" w:hAnsi="Times New Roman" w:cs="Times New Roman"/>
              </w:rPr>
            </w:pPr>
            <w:r w:rsidRPr="00674FAA">
              <w:rPr>
                <w:rFonts w:ascii="Times New Roman" w:hAnsi="Times New Roman" w:cs="Times New Roman"/>
              </w:rPr>
              <w:t>24</w:t>
            </w:r>
          </w:p>
        </w:tc>
        <w:tc>
          <w:tcPr>
            <w:tcW w:w="1276" w:type="dxa"/>
          </w:tcPr>
          <w:p w14:paraId="6F805320" w14:textId="77777777" w:rsidR="0031331B" w:rsidRPr="00674FAA" w:rsidRDefault="0031331B" w:rsidP="00736D5A">
            <w:pPr>
              <w:jc w:val="right"/>
              <w:rPr>
                <w:rFonts w:ascii="Times New Roman" w:hAnsi="Times New Roman" w:cs="Times New Roman"/>
              </w:rPr>
            </w:pPr>
            <w:r w:rsidRPr="00674FAA">
              <w:rPr>
                <w:rFonts w:ascii="Times New Roman" w:hAnsi="Times New Roman" w:cs="Times New Roman"/>
              </w:rPr>
              <w:t>35,3%</w:t>
            </w:r>
          </w:p>
        </w:tc>
      </w:tr>
    </w:tbl>
    <w:p w14:paraId="4871DBEC" w14:textId="77777777" w:rsidR="0031331B" w:rsidRPr="00674FAA" w:rsidRDefault="0031331B" w:rsidP="0031331B">
      <w:pPr>
        <w:spacing w:after="0" w:line="240" w:lineRule="auto"/>
        <w:jc w:val="both"/>
        <w:rPr>
          <w:rFonts w:ascii="Times New Roman" w:hAnsi="Times New Roman" w:cs="Times New Roman"/>
        </w:rPr>
      </w:pPr>
    </w:p>
    <w:p w14:paraId="530EBC28"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La clasificación muestra una fuerte concentración de TFI vinculados con Ciencias de la Salud: 29 de 68 trabajos equivalentes al 42,6%. En segundo lugar, se destaca un conjunto amplio de trabajos con una orientación institucional o a temáticas transversales (35,3%). Las demás áreas tienen menor presencia: Ingenierías, Ciencias Exactas, Ciencias Sociales y Ciencias Económicas y Derecho aparecen de modo acotado, mientras que los programas de formación en Artes y Humanidades no registran menciones.</w:t>
      </w:r>
    </w:p>
    <w:p w14:paraId="7755390C" w14:textId="77777777" w:rsidR="0031331B" w:rsidRPr="00674FAA" w:rsidRDefault="0031331B" w:rsidP="0031331B">
      <w:pPr>
        <w:spacing w:after="0" w:line="240" w:lineRule="auto"/>
        <w:jc w:val="both"/>
        <w:rPr>
          <w:rFonts w:ascii="Times New Roman" w:hAnsi="Times New Roman" w:cs="Times New Roman"/>
        </w:rPr>
      </w:pPr>
    </w:p>
    <w:p w14:paraId="1B7A7E7E" w14:textId="132E78E0" w:rsidR="0031331B" w:rsidRDefault="00947137" w:rsidP="004D07B4">
      <w:pPr>
        <w:pStyle w:val="Prrafodelista"/>
        <w:numPr>
          <w:ilvl w:val="1"/>
          <w:numId w:val="1"/>
        </w:numPr>
        <w:spacing w:after="0" w:line="240" w:lineRule="auto"/>
        <w:jc w:val="both"/>
        <w:rPr>
          <w:rFonts w:ascii="Times New Roman" w:hAnsi="Times New Roman" w:cs="Times New Roman"/>
          <w:b/>
          <w:bCs/>
        </w:rPr>
      </w:pPr>
      <w:r>
        <w:rPr>
          <w:rFonts w:ascii="Times New Roman" w:hAnsi="Times New Roman" w:cs="Times New Roman"/>
          <w:b/>
          <w:bCs/>
        </w:rPr>
        <w:t xml:space="preserve"> </w:t>
      </w:r>
      <w:r w:rsidR="0031331B" w:rsidRPr="00947137">
        <w:rPr>
          <w:rFonts w:ascii="Times New Roman" w:hAnsi="Times New Roman" w:cs="Times New Roman"/>
          <w:b/>
          <w:bCs/>
        </w:rPr>
        <w:t>Tipos de estudio</w:t>
      </w:r>
    </w:p>
    <w:p w14:paraId="429AECAA" w14:textId="77777777" w:rsidR="00947137" w:rsidRPr="00947137" w:rsidRDefault="00947137" w:rsidP="00947137">
      <w:pPr>
        <w:spacing w:after="0" w:line="240" w:lineRule="auto"/>
        <w:jc w:val="both"/>
        <w:rPr>
          <w:rFonts w:ascii="Times New Roman" w:hAnsi="Times New Roman" w:cs="Times New Roman"/>
          <w:b/>
          <w:bCs/>
        </w:rPr>
      </w:pPr>
    </w:p>
    <w:p w14:paraId="45536870"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Los TFI fueron clasificados según su propósito principal: comprender una realidad, evaluarla, proponer mejoras, desarrollar herramientas o producir elaboraciones conceptuales. Para ello, se distinguieron seis tipos generales: estudios analíticos o descriptivos, estudios evaluativos, estudios propositivos o de intervención, estudios metodológicos o instrumentales, estudios de investigación aplicada y estudios teóricos.</w:t>
      </w:r>
    </w:p>
    <w:p w14:paraId="2BDA6129"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La clasificación no supone categorías excluyentes en términos sustantivos, ya que un mismo trabajo puede combinar análisis, evaluación y propuesta de mejora. Sin embargo, para ordenar el corpus se asignó a cada TFI una única categoría predominante, definida según el foco principal del trabajo.</w:t>
      </w:r>
    </w:p>
    <w:p w14:paraId="73CE3EE1"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 xml:space="preserve">Sobre un total de 68 TFI, predominan los estudios propositivos o de intervención, con 22 trabajos, equivalentes al 32,4% del corpus. Dentro de esta categoría, se destacan los diseños de sistemas o modelos de evaluación, con 19 casos, mientras que los diseños de propuestas de intervención reúnen 3 casos. Si a este grupo se suman los 5 estudios </w:t>
      </w:r>
      <w:r w:rsidRPr="00674FAA">
        <w:rPr>
          <w:rFonts w:ascii="Times New Roman" w:hAnsi="Times New Roman" w:cs="Times New Roman"/>
        </w:rPr>
        <w:lastRenderedPageBreak/>
        <w:t>metodológicos o instrumentales, los trabajos orientados al diseño de modelos, instrumentos, dispositivos o propuestas alcanzan 27 casos, es decir, el 39,7% del total.</w:t>
      </w:r>
    </w:p>
    <w:p w14:paraId="4A4F2789"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También se observa una presencia relevante de estudios evaluativos, con 15 trabajos, equivalentes al 22,1%, y de estudios analíticos o descriptivos, con 12 trabajos, que representan el 17,6%. En conjunto, ambos tipos reúnen otros 27 casos, lo que muestra una orientación importante hacia la comprensión situada y la valoración de procesos, programas, carreras o instituciones universitarias.</w:t>
      </w:r>
    </w:p>
    <w:p w14:paraId="59AC9EE4"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Las categorías generales con menor presencia son los estudios teóricos, con 4 trabajos, y los estudios metodológicos o instrumentales, con 5. En el nivel de los subtipos específicos, se registran frecuencias reducidas en estado del arte o revisión de literatura, análisis documental, estudio comparado, investigación aplicada, ensayo teórico y diseño de propuestas de intervención. Esta distinción permite evitar confusiones: aunque el subtipo “diseño de propuestas de intervención” tiene baja frecuencia, forma parte de la categoría propositiva o de intervención, que es la más numerosa del corpus debido al peso de los diseños de sistemas o modelos de evaluación.</w:t>
      </w:r>
    </w:p>
    <w:p w14:paraId="4E586ECA"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Estos resultados son consistentes con el perfil profesionalizante de la carrera. Los estudiantes tienden a elegir formatos aplicados, situados y vinculados con demandas institucionales concretas. A la vez, la menor presencia de estudios teóricos, comparados o de validación instrumental puede vincularse con las condiciones de producción de un TFI, que suelen limitar el acceso a información comparable, el tiempo para revisiones exhaustivas o las posibilidades de realizar procesos completos de pilotaje y validación.</w:t>
      </w:r>
    </w:p>
    <w:p w14:paraId="319F0CAE" w14:textId="77777777" w:rsidR="0031331B" w:rsidRPr="00674FAA" w:rsidRDefault="0031331B" w:rsidP="0031331B">
      <w:pPr>
        <w:spacing w:after="0" w:line="240" w:lineRule="auto"/>
        <w:jc w:val="both"/>
        <w:rPr>
          <w:rFonts w:ascii="Times New Roman" w:hAnsi="Times New Roman" w:cs="Times New Roman"/>
        </w:rPr>
      </w:pPr>
    </w:p>
    <w:p w14:paraId="3DB64C1F" w14:textId="3465D87D" w:rsidR="0031331B" w:rsidRPr="00947137" w:rsidRDefault="00947137" w:rsidP="004D07B4">
      <w:pPr>
        <w:pStyle w:val="Prrafodelista"/>
        <w:numPr>
          <w:ilvl w:val="1"/>
          <w:numId w:val="1"/>
        </w:numPr>
        <w:spacing w:after="0" w:line="240" w:lineRule="auto"/>
        <w:jc w:val="both"/>
        <w:rPr>
          <w:rFonts w:ascii="Times New Roman" w:hAnsi="Times New Roman" w:cs="Times New Roman"/>
          <w:b/>
          <w:bCs/>
        </w:rPr>
      </w:pPr>
      <w:r>
        <w:rPr>
          <w:rFonts w:ascii="Times New Roman" w:hAnsi="Times New Roman" w:cs="Times New Roman"/>
          <w:b/>
          <w:bCs/>
        </w:rPr>
        <w:t xml:space="preserve"> </w:t>
      </w:r>
      <w:r w:rsidR="0031331B" w:rsidRPr="00947137">
        <w:rPr>
          <w:rFonts w:ascii="Times New Roman" w:hAnsi="Times New Roman" w:cs="Times New Roman"/>
          <w:b/>
          <w:bCs/>
        </w:rPr>
        <w:t>Ámbitos de estudio</w:t>
      </w:r>
    </w:p>
    <w:p w14:paraId="20A672BD" w14:textId="77777777" w:rsidR="00947137" w:rsidRDefault="00947137" w:rsidP="0031331B">
      <w:pPr>
        <w:spacing w:after="0" w:line="240" w:lineRule="auto"/>
        <w:jc w:val="both"/>
        <w:rPr>
          <w:rFonts w:ascii="Times New Roman" w:hAnsi="Times New Roman" w:cs="Times New Roman"/>
        </w:rPr>
      </w:pPr>
    </w:p>
    <w:p w14:paraId="15932418" w14:textId="422F0382"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El ámbito del estudio refiere al espacio universitario principal sobre el que se focaliza el Trabajo Final Integrador. Permite identificar dónde se aplica o analiza el problema de evaluación: el sistema universitario en su conjunto, una institución, una carrera de grado o posgrado, un programa académico transversal, una política institucional, la enseñanza, la investigación, la extensión, la transferencia u otro espacio específico de la vida universitaria.</w:t>
      </w:r>
    </w:p>
    <w:p w14:paraId="48DC7699" w14:textId="77777777" w:rsidR="0031331B" w:rsidRPr="00674FAA" w:rsidRDefault="0031331B" w:rsidP="0031331B">
      <w:pPr>
        <w:spacing w:after="0" w:line="240" w:lineRule="auto"/>
        <w:jc w:val="both"/>
        <w:rPr>
          <w:rFonts w:ascii="Times New Roman" w:hAnsi="Times New Roman" w:cs="Times New Roman"/>
        </w:rPr>
      </w:pPr>
      <w:r w:rsidRPr="00674FAA">
        <w:rPr>
          <w:rFonts w:ascii="Times New Roman" w:hAnsi="Times New Roman" w:cs="Times New Roman"/>
        </w:rPr>
        <w:t>Los ámbitos de estudio que convocan mayormente a los estudiantes refieren a la evaluación en carreras de grado (32,4%), de posgrado (19,1%) y a instituciones universitarias específicas (19,1). Cabe destacar el escaso peso que tienen la investigación, la extensión y la vinculación con el medio como espacios de acción universitaria que pueden ser objeto de evaluación. La concentración en carreras de grado y posgrado muestra que la acreditación y la evaluación curricular siguen siendo ámbitos privilegiados de aplicación de los TFI, mientras que investigación, extensión y vinculación aparecen como áreas poco abordadas.</w:t>
      </w:r>
    </w:p>
    <w:p w14:paraId="217B6D49" w14:textId="77777777" w:rsidR="0031331B" w:rsidRDefault="0031331B" w:rsidP="0031331B">
      <w:pPr>
        <w:spacing w:after="0" w:line="240" w:lineRule="auto"/>
        <w:jc w:val="both"/>
        <w:rPr>
          <w:rFonts w:ascii="Times New Roman" w:hAnsi="Times New Roman" w:cs="Times New Roman"/>
          <w:b/>
          <w:bCs/>
        </w:rPr>
      </w:pPr>
    </w:p>
    <w:p w14:paraId="2E383F6B" w14:textId="4574C0C3" w:rsidR="00947137" w:rsidRDefault="0031331B" w:rsidP="0031331B">
      <w:pPr>
        <w:spacing w:after="0" w:line="240" w:lineRule="auto"/>
        <w:jc w:val="both"/>
        <w:rPr>
          <w:rFonts w:ascii="Times New Roman" w:hAnsi="Times New Roman" w:cs="Times New Roman"/>
          <w:b/>
          <w:bCs/>
        </w:rPr>
      </w:pPr>
      <w:r w:rsidRPr="00674FAA">
        <w:rPr>
          <w:rFonts w:ascii="Times New Roman" w:hAnsi="Times New Roman" w:cs="Times New Roman"/>
          <w:b/>
          <w:bCs/>
        </w:rPr>
        <w:t xml:space="preserve">Tabla </w:t>
      </w:r>
      <w:r w:rsidR="00C42054">
        <w:rPr>
          <w:rFonts w:ascii="Times New Roman" w:hAnsi="Times New Roman" w:cs="Times New Roman"/>
          <w:b/>
          <w:bCs/>
        </w:rPr>
        <w:t>5</w:t>
      </w:r>
    </w:p>
    <w:p w14:paraId="4CBEA92B" w14:textId="016581FC" w:rsidR="0031331B" w:rsidRDefault="0031331B" w:rsidP="0031331B">
      <w:pPr>
        <w:spacing w:after="0" w:line="240" w:lineRule="auto"/>
        <w:jc w:val="both"/>
        <w:rPr>
          <w:rFonts w:ascii="Times New Roman" w:hAnsi="Times New Roman" w:cs="Times New Roman"/>
          <w:b/>
          <w:bCs/>
        </w:rPr>
      </w:pPr>
      <w:r w:rsidRPr="00674FAA">
        <w:rPr>
          <w:rFonts w:ascii="Times New Roman" w:hAnsi="Times New Roman" w:cs="Times New Roman"/>
          <w:b/>
          <w:bCs/>
        </w:rPr>
        <w:t>Ámbito universitario elegido</w:t>
      </w:r>
    </w:p>
    <w:p w14:paraId="0EED3F28" w14:textId="77777777" w:rsidR="00947137" w:rsidRPr="00674FAA" w:rsidRDefault="00947137" w:rsidP="0031331B">
      <w:pPr>
        <w:spacing w:after="0" w:line="240" w:lineRule="auto"/>
        <w:jc w:val="both"/>
        <w:rPr>
          <w:rFonts w:ascii="Times New Roman" w:hAnsi="Times New Roman" w:cs="Times New Roman"/>
          <w:b/>
          <w:bCs/>
        </w:rPr>
      </w:pPr>
    </w:p>
    <w:tbl>
      <w:tblPr>
        <w:tblStyle w:val="Tablaconcuadrcula"/>
        <w:tblW w:w="0" w:type="auto"/>
        <w:tblLook w:val="04A0" w:firstRow="1" w:lastRow="0" w:firstColumn="1" w:lastColumn="0" w:noHBand="0" w:noVBand="1"/>
      </w:tblPr>
      <w:tblGrid>
        <w:gridCol w:w="4106"/>
        <w:gridCol w:w="1083"/>
        <w:gridCol w:w="1559"/>
      </w:tblGrid>
      <w:tr w:rsidR="0031331B" w:rsidRPr="00674FAA" w14:paraId="4B71E052" w14:textId="77777777" w:rsidTr="00736D5A">
        <w:tc>
          <w:tcPr>
            <w:tcW w:w="4106" w:type="dxa"/>
          </w:tcPr>
          <w:p w14:paraId="496CAB71"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Ámbito universitario predominante</w:t>
            </w:r>
          </w:p>
        </w:tc>
        <w:tc>
          <w:tcPr>
            <w:tcW w:w="709" w:type="dxa"/>
          </w:tcPr>
          <w:p w14:paraId="68F9D934" w14:textId="77777777" w:rsidR="0031331B" w:rsidRPr="00674FAA" w:rsidRDefault="0031331B" w:rsidP="00736D5A">
            <w:pPr>
              <w:jc w:val="both"/>
              <w:rPr>
                <w:rFonts w:ascii="Times New Roman" w:hAnsi="Times New Roman" w:cs="Times New Roman"/>
              </w:rPr>
            </w:pPr>
            <w:r w:rsidRPr="00674FAA">
              <w:rPr>
                <w:rFonts w:ascii="Times New Roman" w:hAnsi="Times New Roman" w:cs="Times New Roman"/>
              </w:rPr>
              <w:t>Cantidad</w:t>
            </w:r>
          </w:p>
        </w:tc>
        <w:tc>
          <w:tcPr>
            <w:tcW w:w="1559" w:type="dxa"/>
          </w:tcPr>
          <w:p w14:paraId="540E80D9" w14:textId="2DEFD7B4" w:rsidR="0031331B" w:rsidRPr="00674FAA" w:rsidRDefault="0031331B" w:rsidP="00947137">
            <w:pPr>
              <w:jc w:val="center"/>
              <w:rPr>
                <w:rFonts w:ascii="Times New Roman" w:hAnsi="Times New Roman" w:cs="Times New Roman"/>
              </w:rPr>
            </w:pPr>
            <w:r w:rsidRPr="00674FAA">
              <w:rPr>
                <w:rFonts w:ascii="Times New Roman" w:hAnsi="Times New Roman" w:cs="Times New Roman"/>
              </w:rPr>
              <w:t>%</w:t>
            </w:r>
          </w:p>
        </w:tc>
      </w:tr>
      <w:tr w:rsidR="0031331B" w:rsidRPr="00674FAA" w14:paraId="6634CF3C" w14:textId="77777777" w:rsidTr="00736D5A">
        <w:tc>
          <w:tcPr>
            <w:tcW w:w="4106" w:type="dxa"/>
          </w:tcPr>
          <w:p w14:paraId="6AB77B4F"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Carrera/s de grado</w:t>
            </w:r>
          </w:p>
        </w:tc>
        <w:tc>
          <w:tcPr>
            <w:tcW w:w="709" w:type="dxa"/>
          </w:tcPr>
          <w:p w14:paraId="1C027785"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22</w:t>
            </w:r>
          </w:p>
        </w:tc>
        <w:tc>
          <w:tcPr>
            <w:tcW w:w="1559" w:type="dxa"/>
          </w:tcPr>
          <w:p w14:paraId="25AFD96C"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32,4%</w:t>
            </w:r>
          </w:p>
        </w:tc>
      </w:tr>
      <w:tr w:rsidR="0031331B" w:rsidRPr="00674FAA" w14:paraId="4A50AE26" w14:textId="77777777" w:rsidTr="00736D5A">
        <w:tc>
          <w:tcPr>
            <w:tcW w:w="4106" w:type="dxa"/>
          </w:tcPr>
          <w:p w14:paraId="12FF2A2F"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Carrera/s de posgrado</w:t>
            </w:r>
          </w:p>
        </w:tc>
        <w:tc>
          <w:tcPr>
            <w:tcW w:w="709" w:type="dxa"/>
          </w:tcPr>
          <w:p w14:paraId="62020A70"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13</w:t>
            </w:r>
          </w:p>
        </w:tc>
        <w:tc>
          <w:tcPr>
            <w:tcW w:w="1559" w:type="dxa"/>
          </w:tcPr>
          <w:p w14:paraId="035761D4"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19,1%</w:t>
            </w:r>
          </w:p>
        </w:tc>
      </w:tr>
      <w:tr w:rsidR="0031331B" w:rsidRPr="00674FAA" w14:paraId="7A6BBA8D" w14:textId="77777777" w:rsidTr="00736D5A">
        <w:tc>
          <w:tcPr>
            <w:tcW w:w="4106" w:type="dxa"/>
          </w:tcPr>
          <w:p w14:paraId="1435C11F"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lastRenderedPageBreak/>
              <w:t>Institución universitaria / unidad académica</w:t>
            </w:r>
          </w:p>
        </w:tc>
        <w:tc>
          <w:tcPr>
            <w:tcW w:w="709" w:type="dxa"/>
          </w:tcPr>
          <w:p w14:paraId="6D3E8984"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13</w:t>
            </w:r>
          </w:p>
        </w:tc>
        <w:tc>
          <w:tcPr>
            <w:tcW w:w="1559" w:type="dxa"/>
          </w:tcPr>
          <w:p w14:paraId="132E8331"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19,1%</w:t>
            </w:r>
          </w:p>
        </w:tc>
      </w:tr>
      <w:tr w:rsidR="0031331B" w:rsidRPr="00674FAA" w14:paraId="34FBC326" w14:textId="77777777" w:rsidTr="00736D5A">
        <w:tc>
          <w:tcPr>
            <w:tcW w:w="4106" w:type="dxa"/>
          </w:tcPr>
          <w:p w14:paraId="11E0A591"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Sistema universitario en su conjunto</w:t>
            </w:r>
          </w:p>
        </w:tc>
        <w:tc>
          <w:tcPr>
            <w:tcW w:w="709" w:type="dxa"/>
          </w:tcPr>
          <w:p w14:paraId="723C6658"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7</w:t>
            </w:r>
          </w:p>
        </w:tc>
        <w:tc>
          <w:tcPr>
            <w:tcW w:w="1559" w:type="dxa"/>
          </w:tcPr>
          <w:p w14:paraId="122F206D"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10,3%</w:t>
            </w:r>
          </w:p>
        </w:tc>
      </w:tr>
      <w:tr w:rsidR="0031331B" w:rsidRPr="00674FAA" w14:paraId="1954C09F" w14:textId="77777777" w:rsidTr="00736D5A">
        <w:tc>
          <w:tcPr>
            <w:tcW w:w="4106" w:type="dxa"/>
          </w:tcPr>
          <w:p w14:paraId="397A6292"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Programas académicos transversales</w:t>
            </w:r>
          </w:p>
        </w:tc>
        <w:tc>
          <w:tcPr>
            <w:tcW w:w="709" w:type="dxa"/>
          </w:tcPr>
          <w:p w14:paraId="272445BF"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10</w:t>
            </w:r>
          </w:p>
        </w:tc>
        <w:tc>
          <w:tcPr>
            <w:tcW w:w="1559" w:type="dxa"/>
          </w:tcPr>
          <w:p w14:paraId="35946789"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14,7%</w:t>
            </w:r>
          </w:p>
        </w:tc>
      </w:tr>
      <w:tr w:rsidR="0031331B" w:rsidRPr="00674FAA" w14:paraId="49DB8305" w14:textId="77777777" w:rsidTr="00736D5A">
        <w:tc>
          <w:tcPr>
            <w:tcW w:w="4106" w:type="dxa"/>
          </w:tcPr>
          <w:p w14:paraId="636E6309"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Extensión universitaria</w:t>
            </w:r>
          </w:p>
        </w:tc>
        <w:tc>
          <w:tcPr>
            <w:tcW w:w="709" w:type="dxa"/>
          </w:tcPr>
          <w:p w14:paraId="1CDA30DB"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1</w:t>
            </w:r>
          </w:p>
        </w:tc>
        <w:tc>
          <w:tcPr>
            <w:tcW w:w="1559" w:type="dxa"/>
          </w:tcPr>
          <w:p w14:paraId="7990FA34"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1,5%</w:t>
            </w:r>
          </w:p>
        </w:tc>
      </w:tr>
      <w:tr w:rsidR="0031331B" w:rsidRPr="00674FAA" w14:paraId="387BC316" w14:textId="77777777" w:rsidTr="00736D5A">
        <w:tc>
          <w:tcPr>
            <w:tcW w:w="4106" w:type="dxa"/>
          </w:tcPr>
          <w:p w14:paraId="053E207A"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Transferencia / vinculación con el medio</w:t>
            </w:r>
          </w:p>
        </w:tc>
        <w:tc>
          <w:tcPr>
            <w:tcW w:w="709" w:type="dxa"/>
          </w:tcPr>
          <w:p w14:paraId="3B708AA3"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1</w:t>
            </w:r>
          </w:p>
        </w:tc>
        <w:tc>
          <w:tcPr>
            <w:tcW w:w="1559" w:type="dxa"/>
          </w:tcPr>
          <w:p w14:paraId="67837065"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1,5%</w:t>
            </w:r>
          </w:p>
        </w:tc>
      </w:tr>
      <w:tr w:rsidR="0031331B" w:rsidRPr="00674FAA" w14:paraId="5FD9DB89" w14:textId="77777777" w:rsidTr="00736D5A">
        <w:tc>
          <w:tcPr>
            <w:tcW w:w="4106" w:type="dxa"/>
          </w:tcPr>
          <w:p w14:paraId="7EF7E826"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Investigación universitaria</w:t>
            </w:r>
          </w:p>
        </w:tc>
        <w:tc>
          <w:tcPr>
            <w:tcW w:w="709" w:type="dxa"/>
          </w:tcPr>
          <w:p w14:paraId="0791ECC0"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1</w:t>
            </w:r>
          </w:p>
        </w:tc>
        <w:tc>
          <w:tcPr>
            <w:tcW w:w="1559" w:type="dxa"/>
          </w:tcPr>
          <w:p w14:paraId="04342771"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1,5%</w:t>
            </w:r>
          </w:p>
        </w:tc>
      </w:tr>
      <w:tr w:rsidR="0031331B" w:rsidRPr="00674FAA" w14:paraId="76B3BCFD" w14:textId="77777777" w:rsidTr="00736D5A">
        <w:tc>
          <w:tcPr>
            <w:tcW w:w="4106" w:type="dxa"/>
          </w:tcPr>
          <w:p w14:paraId="43C80D88" w14:textId="77777777" w:rsidR="0031331B" w:rsidRPr="00674FAA" w:rsidRDefault="0031331B" w:rsidP="00736D5A">
            <w:pPr>
              <w:rPr>
                <w:rFonts w:ascii="Times New Roman" w:hAnsi="Times New Roman" w:cs="Times New Roman"/>
              </w:rPr>
            </w:pPr>
            <w:r w:rsidRPr="00674FAA">
              <w:rPr>
                <w:rFonts w:ascii="Times New Roman" w:hAnsi="Times New Roman" w:cs="Times New Roman"/>
              </w:rPr>
              <w:t>Total</w:t>
            </w:r>
          </w:p>
        </w:tc>
        <w:tc>
          <w:tcPr>
            <w:tcW w:w="709" w:type="dxa"/>
          </w:tcPr>
          <w:p w14:paraId="6CBBF06C" w14:textId="77777777" w:rsidR="0031331B" w:rsidRPr="00674FAA" w:rsidRDefault="0031331B" w:rsidP="00947137">
            <w:pPr>
              <w:jc w:val="center"/>
              <w:rPr>
                <w:rFonts w:ascii="Times New Roman" w:hAnsi="Times New Roman" w:cs="Times New Roman"/>
              </w:rPr>
            </w:pPr>
            <w:r w:rsidRPr="00674FAA">
              <w:rPr>
                <w:rFonts w:ascii="Times New Roman" w:hAnsi="Times New Roman" w:cs="Times New Roman"/>
              </w:rPr>
              <w:t>68</w:t>
            </w:r>
          </w:p>
        </w:tc>
        <w:tc>
          <w:tcPr>
            <w:tcW w:w="1559" w:type="dxa"/>
          </w:tcPr>
          <w:p w14:paraId="01034D29" w14:textId="77777777" w:rsidR="0031331B" w:rsidRPr="00674FAA" w:rsidRDefault="0031331B" w:rsidP="00947137">
            <w:pPr>
              <w:jc w:val="right"/>
              <w:rPr>
                <w:rFonts w:ascii="Times New Roman" w:hAnsi="Times New Roman" w:cs="Times New Roman"/>
              </w:rPr>
            </w:pPr>
            <w:r w:rsidRPr="00674FAA">
              <w:rPr>
                <w:rFonts w:ascii="Times New Roman" w:hAnsi="Times New Roman" w:cs="Times New Roman"/>
              </w:rPr>
              <w:t>100,0%</w:t>
            </w:r>
          </w:p>
        </w:tc>
      </w:tr>
    </w:tbl>
    <w:p w14:paraId="68661E5C" w14:textId="77777777" w:rsidR="0031331B" w:rsidRPr="00674FAA" w:rsidRDefault="0031331B" w:rsidP="0031331B">
      <w:pPr>
        <w:spacing w:after="0" w:line="240" w:lineRule="auto"/>
        <w:jc w:val="both"/>
        <w:rPr>
          <w:rFonts w:ascii="Times New Roman" w:hAnsi="Times New Roman" w:cs="Times New Roman"/>
        </w:rPr>
      </w:pPr>
    </w:p>
    <w:p w14:paraId="4AEB1B38" w14:textId="77777777" w:rsidR="0031331B" w:rsidRDefault="0031331B" w:rsidP="007B5B5F">
      <w:pPr>
        <w:spacing w:line="240" w:lineRule="auto"/>
        <w:rPr>
          <w:rFonts w:ascii="Times New Roman" w:hAnsi="Times New Roman" w:cs="Times New Roman"/>
          <w:b/>
          <w:bCs/>
          <w:lang w:val="es-ES_tradnl"/>
        </w:rPr>
      </w:pPr>
    </w:p>
    <w:p w14:paraId="12CE0BCB" w14:textId="6D46A9C0" w:rsidR="005F3B2E" w:rsidRPr="006F5747" w:rsidRDefault="005F3B2E" w:rsidP="007B5B5F">
      <w:pPr>
        <w:spacing w:line="240" w:lineRule="auto"/>
        <w:rPr>
          <w:rFonts w:ascii="Times New Roman" w:hAnsi="Times New Roman" w:cs="Times New Roman"/>
          <w:b/>
          <w:bCs/>
          <w:lang w:val="es-ES_tradnl"/>
        </w:rPr>
      </w:pPr>
      <w:r w:rsidRPr="006F5747">
        <w:rPr>
          <w:rFonts w:ascii="Times New Roman" w:hAnsi="Times New Roman" w:cs="Times New Roman"/>
          <w:b/>
          <w:bCs/>
          <w:lang w:val="es-ES_tradnl"/>
        </w:rPr>
        <w:t>Conclusiones</w:t>
      </w:r>
    </w:p>
    <w:p w14:paraId="57C2A5FD" w14:textId="77777777" w:rsidR="00947137" w:rsidRPr="00674FAA" w:rsidRDefault="00947137" w:rsidP="00947137">
      <w:pPr>
        <w:spacing w:after="0" w:line="240" w:lineRule="auto"/>
        <w:jc w:val="both"/>
        <w:rPr>
          <w:rFonts w:ascii="Times New Roman" w:hAnsi="Times New Roman" w:cs="Times New Roman"/>
        </w:rPr>
      </w:pPr>
      <w:r w:rsidRPr="00674FAA">
        <w:rPr>
          <w:rFonts w:ascii="Times New Roman" w:hAnsi="Times New Roman" w:cs="Times New Roman"/>
        </w:rPr>
        <w:t>La experiencia analizada permite caracterizar a la Especialización en Evaluación Universitaria de la Universidad de Buenos Aires como una estrategia académica de construcción de capacidad evaluativa. Su creación se inscribe en un contexto de consolidación de políticas, regulaciones y prácticas de evaluación y acreditación en el sistema universitario argentino, frente al cual la formación sistemática de evaluadores aparece como una condición para ampliar los usos institucionales de la evaluación.</w:t>
      </w:r>
    </w:p>
    <w:p w14:paraId="6166D14C" w14:textId="77777777" w:rsidR="00947137" w:rsidRPr="00674FAA" w:rsidRDefault="00947137" w:rsidP="00947137">
      <w:pPr>
        <w:spacing w:after="0" w:line="240" w:lineRule="auto"/>
        <w:jc w:val="both"/>
        <w:rPr>
          <w:rFonts w:ascii="Times New Roman" w:hAnsi="Times New Roman" w:cs="Times New Roman"/>
        </w:rPr>
      </w:pPr>
      <w:r w:rsidRPr="00674FAA">
        <w:rPr>
          <w:rFonts w:ascii="Times New Roman" w:hAnsi="Times New Roman" w:cs="Times New Roman"/>
        </w:rPr>
        <w:t>Su propuesta curricular articula fundamentos históricos, políticos, epistemológicos y metodológicos de la evaluación con el estudio de objetos específicos del ámbito universitario. Esta combinación sostiene una concepción profesional de la evaluación centrada en la fundamentación de juicios, la interpretación de contextos, la participación de actores y la producción de información útil para la mejora institucional.</w:t>
      </w:r>
    </w:p>
    <w:p w14:paraId="40782A26" w14:textId="77777777" w:rsidR="00947137" w:rsidRPr="00674FAA" w:rsidRDefault="00947137" w:rsidP="00947137">
      <w:pPr>
        <w:spacing w:after="0" w:line="240" w:lineRule="auto"/>
        <w:jc w:val="both"/>
        <w:rPr>
          <w:rFonts w:ascii="Times New Roman" w:hAnsi="Times New Roman" w:cs="Times New Roman"/>
        </w:rPr>
      </w:pPr>
      <w:r w:rsidRPr="00674FAA">
        <w:rPr>
          <w:rFonts w:ascii="Times New Roman" w:hAnsi="Times New Roman" w:cs="Times New Roman"/>
        </w:rPr>
        <w:t>La composición de los estudiantes y preinscriptos muestra que la carrera convoca principalmente a personas insertas en universidades públicas argentinas, aunque también participan integrantes de universidades privadas, extranjeras, organismos estatales y otros espacios. La presencia de perfiles vinculados con la gestión, la docencia y la administración universitaria indica que la evaluación es una práctica distribuida en distintas funciones institucionales y que su profesionalización requiere atender trayectorias laborales y disciplinares diversas.</w:t>
      </w:r>
    </w:p>
    <w:p w14:paraId="5CF5CFF7" w14:textId="77777777" w:rsidR="00947137" w:rsidRPr="00674FAA" w:rsidRDefault="00947137" w:rsidP="00947137">
      <w:pPr>
        <w:spacing w:after="0" w:line="240" w:lineRule="auto"/>
        <w:jc w:val="both"/>
        <w:rPr>
          <w:rFonts w:ascii="Times New Roman" w:hAnsi="Times New Roman" w:cs="Times New Roman"/>
        </w:rPr>
      </w:pPr>
      <w:r w:rsidRPr="00674FAA">
        <w:rPr>
          <w:rFonts w:ascii="Times New Roman" w:hAnsi="Times New Roman" w:cs="Times New Roman"/>
        </w:rPr>
        <w:t>El análisis de los 68 Trabajos Finales Integradores permite identificar una orientación aplicada de la producción académica. Los temas más frecuentes se vinculan con evaluación institucional, autoevaluación, acreditación, evaluación curricular, prácticas profesionales y gestión universitaria. En términos de ámbitos, predominan las carreras de grado, las carreras de posgrado e instituciones universitarias específicas. Esta distribución muestra que los estudiantes tienden a trabajar sobre problemas próximos a sus espacios de desempeño y a las demandas institucionales de aseguramiento de la calidad.</w:t>
      </w:r>
    </w:p>
    <w:p w14:paraId="5D38209A" w14:textId="77777777" w:rsidR="00947137" w:rsidRPr="00674FAA" w:rsidRDefault="00947137" w:rsidP="00947137">
      <w:pPr>
        <w:spacing w:after="0" w:line="240" w:lineRule="auto"/>
        <w:jc w:val="both"/>
        <w:rPr>
          <w:rFonts w:ascii="Times New Roman" w:hAnsi="Times New Roman" w:cs="Times New Roman"/>
        </w:rPr>
      </w:pPr>
      <w:r w:rsidRPr="00674FAA">
        <w:rPr>
          <w:rFonts w:ascii="Times New Roman" w:hAnsi="Times New Roman" w:cs="Times New Roman"/>
        </w:rPr>
        <w:t>Los tipos de estudio desarrollados también expresan el carácter profesionalizante de la carrera. Los trabajos se concentran en estudios evaluativos, analíticos y propositivos, con una presencia relevante de diseños de modelos, sistemas, instrumentos y dispositivos de evaluación. Esta tendencia evidencia una articulación entre formación académica e intervención profesional: los TFI producen conocimiento situado, pero también buscan ofrecer criterios, herramientas o propuestas para orientar decisiones en contextos universitarios concretos.</w:t>
      </w:r>
    </w:p>
    <w:p w14:paraId="4D47A709" w14:textId="77777777" w:rsidR="00947137" w:rsidRPr="00674FAA" w:rsidRDefault="00947137" w:rsidP="00947137">
      <w:pPr>
        <w:spacing w:after="0" w:line="240" w:lineRule="auto"/>
        <w:jc w:val="both"/>
        <w:rPr>
          <w:rFonts w:ascii="Times New Roman" w:hAnsi="Times New Roman" w:cs="Times New Roman"/>
        </w:rPr>
      </w:pPr>
      <w:r w:rsidRPr="00674FAA">
        <w:rPr>
          <w:rFonts w:ascii="Times New Roman" w:hAnsi="Times New Roman" w:cs="Times New Roman"/>
        </w:rPr>
        <w:lastRenderedPageBreak/>
        <w:t>Al mismo tiempo, los resultados permiten reconocer límites y desafíos. La baja presencia de trabajos sobre investigación, extensión, transferencia y vinculación con el medio sugiere la necesidad de ampliar los objetos de evaluación abordados en la formación. La escasa cantidad de estudios comparados, revisiones de literatura e investigaciones metodológicas muestra un campo de producción aún concentrado en problemas institucionales próximos. Esta orientación es coherente con la finalidad de una especialización, pero abre la posibilidad de fortalecer líneas de investigación, publicación y circulación de resultados.</w:t>
      </w:r>
    </w:p>
    <w:p w14:paraId="50DFDE1C" w14:textId="77777777" w:rsidR="00947137" w:rsidRPr="00674FAA" w:rsidRDefault="00947137" w:rsidP="00947137">
      <w:pPr>
        <w:spacing w:after="0" w:line="240" w:lineRule="auto"/>
        <w:jc w:val="both"/>
        <w:rPr>
          <w:rFonts w:ascii="Times New Roman" w:hAnsi="Times New Roman" w:cs="Times New Roman"/>
        </w:rPr>
      </w:pPr>
      <w:r w:rsidRPr="00674FAA">
        <w:rPr>
          <w:rFonts w:ascii="Times New Roman" w:hAnsi="Times New Roman" w:cs="Times New Roman"/>
        </w:rPr>
        <w:t>Como espacio de producción de conocimiento, el posgrado enfrenta condiciones propias del trabajo evaluativo: acceso desigual a fuentes institucionales, cambios en las gestiones universitarias, reserva sobre informes de evaluación y tiempos limitados para la escritura. A ello se suman desafíos recientes vinculados con el uso de inteligencia artificial generativa en la producción académica, que requieren criterios explícitos sobre autoría, uso de fuentes, trazabilidad de decisiones y responsabilidad intelectual.</w:t>
      </w:r>
    </w:p>
    <w:p w14:paraId="3758A9D8" w14:textId="47CFCA24" w:rsidR="00947137" w:rsidRPr="00674FAA" w:rsidRDefault="00947137" w:rsidP="00947137">
      <w:pPr>
        <w:spacing w:after="0" w:line="240" w:lineRule="auto"/>
        <w:jc w:val="both"/>
        <w:rPr>
          <w:rFonts w:ascii="Times New Roman" w:hAnsi="Times New Roman" w:cs="Times New Roman"/>
        </w:rPr>
      </w:pPr>
      <w:r w:rsidRPr="00674FAA">
        <w:rPr>
          <w:rFonts w:ascii="Times New Roman" w:hAnsi="Times New Roman" w:cs="Times New Roman"/>
        </w:rPr>
        <w:t xml:space="preserve">En síntesis, el caso muestra que la formación especializada puede contribuir a que la evaluación universitaria se desarrolle como práctica profesional, objeto de estudio y herramienta de gestión institucional. El desafío consiste en sostener una formación que combine conocimientos técnicos, fundamentos conceptuales, </w:t>
      </w:r>
      <w:r w:rsidR="00C42054">
        <w:rPr>
          <w:rFonts w:ascii="Times New Roman" w:hAnsi="Times New Roman" w:cs="Times New Roman"/>
        </w:rPr>
        <w:t>contextualización de los juicios</w:t>
      </w:r>
      <w:r w:rsidR="00C42054" w:rsidRPr="00C42054">
        <w:rPr>
          <w:rFonts w:ascii="Times New Roman" w:hAnsi="Times New Roman" w:cs="Times New Roman"/>
        </w:rPr>
        <w:t xml:space="preserve"> </w:t>
      </w:r>
      <w:r w:rsidRPr="00674FAA">
        <w:rPr>
          <w:rFonts w:ascii="Times New Roman" w:hAnsi="Times New Roman" w:cs="Times New Roman"/>
        </w:rPr>
        <w:t>y compromiso con el uso público de la información evaluativa, evitando tanto la reducción burocrática de la evaluación como su separación de los procesos concretos de mejora universitaria.</w:t>
      </w:r>
    </w:p>
    <w:p w14:paraId="5F789CDB" w14:textId="77777777" w:rsidR="00947137" w:rsidRPr="00674FAA" w:rsidRDefault="00947137" w:rsidP="00947137">
      <w:pPr>
        <w:spacing w:after="0" w:line="240" w:lineRule="auto"/>
        <w:jc w:val="both"/>
        <w:rPr>
          <w:rFonts w:ascii="Times New Roman" w:hAnsi="Times New Roman" w:cs="Times New Roman"/>
        </w:rPr>
      </w:pPr>
    </w:p>
    <w:p w14:paraId="544B704F" w14:textId="77777777" w:rsidR="00BC236F" w:rsidRPr="006F5747" w:rsidRDefault="00BC236F" w:rsidP="007B5B5F">
      <w:pPr>
        <w:spacing w:line="240" w:lineRule="auto"/>
        <w:jc w:val="both"/>
        <w:rPr>
          <w:rFonts w:ascii="Times New Roman" w:hAnsi="Times New Roman" w:cs="Times New Roman"/>
          <w:lang w:val="es-ES_tradnl"/>
        </w:rPr>
      </w:pPr>
    </w:p>
    <w:p w14:paraId="39B57161" w14:textId="02D1CFC4" w:rsidR="005F3B2E" w:rsidRDefault="005F3B2E" w:rsidP="007B5B5F">
      <w:pPr>
        <w:spacing w:line="240" w:lineRule="auto"/>
        <w:rPr>
          <w:rFonts w:ascii="Times New Roman" w:hAnsi="Times New Roman" w:cs="Times New Roman"/>
          <w:b/>
          <w:bCs/>
          <w:lang w:val="es-ES_tradnl"/>
        </w:rPr>
      </w:pPr>
      <w:r w:rsidRPr="006F5747">
        <w:rPr>
          <w:rFonts w:ascii="Times New Roman" w:hAnsi="Times New Roman" w:cs="Times New Roman"/>
          <w:b/>
          <w:bCs/>
          <w:lang w:val="es-ES_tradnl"/>
        </w:rPr>
        <w:t>Referencias Bibliográficas</w:t>
      </w:r>
    </w:p>
    <w:p w14:paraId="0BFEAE16" w14:textId="77777777" w:rsidR="00947137" w:rsidRPr="00674FAA" w:rsidRDefault="00947137" w:rsidP="00947137">
      <w:pPr>
        <w:spacing w:line="240" w:lineRule="auto"/>
        <w:jc w:val="both"/>
        <w:rPr>
          <w:rFonts w:ascii="Times New Roman" w:hAnsi="Times New Roman" w:cs="Times New Roman"/>
        </w:rPr>
      </w:pPr>
      <w:proofErr w:type="spellStart"/>
      <w:r w:rsidRPr="00674FAA">
        <w:rPr>
          <w:rFonts w:ascii="Times New Roman" w:hAnsi="Times New Roman" w:cs="Times New Roman"/>
        </w:rPr>
        <w:t>Alkin</w:t>
      </w:r>
      <w:proofErr w:type="spellEnd"/>
      <w:r w:rsidRPr="00674FAA">
        <w:rPr>
          <w:rFonts w:ascii="Times New Roman" w:hAnsi="Times New Roman" w:cs="Times New Roman"/>
        </w:rPr>
        <w:t xml:space="preserve">, M. C. (Ed.). (2013). </w:t>
      </w:r>
      <w:proofErr w:type="spellStart"/>
      <w:r w:rsidRPr="00674FAA">
        <w:rPr>
          <w:rFonts w:ascii="Times New Roman" w:hAnsi="Times New Roman" w:cs="Times New Roman"/>
          <w:i/>
          <w:iCs/>
        </w:rPr>
        <w:t>Evaluation</w:t>
      </w:r>
      <w:proofErr w:type="spellEnd"/>
      <w:r w:rsidRPr="00674FAA">
        <w:rPr>
          <w:rFonts w:ascii="Times New Roman" w:hAnsi="Times New Roman" w:cs="Times New Roman"/>
          <w:i/>
          <w:iCs/>
        </w:rPr>
        <w:t xml:space="preserve"> </w:t>
      </w:r>
      <w:proofErr w:type="spellStart"/>
      <w:r w:rsidRPr="00674FAA">
        <w:rPr>
          <w:rFonts w:ascii="Times New Roman" w:hAnsi="Times New Roman" w:cs="Times New Roman"/>
          <w:i/>
          <w:iCs/>
        </w:rPr>
        <w:t>roots</w:t>
      </w:r>
      <w:proofErr w:type="spellEnd"/>
      <w:r w:rsidRPr="00674FAA">
        <w:rPr>
          <w:rFonts w:ascii="Times New Roman" w:hAnsi="Times New Roman" w:cs="Times New Roman"/>
          <w:i/>
          <w:iCs/>
        </w:rPr>
        <w:t xml:space="preserve">: A </w:t>
      </w:r>
      <w:proofErr w:type="spellStart"/>
      <w:r w:rsidRPr="00674FAA">
        <w:rPr>
          <w:rFonts w:ascii="Times New Roman" w:hAnsi="Times New Roman" w:cs="Times New Roman"/>
          <w:i/>
          <w:iCs/>
        </w:rPr>
        <w:t>wider</w:t>
      </w:r>
      <w:proofErr w:type="spellEnd"/>
      <w:r w:rsidRPr="00674FAA">
        <w:rPr>
          <w:rFonts w:ascii="Times New Roman" w:hAnsi="Times New Roman" w:cs="Times New Roman"/>
          <w:i/>
          <w:iCs/>
        </w:rPr>
        <w:t xml:space="preserve"> </w:t>
      </w:r>
      <w:proofErr w:type="spellStart"/>
      <w:r w:rsidRPr="00674FAA">
        <w:rPr>
          <w:rFonts w:ascii="Times New Roman" w:hAnsi="Times New Roman" w:cs="Times New Roman"/>
          <w:i/>
          <w:iCs/>
        </w:rPr>
        <w:t>perspective</w:t>
      </w:r>
      <w:proofErr w:type="spellEnd"/>
      <w:r w:rsidRPr="00674FAA">
        <w:rPr>
          <w:rFonts w:ascii="Times New Roman" w:hAnsi="Times New Roman" w:cs="Times New Roman"/>
          <w:i/>
          <w:iCs/>
        </w:rPr>
        <w:t xml:space="preserve"> </w:t>
      </w:r>
      <w:proofErr w:type="spellStart"/>
      <w:r w:rsidRPr="00674FAA">
        <w:rPr>
          <w:rFonts w:ascii="Times New Roman" w:hAnsi="Times New Roman" w:cs="Times New Roman"/>
          <w:i/>
          <w:iCs/>
        </w:rPr>
        <w:t>of</w:t>
      </w:r>
      <w:proofErr w:type="spellEnd"/>
      <w:r w:rsidRPr="00674FAA">
        <w:rPr>
          <w:rFonts w:ascii="Times New Roman" w:hAnsi="Times New Roman" w:cs="Times New Roman"/>
          <w:i/>
          <w:iCs/>
        </w:rPr>
        <w:t xml:space="preserve"> </w:t>
      </w:r>
      <w:proofErr w:type="spellStart"/>
      <w:r w:rsidRPr="00674FAA">
        <w:rPr>
          <w:rFonts w:ascii="Times New Roman" w:hAnsi="Times New Roman" w:cs="Times New Roman"/>
          <w:i/>
          <w:iCs/>
        </w:rPr>
        <w:t>theorists</w:t>
      </w:r>
      <w:proofErr w:type="spellEnd"/>
      <w:r w:rsidRPr="00674FAA">
        <w:rPr>
          <w:rFonts w:ascii="Times New Roman" w:hAnsi="Times New Roman" w:cs="Times New Roman"/>
          <w:i/>
          <w:iCs/>
        </w:rPr>
        <w:t xml:space="preserve">’ </w:t>
      </w:r>
      <w:proofErr w:type="spellStart"/>
      <w:r w:rsidRPr="00674FAA">
        <w:rPr>
          <w:rFonts w:ascii="Times New Roman" w:hAnsi="Times New Roman" w:cs="Times New Roman"/>
          <w:i/>
          <w:iCs/>
        </w:rPr>
        <w:t>views</w:t>
      </w:r>
      <w:proofErr w:type="spellEnd"/>
      <w:r w:rsidRPr="00674FAA">
        <w:rPr>
          <w:rFonts w:ascii="Times New Roman" w:hAnsi="Times New Roman" w:cs="Times New Roman"/>
          <w:i/>
          <w:iCs/>
        </w:rPr>
        <w:t xml:space="preserve"> and </w:t>
      </w:r>
      <w:proofErr w:type="spellStart"/>
      <w:r w:rsidRPr="00674FAA">
        <w:rPr>
          <w:rFonts w:ascii="Times New Roman" w:hAnsi="Times New Roman" w:cs="Times New Roman"/>
          <w:i/>
          <w:iCs/>
        </w:rPr>
        <w:t>influences</w:t>
      </w:r>
      <w:proofErr w:type="spellEnd"/>
      <w:r w:rsidRPr="00674FAA">
        <w:rPr>
          <w:rFonts w:ascii="Times New Roman" w:hAnsi="Times New Roman" w:cs="Times New Roman"/>
        </w:rPr>
        <w:t xml:space="preserve"> (2nd ed.). SAGE </w:t>
      </w:r>
      <w:proofErr w:type="spellStart"/>
      <w:r w:rsidRPr="00674FAA">
        <w:rPr>
          <w:rFonts w:ascii="Times New Roman" w:hAnsi="Times New Roman" w:cs="Times New Roman"/>
        </w:rPr>
        <w:t>Publications</w:t>
      </w:r>
      <w:proofErr w:type="spellEnd"/>
      <w:r w:rsidRPr="00674FAA">
        <w:rPr>
          <w:rFonts w:ascii="Times New Roman" w:hAnsi="Times New Roman" w:cs="Times New Roman"/>
        </w:rPr>
        <w:t>.</w:t>
      </w:r>
    </w:p>
    <w:p w14:paraId="446941E8"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t xml:space="preserve">Cardarelli, G. (2007, 22-25 de agosto). </w:t>
      </w:r>
      <w:r w:rsidRPr="00674FAA">
        <w:rPr>
          <w:rFonts w:ascii="Times New Roman" w:hAnsi="Times New Roman" w:cs="Times New Roman"/>
          <w:i/>
          <w:iCs/>
        </w:rPr>
        <w:t>La formación en evaluación de actores gubernamentales y de la sociedad civil: Una experiencia orientada al desarrollo del capital humano a nivel territorial</w:t>
      </w:r>
      <w:r w:rsidRPr="00674FAA">
        <w:rPr>
          <w:rFonts w:ascii="Times New Roman" w:hAnsi="Times New Roman" w:cs="Times New Roman"/>
        </w:rPr>
        <w:t xml:space="preserve"> [Ponencia]. IV Congreso Argentino de Administración Pública, Buenos Aires, Argentina. </w:t>
      </w:r>
      <w:hyperlink r:id="rId7" w:history="1">
        <w:r w:rsidRPr="00674FAA">
          <w:rPr>
            <w:rStyle w:val="Hipervnculo"/>
            <w:rFonts w:ascii="Times New Roman" w:hAnsi="Times New Roman" w:cs="Times New Roman"/>
          </w:rPr>
          <w:t>http://aaeap.org.ar/?ponencias=ponencias-cuerto-congreso-argentino-de-administracion-publica</w:t>
        </w:r>
      </w:hyperlink>
    </w:p>
    <w:p w14:paraId="151238CD"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t xml:space="preserve">Comisión Nacional de Evaluación y Acreditación Universitaria. (2025). Ordenanza N.º 77/25: Aprobar los procedimientos para la evaluación externa focalizada. </w:t>
      </w:r>
    </w:p>
    <w:p w14:paraId="7719C9F1" w14:textId="77777777" w:rsidR="00947137" w:rsidRPr="00674FAA" w:rsidRDefault="00947137" w:rsidP="00947137">
      <w:pPr>
        <w:spacing w:line="240" w:lineRule="auto"/>
        <w:jc w:val="both"/>
        <w:rPr>
          <w:rFonts w:ascii="Times New Roman" w:hAnsi="Times New Roman" w:cs="Times New Roman"/>
        </w:rPr>
      </w:pPr>
      <w:proofErr w:type="spellStart"/>
      <w:r w:rsidRPr="00674FAA">
        <w:rPr>
          <w:rFonts w:ascii="Times New Roman" w:hAnsi="Times New Roman" w:cs="Times New Roman"/>
        </w:rPr>
        <w:t>Corengia</w:t>
      </w:r>
      <w:proofErr w:type="spellEnd"/>
      <w:r w:rsidRPr="00674FAA">
        <w:rPr>
          <w:rFonts w:ascii="Times New Roman" w:hAnsi="Times New Roman" w:cs="Times New Roman"/>
        </w:rPr>
        <w:t xml:space="preserve">, A., Del Bello, J. C., Durand, J., &amp; Pita, M. (2007). </w:t>
      </w:r>
      <w:r w:rsidRPr="00674FAA">
        <w:rPr>
          <w:rFonts w:ascii="Times New Roman" w:hAnsi="Times New Roman" w:cs="Times New Roman"/>
          <w:i/>
          <w:iCs/>
        </w:rPr>
        <w:t>Estudios del impacto de las políticas de evaluación y acreditación universitaria: Aproximación a una discusión bibliográfica</w:t>
      </w:r>
      <w:r w:rsidRPr="00674FAA">
        <w:rPr>
          <w:rFonts w:ascii="Times New Roman" w:hAnsi="Times New Roman" w:cs="Times New Roman"/>
        </w:rPr>
        <w:t xml:space="preserve"> [Ponencia]. V Encuentro Nacional y II Latinoamericano La Universidad como objeto de investigación, Universidad Nacional del Centro de la Provincia de Buenos Aires, Tandil, Argentina.</w:t>
      </w:r>
    </w:p>
    <w:p w14:paraId="3365089B"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t xml:space="preserve">García de Fanelli, A. M. (2012). Acreditación de la calidad y financiamiento: Potenciando el cambio universitario vía fondos no competitivos de mejora. </w:t>
      </w:r>
      <w:r w:rsidRPr="00674FAA">
        <w:rPr>
          <w:rFonts w:ascii="Times New Roman" w:hAnsi="Times New Roman" w:cs="Times New Roman"/>
          <w:i/>
          <w:iCs/>
        </w:rPr>
        <w:t>Archivos Analíticos de Políticas Educativas, 20</w:t>
      </w:r>
      <w:r w:rsidRPr="00674FAA">
        <w:rPr>
          <w:rFonts w:ascii="Times New Roman" w:hAnsi="Times New Roman" w:cs="Times New Roman"/>
        </w:rPr>
        <w:t xml:space="preserve">(22), 1–29. </w:t>
      </w:r>
      <w:hyperlink r:id="rId8" w:history="1">
        <w:r w:rsidRPr="00674FAA">
          <w:rPr>
            <w:rStyle w:val="Hipervnculo"/>
            <w:rFonts w:ascii="Times New Roman" w:hAnsi="Times New Roman" w:cs="Times New Roman"/>
          </w:rPr>
          <w:t>https://doi.org/10.14507/epaa.v20n22.2012</w:t>
        </w:r>
      </w:hyperlink>
    </w:p>
    <w:p w14:paraId="4607E512"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lastRenderedPageBreak/>
        <w:t>Krotsch, P., Camou, A., &amp; Prati, M. (</w:t>
      </w:r>
      <w:proofErr w:type="spellStart"/>
      <w:r w:rsidRPr="00674FAA">
        <w:rPr>
          <w:rFonts w:ascii="Times New Roman" w:hAnsi="Times New Roman" w:cs="Times New Roman"/>
        </w:rPr>
        <w:t>Coords</w:t>
      </w:r>
      <w:proofErr w:type="spellEnd"/>
      <w:r w:rsidRPr="00674FAA">
        <w:rPr>
          <w:rFonts w:ascii="Times New Roman" w:hAnsi="Times New Roman" w:cs="Times New Roman"/>
        </w:rPr>
        <w:t xml:space="preserve">.). (2007). </w:t>
      </w:r>
      <w:r w:rsidRPr="00674FAA">
        <w:rPr>
          <w:rFonts w:ascii="Times New Roman" w:hAnsi="Times New Roman" w:cs="Times New Roman"/>
          <w:i/>
          <w:iCs/>
        </w:rPr>
        <w:t>Evaluando la evaluación: Políticas universitarias, instituciones y actores en Argentina y América Latina</w:t>
      </w:r>
      <w:r w:rsidRPr="00674FAA">
        <w:rPr>
          <w:rFonts w:ascii="Times New Roman" w:hAnsi="Times New Roman" w:cs="Times New Roman"/>
        </w:rPr>
        <w:t>. Prometeo; Universidad Nacional de La Plata, Facultad de Humanidades y Ciencias de la Educación.</w:t>
      </w:r>
    </w:p>
    <w:p w14:paraId="37EBB74F"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t xml:space="preserve">Leviton, L. C. (2014). Some </w:t>
      </w:r>
      <w:proofErr w:type="spellStart"/>
      <w:r w:rsidRPr="00674FAA">
        <w:rPr>
          <w:rFonts w:ascii="Times New Roman" w:hAnsi="Times New Roman" w:cs="Times New Roman"/>
        </w:rPr>
        <w:t>underexamined</w:t>
      </w:r>
      <w:proofErr w:type="spellEnd"/>
      <w:r w:rsidRPr="00674FAA">
        <w:rPr>
          <w:rFonts w:ascii="Times New Roman" w:hAnsi="Times New Roman" w:cs="Times New Roman"/>
        </w:rPr>
        <w:t xml:space="preserve"> </w:t>
      </w:r>
      <w:proofErr w:type="spellStart"/>
      <w:r w:rsidRPr="00674FAA">
        <w:rPr>
          <w:rFonts w:ascii="Times New Roman" w:hAnsi="Times New Roman" w:cs="Times New Roman"/>
        </w:rPr>
        <w:t>aspects</w:t>
      </w:r>
      <w:proofErr w:type="spellEnd"/>
      <w:r w:rsidRPr="00674FAA">
        <w:rPr>
          <w:rFonts w:ascii="Times New Roman" w:hAnsi="Times New Roman" w:cs="Times New Roman"/>
        </w:rPr>
        <w:t xml:space="preserve"> </w:t>
      </w:r>
      <w:proofErr w:type="spellStart"/>
      <w:r w:rsidRPr="00674FAA">
        <w:rPr>
          <w:rFonts w:ascii="Times New Roman" w:hAnsi="Times New Roman" w:cs="Times New Roman"/>
        </w:rPr>
        <w:t>of</w:t>
      </w:r>
      <w:proofErr w:type="spellEnd"/>
      <w:r w:rsidRPr="00674FAA">
        <w:rPr>
          <w:rFonts w:ascii="Times New Roman" w:hAnsi="Times New Roman" w:cs="Times New Roman"/>
        </w:rPr>
        <w:t xml:space="preserve"> </w:t>
      </w:r>
      <w:proofErr w:type="spellStart"/>
      <w:r w:rsidRPr="00674FAA">
        <w:rPr>
          <w:rFonts w:ascii="Times New Roman" w:hAnsi="Times New Roman" w:cs="Times New Roman"/>
        </w:rPr>
        <w:t>evaluation</w:t>
      </w:r>
      <w:proofErr w:type="spellEnd"/>
      <w:r w:rsidRPr="00674FAA">
        <w:rPr>
          <w:rFonts w:ascii="Times New Roman" w:hAnsi="Times New Roman" w:cs="Times New Roman"/>
        </w:rPr>
        <w:t xml:space="preserve"> </w:t>
      </w:r>
      <w:proofErr w:type="spellStart"/>
      <w:r w:rsidRPr="00674FAA">
        <w:rPr>
          <w:rFonts w:ascii="Times New Roman" w:hAnsi="Times New Roman" w:cs="Times New Roman"/>
        </w:rPr>
        <w:t>capacity</w:t>
      </w:r>
      <w:proofErr w:type="spellEnd"/>
      <w:r w:rsidRPr="00674FAA">
        <w:rPr>
          <w:rFonts w:ascii="Times New Roman" w:hAnsi="Times New Roman" w:cs="Times New Roman"/>
        </w:rPr>
        <w:t xml:space="preserve"> </w:t>
      </w:r>
      <w:proofErr w:type="spellStart"/>
      <w:r w:rsidRPr="00674FAA">
        <w:rPr>
          <w:rFonts w:ascii="Times New Roman" w:hAnsi="Times New Roman" w:cs="Times New Roman"/>
        </w:rPr>
        <w:t>building</w:t>
      </w:r>
      <w:proofErr w:type="spellEnd"/>
      <w:r w:rsidRPr="00674FAA">
        <w:rPr>
          <w:rFonts w:ascii="Times New Roman" w:hAnsi="Times New Roman" w:cs="Times New Roman"/>
        </w:rPr>
        <w:t xml:space="preserve">. </w:t>
      </w:r>
      <w:r w:rsidRPr="00674FAA">
        <w:rPr>
          <w:rFonts w:ascii="Times New Roman" w:hAnsi="Times New Roman" w:cs="Times New Roman"/>
          <w:i/>
          <w:iCs/>
        </w:rPr>
        <w:t xml:space="preserve">American </w:t>
      </w:r>
      <w:proofErr w:type="spellStart"/>
      <w:r w:rsidRPr="00674FAA">
        <w:rPr>
          <w:rFonts w:ascii="Times New Roman" w:hAnsi="Times New Roman" w:cs="Times New Roman"/>
          <w:i/>
          <w:iCs/>
        </w:rPr>
        <w:t>Journal</w:t>
      </w:r>
      <w:proofErr w:type="spellEnd"/>
      <w:r w:rsidRPr="00674FAA">
        <w:rPr>
          <w:rFonts w:ascii="Times New Roman" w:hAnsi="Times New Roman" w:cs="Times New Roman"/>
          <w:i/>
          <w:iCs/>
        </w:rPr>
        <w:t xml:space="preserve"> </w:t>
      </w:r>
      <w:proofErr w:type="spellStart"/>
      <w:r w:rsidRPr="00674FAA">
        <w:rPr>
          <w:rFonts w:ascii="Times New Roman" w:hAnsi="Times New Roman" w:cs="Times New Roman"/>
          <w:i/>
          <w:iCs/>
        </w:rPr>
        <w:t>of</w:t>
      </w:r>
      <w:proofErr w:type="spellEnd"/>
      <w:r w:rsidRPr="00674FAA">
        <w:rPr>
          <w:rFonts w:ascii="Times New Roman" w:hAnsi="Times New Roman" w:cs="Times New Roman"/>
          <w:i/>
          <w:iCs/>
        </w:rPr>
        <w:t xml:space="preserve"> </w:t>
      </w:r>
      <w:proofErr w:type="spellStart"/>
      <w:r w:rsidRPr="00674FAA">
        <w:rPr>
          <w:rFonts w:ascii="Times New Roman" w:hAnsi="Times New Roman" w:cs="Times New Roman"/>
          <w:i/>
          <w:iCs/>
        </w:rPr>
        <w:t>Evaluation</w:t>
      </w:r>
      <w:proofErr w:type="spellEnd"/>
      <w:r w:rsidRPr="00674FAA">
        <w:rPr>
          <w:rFonts w:ascii="Times New Roman" w:hAnsi="Times New Roman" w:cs="Times New Roman"/>
          <w:i/>
          <w:iCs/>
        </w:rPr>
        <w:t>, 35</w:t>
      </w:r>
      <w:r w:rsidRPr="00674FAA">
        <w:rPr>
          <w:rFonts w:ascii="Times New Roman" w:hAnsi="Times New Roman" w:cs="Times New Roman"/>
        </w:rPr>
        <w:t xml:space="preserve">(1), 90–94. </w:t>
      </w:r>
      <w:hyperlink r:id="rId9" w:history="1">
        <w:r w:rsidRPr="00674FAA">
          <w:rPr>
            <w:rStyle w:val="Hipervnculo"/>
            <w:rFonts w:ascii="Times New Roman" w:hAnsi="Times New Roman" w:cs="Times New Roman"/>
          </w:rPr>
          <w:t>https://doi.org/10.1177/1098214013502844</w:t>
        </w:r>
      </w:hyperlink>
    </w:p>
    <w:p w14:paraId="68E42E62"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t xml:space="preserve">Ministerio de Educación. (2023, 15 de noviembre). Resolución 2597/2023: Sistemas Institucionales de Aseguramiento de la Calidad. Boletín Oficial de la República Argentina. </w:t>
      </w:r>
    </w:p>
    <w:p w14:paraId="14D459E5" w14:textId="77777777" w:rsidR="00947137" w:rsidRPr="00674FAA" w:rsidRDefault="00947137" w:rsidP="00947137">
      <w:pPr>
        <w:spacing w:line="240" w:lineRule="auto"/>
        <w:jc w:val="both"/>
        <w:rPr>
          <w:rFonts w:ascii="Times New Roman" w:hAnsi="Times New Roman" w:cs="Times New Roman"/>
        </w:rPr>
      </w:pPr>
      <w:proofErr w:type="spellStart"/>
      <w:r w:rsidRPr="00674FAA">
        <w:rPr>
          <w:rFonts w:ascii="Times New Roman" w:hAnsi="Times New Roman" w:cs="Times New Roman"/>
        </w:rPr>
        <w:t>Nosiglia</w:t>
      </w:r>
      <w:proofErr w:type="spellEnd"/>
      <w:r w:rsidRPr="00674FAA">
        <w:rPr>
          <w:rFonts w:ascii="Times New Roman" w:hAnsi="Times New Roman" w:cs="Times New Roman"/>
        </w:rPr>
        <w:t xml:space="preserve">, M. C. (Comp.). (2013). </w:t>
      </w:r>
      <w:r w:rsidRPr="00674FAA">
        <w:rPr>
          <w:rFonts w:ascii="Times New Roman" w:hAnsi="Times New Roman" w:cs="Times New Roman"/>
          <w:i/>
          <w:iCs/>
        </w:rPr>
        <w:t>La evaluación universitaria: Reflexiones teóricas y experiencias a nivel internacional y nacional</w:t>
      </w:r>
      <w:r w:rsidRPr="00674FAA">
        <w:rPr>
          <w:rFonts w:ascii="Times New Roman" w:hAnsi="Times New Roman" w:cs="Times New Roman"/>
        </w:rPr>
        <w:t>. Eudeba.</w:t>
      </w:r>
    </w:p>
    <w:p w14:paraId="31895612"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t xml:space="preserve">Stufflebeam, D. y </w:t>
      </w:r>
      <w:proofErr w:type="spellStart"/>
      <w:r w:rsidRPr="00674FAA">
        <w:rPr>
          <w:rFonts w:ascii="Times New Roman" w:hAnsi="Times New Roman" w:cs="Times New Roman"/>
        </w:rPr>
        <w:t>Shinkfield</w:t>
      </w:r>
      <w:proofErr w:type="spellEnd"/>
      <w:r w:rsidRPr="00674FAA">
        <w:rPr>
          <w:rFonts w:ascii="Times New Roman" w:hAnsi="Times New Roman" w:cs="Times New Roman"/>
        </w:rPr>
        <w:t xml:space="preserve">, A. (1987) </w:t>
      </w:r>
      <w:r w:rsidRPr="00674FAA">
        <w:rPr>
          <w:rFonts w:ascii="Times New Roman" w:hAnsi="Times New Roman" w:cs="Times New Roman"/>
          <w:i/>
        </w:rPr>
        <w:t>Evaluación sistemática</w:t>
      </w:r>
      <w:r w:rsidRPr="00674FAA">
        <w:rPr>
          <w:rFonts w:ascii="Times New Roman" w:hAnsi="Times New Roman" w:cs="Times New Roman"/>
        </w:rPr>
        <w:t>. Barcelona: Paidós.</w:t>
      </w:r>
    </w:p>
    <w:p w14:paraId="7CB7CCFF"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t xml:space="preserve">Universidad de Buenos Aires. Consejo Superior. (2017). Resolución (CS) </w:t>
      </w:r>
      <w:proofErr w:type="spellStart"/>
      <w:r w:rsidRPr="00674FAA">
        <w:rPr>
          <w:rFonts w:ascii="Times New Roman" w:hAnsi="Times New Roman" w:cs="Times New Roman"/>
        </w:rPr>
        <w:t>Nº</w:t>
      </w:r>
      <w:proofErr w:type="spellEnd"/>
      <w:r w:rsidRPr="00674FAA">
        <w:rPr>
          <w:rFonts w:ascii="Times New Roman" w:hAnsi="Times New Roman" w:cs="Times New Roman"/>
        </w:rPr>
        <w:t xml:space="preserve"> 7924/17: Creación de la Carrera de Especialización en Evaluación Universitaria, modalidad a distancia; reglamentación general, plan de estudios y contenidos mínimos. Código UBA, Libro I, Título 21, Capítulo B. </w:t>
      </w:r>
    </w:p>
    <w:p w14:paraId="32405863" w14:textId="77777777" w:rsidR="00947137" w:rsidRPr="00674FAA" w:rsidRDefault="00947137" w:rsidP="00947137">
      <w:pPr>
        <w:spacing w:line="240" w:lineRule="auto"/>
        <w:jc w:val="both"/>
        <w:rPr>
          <w:rFonts w:ascii="Times New Roman" w:hAnsi="Times New Roman" w:cs="Times New Roman"/>
        </w:rPr>
      </w:pPr>
      <w:r w:rsidRPr="00674FAA">
        <w:rPr>
          <w:rFonts w:ascii="Times New Roman" w:hAnsi="Times New Roman" w:cs="Times New Roman"/>
        </w:rPr>
        <w:t xml:space="preserve">Villanueva, E. (2008). La acreditación en contexto de cambio: El caso de las carreras de ingeniería en la Argentina. </w:t>
      </w:r>
      <w:proofErr w:type="spellStart"/>
      <w:r w:rsidRPr="00674FAA">
        <w:rPr>
          <w:rFonts w:ascii="Times New Roman" w:hAnsi="Times New Roman" w:cs="Times New Roman"/>
          <w:i/>
          <w:iCs/>
        </w:rPr>
        <w:t>Avaliação</w:t>
      </w:r>
      <w:proofErr w:type="spellEnd"/>
      <w:r w:rsidRPr="00674FAA">
        <w:rPr>
          <w:rFonts w:ascii="Times New Roman" w:hAnsi="Times New Roman" w:cs="Times New Roman"/>
          <w:i/>
          <w:iCs/>
        </w:rPr>
        <w:t xml:space="preserve">: Revista da </w:t>
      </w:r>
      <w:proofErr w:type="spellStart"/>
      <w:r w:rsidRPr="00674FAA">
        <w:rPr>
          <w:rFonts w:ascii="Times New Roman" w:hAnsi="Times New Roman" w:cs="Times New Roman"/>
          <w:i/>
          <w:iCs/>
        </w:rPr>
        <w:t>Avaliação</w:t>
      </w:r>
      <w:proofErr w:type="spellEnd"/>
      <w:r w:rsidRPr="00674FAA">
        <w:rPr>
          <w:rFonts w:ascii="Times New Roman" w:hAnsi="Times New Roman" w:cs="Times New Roman"/>
          <w:i/>
          <w:iCs/>
        </w:rPr>
        <w:t xml:space="preserve"> da </w:t>
      </w:r>
      <w:proofErr w:type="spellStart"/>
      <w:r w:rsidRPr="00674FAA">
        <w:rPr>
          <w:rFonts w:ascii="Times New Roman" w:hAnsi="Times New Roman" w:cs="Times New Roman"/>
          <w:i/>
          <w:iCs/>
        </w:rPr>
        <w:t>Educação</w:t>
      </w:r>
      <w:proofErr w:type="spellEnd"/>
      <w:r w:rsidRPr="00674FAA">
        <w:rPr>
          <w:rFonts w:ascii="Times New Roman" w:hAnsi="Times New Roman" w:cs="Times New Roman"/>
          <w:i/>
          <w:iCs/>
        </w:rPr>
        <w:t xml:space="preserve"> Superior, 13</w:t>
      </w:r>
      <w:r w:rsidRPr="00674FAA">
        <w:rPr>
          <w:rFonts w:ascii="Times New Roman" w:hAnsi="Times New Roman" w:cs="Times New Roman"/>
        </w:rPr>
        <w:t xml:space="preserve">(3), 793–805. </w:t>
      </w:r>
      <w:hyperlink r:id="rId10" w:history="1">
        <w:r w:rsidRPr="00674FAA">
          <w:rPr>
            <w:rStyle w:val="Hipervnculo"/>
            <w:rFonts w:ascii="Times New Roman" w:hAnsi="Times New Roman" w:cs="Times New Roman"/>
          </w:rPr>
          <w:t>http://www.redalyc.org/articulo.oa?id=219114874009</w:t>
        </w:r>
      </w:hyperlink>
    </w:p>
    <w:p w14:paraId="5A6271B6" w14:textId="77777777" w:rsidR="00947137" w:rsidRPr="00947137" w:rsidRDefault="00947137" w:rsidP="00947137">
      <w:pPr>
        <w:spacing w:line="240" w:lineRule="auto"/>
        <w:jc w:val="both"/>
        <w:rPr>
          <w:lang w:val="es-ES_tradnl"/>
        </w:rPr>
      </w:pPr>
    </w:p>
    <w:sectPr w:rsidR="00947137" w:rsidRPr="00947137"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7FCF3" w14:textId="77777777" w:rsidR="00105B44" w:rsidRPr="00BA642E" w:rsidRDefault="00105B44" w:rsidP="00C802F5">
      <w:pPr>
        <w:spacing w:after="0" w:line="240" w:lineRule="auto"/>
      </w:pPr>
      <w:r w:rsidRPr="00BA642E">
        <w:separator/>
      </w:r>
    </w:p>
  </w:endnote>
  <w:endnote w:type="continuationSeparator" w:id="0">
    <w:p w14:paraId="5A5E1A90" w14:textId="77777777" w:rsidR="00105B44" w:rsidRPr="00BA642E" w:rsidRDefault="00105B4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0044269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23DF2" w14:textId="77777777" w:rsidR="00105B44" w:rsidRPr="00BA642E" w:rsidRDefault="00105B44" w:rsidP="00C802F5">
      <w:pPr>
        <w:spacing w:after="0" w:line="240" w:lineRule="auto"/>
      </w:pPr>
      <w:r w:rsidRPr="00BA642E">
        <w:separator/>
      </w:r>
    </w:p>
  </w:footnote>
  <w:footnote w:type="continuationSeparator" w:id="0">
    <w:p w14:paraId="79982FDD" w14:textId="77777777" w:rsidR="00105B44" w:rsidRPr="00BA642E" w:rsidRDefault="00105B4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7750311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0056"/>
    <w:multiLevelType w:val="multilevel"/>
    <w:tmpl w:val="6276E396"/>
    <w:lvl w:ilvl="0">
      <w:start w:val="1"/>
      <w:numFmt w:val="decimal"/>
      <w:lvlText w:val="%1."/>
      <w:lvlJc w:val="left"/>
      <w:pPr>
        <w:ind w:left="363" w:hanging="360"/>
      </w:pPr>
      <w:rPr>
        <w:rFonts w:hint="default"/>
      </w:rPr>
    </w:lvl>
    <w:lvl w:ilvl="1">
      <w:start w:val="1"/>
      <w:numFmt w:val="decimal"/>
      <w:isLgl/>
      <w:lvlText w:val="%1.%2."/>
      <w:lvlJc w:val="left"/>
      <w:pPr>
        <w:ind w:left="723" w:hanging="72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1083" w:hanging="108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443" w:hanging="144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803" w:hanging="1800"/>
      </w:pPr>
      <w:rPr>
        <w:rFonts w:hint="default"/>
      </w:rPr>
    </w:lvl>
    <w:lvl w:ilvl="8">
      <w:start w:val="1"/>
      <w:numFmt w:val="decimal"/>
      <w:isLgl/>
      <w:lvlText w:val="%1.%2.%3.%4.%5.%6.%7.%8.%9."/>
      <w:lvlJc w:val="left"/>
      <w:pPr>
        <w:ind w:left="1803" w:hanging="1800"/>
      </w:pPr>
      <w:rPr>
        <w:rFonts w:hint="default"/>
      </w:rPr>
    </w:lvl>
  </w:abstractNum>
  <w:abstractNum w:abstractNumId="1" w15:restartNumberingAfterBreak="0">
    <w:nsid w:val="4C0F0FBE"/>
    <w:multiLevelType w:val="multilevel"/>
    <w:tmpl w:val="C946141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0CD371B"/>
    <w:multiLevelType w:val="hybridMultilevel"/>
    <w:tmpl w:val="55283EE8"/>
    <w:lvl w:ilvl="0" w:tplc="29249018">
      <w:start w:val="2"/>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39256754">
    <w:abstractNumId w:val="0"/>
  </w:num>
  <w:num w:numId="2" w16cid:durableId="382410155">
    <w:abstractNumId w:val="1"/>
  </w:num>
  <w:num w:numId="3" w16cid:durableId="443232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D0294"/>
    <w:rsid w:val="00105B44"/>
    <w:rsid w:val="001816D6"/>
    <w:rsid w:val="00185F5E"/>
    <w:rsid w:val="001923DC"/>
    <w:rsid w:val="002327C3"/>
    <w:rsid w:val="002356C2"/>
    <w:rsid w:val="00312392"/>
    <w:rsid w:val="0031331B"/>
    <w:rsid w:val="004040C0"/>
    <w:rsid w:val="00437E9C"/>
    <w:rsid w:val="004D07B4"/>
    <w:rsid w:val="00550766"/>
    <w:rsid w:val="005F3B2E"/>
    <w:rsid w:val="006F5747"/>
    <w:rsid w:val="00701F64"/>
    <w:rsid w:val="007B5B5F"/>
    <w:rsid w:val="007D233B"/>
    <w:rsid w:val="007F06DD"/>
    <w:rsid w:val="0085070B"/>
    <w:rsid w:val="008D4172"/>
    <w:rsid w:val="008F69E4"/>
    <w:rsid w:val="00947137"/>
    <w:rsid w:val="009636A9"/>
    <w:rsid w:val="00A17247"/>
    <w:rsid w:val="00B616AE"/>
    <w:rsid w:val="00BA642E"/>
    <w:rsid w:val="00BC236F"/>
    <w:rsid w:val="00C42054"/>
    <w:rsid w:val="00C802F5"/>
    <w:rsid w:val="00C96B2C"/>
    <w:rsid w:val="00CB0F6E"/>
    <w:rsid w:val="00CC04C1"/>
    <w:rsid w:val="00D71F21"/>
    <w:rsid w:val="00D82B5C"/>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31331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507/epaa.v20n22.20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aeap.org.ar/?ponencias=ponencias-cuerto-congreso-argentino-de-administracion-public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edalyc.org/articulo.oa?id=219114874009" TargetMode="External"/><Relationship Id="rId4" Type="http://schemas.openxmlformats.org/officeDocument/2006/relationships/webSettings" Target="webSettings.xml"/><Relationship Id="rId9" Type="http://schemas.openxmlformats.org/officeDocument/2006/relationships/hyperlink" Target="https://doi.org/10.1177/109821401350284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19</Pages>
  <Words>8377</Words>
  <Characters>46077</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Hebe Roig</cp:lastModifiedBy>
  <cp:revision>11</cp:revision>
  <dcterms:created xsi:type="dcterms:W3CDTF">2026-06-30T22:28:00Z</dcterms:created>
  <dcterms:modified xsi:type="dcterms:W3CDTF">2026-07-02T00:59:00Z</dcterms:modified>
</cp:coreProperties>
</file>