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013E89D7" w14:textId="77777777" w:rsidR="00702FC9" w:rsidRPr="00702FC9" w:rsidRDefault="00702FC9" w:rsidP="00702FC9">
      <w:pPr>
        <w:jc w:val="center"/>
        <w:rPr>
          <w:rFonts w:ascii="Times New Roman" w:hAnsi="Times New Roman" w:cs="Times New Roman"/>
          <w:b/>
          <w:bCs/>
          <w:lang w:val="es-AR"/>
        </w:rPr>
      </w:pPr>
      <w:r w:rsidRPr="00702FC9">
        <w:rPr>
          <w:rFonts w:ascii="Times New Roman" w:hAnsi="Times New Roman" w:cs="Times New Roman"/>
          <w:b/>
          <w:bCs/>
          <w:lang w:val="es-AR"/>
        </w:rPr>
        <w:t>Condiciones y alcances del campo de la “pedagogía universitaria” en Argentina</w:t>
      </w:r>
    </w:p>
    <w:p w14:paraId="43C49479" w14:textId="77777777" w:rsidR="005F3B2E" w:rsidRPr="00702FC9" w:rsidRDefault="005F3B2E" w:rsidP="001923DC">
      <w:pPr>
        <w:jc w:val="center"/>
        <w:rPr>
          <w:rFonts w:ascii="Times New Roman" w:hAnsi="Times New Roman" w:cs="Times New Roman"/>
          <w:lang w:val="es-AR"/>
        </w:rPr>
      </w:pPr>
    </w:p>
    <w:p w14:paraId="4E738780" w14:textId="476D8DD9" w:rsidR="005F3B2E" w:rsidRPr="00BA642E" w:rsidRDefault="00702FC9" w:rsidP="005F3B2E">
      <w:pPr>
        <w:spacing w:after="0" w:line="240" w:lineRule="auto"/>
        <w:jc w:val="right"/>
        <w:rPr>
          <w:rFonts w:ascii="Times New Roman" w:hAnsi="Times New Roman" w:cs="Times New Roman"/>
        </w:rPr>
      </w:pPr>
      <w:r>
        <w:rPr>
          <w:rFonts w:ascii="Times New Roman" w:hAnsi="Times New Roman" w:cs="Times New Roman"/>
        </w:rPr>
        <w:t>Matias Manelli</w:t>
      </w:r>
    </w:p>
    <w:p w14:paraId="6C2AECCA" w14:textId="5F0723C1" w:rsidR="005F3B2E" w:rsidRPr="00BA642E" w:rsidRDefault="00702FC9" w:rsidP="005F3B2E">
      <w:pPr>
        <w:spacing w:after="0" w:line="240" w:lineRule="auto"/>
        <w:jc w:val="right"/>
        <w:rPr>
          <w:rFonts w:ascii="Times New Roman" w:hAnsi="Times New Roman" w:cs="Times New Roman"/>
        </w:rPr>
      </w:pPr>
      <w:r>
        <w:rPr>
          <w:rFonts w:ascii="Times New Roman" w:hAnsi="Times New Roman" w:cs="Times New Roman"/>
        </w:rPr>
        <w:t>Universidad de Buenos Aires - CONICET</w:t>
      </w:r>
    </w:p>
    <w:p w14:paraId="7D0026CD" w14:textId="748FC5F5" w:rsidR="005F3B2E" w:rsidRPr="00702FC9" w:rsidRDefault="00702FC9" w:rsidP="005F3B2E">
      <w:pPr>
        <w:spacing w:after="0" w:line="240" w:lineRule="auto"/>
        <w:jc w:val="right"/>
        <w:rPr>
          <w:rFonts w:ascii="Times New Roman" w:hAnsi="Times New Roman" w:cs="Times New Roman"/>
          <w:lang w:val="en-US"/>
        </w:rPr>
      </w:pPr>
      <w:r w:rsidRPr="00702FC9">
        <w:rPr>
          <w:rFonts w:ascii="Times New Roman" w:hAnsi="Times New Roman" w:cs="Times New Roman"/>
          <w:lang w:val="en-US"/>
        </w:rPr>
        <w:t>mmanelli</w:t>
      </w:r>
      <w:r w:rsidRPr="00702FC9">
        <w:rPr>
          <w:rFonts w:ascii="Times New Roman" w:hAnsi="Times New Roman" w:cs="Times New Roman"/>
          <w:lang w:val="en-US"/>
        </w:rPr>
        <w:t>@</w:t>
      </w:r>
      <w:r w:rsidRPr="00702FC9">
        <w:rPr>
          <w:rFonts w:ascii="Times New Roman" w:hAnsi="Times New Roman" w:cs="Times New Roman"/>
          <w:lang w:val="en-US"/>
        </w:rPr>
        <w:t>derecho.uba.ar</w:t>
      </w:r>
    </w:p>
    <w:p w14:paraId="1FA0F857" w14:textId="77777777" w:rsidR="005F3B2E" w:rsidRPr="00702FC9" w:rsidRDefault="005F3B2E" w:rsidP="005F3B2E">
      <w:pPr>
        <w:rPr>
          <w:rFonts w:ascii="Times New Roman" w:hAnsi="Times New Roman" w:cs="Times New Roman"/>
          <w:lang w:val="en-US"/>
        </w:rPr>
      </w:pPr>
    </w:p>
    <w:p w14:paraId="5E24E7DC" w14:textId="77777777" w:rsidR="00893F06" w:rsidRDefault="00BA642E" w:rsidP="007B5B5F">
      <w:pPr>
        <w:spacing w:line="240" w:lineRule="auto"/>
        <w:jc w:val="both"/>
        <w:rPr>
          <w:rFonts w:ascii="Times New Roman" w:hAnsi="Times New Roman" w:cs="Times New Roman"/>
        </w:rPr>
      </w:pPr>
      <w:r w:rsidRPr="00702FC9">
        <w:rPr>
          <w:rFonts w:ascii="Times New Roman" w:hAnsi="Times New Roman" w:cs="Times New Roman"/>
          <w:b/>
          <w:bCs/>
          <w:lang w:val="es-AR"/>
        </w:rPr>
        <w:t>Resumen:</w:t>
      </w:r>
      <w:r w:rsidR="007B5B5F" w:rsidRPr="00702FC9">
        <w:rPr>
          <w:rFonts w:ascii="Times New Roman" w:hAnsi="Times New Roman" w:cs="Times New Roman"/>
          <w:b/>
          <w:bCs/>
          <w:lang w:val="es-AR"/>
        </w:rPr>
        <w:t xml:space="preserve"> </w:t>
      </w:r>
      <w:r w:rsidR="00893F06" w:rsidRPr="00893F06">
        <w:rPr>
          <w:rFonts w:ascii="Times New Roman" w:hAnsi="Times New Roman" w:cs="Times New Roman"/>
        </w:rPr>
        <w:t xml:space="preserve">Esta ponencia propone una discusión teórica en torno al campo conocido como “pedagogía universitaria” en Argentina. En tal sentido, en primer lugar, se recapitulan algunas premisas epistemológicas para delimitar el alcance de la pedagogía y la didáctica, a la vez que se caracteriza la evolución del campo y sus agendas de investigación, compelidas a lo escolar. Finalmente, se interroga y brinda una serie de respuestas sobre el alcance de la pedagogía universitaria en Argentina, sobre la base de los argumentos de los apartados anteriores, y se presenta una serie de reflexiones a modo de cierre. La amplitud de la pedagogía como campo exige precisar su alcance, o sus distintas dimensiones. Al respecto, Puiggrós y Marengo (2013) sostienen que la pedagogía se centra en la educación como hecho social, y se ha erigido como un campo de articulación de conocimientos estructurados a partir de distintas perspectivas metodológicas asociadas a la producción filosófica, de las ciencias sociales y la psicología, el cual se orienta a sistematizar experiencias y reflexiones sobre la cuestión educativa o, más específicamente, abordan una serie de tópicos privativos de la disciplina: la enseñanza y su organización, las instituciones educativas, las características de los sujetos involucrados y las técnicas de enseñanza, entre otras. El primer aspecto </w:t>
      </w:r>
      <w:proofErr w:type="gramStart"/>
      <w:r w:rsidR="00893F06" w:rsidRPr="00893F06">
        <w:rPr>
          <w:rFonts w:ascii="Times New Roman" w:hAnsi="Times New Roman" w:cs="Times New Roman"/>
        </w:rPr>
        <w:t>a</w:t>
      </w:r>
      <w:proofErr w:type="gramEnd"/>
      <w:r w:rsidR="00893F06" w:rsidRPr="00893F06">
        <w:rPr>
          <w:rFonts w:ascii="Times New Roman" w:hAnsi="Times New Roman" w:cs="Times New Roman"/>
        </w:rPr>
        <w:t xml:space="preserve"> tener en cuenta en torno al campo de la pedagogía moderna es que, en tanto saber disciplinar constituido a la par de los sistemas educativos en el siglo XIX, y en virtud de su evolución en el transcurso del siglo XX, es que se redujo a lo escolar (Pineau, 2001). Esto no significa que la educación superior no haya sido objeto de reflexión pedagógica, pero el campo se ordenó, fundamentalmente, en torno a la escolaridad básica y en los agentes implicados en ella. Sin perjuicio de ello, se identifica en la década del ’60 un punto de inflexión en los abordajes sobre la universidad, basado en “análisis, investigaciones y producciones conceptuales articuladas a las dimensiones macro sociales, antes que en aquellas que focalizan las dinámicas y procesos de formación que se despliegan en las prácticas educativas de docentes y estudiantes o en los microespacios y procesos cotidianos de producción, circulación y distribución de saberes y de producción de sujetos pedagógicos en el seno de estas instituciones” (Morandi, 2022, p. 56). Así, priman en el campo, análisis institucionales por sobre agendas vinculadas con los procesos de enseñanza. Hacia la consolidación de la educación superior como objeto de estudio desde las ciencias sociales, la historia y la pedagogía hacia la década de los 90 (</w:t>
      </w:r>
      <w:proofErr w:type="spellStart"/>
      <w:r w:rsidR="00893F06" w:rsidRPr="00893F06">
        <w:rPr>
          <w:rFonts w:ascii="Times New Roman" w:hAnsi="Times New Roman" w:cs="Times New Roman"/>
        </w:rPr>
        <w:t>Krotsch</w:t>
      </w:r>
      <w:proofErr w:type="spellEnd"/>
      <w:r w:rsidR="00893F06" w:rsidRPr="00893F06">
        <w:rPr>
          <w:rFonts w:ascii="Times New Roman" w:hAnsi="Times New Roman" w:cs="Times New Roman"/>
        </w:rPr>
        <w:t>, 2009) y con el desarrollo de las últimas décadas, cabe preguntarse, respecto de la universidad como objeto de estudio: ¿qué relación ha tenido con el canon de la discusión pedagógica moderna? ¿cuáles son las áreas de interés predominantes? ¿cuáles son las cuentas pendientes?</w:t>
      </w:r>
    </w:p>
    <w:p w14:paraId="2994BAB3" w14:textId="185A6016"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702FC9">
        <w:rPr>
          <w:rFonts w:ascii="Times New Roman" w:hAnsi="Times New Roman" w:cs="Times New Roman"/>
        </w:rPr>
        <w:t>Universidad – Pedagogía - Investigación</w:t>
      </w:r>
    </w:p>
    <w:p w14:paraId="6A5547A1" w14:textId="36B7FAC2" w:rsidR="00BA642E" w:rsidRPr="00702FC9" w:rsidRDefault="00BA642E" w:rsidP="007B5B5F">
      <w:pPr>
        <w:spacing w:line="240" w:lineRule="auto"/>
        <w:rPr>
          <w:rFonts w:ascii="Times New Roman" w:hAnsi="Times New Roman" w:cs="Times New Roman"/>
          <w:b/>
          <w:bCs/>
          <w:lang w:val="es-AR"/>
        </w:rPr>
      </w:pPr>
      <w:r w:rsidRPr="00702FC9">
        <w:rPr>
          <w:rFonts w:ascii="Times New Roman" w:hAnsi="Times New Roman" w:cs="Times New Roman"/>
          <w:b/>
          <w:bCs/>
          <w:lang w:val="es-AR"/>
        </w:rPr>
        <w:lastRenderedPageBreak/>
        <w:t>Introducción</w:t>
      </w:r>
    </w:p>
    <w:p w14:paraId="127AFE6C"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La amplitud de la pedagogía como campo exige precisar su alcance, o sus distintas dimensiones. Al respecto, Puiggrós y Marengo (2013) sostienen que la pedagogía se centra en la educación como hecho social, y se ha erigido como un campo de articulación de conocimientos estructurados a partir de distintas perspectivas metodológicas asociadas a la producción filosófica, de las ciencias sociales y la psicología, el cual se orienta a sistematizar experiencias y reflexiones sobre la cuestión educativa o, más específicamente, abordan una serie de tópicos privativos de la disciplina: la enseñanza y su organización, las instituciones educativas, las características de los sujetos involucrados y las técnicas de enseñanza, entre otras. </w:t>
      </w:r>
    </w:p>
    <w:p w14:paraId="137F3933"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Esta definición amplia resulta de algunas tensiones epistemológicas que recorren la configuración de la pedagogía en la modernidad, y se expresan en la emergencia de las ciencias de la educación. La construcción de conocimiento en el campo pedagógico, cuya génesis se puede rastrear en referentes constitutivos como </w:t>
      </w:r>
      <w:proofErr w:type="gramStart"/>
      <w:r w:rsidRPr="00702FC9">
        <w:rPr>
          <w:rFonts w:ascii="Times New Roman" w:hAnsi="Times New Roman" w:cs="Times New Roman"/>
          <w:lang w:val="es-AR"/>
        </w:rPr>
        <w:t>son  los</w:t>
      </w:r>
      <w:proofErr w:type="gramEnd"/>
      <w:r w:rsidRPr="00702FC9">
        <w:rPr>
          <w:rFonts w:ascii="Times New Roman" w:hAnsi="Times New Roman" w:cs="Times New Roman"/>
          <w:lang w:val="es-AR"/>
        </w:rPr>
        <w:t xml:space="preserve"> casos de Comenio en el Siglo XVII o posteriormente Herbart en el Siglo XIX, estuvo y está atravesada por la dimensión explicativa, normativa y programática para el abordaje del fenómeno educativo. En la discusión epistemológica un aporte fundamental es el de Durkheim (1974), que propuso una distinción entre pedagogía y educación donde la educación es un hecho social que debe reconstruirse desde la ciencia, mientras que la pedagogía se corresponde con la dimensión normativa de la disciplina, al orientarse a guiar las prácticas educativas y producir lo que él denomina </w:t>
      </w:r>
      <w:r w:rsidRPr="00702FC9">
        <w:rPr>
          <w:rFonts w:ascii="Times New Roman" w:hAnsi="Times New Roman" w:cs="Times New Roman"/>
          <w:i/>
          <w:iCs/>
          <w:lang w:val="es-AR"/>
        </w:rPr>
        <w:t>doctrinas pedagógicas</w:t>
      </w:r>
      <w:r w:rsidRPr="00702FC9">
        <w:rPr>
          <w:rFonts w:ascii="Times New Roman" w:hAnsi="Times New Roman" w:cs="Times New Roman"/>
          <w:lang w:val="es-AR"/>
        </w:rPr>
        <w:t>: esto es, las aspiraciones hacia un ideal nuevo establecido por la sociedad. Esta concepción supone una interrelación entre el conocimiento y la prescripción en educación. Para Durkheim:</w:t>
      </w:r>
    </w:p>
    <w:p w14:paraId="12C20357"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el especialista en pedagogía no tiene por qué construir totalmente un sistema de enseñanzas, como si antes de él no hubiera existido ninguno; a lo que tiene que dedicarse por el contrario es, en primer lugar, a conocer y a comprender el sistema de su tiempo; bajo esta condición es como será capaz de utilizarlo con discernimiento y de juzgar lo que pueda haber en él de defectuoso (1974, p. 127).</w:t>
      </w:r>
    </w:p>
    <w:p w14:paraId="3806E1B8"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Esta multidimensionalidad intrínseca a la disciplina es sintetizada por Gimeno Sacristán (1978) en la tríada </w:t>
      </w:r>
      <w:r w:rsidRPr="00702FC9">
        <w:rPr>
          <w:rFonts w:ascii="Times New Roman" w:hAnsi="Times New Roman" w:cs="Times New Roman"/>
          <w:i/>
          <w:iCs/>
          <w:lang w:val="es-AR"/>
        </w:rPr>
        <w:t>explicación</w:t>
      </w:r>
      <w:r w:rsidRPr="00702FC9">
        <w:rPr>
          <w:rFonts w:ascii="Times New Roman" w:hAnsi="Times New Roman" w:cs="Times New Roman"/>
          <w:lang w:val="es-AR"/>
        </w:rPr>
        <w:t xml:space="preserve">, </w:t>
      </w:r>
      <w:r w:rsidRPr="00702FC9">
        <w:rPr>
          <w:rFonts w:ascii="Times New Roman" w:hAnsi="Times New Roman" w:cs="Times New Roman"/>
          <w:i/>
          <w:iCs/>
          <w:lang w:val="es-AR"/>
        </w:rPr>
        <w:t>normatividad</w:t>
      </w:r>
      <w:r w:rsidRPr="00702FC9">
        <w:rPr>
          <w:rFonts w:ascii="Times New Roman" w:hAnsi="Times New Roman" w:cs="Times New Roman"/>
          <w:lang w:val="es-AR"/>
        </w:rPr>
        <w:t xml:space="preserve"> y </w:t>
      </w:r>
      <w:r w:rsidRPr="00702FC9">
        <w:rPr>
          <w:rFonts w:ascii="Times New Roman" w:hAnsi="Times New Roman" w:cs="Times New Roman"/>
          <w:i/>
          <w:iCs/>
          <w:lang w:val="es-AR"/>
        </w:rPr>
        <w:t>utopía: </w:t>
      </w:r>
    </w:p>
    <w:p w14:paraId="7B0E23C3"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Las ciencias de la educación contienen explicaciones sobre la totalidad o partes del objeto educación, se ocupan de configurar una tecnología normativa tendente a conseguir su objeto propio, y, dado su carácter expansivo, se proponen aumentar los límites de las capacidades humanas y de la cultura; por eso decimos que tienen un componente utópico, innovador y propositivo. Creo que conviene considerar las interrelaciones que dentro de nuestras ciencias se establecen entre estos tres puntos de referencia y cómo se proyectan en cada una de las teorías que aspiran a constituir un cuadro general científico (1978, p. 160). </w:t>
      </w:r>
    </w:p>
    <w:p w14:paraId="687EDA76"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Es la propia naturaleza del objeto de las ciencias de la educación la que hace que la disciplina que se ocupa de abordarlo comprenda estas tres dimensiones. El discurso de la disciplina, al orientarse a la educación como hecho y acción social, produce proposiciones que dan cuenta de los distintos aspectos que hacen a la totalidad del fenómeno. </w:t>
      </w:r>
      <w:r w:rsidRPr="00702FC9">
        <w:rPr>
          <w:rFonts w:ascii="Times New Roman" w:hAnsi="Times New Roman" w:cs="Times New Roman"/>
          <w:lang w:val="es-AR"/>
        </w:rPr>
        <w:lastRenderedPageBreak/>
        <w:t>Simultáneamente, comprende una dimensión normativa, dirigida a controlar o transformar la educación en tanto proceso social (Bunge, 2002); más específicamente, en tanto práctica creadora de cultura. </w:t>
      </w:r>
    </w:p>
    <w:p w14:paraId="658FCCFD"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Por último, se encuentra la dimensión propositiva o programática, que se refiere a los propósitos que se le asignan a la educación. Si la normatividad es un componente central de las ciencias de la educación, que se orienta a regir los procesos de enseñanza en términos de eficiencia, la dimensión utópica de la pedagogía es la que establece los propósitos del quehacer educativo, que no se rige por los hallazgos producidos por la disciplina científica, sino que interviene para arribar a un estado de cosas que establece como horizonte cultural. Los profesionales dedicados a la investigación educativa cumplen un rol central en la articulación entre estas esferas. </w:t>
      </w:r>
    </w:p>
    <w:p w14:paraId="58B7E3DE"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Si bien las discusiones desarrolladas al interior de la pedagogía moderna buscaron delimitar el alcance y los propósitos de la disciplina, el corolario sería el siguiente: esta disciplina es a la vez, científica y normativa y filosófica, en tanto se preocupa por establecer principios para la educación, identificar los medios más eficaces para la consecución de dichos principios y reconstruir el fenómeno social, tanto a partir de la formulación de leyes sociales que expliquen su funcionamiento como a partir de la comprensión de los sentidos subjetivos que los agentes asignan a su práctica cultural como las reglas sociales que estructuran la práctica educativa institucionalizada. </w:t>
      </w:r>
    </w:p>
    <w:p w14:paraId="21ADB350"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En tal sentido, es posible considerar sinónimos a </w:t>
      </w:r>
      <w:r w:rsidRPr="00702FC9">
        <w:rPr>
          <w:rFonts w:ascii="Times New Roman" w:hAnsi="Times New Roman" w:cs="Times New Roman"/>
          <w:i/>
          <w:iCs/>
          <w:lang w:val="es-AR"/>
        </w:rPr>
        <w:t>pedagogía</w:t>
      </w:r>
      <w:r w:rsidRPr="00702FC9">
        <w:rPr>
          <w:rFonts w:ascii="Times New Roman" w:hAnsi="Times New Roman" w:cs="Times New Roman"/>
          <w:lang w:val="es-AR"/>
        </w:rPr>
        <w:t xml:space="preserve"> y </w:t>
      </w:r>
      <w:r w:rsidRPr="00702FC9">
        <w:rPr>
          <w:rFonts w:ascii="Times New Roman" w:hAnsi="Times New Roman" w:cs="Times New Roman"/>
          <w:i/>
          <w:iCs/>
          <w:lang w:val="es-AR"/>
        </w:rPr>
        <w:t xml:space="preserve">ciencias de la educación, </w:t>
      </w:r>
      <w:r w:rsidRPr="00702FC9">
        <w:rPr>
          <w:rFonts w:ascii="Times New Roman" w:hAnsi="Times New Roman" w:cs="Times New Roman"/>
          <w:lang w:val="es-AR"/>
        </w:rPr>
        <w:t>y definir a la pedagogía como la disciplina que aborda el fenómeno de la educación en general, lo que incluye: (i) las condiciones macro (institucionales) y micro (relacionales) para la enseñanza y el aprendizaje, (</w:t>
      </w:r>
      <w:proofErr w:type="spellStart"/>
      <w:r w:rsidRPr="00702FC9">
        <w:rPr>
          <w:rFonts w:ascii="Times New Roman" w:hAnsi="Times New Roman" w:cs="Times New Roman"/>
          <w:lang w:val="es-AR"/>
        </w:rPr>
        <w:t>ii</w:t>
      </w:r>
      <w:proofErr w:type="spellEnd"/>
      <w:r w:rsidRPr="00702FC9">
        <w:rPr>
          <w:rFonts w:ascii="Times New Roman" w:hAnsi="Times New Roman" w:cs="Times New Roman"/>
          <w:lang w:val="es-AR"/>
        </w:rPr>
        <w:t>) el contenido (qué se debe enseñar), (</w:t>
      </w:r>
      <w:proofErr w:type="spellStart"/>
      <w:r w:rsidRPr="00702FC9">
        <w:rPr>
          <w:rFonts w:ascii="Times New Roman" w:hAnsi="Times New Roman" w:cs="Times New Roman"/>
          <w:lang w:val="es-AR"/>
        </w:rPr>
        <w:t>iii</w:t>
      </w:r>
      <w:proofErr w:type="spellEnd"/>
      <w:r w:rsidRPr="00702FC9">
        <w:rPr>
          <w:rFonts w:ascii="Times New Roman" w:hAnsi="Times New Roman" w:cs="Times New Roman"/>
          <w:lang w:val="es-AR"/>
        </w:rPr>
        <w:t>) los propósitos (para qué se enseña aquello que se enseña) y, por último, (</w:t>
      </w:r>
      <w:proofErr w:type="spellStart"/>
      <w:r w:rsidRPr="00702FC9">
        <w:rPr>
          <w:rFonts w:ascii="Times New Roman" w:hAnsi="Times New Roman" w:cs="Times New Roman"/>
          <w:lang w:val="es-AR"/>
        </w:rPr>
        <w:t>iv</w:t>
      </w:r>
      <w:proofErr w:type="spellEnd"/>
      <w:r w:rsidRPr="00702FC9">
        <w:rPr>
          <w:rFonts w:ascii="Times New Roman" w:hAnsi="Times New Roman" w:cs="Times New Roman"/>
          <w:lang w:val="es-AR"/>
        </w:rPr>
        <w:t>) los métodos y recursos para la educación (cómo y con qué materiales de enseñanza y se aprende de forma más eficaz). </w:t>
      </w:r>
    </w:p>
    <w:p w14:paraId="1FC4BA9D"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La didáctica, por su parte, es una disciplina técnica que forma parte de la pedagogía y se ocupa específicamente de los métodos y recursos para la enseñanza. En este sentido, la pedagogía comprendería la dimensión programática de la enseñanza y el aprendizaje, mientras que la didáctica, específicamente, se centra en las prácticas de enseñanza y está sujeta a “las diversas concepciones de educación, de enseñanza, de aprendizaje y ante el examen crítico de los alcances sociales de los proyectos de acción educativa” (Camilloni, 2007a: 22) que son las preocupaciones más amplias de la pedagogía. Esta distinción es importante para remarcar que toda teoría didáctica es necesariamente pedagógica, mientras que no toda teoría pedagógica comprende necesariamente aportes didácticos. La didáctica, en este sentido, se constituyó como un área de estudio relativamente autónoma en las ciencias de la educación.</w:t>
      </w:r>
    </w:p>
    <w:p w14:paraId="2FD138AD" w14:textId="65FB0755" w:rsidR="005F3B2E" w:rsidRDefault="005F3B2E" w:rsidP="007B5B5F">
      <w:pPr>
        <w:spacing w:line="240" w:lineRule="auto"/>
        <w:rPr>
          <w:rFonts w:ascii="Times New Roman" w:hAnsi="Times New Roman" w:cs="Times New Roman"/>
          <w:b/>
          <w:bCs/>
          <w:lang w:val="es-AR"/>
        </w:rPr>
      </w:pPr>
      <w:r w:rsidRPr="00702FC9">
        <w:rPr>
          <w:rFonts w:ascii="Times New Roman" w:hAnsi="Times New Roman" w:cs="Times New Roman"/>
          <w:b/>
          <w:bCs/>
          <w:lang w:val="es-AR"/>
        </w:rPr>
        <w:t>Desarrollo</w:t>
      </w:r>
    </w:p>
    <w:p w14:paraId="6E445514" w14:textId="77777777" w:rsidR="00702FC9" w:rsidRPr="00702FC9" w:rsidRDefault="00702FC9" w:rsidP="00702FC9">
      <w:pPr>
        <w:spacing w:line="240" w:lineRule="auto"/>
        <w:jc w:val="both"/>
        <w:rPr>
          <w:rFonts w:ascii="Times New Roman" w:hAnsi="Times New Roman" w:cs="Times New Roman"/>
          <w:i/>
          <w:iCs/>
        </w:rPr>
      </w:pPr>
      <w:r w:rsidRPr="00702FC9">
        <w:rPr>
          <w:rFonts w:ascii="Times New Roman" w:hAnsi="Times New Roman" w:cs="Times New Roman"/>
          <w:i/>
          <w:iCs/>
        </w:rPr>
        <w:t>Notas sobre la didáctica como capítulo normativo de la pedagogía</w:t>
      </w:r>
    </w:p>
    <w:p w14:paraId="105165E1" w14:textId="618CB68E"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Al margen de las complejidades del campo pedagógico, la propia delimitación de la didáctica encierra dificultades en términos epistemológicos. Al respecto, Davini (2003) </w:t>
      </w:r>
      <w:r w:rsidRPr="00702FC9">
        <w:rPr>
          <w:rFonts w:ascii="Times New Roman" w:hAnsi="Times New Roman" w:cs="Times New Roman"/>
          <w:lang w:val="es-AR"/>
        </w:rPr>
        <w:lastRenderedPageBreak/>
        <w:t>ofrece un profundo análisis de los desarrollos teóricos implicados en la evolución de la didáctica hacia el escenario contemporáneo. La autora establece, en primer lugar, que la dimensión normativa de la pedagogía define la didáctica desde sus referentes constitutivos, y en tal sentido se orienta a “la concreción de reglas de acción para la enseñanza, conforme pasos y medios determinados” (p. 45). Luego, recorre la tensión que existe, a su vez, entre la didáctica general, que establece pautas para la enseñanza de forma global, y las didácticas específicas que se ciñen a disciplinas en particular. </w:t>
      </w:r>
    </w:p>
    <w:p w14:paraId="1DBE2C07" w14:textId="77777777" w:rsidR="00702FC9" w:rsidRPr="00702FC9" w:rsidRDefault="00702FC9" w:rsidP="00702FC9">
      <w:pPr>
        <w:spacing w:line="240" w:lineRule="auto"/>
        <w:jc w:val="both"/>
        <w:rPr>
          <w:rFonts w:ascii="Times New Roman" w:hAnsi="Times New Roman" w:cs="Times New Roman"/>
          <w:lang w:val="es-AR"/>
        </w:rPr>
      </w:pPr>
      <w:proofErr w:type="gramStart"/>
      <w:r w:rsidRPr="00702FC9">
        <w:rPr>
          <w:rFonts w:ascii="Times New Roman" w:hAnsi="Times New Roman" w:cs="Times New Roman"/>
          <w:lang w:val="es-AR"/>
        </w:rPr>
        <w:t>Un primer punto a destacar</w:t>
      </w:r>
      <w:proofErr w:type="gramEnd"/>
      <w:r w:rsidRPr="00702FC9">
        <w:rPr>
          <w:rFonts w:ascii="Times New Roman" w:hAnsi="Times New Roman" w:cs="Times New Roman"/>
          <w:lang w:val="es-AR"/>
        </w:rPr>
        <w:t>, en línea con lo planteado en el apartado anterior, es la relación entre la didáctica y las disciplinas que la alimentan. Camilloni (2003) define a la didáctica como una “disciplina global” (p. 35) asociada tanto a la psicología como a las ciencias sociales, cuya relación con las distintas disciplinas ha asumido distintas configuraciones a lo largo del siglo XX. En este sentido, los primeros antecedentes de programas de investigación científicos vinculados con la didáctica provinieron de la psicología experimental; más específicamente desde el enfoque conductista. A esta primera aproximación científica se opusieron, ya hacia mediados del siglo XX, los estudios desde la psicología evolutiva que confluyeron en la inauguración de la corriente constructivista, la cual pasó a constituir el paradigma dominante en lo relativo a teorías del aprendizaje como parte de la discusión pedagógica. La producción científica realizada desde el campo de la didáctica otorgó múltiples referencias para el campo didáctico y, eventualmente, transfirió discusiones al campo estrictamente programático de la pedagogía (</w:t>
      </w:r>
      <w:proofErr w:type="spellStart"/>
      <w:r w:rsidRPr="00702FC9">
        <w:rPr>
          <w:rFonts w:ascii="Times New Roman" w:hAnsi="Times New Roman" w:cs="Times New Roman"/>
          <w:lang w:val="es-AR"/>
        </w:rPr>
        <w:t>Cols</w:t>
      </w:r>
      <w:proofErr w:type="spellEnd"/>
      <w:r w:rsidRPr="00702FC9">
        <w:rPr>
          <w:rFonts w:ascii="Times New Roman" w:hAnsi="Times New Roman" w:cs="Times New Roman"/>
          <w:lang w:val="es-AR"/>
        </w:rPr>
        <w:t>, 2007). </w:t>
      </w:r>
    </w:p>
    <w:p w14:paraId="23ABC05E"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Más allá de la influencia decisiva de la psicología educacional en la evolución de la didáctica, cuya consolidación se registra en la década del ‘80, la producción didáctica no respondió exclusivamente a esta relación. Ya desde mediados del siglo XX, y especialmente desde el surgimiento de las corrientes pedagógicas críticas en la década del ‘60, se </w:t>
      </w:r>
      <w:proofErr w:type="spellStart"/>
      <w:r w:rsidRPr="00702FC9">
        <w:rPr>
          <w:rFonts w:ascii="Times New Roman" w:hAnsi="Times New Roman" w:cs="Times New Roman"/>
          <w:lang w:val="es-AR"/>
        </w:rPr>
        <w:t>artículo</w:t>
      </w:r>
      <w:proofErr w:type="spellEnd"/>
      <w:r w:rsidRPr="00702FC9">
        <w:rPr>
          <w:rFonts w:ascii="Times New Roman" w:hAnsi="Times New Roman" w:cs="Times New Roman"/>
          <w:lang w:val="es-AR"/>
        </w:rPr>
        <w:t xml:space="preserve"> una discusión, respecto de la didáctica, que representó un parteaguas en el desarrollo del campo pedagógico en general: las teorías críticas tuvieron por finalidad reponer la cuestión ideológica, que había sido </w:t>
      </w:r>
      <w:proofErr w:type="spellStart"/>
      <w:proofErr w:type="gramStart"/>
      <w:r w:rsidRPr="00702FC9">
        <w:rPr>
          <w:rFonts w:ascii="Times New Roman" w:hAnsi="Times New Roman" w:cs="Times New Roman"/>
          <w:lang w:val="es-AR"/>
        </w:rPr>
        <w:t>postergada,más</w:t>
      </w:r>
      <w:proofErr w:type="spellEnd"/>
      <w:proofErr w:type="gramEnd"/>
      <w:r w:rsidRPr="00702FC9">
        <w:rPr>
          <w:rFonts w:ascii="Times New Roman" w:hAnsi="Times New Roman" w:cs="Times New Roman"/>
          <w:lang w:val="es-AR"/>
        </w:rPr>
        <w:t xml:space="preserve"> allá de las iniciativas didácticas formuladas en el marco de la Escuela Nueva. Es decir: se comenzó a cuestionar a los programas de investigación didáctica enraizados en la psicología experimental, inscriptos en la tradición positivista, por cultivar una suerte de </w:t>
      </w:r>
      <w:r w:rsidRPr="00702FC9">
        <w:rPr>
          <w:rFonts w:ascii="Times New Roman" w:hAnsi="Times New Roman" w:cs="Times New Roman"/>
          <w:i/>
          <w:iCs/>
          <w:lang w:val="es-AR"/>
        </w:rPr>
        <w:t>objetivismo tecnocrático</w:t>
      </w:r>
      <w:r w:rsidRPr="00702FC9">
        <w:rPr>
          <w:rFonts w:ascii="Times New Roman" w:hAnsi="Times New Roman" w:cs="Times New Roman"/>
          <w:lang w:val="es-AR"/>
        </w:rPr>
        <w:t>, lo que se tradujo en nuevos enfoques teóricos para el desarrollo didáctico, desde la hermenéutica y las ciencias sociales en general. En este sentido, a partir de este periodo se desarrollaron líneas de investigación cualitativas orientadas a “las dimensiones subjetivas, culturales, políticas y sociales que constituyen la trama no visible de la vida del aula" (</w:t>
      </w:r>
      <w:proofErr w:type="spellStart"/>
      <w:r w:rsidRPr="00702FC9">
        <w:rPr>
          <w:rFonts w:ascii="Times New Roman" w:hAnsi="Times New Roman" w:cs="Times New Roman"/>
          <w:lang w:val="es-AR"/>
        </w:rPr>
        <w:t>Cols</w:t>
      </w:r>
      <w:proofErr w:type="spellEnd"/>
      <w:r w:rsidRPr="00702FC9">
        <w:rPr>
          <w:rFonts w:ascii="Times New Roman" w:hAnsi="Times New Roman" w:cs="Times New Roman"/>
          <w:lang w:val="es-AR"/>
        </w:rPr>
        <w:t>, 2007, p. 104). </w:t>
      </w:r>
    </w:p>
    <w:p w14:paraId="0EFF95FE"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En esta línea, y por las décadas subsiguientes, distintas producciones tanto teóricas como empíricas se han orientado a desplazar el enfoque técnico de la cuestión educativa, desde enfoques cualitativos en general y etnográficos en particular. Esta tradición de producción de conocimiento referida a la enseñanza y el aprendizaje ponderó los factores indeterminados de la práctica en la contingencia del momento áulico, y ofreció herramientas conceptuales que ofician de recurso holístico para la problematización del quehacer vinculado a la enseñanza, y tuvo una notoria influencia en la formación docente desde la década del ‘80 hasta la actualidad. </w:t>
      </w:r>
    </w:p>
    <w:p w14:paraId="7E29DB74"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lastRenderedPageBreak/>
        <w:t>Aquí, para ejemplificar, es posible tomar como modelo arquetípico a la producción teórica, de destacada influencia y difusión en nuestro país, de Donald Schön (1997) relativa a la formación de profesionales reflexivos. Su caso es elocuente, ya que ilustra el contrapunto con el hasta entonces proyecto normativo de la didáctica; sobre los criterios organizadores de enseñanza, el autor sostiene: </w:t>
      </w:r>
    </w:p>
    <w:p w14:paraId="53BF9D55" w14:textId="1A7EA2FA"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Hay zonas indeterminadas de la práctica tal es el caso de la incertidumbre. la singularidad y el conflicto de valores que escapan a los cánones de la racionalidad técnica. Cuando una situación problemática es incierta, la solución técnica del problema depende de la construcción previa de un problema bien definido lo que en sí mismo no es una tarea técnica. Cuando un práctico reconoce una situación como única, no puede tratarla solamente mediante la aplicación de teorías y técnicas derivadas de su conocimiento profesional. Y, en situaciones de conflicto de valores, no hay metas claras y consistentes que guíen la selección técnica de los medios (Schön, 1997, p. 20). </w:t>
      </w:r>
    </w:p>
    <w:p w14:paraId="790399F2"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Estas aproximaciones situacionales al proceso de enseñanza, desde luego, no son aleatorias, sino que responden a principios generales deudores de las teorías constructivistas y de tradiciones pedagógicas previas que aluden a la práctica en el aula. No obstante, destacamos estos enfoques en tanto representan una tendencia que Davini (2003) reconoce en la evolución de la didáctica: el cambio de foco desde la búsqueda de regularidades generales que expliquen el fenómeno educativo a la comprensión de lo particular y la </w:t>
      </w:r>
      <w:proofErr w:type="spellStart"/>
      <w:r w:rsidRPr="00702FC9">
        <w:rPr>
          <w:rFonts w:ascii="Times New Roman" w:hAnsi="Times New Roman" w:cs="Times New Roman"/>
          <w:lang w:val="es-AR"/>
        </w:rPr>
        <w:t>irrepetibilidad</w:t>
      </w:r>
      <w:proofErr w:type="spellEnd"/>
      <w:r w:rsidRPr="00702FC9">
        <w:rPr>
          <w:rFonts w:ascii="Times New Roman" w:hAnsi="Times New Roman" w:cs="Times New Roman"/>
          <w:lang w:val="es-AR"/>
        </w:rPr>
        <w:t xml:space="preserve"> de las situaciones de enseñanza por los riesgos de caer miradas tecnicistas acríticas. </w:t>
      </w:r>
    </w:p>
    <w:p w14:paraId="1A35D17A"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Ello, en lo político -pedagógico-, representaría, “un retorno al particularismo basado en la ilusión de la transparencia, que obtura la comprensión de las regularidades </w:t>
      </w:r>
      <w:proofErr w:type="gramStart"/>
      <w:r w:rsidRPr="00702FC9">
        <w:rPr>
          <w:rFonts w:ascii="Times New Roman" w:hAnsi="Times New Roman" w:cs="Times New Roman"/>
          <w:lang w:val="es-AR"/>
        </w:rPr>
        <w:t>socio-culturales</w:t>
      </w:r>
      <w:proofErr w:type="gramEnd"/>
      <w:r w:rsidRPr="00702FC9">
        <w:rPr>
          <w:rFonts w:ascii="Times New Roman" w:hAnsi="Times New Roman" w:cs="Times New Roman"/>
          <w:lang w:val="es-AR"/>
        </w:rPr>
        <w:t>” (p. 51), lo que marcaría la primacía de estos enfoques y la oposición a la tradición experimental es el relativo abandono de un programa de investigación en la didáctica orientado a la formulación de reglas de procedimiento más generales y abarcadoras para los agentes que enseñan. </w:t>
      </w:r>
    </w:p>
    <w:p w14:paraId="1DB1F2D7"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Bajo la influencia de la sociología del </w:t>
      </w:r>
      <w:proofErr w:type="spellStart"/>
      <w:r w:rsidRPr="00702FC9">
        <w:rPr>
          <w:rFonts w:ascii="Times New Roman" w:hAnsi="Times New Roman" w:cs="Times New Roman"/>
          <w:i/>
          <w:iCs/>
          <w:lang w:val="es-AR"/>
        </w:rPr>
        <w:t>curriculum</w:t>
      </w:r>
      <w:proofErr w:type="spellEnd"/>
      <w:r w:rsidRPr="00702FC9">
        <w:rPr>
          <w:rFonts w:ascii="Times New Roman" w:hAnsi="Times New Roman" w:cs="Times New Roman"/>
          <w:lang w:val="es-AR"/>
        </w:rPr>
        <w:t xml:space="preserve">, que rompió con la lectura tecnicista del </w:t>
      </w:r>
      <w:proofErr w:type="spellStart"/>
      <w:r w:rsidRPr="00702FC9">
        <w:rPr>
          <w:rFonts w:ascii="Times New Roman" w:hAnsi="Times New Roman" w:cs="Times New Roman"/>
          <w:i/>
          <w:iCs/>
          <w:lang w:val="es-AR"/>
        </w:rPr>
        <w:t>curriculum</w:t>
      </w:r>
      <w:proofErr w:type="spellEnd"/>
      <w:r w:rsidRPr="00702FC9">
        <w:rPr>
          <w:rFonts w:ascii="Times New Roman" w:hAnsi="Times New Roman" w:cs="Times New Roman"/>
          <w:i/>
          <w:iCs/>
          <w:lang w:val="es-AR"/>
        </w:rPr>
        <w:t xml:space="preserve"> </w:t>
      </w:r>
      <w:r w:rsidRPr="00702FC9">
        <w:rPr>
          <w:rFonts w:ascii="Times New Roman" w:hAnsi="Times New Roman" w:cs="Times New Roman"/>
          <w:lang w:val="es-AR"/>
        </w:rPr>
        <w:t>por objetivos, la didáctica general se desarrolló más desde la perspectiva descriptivo-interpretativa en detrimento de su dimensión propositivo-normativa. Al respecto, la autora hace un llamado de atención, y señala los riesgos de, en función de la imposibilidad de transferir las situaciones de enseñanza, generalizar propuestas didácticas ineficaces. En este sentido, resulta necesario enfatizar, en línea con este diagnóstico, que resulta una falsa dicotomía, y lo que esta lectura evidencia es la necesidad de articular ambos enfoques y recapitular la dimensión normativa de la didáctica. </w:t>
      </w:r>
    </w:p>
    <w:p w14:paraId="4EBDDA73"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A la par de esta suerte de conflicto en la evolución de la didáctica, hay que considerar la relación entre la didáctica general y las didácticas específicas. Al respecto, </w:t>
      </w:r>
      <w:proofErr w:type="gramStart"/>
      <w:r w:rsidRPr="00702FC9">
        <w:rPr>
          <w:rFonts w:ascii="Times New Roman" w:hAnsi="Times New Roman" w:cs="Times New Roman"/>
          <w:lang w:val="es-AR"/>
        </w:rPr>
        <w:t>Camilloni  (</w:t>
      </w:r>
      <w:proofErr w:type="gramEnd"/>
      <w:r w:rsidRPr="00702FC9">
        <w:rPr>
          <w:rFonts w:ascii="Times New Roman" w:hAnsi="Times New Roman" w:cs="Times New Roman"/>
          <w:lang w:val="es-AR"/>
        </w:rPr>
        <w:t xml:space="preserve">2007b) analiza la relación entre ellas, y proporciona algunas claves que ilustran el carácter intrincado de su interacción. El desarrollo de ambas áreas es, en primer lugar, asincrónico; tenemos a la didáctica general como un área relativamente autónoma dentro de la pedagogía, más allá de las transferencias que se producen desde otros campos hacia ella, como es el mencionado caso de la psicología cognitiva mientras que, en el caso </w:t>
      </w:r>
      <w:r w:rsidRPr="00702FC9">
        <w:rPr>
          <w:rFonts w:ascii="Times New Roman" w:hAnsi="Times New Roman" w:cs="Times New Roman"/>
          <w:lang w:val="es-AR"/>
        </w:rPr>
        <w:lastRenderedPageBreak/>
        <w:t>de las didácticas específicas, sus aportes se realizan desde las disciplinas de base, por lo que ya este primer punto permite anticipar algunos aspectos que reconoceremos en el caso de la enseñanza del derecho. </w:t>
      </w:r>
    </w:p>
    <w:p w14:paraId="129C22C2" w14:textId="4E80C4E5"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En segundo lugar, la relación entre la didáctica general y las didácticas específicas, si bien en muchos casos es lineal, y la didáctica general oficia de síntesis de principios acerca de la cuestión global de la enseñanza mientras que las específicas realizan adaptaciones de dichos principios, suelen darse otras dinámicas. En este sentido, la autora registra casos en los que se han dado aportes producidos en el marco de disciplinas específicas que se han proyectado hacia la didáctica general. Asimismo, remite a los casos de transferencia entre distintos niveles educativos. De este modo, más que una relación de dependencia, lo que vincula a estas dos áreas es una relación de transferencias mutuas, por lo que el desafío es siempre el de coordinarse: </w:t>
      </w:r>
    </w:p>
    <w:p w14:paraId="0AEE2CB2"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en un esfuerzo teórico y práctico siempre difícil de lograr, porque se trata de una coordinación que encuentra, a la vez, buenos motivos y grandes obstáculos. Los buenos motivos atienden a preservar la unidad del proyecto pedagógico y del sujeto que aprende diferentes disciplinas en un mismo grado o año de un nivel de la educación y que se forma en un mismo marco curricular e institucional. Los obstáculos surgen de la heterogeneidad teórica de las didácticas, que son construidas por diferentes grupos académicos, </w:t>
      </w:r>
      <w:proofErr w:type="gramStart"/>
      <w:r w:rsidRPr="00702FC9">
        <w:rPr>
          <w:rFonts w:ascii="Times New Roman" w:hAnsi="Times New Roman" w:cs="Times New Roman"/>
          <w:lang w:val="es-AR"/>
        </w:rPr>
        <w:t>con  distinta</w:t>
      </w:r>
      <w:proofErr w:type="gramEnd"/>
      <w:r w:rsidRPr="00702FC9">
        <w:rPr>
          <w:rFonts w:ascii="Times New Roman" w:hAnsi="Times New Roman" w:cs="Times New Roman"/>
          <w:lang w:val="es-AR"/>
        </w:rPr>
        <w:t xml:space="preserve"> formación y, en consecuencia, desde diversas perspectivas. En este sentido, la construcción de la integración de los saberes didácticos constituye un verdadero programa teórico y de acción, que implica muchos y serios desafíos. (Camilloni, 2007b, p. 27).</w:t>
      </w:r>
    </w:p>
    <w:p w14:paraId="6E354F53"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En lo que respecta a las didácticas específicas, Davini (2003) destaca que la representación del currículum por contenidos, deudora de la reconceptualización propiciada desde los enfoques críticos, permeó en la producción de las didácticas específicas, que pasaron a centrarse en el análisis y elaboración de los contenidos de enseñanza antes que en el proceso de enseñanza mismo. Para terminar de establecer el escenario contemporáneo en lo relativo a la producción didáctica, la autora plantea que existen dos fugas teóricas: (i) la producción de </w:t>
      </w:r>
      <w:proofErr w:type="spellStart"/>
      <w:r w:rsidRPr="00702FC9">
        <w:rPr>
          <w:rFonts w:ascii="Times New Roman" w:hAnsi="Times New Roman" w:cs="Times New Roman"/>
          <w:lang w:val="es-AR"/>
        </w:rPr>
        <w:t>mega-teorías</w:t>
      </w:r>
      <w:proofErr w:type="spellEnd"/>
      <w:r w:rsidRPr="00702FC9">
        <w:rPr>
          <w:rFonts w:ascii="Times New Roman" w:hAnsi="Times New Roman" w:cs="Times New Roman"/>
          <w:lang w:val="es-AR"/>
        </w:rPr>
        <w:t xml:space="preserve"> comprensivas en el campo de la didáctica general, que pretenden un marco interpretativo global para el fenómeno de la enseñanza, paradójicamente en detrimento de un proyecto normativo y (</w:t>
      </w:r>
      <w:proofErr w:type="spellStart"/>
      <w:r w:rsidRPr="00702FC9">
        <w:rPr>
          <w:rFonts w:ascii="Times New Roman" w:hAnsi="Times New Roman" w:cs="Times New Roman"/>
          <w:lang w:val="es-AR"/>
        </w:rPr>
        <w:t>ii</w:t>
      </w:r>
      <w:proofErr w:type="spellEnd"/>
      <w:r w:rsidRPr="00702FC9">
        <w:rPr>
          <w:rFonts w:ascii="Times New Roman" w:hAnsi="Times New Roman" w:cs="Times New Roman"/>
          <w:lang w:val="es-AR"/>
        </w:rPr>
        <w:t>) la producción de las didácticas especiales que abordan dimensiones acotadas y se desarrollan de forma automatizada y fragmentaria. </w:t>
      </w:r>
    </w:p>
    <w:p w14:paraId="0E3118DE" w14:textId="0B9CD406" w:rsidR="00702FC9" w:rsidRPr="00702FC9" w:rsidRDefault="00702FC9" w:rsidP="00702FC9">
      <w:pPr>
        <w:spacing w:line="240" w:lineRule="auto"/>
        <w:rPr>
          <w:rFonts w:ascii="Times New Roman" w:hAnsi="Times New Roman" w:cs="Times New Roman"/>
          <w:i/>
          <w:iCs/>
          <w:lang w:val="es-AR"/>
        </w:rPr>
      </w:pPr>
      <w:r w:rsidRPr="00702FC9">
        <w:rPr>
          <w:rFonts w:ascii="Times New Roman" w:hAnsi="Times New Roman" w:cs="Times New Roman"/>
          <w:i/>
          <w:iCs/>
          <w:lang w:val="es-AR"/>
        </w:rPr>
        <w:t>Desarrollo de la pedagogía durante siglo XX: la centralidad de lo escolar</w:t>
      </w:r>
    </w:p>
    <w:p w14:paraId="0C93BDEA"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El primer aspecto </w:t>
      </w:r>
      <w:proofErr w:type="gramStart"/>
      <w:r w:rsidRPr="00702FC9">
        <w:rPr>
          <w:rFonts w:ascii="Times New Roman" w:hAnsi="Times New Roman" w:cs="Times New Roman"/>
          <w:lang w:val="es-AR"/>
        </w:rPr>
        <w:t>a</w:t>
      </w:r>
      <w:proofErr w:type="gramEnd"/>
      <w:r w:rsidRPr="00702FC9">
        <w:rPr>
          <w:rFonts w:ascii="Times New Roman" w:hAnsi="Times New Roman" w:cs="Times New Roman"/>
          <w:lang w:val="es-AR"/>
        </w:rPr>
        <w:t xml:space="preserve"> tener en cuenta en torno al campo de la pedagogía moderna es que, en tanto saber disciplinar constituido a la par de los sistemas educativos en el siglo XIX, y en virtud de su evolución en el transcurso del siglo XX, es que se redujo a lo escolar (Pineau, 2001). Esto no significa que la educación superior no haya sido objeto de reflexión pedagógica, pero el campo se ordenó, fundamentalmente, en torno a la escolaridad básica y en los agentes implicados en ella. </w:t>
      </w:r>
    </w:p>
    <w:p w14:paraId="1AE97581"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La perspectiva pedagógica originaria en la conformación de los sistemas educativos modernos en occidente es conocida en Argentina como </w:t>
      </w:r>
      <w:proofErr w:type="spellStart"/>
      <w:r w:rsidRPr="00702FC9">
        <w:rPr>
          <w:rFonts w:ascii="Times New Roman" w:hAnsi="Times New Roman" w:cs="Times New Roman"/>
          <w:i/>
          <w:iCs/>
          <w:lang w:val="es-AR"/>
        </w:rPr>
        <w:t>normalismo</w:t>
      </w:r>
      <w:proofErr w:type="spellEnd"/>
      <w:r w:rsidRPr="00702FC9">
        <w:rPr>
          <w:rFonts w:ascii="Times New Roman" w:hAnsi="Times New Roman" w:cs="Times New Roman"/>
          <w:i/>
          <w:iCs/>
          <w:lang w:val="es-AR"/>
        </w:rPr>
        <w:t xml:space="preserve">, </w:t>
      </w:r>
      <w:r w:rsidRPr="00702FC9">
        <w:rPr>
          <w:rFonts w:ascii="Times New Roman" w:hAnsi="Times New Roman" w:cs="Times New Roman"/>
          <w:lang w:val="es-AR"/>
        </w:rPr>
        <w:t xml:space="preserve">inscripta en la </w:t>
      </w:r>
      <w:r w:rsidRPr="00702FC9">
        <w:rPr>
          <w:rFonts w:ascii="Times New Roman" w:hAnsi="Times New Roman" w:cs="Times New Roman"/>
          <w:lang w:val="es-AR"/>
        </w:rPr>
        <w:lastRenderedPageBreak/>
        <w:t xml:space="preserve">hegemonía del positivismo científico en las ciencias sociales y humanidades durante el periodo, de corte enciclopedista y conductista en términos gnoseológicos (Puiggrós, 2015). Esta perspectiva organizó institucionalmente tanto a la educación obligatoria (por aquel entonces, la primaria, destinada a las masas) como a la secundaria y universitaria (destinadas a las élites dirigenciales). El campo pedagógico no era homogéneo en aquel momento, y un repaso por las principales corrientes pedagógicas desarrolladas durante el siglo XX permite observar que se han existido múltiples discusiones que devinieron en reconfiguraciones del campo. Un movimiento destacado (también heterogéneo) surgido en Europa y Estados Unidos durante el comienzo del siglo XX es el conocido como </w:t>
      </w:r>
      <w:r w:rsidRPr="00702FC9">
        <w:rPr>
          <w:rFonts w:ascii="Times New Roman" w:hAnsi="Times New Roman" w:cs="Times New Roman"/>
          <w:i/>
          <w:iCs/>
          <w:lang w:val="es-AR"/>
        </w:rPr>
        <w:t>Escuela Nueva</w:t>
      </w:r>
      <w:r w:rsidRPr="00702FC9">
        <w:rPr>
          <w:rFonts w:ascii="Times New Roman" w:hAnsi="Times New Roman" w:cs="Times New Roman"/>
          <w:lang w:val="es-AR"/>
        </w:rPr>
        <w:t>. </w:t>
      </w:r>
    </w:p>
    <w:p w14:paraId="094D91E2"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Más allá de las diferencias entre cada una de sus expresiones, este movimiento tuvo una serie de denominadores comunes: la impugnación general del modelo pedagógico dominante, la preocupación por el rol de los estudiantes en el proceso de enseñanza, un diálogo en profundidad con la psicología evolutiva y críticas a efectos no deseados resultantes de la impronta iluminista y enciclopedista en la enseñanza (Puiggrós y Marengo, 2013). </w:t>
      </w:r>
    </w:p>
    <w:p w14:paraId="7FE25188"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Ya en la segunda mitad del siglo XX -particularmente entre fines de la década del ‘60 y comienzos de los ‘70- emergieron distintas corrientes pedagógicas orientadas a discutir, sobre todo, la dimensión programática de la educación, es decir, el proyecto ideológico asociado a las instituciones educativas. El foco en este caso, o la pregunta implícita en estas discusiones, estaba centrado en el rol de los sistemas educativos en la configuración del orden social capitalista. En este sentido, encontramos un primer grupo, que podemos denominar </w:t>
      </w:r>
      <w:r w:rsidRPr="00702FC9">
        <w:rPr>
          <w:rFonts w:ascii="Times New Roman" w:hAnsi="Times New Roman" w:cs="Times New Roman"/>
          <w:i/>
          <w:iCs/>
          <w:lang w:val="es-AR"/>
        </w:rPr>
        <w:t>teorías de la reproducción</w:t>
      </w:r>
      <w:r w:rsidRPr="00702FC9">
        <w:rPr>
          <w:rFonts w:ascii="Times New Roman" w:hAnsi="Times New Roman" w:cs="Times New Roman"/>
          <w:lang w:val="es-AR"/>
        </w:rPr>
        <w:t>, que asumieron una perspectiva de denuncia e identificaron el rol del sistema educativo en la perpetuación de la cultura dominante y de las relaciones sociales en función de los intereses de un grupo social por sobre otro. Por su parte, desde la década del ‘70 se desarrollaron otras corrientes críticas de corte mayormente propositivo, que invirtieron la pregunta por el rol de las instituciones educativas en la reproducción del orden social y se interrogaron por la posibilidad de transformación, orientándose a redefinir el horizonte ideológico asociado a la educación. </w:t>
      </w:r>
    </w:p>
    <w:p w14:paraId="285EC4B8"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En esta línea, encontramos las perspectivas pedagógicas críticas conocidas como </w:t>
      </w:r>
      <w:r w:rsidRPr="00702FC9">
        <w:rPr>
          <w:rFonts w:ascii="Times New Roman" w:hAnsi="Times New Roman" w:cs="Times New Roman"/>
          <w:i/>
          <w:iCs/>
          <w:lang w:val="es-AR"/>
        </w:rPr>
        <w:t xml:space="preserve">teorías de la resistencia </w:t>
      </w:r>
      <w:r w:rsidRPr="00702FC9">
        <w:rPr>
          <w:rFonts w:ascii="Times New Roman" w:hAnsi="Times New Roman" w:cs="Times New Roman"/>
          <w:lang w:val="es-AR"/>
        </w:rPr>
        <w:t>que, frente al determinismo que se desagrega de las teorías de la reproducción, enfatizan al conflicto inherente a la institución escolar y a la proyección de dicho conflicto en el orden social, con un horizonte transformador. </w:t>
      </w:r>
    </w:p>
    <w:p w14:paraId="56AD997D"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Desde la década del ‘80, en el marco de la globalización y de la emergencia del neoliberalismo como concepción dominante en occidente respecto del rol del Estado, el debate pedagógico en general ha sido influido notoriamente por organismos internacionales tales como el Banco Interamericano de Desarrollo (BID) o el Banco Mundial (BM), que promovieron reformas estructurales orientadas a adoptar perspectivas pedagógicas eminentemente instrumentales y tecnocráticas (dirigidas al desarrollo económico y a la formación de capital humano), la estandarización de criterios para la evaluación de la calidad de los sistemas y la subsunción a los principios de la economía de mercado, dando lugar a la mercantilización de la educación como servicio que puede ser adquirido en el mercado a través de la competencia entre los usuarios. </w:t>
      </w:r>
    </w:p>
    <w:p w14:paraId="5CE637A9"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lastRenderedPageBreak/>
        <w:t xml:space="preserve">Esta tendencia global, orientada a los denominados </w:t>
      </w:r>
      <w:r w:rsidRPr="00702FC9">
        <w:rPr>
          <w:rFonts w:ascii="Times New Roman" w:hAnsi="Times New Roman" w:cs="Times New Roman"/>
          <w:i/>
          <w:iCs/>
          <w:lang w:val="es-AR"/>
        </w:rPr>
        <w:t xml:space="preserve">países en desarrollo, </w:t>
      </w:r>
      <w:r w:rsidRPr="00702FC9">
        <w:rPr>
          <w:rFonts w:ascii="Times New Roman" w:hAnsi="Times New Roman" w:cs="Times New Roman"/>
          <w:lang w:val="es-AR"/>
        </w:rPr>
        <w:t>tuvo un impacto significativo en América Latina (Ruiz, 2016) y no escapó a lecturas críticas producidas desde el campo educativo, las cuales repararon en las formas que asumieron estos discursos en distintas reformas suscitadas en los sistemas educativos occidentales. </w:t>
      </w:r>
    </w:p>
    <w:p w14:paraId="06F233C7"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En este punto, resulta de interés la conceptualización de Ball y </w:t>
      </w:r>
      <w:proofErr w:type="spellStart"/>
      <w:r w:rsidRPr="00702FC9">
        <w:rPr>
          <w:rFonts w:ascii="Times New Roman" w:hAnsi="Times New Roman" w:cs="Times New Roman"/>
          <w:lang w:val="es-AR"/>
        </w:rPr>
        <w:t>Youdell</w:t>
      </w:r>
      <w:proofErr w:type="spellEnd"/>
      <w:r w:rsidRPr="00702FC9">
        <w:rPr>
          <w:rFonts w:ascii="Times New Roman" w:hAnsi="Times New Roman" w:cs="Times New Roman"/>
          <w:lang w:val="es-AR"/>
        </w:rPr>
        <w:t xml:space="preserve"> (2007) que distinguen entre dos formas de materialización de estos discursos en las políticas educativas y, por ende, en la propia configuración de los sistemas educativos: la distinción entre la privatización </w:t>
      </w:r>
      <w:r w:rsidRPr="00702FC9">
        <w:rPr>
          <w:rFonts w:ascii="Times New Roman" w:hAnsi="Times New Roman" w:cs="Times New Roman"/>
          <w:i/>
          <w:iCs/>
          <w:lang w:val="es-AR"/>
        </w:rPr>
        <w:t>en</w:t>
      </w:r>
      <w:r w:rsidRPr="00702FC9">
        <w:rPr>
          <w:rFonts w:ascii="Times New Roman" w:hAnsi="Times New Roman" w:cs="Times New Roman"/>
          <w:lang w:val="es-AR"/>
        </w:rPr>
        <w:t xml:space="preserve"> la educación pública (o endógena), que se da a partir de la importación de ideas, métodos y prácticas del sector privado empresarial, y la privatización de la educación pública (o exógena), que se da cuando los servicios educativos son abiertos a la participación del sector privado para su gestión y organización. </w:t>
      </w:r>
    </w:p>
    <w:p w14:paraId="14B9038E"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Esta distinción repara en que hay procesos que se desarrollaron en los sistemas educativos que son más solapados que los cambios institucionales concretos, y responden a la inserción de ciertos discursos pedagógicos en la formulación e implementación de políticas educativas.</w:t>
      </w:r>
    </w:p>
    <w:p w14:paraId="18CA2326"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De este breve repaso es posible extraer algunas consideraciones relativas a la demarcación de la pedagogía como disciplina y las discusiones suscitadas en el siglo XX: por un lado, la centralidad del aspecto programático (“utópico” en términos de Gimeno Sacristán) en la discusión pedagógica. Corresponde aclarar, respecto del recorrido realizado en este apartado, que obedece a la distinción realizada en el apartado anterior, y por lo tanto omite las discusiones que, entendemos, se inscriben en las ciencias de la </w:t>
      </w:r>
      <w:proofErr w:type="gramStart"/>
      <w:r w:rsidRPr="00702FC9">
        <w:rPr>
          <w:rFonts w:ascii="Times New Roman" w:hAnsi="Times New Roman" w:cs="Times New Roman"/>
          <w:lang w:val="es-AR"/>
        </w:rPr>
        <w:t>educación</w:t>
      </w:r>
      <w:proofErr w:type="gramEnd"/>
      <w:r w:rsidRPr="00702FC9">
        <w:rPr>
          <w:rFonts w:ascii="Times New Roman" w:hAnsi="Times New Roman" w:cs="Times New Roman"/>
          <w:lang w:val="es-AR"/>
        </w:rPr>
        <w:t xml:space="preserve"> pero se centran en la dimensión didáctica del fenómeno educativo. </w:t>
      </w:r>
    </w:p>
    <w:p w14:paraId="1DB32400"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Con independencia de ello, cabe interrogarnos sobre la proyección de estas discusiones en el nivel superior universitario, si consideramos que las agendas de investigación han estado consagradas mayormente a la educación básica. Esta separación no supone la ausencia de un campo específico de pedagogía universitaria (cuyas discusiones en el contexto argentino abordaremos en el próximo apartado) pero sí permite prefigurar una dislocación entre el campo disciplinar pedagógico, que produce conocimiento asociado al fenómeno de la educación, y la práctica institucional de la enseñanza universitaria, cuya tradición está asociada a la cosmovisión positivista originaria y cuya identidad profesional académica está más asociada a la experticia en el campo disciplinar de base y en la producción de conocimiento a través de las investigaciones que en la formación pedagógica (Becher, 2001). </w:t>
      </w:r>
    </w:p>
    <w:p w14:paraId="7C78DA81"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Aquí corresponde retomar las dimensiones de la disciplina pedagógica desarrolladas en el primer apartado, para remarcar que, a la hora de preguntarnos por la proyección de la discusión pedagógica en las universidades, hay que tener presente a qué dimensiones de la pedagogía se hace referencia. En este sentido, se podría sostener que en lo que respecta a las teorías pedagógicas canónicas, abordadas en este apartado, estas líneas son marcadamente programáticas y centran su preocupación en lo escolar antes que en la formación universitaria. El grado de proyección de estas discusiones y aproximaciones </w:t>
      </w:r>
      <w:r w:rsidRPr="00702FC9">
        <w:rPr>
          <w:rFonts w:ascii="Times New Roman" w:hAnsi="Times New Roman" w:cs="Times New Roman"/>
          <w:lang w:val="es-AR"/>
        </w:rPr>
        <w:lastRenderedPageBreak/>
        <w:t>en el ámbito universitario argentino, y la especificidad de las discusiones en el nivel, será recapitulada en el siguiente apartado.</w:t>
      </w:r>
    </w:p>
    <w:p w14:paraId="16F6CD32" w14:textId="01D4EEC6" w:rsidR="00702FC9" w:rsidRPr="00702FC9" w:rsidRDefault="00702FC9" w:rsidP="00702FC9">
      <w:pPr>
        <w:spacing w:line="240" w:lineRule="auto"/>
        <w:rPr>
          <w:rFonts w:ascii="Times New Roman" w:hAnsi="Times New Roman" w:cs="Times New Roman"/>
          <w:i/>
          <w:iCs/>
          <w:lang w:val="es-AR"/>
        </w:rPr>
      </w:pPr>
      <w:r w:rsidRPr="00702FC9">
        <w:rPr>
          <w:rFonts w:ascii="Times New Roman" w:hAnsi="Times New Roman" w:cs="Times New Roman"/>
          <w:i/>
          <w:iCs/>
          <w:lang w:val="es-AR"/>
        </w:rPr>
        <w:t>Pedagogía universitaria en Argentina: ¿un campo instituido?</w:t>
      </w:r>
    </w:p>
    <w:p w14:paraId="152ABD86"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Para referirse a la constitución de un campo específico de pedagogía universitaria, es decir, al nivel superior universitario como objeto de estudio de las ciencias de la educación, remitirse a un hito considerado fundacional de la configuración institucional del sistema universitario nacional y presentó discusiones pedagógicas sobre el rol de la universidad en nuestro país: la Reforma Universitaria de 1918. </w:t>
      </w:r>
    </w:p>
    <w:p w14:paraId="23B586A9"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La discusión pedagógica que propició este movimiento fue crucial, en tanto estableció el propósito político institucional de las universidades en Argentina, que se puede sintetizar en </w:t>
      </w:r>
      <w:r w:rsidRPr="00702FC9">
        <w:rPr>
          <w:rFonts w:ascii="Times New Roman" w:hAnsi="Times New Roman" w:cs="Times New Roman"/>
          <w:i/>
          <w:iCs/>
          <w:lang w:val="es-AR"/>
        </w:rPr>
        <w:t>docencia, investigación y extensión</w:t>
      </w:r>
      <w:r w:rsidRPr="00702FC9">
        <w:rPr>
          <w:rFonts w:ascii="Times New Roman" w:hAnsi="Times New Roman" w:cs="Times New Roman"/>
          <w:lang w:val="es-AR"/>
        </w:rPr>
        <w:t xml:space="preserve">. Este movimiento ideológico es central en tanto estableció los principios fundantes de la institucionalidad universitaria y se sostuvo como marco ideológico </w:t>
      </w:r>
      <w:proofErr w:type="gramStart"/>
      <w:r w:rsidRPr="00702FC9">
        <w:rPr>
          <w:rFonts w:ascii="Times New Roman" w:hAnsi="Times New Roman" w:cs="Times New Roman"/>
          <w:lang w:val="es-AR"/>
        </w:rPr>
        <w:t>estructurante</w:t>
      </w:r>
      <w:proofErr w:type="gramEnd"/>
      <w:r w:rsidRPr="00702FC9">
        <w:rPr>
          <w:rFonts w:ascii="Times New Roman" w:hAnsi="Times New Roman" w:cs="Times New Roman"/>
          <w:lang w:val="es-AR"/>
        </w:rPr>
        <w:t xml:space="preserve"> aunque no haya sido de forma lineal a lo largo del siglo XX, producto de la inestabilidad institucional marcada por gobiernos de facto, interregnos democráticos plenos y condicionados (O’ Donnell, 1982).</w:t>
      </w:r>
    </w:p>
    <w:p w14:paraId="05FBD817"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La masificación del nivel universitario hacia la década del ‘50, producto de la expansión del nivel secundario a partir de la movilidad social ascendente, la supresión de los aranceles y la eliminación del examen de ingreso para la educación superior universitaria y no universitaria durante el gobierno de Juan Domingo Perón (1946-1955), junto con la institucionalización de un nuevo subsistema de educación técnica, a partir del caso paradigmático de la Universidad Obrera Nacional (hoy Universidad Tecnológica Nacional) supuso nuevas discusiones sobre si correspondía segmentar o integrar las propuestas de formación superior destinadas al trabajo (Dussel y Pineau, 1995). </w:t>
      </w:r>
    </w:p>
    <w:p w14:paraId="299DA3E7"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Este proceso implicó nuevas agendas en el debate pedagógico, asociadas a las tasas de egreso, considerablemente afectadas a partir del aumento sustancial de la matrícula universitaria (Buchbinder, 2010). En este contexto, y sobre todo a partir de los ‘60, se pueden reseñar distintos aportes de académicos del campo que tuvieron una preocupación por el saber enseñar ligado a la universidad, y participaron de la discusión pedagógica más allá de las agendas </w:t>
      </w:r>
      <w:r w:rsidRPr="00702FC9">
        <w:rPr>
          <w:rFonts w:ascii="Times New Roman" w:hAnsi="Times New Roman" w:cs="Times New Roman"/>
          <w:i/>
          <w:iCs/>
          <w:lang w:val="es-AR"/>
        </w:rPr>
        <w:t xml:space="preserve">macro </w:t>
      </w:r>
      <w:r w:rsidRPr="00702FC9">
        <w:rPr>
          <w:rFonts w:ascii="Times New Roman" w:hAnsi="Times New Roman" w:cs="Times New Roman"/>
          <w:lang w:val="es-AR"/>
        </w:rPr>
        <w:t>sobre el rol institucional de la universidad, los que a su vez se plasman en políticas institucionales en el nivel universitario como las asesorías pedagógicas y la creación de instancias de capacitación docente y formación de grado y posgrado vinculadas a la docencia universitaria, con desarrollos incipientes en los ‘50 y ‘60 y con mayor intensidad luego de la normalización universitaria (Lucarelli, 2011; Finkelstein et al., 2022).</w:t>
      </w:r>
    </w:p>
    <w:p w14:paraId="1FA59B94"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Durante esta década se registra un segundo hito de discusión en materia pedagógica en el ámbito universitario -con epicentro en la Universidad de Buenos Aires-, conocido como </w:t>
      </w:r>
      <w:r w:rsidRPr="00702FC9">
        <w:rPr>
          <w:rFonts w:ascii="Times New Roman" w:hAnsi="Times New Roman" w:cs="Times New Roman"/>
          <w:i/>
          <w:iCs/>
          <w:lang w:val="es-AR"/>
        </w:rPr>
        <w:t xml:space="preserve">Cátedras Nacionales </w:t>
      </w:r>
      <w:r w:rsidRPr="00702FC9">
        <w:rPr>
          <w:rFonts w:ascii="Times New Roman" w:hAnsi="Times New Roman" w:cs="Times New Roman"/>
          <w:lang w:val="es-AR"/>
        </w:rPr>
        <w:t>entre 1967 y 1971</w:t>
      </w:r>
      <w:r w:rsidRPr="00702FC9">
        <w:rPr>
          <w:rFonts w:ascii="Times New Roman" w:hAnsi="Times New Roman" w:cs="Times New Roman"/>
          <w:i/>
          <w:iCs/>
          <w:lang w:val="es-AR"/>
        </w:rPr>
        <w:t xml:space="preserve">, </w:t>
      </w:r>
      <w:r w:rsidRPr="00702FC9">
        <w:rPr>
          <w:rFonts w:ascii="Times New Roman" w:hAnsi="Times New Roman" w:cs="Times New Roman"/>
          <w:lang w:val="es-AR"/>
        </w:rPr>
        <w:t xml:space="preserve">el cual recogió en clave local las discusiones producidas desde las teorías pedagógicas críticas dominantes en el periodo: tanto las teorías de la reproducción de raigambre estructuralista como las teorías de la resistencia, con un enfoque esencialmente programático orientado al proyecto ideológico revolucionario de las expresiones políticas de izquierda de aquel entonces, en un contexto de politización y radicalización que estaba atravesando el movimiento estudiantil, los </w:t>
      </w:r>
      <w:r w:rsidRPr="00702FC9">
        <w:rPr>
          <w:rFonts w:ascii="Times New Roman" w:hAnsi="Times New Roman" w:cs="Times New Roman"/>
          <w:lang w:val="es-AR"/>
        </w:rPr>
        <w:lastRenderedPageBreak/>
        <w:t>sectores medios y el espectro ideológico católico, confluyeron en la conformación de un colectivo docente enmarcado en el marxismo y el peronismo de izquierda. </w:t>
      </w:r>
    </w:p>
    <w:p w14:paraId="2F4E3B42"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Surgido en la Facultad de Filosofía y Letras de la UBA, este movimiento produjo, ya sea a través de las actividades académicas como la propia producción intelectual en revistas científicas, discusiones pedagógicas en torno a (i) el sujeto de la educación universitaria, (</w:t>
      </w:r>
      <w:proofErr w:type="spellStart"/>
      <w:r w:rsidRPr="00702FC9">
        <w:rPr>
          <w:rFonts w:ascii="Times New Roman" w:hAnsi="Times New Roman" w:cs="Times New Roman"/>
          <w:lang w:val="es-AR"/>
        </w:rPr>
        <w:t>ii</w:t>
      </w:r>
      <w:proofErr w:type="spellEnd"/>
      <w:r w:rsidRPr="00702FC9">
        <w:rPr>
          <w:rFonts w:ascii="Times New Roman" w:hAnsi="Times New Roman" w:cs="Times New Roman"/>
          <w:lang w:val="es-AR"/>
        </w:rPr>
        <w:t>) el sentido de la formación y producción de conocimiento, el cual debía responder a las necesidades de las masas y a un proyecto político revolucionario y (</w:t>
      </w:r>
      <w:proofErr w:type="spellStart"/>
      <w:r w:rsidRPr="00702FC9">
        <w:rPr>
          <w:rFonts w:ascii="Times New Roman" w:hAnsi="Times New Roman" w:cs="Times New Roman"/>
          <w:lang w:val="es-AR"/>
        </w:rPr>
        <w:t>iii</w:t>
      </w:r>
      <w:proofErr w:type="spellEnd"/>
      <w:r w:rsidRPr="00702FC9">
        <w:rPr>
          <w:rFonts w:ascii="Times New Roman" w:hAnsi="Times New Roman" w:cs="Times New Roman"/>
          <w:lang w:val="es-AR"/>
        </w:rPr>
        <w:t>) la propuesta político-pedagógica, que planteaba una modificación de los métodos y contenidos de la enseñanza, reemplazando planes de estudio y postulando un rol mucho más activo del estudiante en la relación pedagógica, en línea con la pedagogía crítica. Este movimiento, en sintonía con las expresiones culturales y pedagógicas de la época, se institucionalizó en la reforma universitaria impulsada por el peronismo en 1973, que no alcanzó a consolidarse y se desarticuló hacia 1974 (Dip, 2012; Friedemann, 2017; 2021). </w:t>
      </w:r>
    </w:p>
    <w:p w14:paraId="6744192F"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El tercer hito corresponde al retorno democrático en 1983 y al proceso de normalización de las universidades durante la presidencia de Raúl Alfonsín (1983-1989), tras la última dictadura militar (1976-1983), en el marco de un nuevo proceso de expansión de la matrícula universitaria y la impronta refundacional del periodo. La normalización universitaria se orientó a la recuperación de los principios ideológicos reformistas de 1918 pero, a su vez, sintonizó con agendas globales al recuperar discusiones pedagógicas desde la pedagogía crítica de los ‘70 y los propios ‘80, y propició, sobre todo en las ciencias sociales y humanidades- un proceso de revisión, renovación y actualización curricular que se centró en los contenidos de enseñanza a través de la modificación de planes de estudio, la bibliografía y -en menor medida y con menor eficacia- los modelos de organización curricular y prácticas de enseñanza (Araujo, 2022). </w:t>
      </w:r>
    </w:p>
    <w:p w14:paraId="3A87017B"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La normalización, más allá de formar parte y expresar las tensiones y discusiones de la transición democrática, fue un proceso político-pedagógico que reconfiguró tanto el campo universitario como el científico e intelectual. En palabras de Suasnábar y Lazzaro Jam (2022), además, de institucionalizar el retorno de la tradición reformista, la normalización recogió y cristalizó premisas que se integraron a la cosmovisión universitaria desde el peronismo, como es el caso del ingreso irrestricto y la gratuidad universitaria.  Asimismo, la convergencia de estas tradiciones fue interpelada por el escenario de masificación que, más allá de haberse desarrollado desde los ‘50 y de haber estado en agenda desde los ´60, lo que representó debates pedagógicos sobre cómo canalizar institucionalmente el aumento de la matrícula. </w:t>
      </w:r>
    </w:p>
    <w:p w14:paraId="6850AA9E"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Conforme los preceptos del reformismo, la normalización gestionada por el radicalismo se basó en la autolimitación del Estado y la promoción de la autonomía universitaria como condición que </w:t>
      </w:r>
      <w:r w:rsidRPr="00702FC9">
        <w:rPr>
          <w:rFonts w:ascii="Times New Roman" w:hAnsi="Times New Roman" w:cs="Times New Roman"/>
          <w:i/>
          <w:iCs/>
          <w:lang w:val="es-AR"/>
        </w:rPr>
        <w:t xml:space="preserve">per se </w:t>
      </w:r>
      <w:r w:rsidRPr="00702FC9">
        <w:rPr>
          <w:rFonts w:ascii="Times New Roman" w:hAnsi="Times New Roman" w:cs="Times New Roman"/>
          <w:lang w:val="es-AR"/>
        </w:rPr>
        <w:t xml:space="preserve">garantizaría la regeneración del sistema científico-académico. A la par de las reformas curriculares, en este periodo y a partir de la recuperación de un espectro amplio de referentes teóricos de la pedagogía crítica de distintos contextos - sobre todo del estadounidense, latinoamericano y español- se llevaron adelante políticas institucionales de formación docente que, si bien contaban con antecedentes desde la década del ´50 (Molinari y Ruiz, 2005), tuvieron un desarrollo significativo en las décadas </w:t>
      </w:r>
      <w:r w:rsidRPr="00702FC9">
        <w:rPr>
          <w:rFonts w:ascii="Times New Roman" w:hAnsi="Times New Roman" w:cs="Times New Roman"/>
          <w:lang w:val="es-AR"/>
        </w:rPr>
        <w:lastRenderedPageBreak/>
        <w:t>del ‘80 y ‘90 y se tradujeron en reformas a los programas de capacitación docente y al desarrollo de bibliografía especializada sobre pedagogía universitaria (Araujo, 2022). </w:t>
      </w:r>
    </w:p>
    <w:p w14:paraId="79AE4E8E"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De la recapitulación realizada en este apartado es posible extraer las siguientes consideraciones: por un lado, la pedagogía universitaria constituye un área disciplinar dentro de las ciencias de la educación, el cual comenzó incipientemente en la década del ‘60 y se desarrolló y se consolidó a partir de la década el ‘90, con equipos de investigación institucionalizados, espacios de intercambio, transferencia y publicaciones especializadas.</w:t>
      </w:r>
    </w:p>
    <w:p w14:paraId="2F0891A7"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Con independencia de ello, rastreamos en la historia de las universidades argentinas del Siglo XX algunos hitos políticos que implicaron discusiones pedagógicas para el nivel, en torno al rol de las universidades y algunos lineamientos en torno a los supuestos pedagógicos de cada proyecto institucional, de diálogo variable con las corrientes teóricas de proyección en occidente. Por otro lado, de su historización, se reconoce la prevalencia y permanencia del ideario reformista, que estableció los principios ordenadores de la normalización universitaria con el retorno de la democracia y orienta los proyectos institucionales hasta el presente.</w:t>
      </w:r>
    </w:p>
    <w:p w14:paraId="76C87514"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 El punto es marcar que las discusiones pedagógicas que reseñamos no estuvieron relacionadas con las dimensiones </w:t>
      </w:r>
      <w:r w:rsidRPr="00702FC9">
        <w:rPr>
          <w:rFonts w:ascii="Times New Roman" w:hAnsi="Times New Roman" w:cs="Times New Roman"/>
          <w:i/>
          <w:iCs/>
          <w:lang w:val="es-AR"/>
        </w:rPr>
        <w:t xml:space="preserve">explicación-normatividad </w:t>
      </w:r>
      <w:r w:rsidRPr="00702FC9">
        <w:rPr>
          <w:rFonts w:ascii="Times New Roman" w:hAnsi="Times New Roman" w:cs="Times New Roman"/>
          <w:lang w:val="es-AR"/>
        </w:rPr>
        <w:t>de la pedagogía/ciencias de la educación -retomando a Gimeno Sacristán-, sino más bien -en general- con la dimensión programática -</w:t>
      </w:r>
      <w:r w:rsidRPr="00702FC9">
        <w:rPr>
          <w:rFonts w:ascii="Times New Roman" w:hAnsi="Times New Roman" w:cs="Times New Roman"/>
          <w:i/>
          <w:iCs/>
          <w:lang w:val="es-AR"/>
        </w:rPr>
        <w:t>utópica</w:t>
      </w:r>
      <w:r w:rsidRPr="00702FC9">
        <w:rPr>
          <w:rFonts w:ascii="Times New Roman" w:hAnsi="Times New Roman" w:cs="Times New Roman"/>
          <w:lang w:val="es-AR"/>
        </w:rPr>
        <w:t>- del campo; y más allá de algunas iniciativas y esbozos teóricos, no representaron la inserción de la disciplina científica pedagógica en la institución universitaria. </w:t>
      </w:r>
    </w:p>
    <w:p w14:paraId="03407010"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Cabe preguntarse, en dicho sentido, el lugar de la cuestión de la formación docente universitaria en este ámbito. </w:t>
      </w:r>
    </w:p>
    <w:p w14:paraId="7B6CF88A" w14:textId="1C25515A"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Al respecto, en un análisis relativo a la producción académica sobre formación docente universitaria, Morandi (2022), ofrece un diagnóstico sobre la orientación de la producción de conocimiento enmarcado en la pedagogía universitaria. Para la autora, la revisión en perspectiva histórica de las investigaciones y reflexiones producidas en torno a la educación superior universitaria en materia pedagógico didáctica aproximación, cuyo punto de inflexión sitúa en la década del </w:t>
      </w:r>
      <w:r>
        <w:rPr>
          <w:rFonts w:ascii="Times New Roman" w:hAnsi="Times New Roman" w:cs="Times New Roman"/>
          <w:lang w:val="es-AR"/>
        </w:rPr>
        <w:t>’</w:t>
      </w:r>
      <w:r w:rsidRPr="00702FC9">
        <w:rPr>
          <w:rFonts w:ascii="Times New Roman" w:hAnsi="Times New Roman" w:cs="Times New Roman"/>
          <w:lang w:val="es-AR"/>
        </w:rPr>
        <w:t>60</w:t>
      </w:r>
      <w:r>
        <w:rPr>
          <w:rFonts w:ascii="Times New Roman" w:hAnsi="Times New Roman" w:cs="Times New Roman"/>
          <w:lang w:val="es-AR"/>
        </w:rPr>
        <w:t xml:space="preserve"> </w:t>
      </w:r>
      <w:r w:rsidRPr="00702FC9">
        <w:rPr>
          <w:rFonts w:ascii="Times New Roman" w:hAnsi="Times New Roman" w:cs="Times New Roman"/>
          <w:lang w:val="es-AR"/>
        </w:rPr>
        <w:t>parece sugerir, aun sin la intención de establecer demarcaciones excluyentes, que ha sido predominante el desarrollo de un campo de pensamiento sobre la universidad sustentado en análisis, investigaciones y producciones conceptuales articuladas a las dimensiones macro sociales, antes que en aquellas que focalizan las dinámicas y procesos de formación que se despliegan en las prácticas educativas de docentes y estudiantes o en los microespacios y procesos cotidianos de producción, circulación y distribución de saberes y de producción de sujetos pedagógicos en el seno de estas instituciones (p. 56). </w:t>
      </w:r>
    </w:p>
    <w:p w14:paraId="1E87B328"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En este sentido, la autora destaca las principales líneas de indagación que, más allá de la formación docente en sí, constituyeron la preocupación pedagógica por la educación superior en Argentina y, al respecto, refiere a la primacía de los análisis institucionales por sobre este tipo de agendas vinculadas específicamente a la cuestión de la enseñanza y el aprendizaje. </w:t>
      </w:r>
    </w:p>
    <w:p w14:paraId="56F0C418"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lastRenderedPageBreak/>
        <w:t>En este punto, cabe distinguir la mirada estrictamente pedagógica de la educación superior de las aproximaciones realizadas desde la historia y las ciencias sociales sobre ella: si bien es posible rastrear la emergencia del campo especializado en educación superior hacia la década del sesenta y su consolidación hacia la década de los noventa (</w:t>
      </w:r>
      <w:proofErr w:type="spellStart"/>
      <w:r w:rsidRPr="00702FC9">
        <w:rPr>
          <w:rFonts w:ascii="Times New Roman" w:hAnsi="Times New Roman" w:cs="Times New Roman"/>
          <w:lang w:val="es-AR"/>
        </w:rPr>
        <w:t>Krotsch</w:t>
      </w:r>
      <w:proofErr w:type="spellEnd"/>
      <w:r w:rsidRPr="00702FC9">
        <w:rPr>
          <w:rFonts w:ascii="Times New Roman" w:hAnsi="Times New Roman" w:cs="Times New Roman"/>
          <w:lang w:val="es-AR"/>
        </w:rPr>
        <w:t>, 2009), lo cierto es que los abordajes reconocibles de la universidad -históricos, políticos, sociológicos- no privilegian una mirada pedagógica de los procesos y agencias comprendidos en ella. </w:t>
      </w:r>
    </w:p>
    <w:p w14:paraId="79D71272" w14:textId="6B1E3AAC"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Sin perjuicio de ello, se reconocen en el campo aproximaciones relativas a, entre otras dimensiones: (i) la evolución institucional del sistema universitario, incluyendo el nivel de posgrado (Mendonça, 2019; </w:t>
      </w:r>
      <w:proofErr w:type="spellStart"/>
      <w:r w:rsidRPr="00702FC9">
        <w:rPr>
          <w:rFonts w:ascii="Times New Roman" w:hAnsi="Times New Roman" w:cs="Times New Roman"/>
          <w:lang w:val="es-AR"/>
        </w:rPr>
        <w:t>Cardinaux</w:t>
      </w:r>
      <w:proofErr w:type="spellEnd"/>
      <w:r w:rsidRPr="00702FC9">
        <w:rPr>
          <w:rFonts w:ascii="Times New Roman" w:hAnsi="Times New Roman" w:cs="Times New Roman"/>
          <w:lang w:val="es-AR"/>
        </w:rPr>
        <w:t>, 2018; Fernández Lamarra, 2018); (</w:t>
      </w:r>
      <w:proofErr w:type="spellStart"/>
      <w:r w:rsidRPr="00702FC9">
        <w:rPr>
          <w:rFonts w:ascii="Times New Roman" w:hAnsi="Times New Roman" w:cs="Times New Roman"/>
          <w:lang w:val="es-AR"/>
        </w:rPr>
        <w:t>ii</w:t>
      </w:r>
      <w:proofErr w:type="spellEnd"/>
      <w:r w:rsidRPr="00702FC9">
        <w:rPr>
          <w:rFonts w:ascii="Times New Roman" w:hAnsi="Times New Roman" w:cs="Times New Roman"/>
          <w:lang w:val="es-AR"/>
        </w:rPr>
        <w:t>) la identidad profesional y el trabajo académicos (Marquina, 2021);  (</w:t>
      </w:r>
      <w:proofErr w:type="spellStart"/>
      <w:r w:rsidRPr="00702FC9">
        <w:rPr>
          <w:rFonts w:ascii="Times New Roman" w:hAnsi="Times New Roman" w:cs="Times New Roman"/>
          <w:lang w:val="es-AR"/>
        </w:rPr>
        <w:t>iii</w:t>
      </w:r>
      <w:proofErr w:type="spellEnd"/>
      <w:r w:rsidRPr="00702FC9">
        <w:rPr>
          <w:rFonts w:ascii="Times New Roman" w:hAnsi="Times New Roman" w:cs="Times New Roman"/>
          <w:lang w:val="es-AR"/>
        </w:rPr>
        <w:t>) los dispositivos de acceso y permanencia para las trayectorias educativas (Ezcurra, 2011; Mendonça, 2022; García, 2023) y (</w:t>
      </w:r>
      <w:proofErr w:type="spellStart"/>
      <w:r w:rsidRPr="00702FC9">
        <w:rPr>
          <w:rFonts w:ascii="Times New Roman" w:hAnsi="Times New Roman" w:cs="Times New Roman"/>
          <w:lang w:val="es-AR"/>
        </w:rPr>
        <w:t>iv</w:t>
      </w:r>
      <w:proofErr w:type="spellEnd"/>
      <w:r w:rsidRPr="00702FC9">
        <w:rPr>
          <w:rFonts w:ascii="Times New Roman" w:hAnsi="Times New Roman" w:cs="Times New Roman"/>
          <w:lang w:val="es-AR"/>
        </w:rPr>
        <w:t xml:space="preserve">) las experiencias de los agentes institucionales en la universidad, desde la historia de la educación y las ciencias sociales (Carli, 2012; </w:t>
      </w:r>
      <w:proofErr w:type="spellStart"/>
      <w:r w:rsidRPr="00702FC9">
        <w:rPr>
          <w:rFonts w:ascii="Times New Roman" w:hAnsi="Times New Roman" w:cs="Times New Roman"/>
          <w:lang w:val="es-AR"/>
        </w:rPr>
        <w:t>Pierella</w:t>
      </w:r>
      <w:proofErr w:type="spellEnd"/>
      <w:r w:rsidRPr="00702FC9">
        <w:rPr>
          <w:rFonts w:ascii="Times New Roman" w:hAnsi="Times New Roman" w:cs="Times New Roman"/>
          <w:lang w:val="es-AR"/>
        </w:rPr>
        <w:t>, 2014). Estos abordajes hablan de un campo de estudios sobre la universidad consolidado, pero sugieren interrogantes sobre la consolidación de líneas de investigación sobre pedagogía para la universidad. </w:t>
      </w:r>
    </w:p>
    <w:p w14:paraId="12CE0BCB" w14:textId="4E10E968" w:rsidR="005F3B2E" w:rsidRPr="00702FC9" w:rsidRDefault="005F3B2E" w:rsidP="007B5B5F">
      <w:pPr>
        <w:spacing w:line="240" w:lineRule="auto"/>
        <w:rPr>
          <w:rFonts w:ascii="Times New Roman" w:hAnsi="Times New Roman" w:cs="Times New Roman"/>
          <w:b/>
          <w:bCs/>
          <w:lang w:val="es-AR"/>
        </w:rPr>
      </w:pPr>
      <w:r w:rsidRPr="00702FC9">
        <w:rPr>
          <w:rFonts w:ascii="Times New Roman" w:hAnsi="Times New Roman" w:cs="Times New Roman"/>
          <w:b/>
          <w:bCs/>
          <w:lang w:val="es-AR"/>
        </w:rPr>
        <w:t>Conclusiones</w:t>
      </w:r>
    </w:p>
    <w:p w14:paraId="0ACD1FAF"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En esta ponencia se recapitularon discusiones epistemológicas y teóricas referidas a la pedagogía para delimitar el alcance de lo que se </w:t>
      </w:r>
      <w:proofErr w:type="gramStart"/>
      <w:r w:rsidRPr="00702FC9">
        <w:rPr>
          <w:rFonts w:ascii="Times New Roman" w:hAnsi="Times New Roman" w:cs="Times New Roman"/>
          <w:lang w:val="es-AR"/>
        </w:rPr>
        <w:t>denomina como</w:t>
      </w:r>
      <w:proofErr w:type="gramEnd"/>
      <w:r w:rsidRPr="00702FC9">
        <w:rPr>
          <w:rFonts w:ascii="Times New Roman" w:hAnsi="Times New Roman" w:cs="Times New Roman"/>
          <w:lang w:val="es-AR"/>
        </w:rPr>
        <w:t xml:space="preserve"> pedagogía universitaria para el caso argentino. Al respecto, como marco general, es posible distinguir analíticamente entre aproximaciones a la dimensión programática de la educación, por oposición a aproximaciones explicativas del fenómeno educativo en sus distintas dimensiones, lo que incluye lo institucional, lo político y lo histórico, entre otras aristas, pero que no se ocupa particularmente de la dimensión didáctica, es decir, de los procesos de enseñanza y las condiciones de aprendizaje en el nivel superior universitario. </w:t>
      </w:r>
    </w:p>
    <w:p w14:paraId="7A452542"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Asimismo, otras condiciones estructurales, como la centralidad de lo escolar en la discusión pedagógica moderna, y los avatares de la discusión pedagógica en la historia de la universidad, denotan una relación fluctuante entre pedagogía y universidad, sin perjuicio de la consolidación de un campo de estudios sobre universidad que incluyen a la pedagogía, a la historia y a las ciencias sociales. Así </w:t>
      </w:r>
      <w:proofErr w:type="spellStart"/>
      <w:r w:rsidRPr="00702FC9">
        <w:rPr>
          <w:rFonts w:ascii="Times New Roman" w:hAnsi="Times New Roman" w:cs="Times New Roman"/>
          <w:lang w:val="es-AR"/>
        </w:rPr>
        <w:t>como</w:t>
      </w:r>
      <w:proofErr w:type="spellEnd"/>
      <w:r w:rsidRPr="00702FC9">
        <w:rPr>
          <w:rFonts w:ascii="Times New Roman" w:hAnsi="Times New Roman" w:cs="Times New Roman"/>
          <w:lang w:val="es-AR"/>
        </w:rPr>
        <w:t xml:space="preserve"> es posible entrever la proyección del canon de la pedagogía del siglo XX en la vida institucional de las universidades argentina, también vale puntualizar en que la consolidación de agendas de investigación pedagógicas -y sobre todo didácticas- es un desafío que persiste en la universidad, cuya </w:t>
      </w:r>
      <w:proofErr w:type="spellStart"/>
      <w:r w:rsidRPr="00702FC9">
        <w:rPr>
          <w:rFonts w:ascii="Times New Roman" w:hAnsi="Times New Roman" w:cs="Times New Roman"/>
          <w:lang w:val="es-AR"/>
        </w:rPr>
        <w:t>pedagogización</w:t>
      </w:r>
      <w:proofErr w:type="spellEnd"/>
      <w:r w:rsidRPr="00702FC9">
        <w:rPr>
          <w:rFonts w:ascii="Times New Roman" w:hAnsi="Times New Roman" w:cs="Times New Roman"/>
          <w:lang w:val="es-AR"/>
        </w:rPr>
        <w:t xml:space="preserve"> es reconocible, y se expresa en políticas y dispositivos de formación docente, pero no ha permeado del todo en una cultura institucional históricamente separada de la pedagogía. Esta discusión teórica espera ser un insumo para la reflexión al interior del propio campo y para la proyección de agendas de investigación.</w:t>
      </w:r>
    </w:p>
    <w:p w14:paraId="544B704F" w14:textId="77777777" w:rsidR="00BC236F" w:rsidRPr="00702FC9" w:rsidRDefault="00BC236F" w:rsidP="007B5B5F">
      <w:pPr>
        <w:spacing w:line="240" w:lineRule="auto"/>
        <w:jc w:val="both"/>
        <w:rPr>
          <w:rFonts w:ascii="Times New Roman" w:hAnsi="Times New Roman" w:cs="Times New Roman"/>
          <w:lang w:val="es-AR"/>
        </w:rPr>
      </w:pPr>
    </w:p>
    <w:p w14:paraId="39B57161" w14:textId="334A216A" w:rsidR="005F3B2E" w:rsidRPr="00702FC9" w:rsidRDefault="005F3B2E" w:rsidP="007B5B5F">
      <w:pPr>
        <w:spacing w:line="240" w:lineRule="auto"/>
        <w:rPr>
          <w:rFonts w:ascii="Times New Roman" w:hAnsi="Times New Roman" w:cs="Times New Roman"/>
          <w:b/>
          <w:bCs/>
          <w:lang w:val="en-US"/>
        </w:rPr>
      </w:pPr>
      <w:proofErr w:type="spellStart"/>
      <w:r w:rsidRPr="00702FC9">
        <w:rPr>
          <w:rFonts w:ascii="Times New Roman" w:hAnsi="Times New Roman" w:cs="Times New Roman"/>
          <w:b/>
          <w:bCs/>
          <w:lang w:val="en-US"/>
        </w:rPr>
        <w:t>Referencias</w:t>
      </w:r>
      <w:proofErr w:type="spellEnd"/>
      <w:r w:rsidRPr="00702FC9">
        <w:rPr>
          <w:rFonts w:ascii="Times New Roman" w:hAnsi="Times New Roman" w:cs="Times New Roman"/>
          <w:b/>
          <w:bCs/>
          <w:lang w:val="en-US"/>
        </w:rPr>
        <w:t xml:space="preserve"> </w:t>
      </w:r>
      <w:proofErr w:type="spellStart"/>
      <w:r w:rsidRPr="00702FC9">
        <w:rPr>
          <w:rFonts w:ascii="Times New Roman" w:hAnsi="Times New Roman" w:cs="Times New Roman"/>
          <w:b/>
          <w:bCs/>
          <w:lang w:val="en-US"/>
        </w:rPr>
        <w:t>Bibliográficas</w:t>
      </w:r>
      <w:proofErr w:type="spellEnd"/>
      <w:r w:rsidRPr="00702FC9">
        <w:rPr>
          <w:rFonts w:ascii="Times New Roman" w:hAnsi="Times New Roman" w:cs="Times New Roman"/>
          <w:b/>
          <w:bCs/>
          <w:lang w:val="en-US"/>
        </w:rPr>
        <w:t xml:space="preserve"> </w:t>
      </w:r>
    </w:p>
    <w:p w14:paraId="695BF49B"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Apple, M. (1987).</w:t>
      </w:r>
      <w:r w:rsidRPr="00702FC9">
        <w:rPr>
          <w:rFonts w:ascii="Times New Roman" w:hAnsi="Times New Roman" w:cs="Times New Roman"/>
          <w:i/>
          <w:iCs/>
          <w:lang w:val="es-AR"/>
        </w:rPr>
        <w:t xml:space="preserve"> Educación y Poder</w:t>
      </w:r>
      <w:r w:rsidRPr="00702FC9">
        <w:rPr>
          <w:rFonts w:ascii="Times New Roman" w:hAnsi="Times New Roman" w:cs="Times New Roman"/>
          <w:lang w:val="es-AR"/>
        </w:rPr>
        <w:t>, Paidós.</w:t>
      </w:r>
    </w:p>
    <w:p w14:paraId="07C3C6C3"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lastRenderedPageBreak/>
        <w:t xml:space="preserve">Araujo, S. (2022). Tensiones entre docencia e investigación universitaria en Argentina. Una mirada retrospectiva en Talento </w:t>
      </w:r>
      <w:proofErr w:type="spellStart"/>
      <w:r w:rsidRPr="00702FC9">
        <w:rPr>
          <w:rFonts w:ascii="Times New Roman" w:hAnsi="Times New Roman" w:cs="Times New Roman"/>
          <w:lang w:val="es-AR"/>
        </w:rPr>
        <w:t>Cutrin</w:t>
      </w:r>
      <w:proofErr w:type="spellEnd"/>
      <w:r w:rsidRPr="00702FC9">
        <w:rPr>
          <w:rFonts w:ascii="Times New Roman" w:hAnsi="Times New Roman" w:cs="Times New Roman"/>
          <w:lang w:val="es-AR"/>
        </w:rPr>
        <w:t>, Francisco José (</w:t>
      </w:r>
      <w:proofErr w:type="spellStart"/>
      <w:r w:rsidRPr="00702FC9">
        <w:rPr>
          <w:rFonts w:ascii="Times New Roman" w:hAnsi="Times New Roman" w:cs="Times New Roman"/>
          <w:lang w:val="es-AR"/>
        </w:rPr>
        <w:t>comp.</w:t>
      </w:r>
      <w:proofErr w:type="spellEnd"/>
      <w:r w:rsidRPr="00702FC9">
        <w:rPr>
          <w:rFonts w:ascii="Times New Roman" w:hAnsi="Times New Roman" w:cs="Times New Roman"/>
          <w:lang w:val="es-AR"/>
        </w:rPr>
        <w:t xml:space="preserve">) </w:t>
      </w:r>
      <w:r w:rsidRPr="00702FC9">
        <w:rPr>
          <w:rFonts w:ascii="Times New Roman" w:hAnsi="Times New Roman" w:cs="Times New Roman"/>
          <w:i/>
          <w:iCs/>
          <w:lang w:val="es-AR"/>
        </w:rPr>
        <w:t>100 años de Reforma Universitaria: principales apelaciones a la universidad argentina</w:t>
      </w:r>
      <w:r w:rsidRPr="00702FC9">
        <w:rPr>
          <w:rFonts w:ascii="Times New Roman" w:hAnsi="Times New Roman" w:cs="Times New Roman"/>
          <w:lang w:val="es-AR"/>
        </w:rPr>
        <w:t xml:space="preserve"> (pp. 169-182), CONEAU-Comisión Nacional de Evaluación y Acreditación Universitaria.</w:t>
      </w:r>
    </w:p>
    <w:p w14:paraId="7CACE241"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Aveiro, M. (2017). La constitución del campo o subcampo de la pedagogía universitaria en la Argentina. </w:t>
      </w:r>
      <w:r w:rsidRPr="00702FC9">
        <w:rPr>
          <w:rFonts w:ascii="Times New Roman" w:hAnsi="Times New Roman" w:cs="Times New Roman"/>
          <w:i/>
          <w:iCs/>
          <w:lang w:val="es-AR"/>
        </w:rPr>
        <w:t xml:space="preserve">Revista IRICE </w:t>
      </w:r>
      <w:proofErr w:type="spellStart"/>
      <w:r w:rsidRPr="00702FC9">
        <w:rPr>
          <w:rFonts w:ascii="Times New Roman" w:hAnsi="Times New Roman" w:cs="Times New Roman"/>
          <w:lang w:val="es-AR"/>
        </w:rPr>
        <w:t>Nº</w:t>
      </w:r>
      <w:proofErr w:type="spellEnd"/>
      <w:r w:rsidRPr="00702FC9">
        <w:rPr>
          <w:rFonts w:ascii="Times New Roman" w:hAnsi="Times New Roman" w:cs="Times New Roman"/>
          <w:lang w:val="es-AR"/>
        </w:rPr>
        <w:t xml:space="preserve"> 32, 13-35.</w:t>
      </w:r>
    </w:p>
    <w:p w14:paraId="0F70D964"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Banco Mundial (1996). </w:t>
      </w:r>
      <w:r w:rsidRPr="00702FC9">
        <w:rPr>
          <w:rFonts w:ascii="Times New Roman" w:hAnsi="Times New Roman" w:cs="Times New Roman"/>
          <w:i/>
          <w:iCs/>
          <w:lang w:val="es-AR"/>
        </w:rPr>
        <w:t>Prioridades y estrategias para la educación. Examen del Banco Mundial, Estados Unidos.</w:t>
      </w:r>
    </w:p>
    <w:p w14:paraId="77509BE1"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Becher, T. (2001). </w:t>
      </w:r>
      <w:r w:rsidRPr="00702FC9">
        <w:rPr>
          <w:rFonts w:ascii="Times New Roman" w:hAnsi="Times New Roman" w:cs="Times New Roman"/>
          <w:i/>
          <w:iCs/>
          <w:lang w:val="es-AR"/>
        </w:rPr>
        <w:t>Tribus y Territorios Académicos. La indagación intelectual y las culturas de las disciplinas</w:t>
      </w:r>
      <w:r w:rsidRPr="00702FC9">
        <w:rPr>
          <w:rFonts w:ascii="Times New Roman" w:hAnsi="Times New Roman" w:cs="Times New Roman"/>
          <w:lang w:val="es-AR"/>
        </w:rPr>
        <w:t>, Gedisa.</w:t>
      </w:r>
    </w:p>
    <w:p w14:paraId="6A78FCAC"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Bourdieu, P. &amp; J.C. Passeron (2009). </w:t>
      </w:r>
      <w:r w:rsidRPr="00702FC9">
        <w:rPr>
          <w:rFonts w:ascii="Times New Roman" w:hAnsi="Times New Roman" w:cs="Times New Roman"/>
          <w:i/>
          <w:iCs/>
          <w:lang w:val="es-AR"/>
        </w:rPr>
        <w:t>Los herederos: los estudiantes y la cultura</w:t>
      </w:r>
      <w:r w:rsidRPr="00702FC9">
        <w:rPr>
          <w:rFonts w:ascii="Times New Roman" w:hAnsi="Times New Roman" w:cs="Times New Roman"/>
          <w:lang w:val="es-AR"/>
        </w:rPr>
        <w:t>, Siglo XXI editores.</w:t>
      </w:r>
    </w:p>
    <w:p w14:paraId="3E824F17"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Bowles, S. &amp; H. Gintis (1981). </w:t>
      </w:r>
      <w:r w:rsidRPr="00702FC9">
        <w:rPr>
          <w:rFonts w:ascii="Times New Roman" w:hAnsi="Times New Roman" w:cs="Times New Roman"/>
          <w:i/>
          <w:iCs/>
          <w:lang w:val="es-AR"/>
        </w:rPr>
        <w:t>La instrucción escolar en la América Capitalista</w:t>
      </w:r>
      <w:r w:rsidRPr="00702FC9">
        <w:rPr>
          <w:rFonts w:ascii="Times New Roman" w:hAnsi="Times New Roman" w:cs="Times New Roman"/>
          <w:lang w:val="es-AR"/>
        </w:rPr>
        <w:t>, Siglo XXI. </w:t>
      </w:r>
    </w:p>
    <w:p w14:paraId="282101D2"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Bruer, J. (2016). Neuroeducación: Un panorama desde el puente. </w:t>
      </w:r>
      <w:r w:rsidRPr="00702FC9">
        <w:rPr>
          <w:rFonts w:ascii="Times New Roman" w:hAnsi="Times New Roman" w:cs="Times New Roman"/>
          <w:i/>
          <w:iCs/>
          <w:lang w:val="es-AR"/>
        </w:rPr>
        <w:t>Propuesta Educativa</w:t>
      </w:r>
      <w:r w:rsidRPr="00702FC9">
        <w:rPr>
          <w:rFonts w:ascii="Times New Roman" w:hAnsi="Times New Roman" w:cs="Times New Roman"/>
          <w:lang w:val="es-AR"/>
        </w:rPr>
        <w:t>, 25 (46), 14-25.</w:t>
      </w:r>
    </w:p>
    <w:p w14:paraId="154F8E50"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Bruner, J. (1988).</w:t>
      </w:r>
      <w:r w:rsidRPr="00702FC9">
        <w:rPr>
          <w:rFonts w:ascii="Times New Roman" w:hAnsi="Times New Roman" w:cs="Times New Roman"/>
          <w:i/>
          <w:iCs/>
          <w:lang w:val="es-AR"/>
        </w:rPr>
        <w:t xml:space="preserve"> Desarrollo Cognitivo y Educación</w:t>
      </w:r>
      <w:r w:rsidRPr="00702FC9">
        <w:rPr>
          <w:rFonts w:ascii="Times New Roman" w:hAnsi="Times New Roman" w:cs="Times New Roman"/>
          <w:lang w:val="es-AR"/>
        </w:rPr>
        <w:t>, Morata.</w:t>
      </w:r>
    </w:p>
    <w:p w14:paraId="28134F4E"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Buchbinder, P. (2010). </w:t>
      </w:r>
      <w:r w:rsidRPr="00702FC9">
        <w:rPr>
          <w:rFonts w:ascii="Times New Roman" w:hAnsi="Times New Roman" w:cs="Times New Roman"/>
          <w:i/>
          <w:iCs/>
          <w:lang w:val="es-AR"/>
        </w:rPr>
        <w:t>Historia de las universidades</w:t>
      </w:r>
      <w:r w:rsidRPr="00702FC9">
        <w:rPr>
          <w:rFonts w:ascii="Times New Roman" w:hAnsi="Times New Roman" w:cs="Times New Roman"/>
          <w:lang w:val="es-AR"/>
        </w:rPr>
        <w:t>, Sudamericana.</w:t>
      </w:r>
    </w:p>
    <w:p w14:paraId="07D63EAD"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Bunge, M. (2002). </w:t>
      </w:r>
      <w:r w:rsidRPr="00702FC9">
        <w:rPr>
          <w:rFonts w:ascii="Times New Roman" w:hAnsi="Times New Roman" w:cs="Times New Roman"/>
          <w:i/>
          <w:iCs/>
          <w:lang w:val="es-AR"/>
        </w:rPr>
        <w:t>Epistemología. Curso de actualización</w:t>
      </w:r>
      <w:r w:rsidRPr="00702FC9">
        <w:rPr>
          <w:rFonts w:ascii="Times New Roman" w:hAnsi="Times New Roman" w:cs="Times New Roman"/>
          <w:lang w:val="es-AR"/>
        </w:rPr>
        <w:t>, Siglo XXI.</w:t>
      </w:r>
    </w:p>
    <w:p w14:paraId="412F366F"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Camilloni, A. (2003) De herencias, deudas y legados. Una introducción a las corrientes actuales de la didáctica En Camilloni, A., Davini, M.C., Edelstein, G., Litwin, E., Souto, M y Barco, S. </w:t>
      </w:r>
      <w:r w:rsidRPr="00702FC9">
        <w:rPr>
          <w:rFonts w:ascii="Times New Roman" w:hAnsi="Times New Roman" w:cs="Times New Roman"/>
          <w:i/>
          <w:iCs/>
          <w:lang w:val="es-AR"/>
        </w:rPr>
        <w:t xml:space="preserve">Corrientes didácticas contemporáneas </w:t>
      </w:r>
      <w:r w:rsidRPr="00702FC9">
        <w:rPr>
          <w:rFonts w:ascii="Times New Roman" w:hAnsi="Times New Roman" w:cs="Times New Roman"/>
          <w:lang w:val="es-AR"/>
        </w:rPr>
        <w:t>(pp. 17-40), Paidós.</w:t>
      </w:r>
    </w:p>
    <w:p w14:paraId="4B481405"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Camilloni, A. (2007a). Justificación de la Didáctica en Camilloni, A., </w:t>
      </w:r>
      <w:proofErr w:type="spellStart"/>
      <w:r w:rsidRPr="00702FC9">
        <w:rPr>
          <w:rFonts w:ascii="Times New Roman" w:hAnsi="Times New Roman" w:cs="Times New Roman"/>
          <w:lang w:val="es-AR"/>
        </w:rPr>
        <w:t>Cols</w:t>
      </w:r>
      <w:proofErr w:type="spellEnd"/>
      <w:r w:rsidRPr="00702FC9">
        <w:rPr>
          <w:rFonts w:ascii="Times New Roman" w:hAnsi="Times New Roman" w:cs="Times New Roman"/>
          <w:lang w:val="es-AR"/>
        </w:rPr>
        <w:t>, E., Basabe, L., Feeney, S. (</w:t>
      </w:r>
      <w:proofErr w:type="spellStart"/>
      <w:r w:rsidRPr="00702FC9">
        <w:rPr>
          <w:rFonts w:ascii="Times New Roman" w:hAnsi="Times New Roman" w:cs="Times New Roman"/>
          <w:lang w:val="es-AR"/>
        </w:rPr>
        <w:t>coords</w:t>
      </w:r>
      <w:proofErr w:type="spellEnd"/>
      <w:r w:rsidRPr="00702FC9">
        <w:rPr>
          <w:rFonts w:ascii="Times New Roman" w:hAnsi="Times New Roman" w:cs="Times New Roman"/>
          <w:lang w:val="es-AR"/>
        </w:rPr>
        <w:t xml:space="preserve">.). </w:t>
      </w:r>
      <w:r w:rsidRPr="00702FC9">
        <w:rPr>
          <w:rFonts w:ascii="Times New Roman" w:hAnsi="Times New Roman" w:cs="Times New Roman"/>
          <w:i/>
          <w:iCs/>
          <w:lang w:val="es-AR"/>
        </w:rPr>
        <w:t xml:space="preserve">El saber didáctico </w:t>
      </w:r>
      <w:r w:rsidRPr="00702FC9">
        <w:rPr>
          <w:rFonts w:ascii="Times New Roman" w:hAnsi="Times New Roman" w:cs="Times New Roman"/>
          <w:lang w:val="es-AR"/>
        </w:rPr>
        <w:t>(pp.19-23), Paidós.</w:t>
      </w:r>
    </w:p>
    <w:p w14:paraId="2734D989"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Camilloni, A. (2007b). </w:t>
      </w:r>
      <w:r w:rsidRPr="00702FC9">
        <w:rPr>
          <w:rFonts w:ascii="Times New Roman" w:hAnsi="Times New Roman" w:cs="Times New Roman"/>
          <w:i/>
          <w:iCs/>
          <w:lang w:val="es-AR"/>
        </w:rPr>
        <w:t xml:space="preserve">Didáctica General y Didácticas Específicas </w:t>
      </w:r>
      <w:r w:rsidRPr="00702FC9">
        <w:rPr>
          <w:rFonts w:ascii="Times New Roman" w:hAnsi="Times New Roman" w:cs="Times New Roman"/>
          <w:lang w:val="es-AR"/>
        </w:rPr>
        <w:t xml:space="preserve">en Camilloni, A., </w:t>
      </w:r>
      <w:proofErr w:type="spellStart"/>
      <w:r w:rsidRPr="00702FC9">
        <w:rPr>
          <w:rFonts w:ascii="Times New Roman" w:hAnsi="Times New Roman" w:cs="Times New Roman"/>
          <w:lang w:val="es-AR"/>
        </w:rPr>
        <w:t>Cols</w:t>
      </w:r>
      <w:proofErr w:type="spellEnd"/>
      <w:r w:rsidRPr="00702FC9">
        <w:rPr>
          <w:rFonts w:ascii="Times New Roman" w:hAnsi="Times New Roman" w:cs="Times New Roman"/>
          <w:lang w:val="es-AR"/>
        </w:rPr>
        <w:t>, E., Basabe, L., Feeney, S. (</w:t>
      </w:r>
      <w:proofErr w:type="spellStart"/>
      <w:r w:rsidRPr="00702FC9">
        <w:rPr>
          <w:rFonts w:ascii="Times New Roman" w:hAnsi="Times New Roman" w:cs="Times New Roman"/>
          <w:lang w:val="es-AR"/>
        </w:rPr>
        <w:t>coords</w:t>
      </w:r>
      <w:proofErr w:type="spellEnd"/>
      <w:r w:rsidRPr="00702FC9">
        <w:rPr>
          <w:rFonts w:ascii="Times New Roman" w:hAnsi="Times New Roman" w:cs="Times New Roman"/>
          <w:lang w:val="es-AR"/>
        </w:rPr>
        <w:t xml:space="preserve">.). </w:t>
      </w:r>
      <w:r w:rsidRPr="00702FC9">
        <w:rPr>
          <w:rFonts w:ascii="Times New Roman" w:hAnsi="Times New Roman" w:cs="Times New Roman"/>
          <w:i/>
          <w:iCs/>
          <w:lang w:val="es-AR"/>
        </w:rPr>
        <w:t xml:space="preserve">El saber didáctico </w:t>
      </w:r>
      <w:r w:rsidRPr="00702FC9">
        <w:rPr>
          <w:rFonts w:ascii="Times New Roman" w:hAnsi="Times New Roman" w:cs="Times New Roman"/>
          <w:lang w:val="es-AR"/>
        </w:rPr>
        <w:t>(pp.23-39), Paidós.</w:t>
      </w:r>
    </w:p>
    <w:p w14:paraId="318A2ED1" w14:textId="77777777" w:rsidR="00702FC9" w:rsidRPr="00702FC9" w:rsidRDefault="00702FC9" w:rsidP="00702FC9">
      <w:pPr>
        <w:spacing w:line="240" w:lineRule="auto"/>
        <w:jc w:val="both"/>
        <w:rPr>
          <w:rFonts w:ascii="Times New Roman" w:hAnsi="Times New Roman" w:cs="Times New Roman"/>
          <w:lang w:val="es-AR"/>
        </w:rPr>
      </w:pPr>
      <w:proofErr w:type="spellStart"/>
      <w:r w:rsidRPr="00702FC9">
        <w:rPr>
          <w:rFonts w:ascii="Times New Roman" w:hAnsi="Times New Roman" w:cs="Times New Roman"/>
          <w:lang w:val="es-AR"/>
        </w:rPr>
        <w:t>Cardinaux</w:t>
      </w:r>
      <w:proofErr w:type="spellEnd"/>
      <w:r w:rsidRPr="00702FC9">
        <w:rPr>
          <w:rFonts w:ascii="Times New Roman" w:hAnsi="Times New Roman" w:cs="Times New Roman"/>
          <w:lang w:val="es-AR"/>
        </w:rPr>
        <w:t xml:space="preserve">, N. (2018). Las credenciales de los posgrados en las universidades públicas argentinas. </w:t>
      </w:r>
      <w:r w:rsidRPr="00702FC9">
        <w:rPr>
          <w:rFonts w:ascii="Times New Roman" w:hAnsi="Times New Roman" w:cs="Times New Roman"/>
          <w:i/>
          <w:iCs/>
          <w:lang w:val="es-AR"/>
        </w:rPr>
        <w:t>Lecciones Y Ensayos</w:t>
      </w:r>
      <w:r w:rsidRPr="00702FC9">
        <w:rPr>
          <w:rFonts w:ascii="Times New Roman" w:hAnsi="Times New Roman" w:cs="Times New Roman"/>
          <w:lang w:val="es-AR"/>
        </w:rPr>
        <w:t>, (100), 17–41.</w:t>
      </w:r>
    </w:p>
    <w:p w14:paraId="1D32DDCC"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Carli, S. (2012). </w:t>
      </w:r>
      <w:r w:rsidRPr="00702FC9">
        <w:rPr>
          <w:rFonts w:ascii="Times New Roman" w:hAnsi="Times New Roman" w:cs="Times New Roman"/>
          <w:i/>
          <w:iCs/>
          <w:lang w:val="es-AR"/>
        </w:rPr>
        <w:t>El estudiante universitario. Hacia una historia del presente de la educación pública</w:t>
      </w:r>
      <w:r w:rsidRPr="00702FC9">
        <w:rPr>
          <w:rFonts w:ascii="Times New Roman" w:hAnsi="Times New Roman" w:cs="Times New Roman"/>
          <w:lang w:val="es-AR"/>
        </w:rPr>
        <w:t>. Siglo XXI editores.</w:t>
      </w:r>
    </w:p>
    <w:p w14:paraId="437394BB"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Carretero, M. (2009). </w:t>
      </w:r>
      <w:r w:rsidRPr="00702FC9">
        <w:rPr>
          <w:rFonts w:ascii="Times New Roman" w:hAnsi="Times New Roman" w:cs="Times New Roman"/>
          <w:i/>
          <w:iCs/>
          <w:lang w:val="es-AR"/>
        </w:rPr>
        <w:t>Constructivismo y Educación</w:t>
      </w:r>
      <w:r w:rsidRPr="00702FC9">
        <w:rPr>
          <w:rFonts w:ascii="Times New Roman" w:hAnsi="Times New Roman" w:cs="Times New Roman"/>
          <w:lang w:val="es-AR"/>
        </w:rPr>
        <w:t>. Paidós.</w:t>
      </w:r>
    </w:p>
    <w:p w14:paraId="441D978F" w14:textId="77777777" w:rsidR="00702FC9" w:rsidRPr="00702FC9" w:rsidRDefault="00702FC9" w:rsidP="00702FC9">
      <w:pPr>
        <w:spacing w:line="240" w:lineRule="auto"/>
        <w:jc w:val="both"/>
        <w:rPr>
          <w:rFonts w:ascii="Times New Roman" w:hAnsi="Times New Roman" w:cs="Times New Roman"/>
          <w:lang w:val="es-AR"/>
        </w:rPr>
      </w:pPr>
      <w:proofErr w:type="spellStart"/>
      <w:r w:rsidRPr="00702FC9">
        <w:rPr>
          <w:rFonts w:ascii="Times New Roman" w:hAnsi="Times New Roman" w:cs="Times New Roman"/>
          <w:lang w:val="es-AR"/>
        </w:rPr>
        <w:t>Cols</w:t>
      </w:r>
      <w:proofErr w:type="spellEnd"/>
      <w:r w:rsidRPr="00702FC9">
        <w:rPr>
          <w:rFonts w:ascii="Times New Roman" w:hAnsi="Times New Roman" w:cs="Times New Roman"/>
          <w:lang w:val="es-AR"/>
        </w:rPr>
        <w:t xml:space="preserve">, E. (2007). Problemas de la enseñanza y propuestas didácticas a través del tiempo en Camilloni, A., </w:t>
      </w:r>
      <w:proofErr w:type="spellStart"/>
      <w:r w:rsidRPr="00702FC9">
        <w:rPr>
          <w:rFonts w:ascii="Times New Roman" w:hAnsi="Times New Roman" w:cs="Times New Roman"/>
          <w:lang w:val="es-AR"/>
        </w:rPr>
        <w:t>Cols</w:t>
      </w:r>
      <w:proofErr w:type="spellEnd"/>
      <w:r w:rsidRPr="00702FC9">
        <w:rPr>
          <w:rFonts w:ascii="Times New Roman" w:hAnsi="Times New Roman" w:cs="Times New Roman"/>
          <w:lang w:val="es-AR"/>
        </w:rPr>
        <w:t>, E., Basabe, L., Feeney, S. (</w:t>
      </w:r>
      <w:proofErr w:type="spellStart"/>
      <w:r w:rsidRPr="00702FC9">
        <w:rPr>
          <w:rFonts w:ascii="Times New Roman" w:hAnsi="Times New Roman" w:cs="Times New Roman"/>
          <w:lang w:val="es-AR"/>
        </w:rPr>
        <w:t>coords</w:t>
      </w:r>
      <w:proofErr w:type="spellEnd"/>
      <w:r w:rsidRPr="00702FC9">
        <w:rPr>
          <w:rFonts w:ascii="Times New Roman" w:hAnsi="Times New Roman" w:cs="Times New Roman"/>
          <w:lang w:val="es-AR"/>
        </w:rPr>
        <w:t xml:space="preserve">.). </w:t>
      </w:r>
      <w:r w:rsidRPr="00702FC9">
        <w:rPr>
          <w:rFonts w:ascii="Times New Roman" w:hAnsi="Times New Roman" w:cs="Times New Roman"/>
          <w:i/>
          <w:iCs/>
          <w:lang w:val="es-AR"/>
        </w:rPr>
        <w:t xml:space="preserve">El saber didáctico </w:t>
      </w:r>
      <w:r w:rsidRPr="00702FC9">
        <w:rPr>
          <w:rFonts w:ascii="Times New Roman" w:hAnsi="Times New Roman" w:cs="Times New Roman"/>
          <w:lang w:val="es-AR"/>
        </w:rPr>
        <w:t>(pp.71-117), Paidós.</w:t>
      </w:r>
    </w:p>
    <w:p w14:paraId="3E4C29AF"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lastRenderedPageBreak/>
        <w:t xml:space="preserve">Davini, M. (2003). Conflictos en la evolución de la didáctica. La demarcación entre la didáctica general y las didácticas especiales en Camilloni, A., Davini, M.C., Edelstein, G., Litwin, E., Souto, M y Barco, S. </w:t>
      </w:r>
      <w:r w:rsidRPr="00702FC9">
        <w:rPr>
          <w:rFonts w:ascii="Times New Roman" w:hAnsi="Times New Roman" w:cs="Times New Roman"/>
          <w:i/>
          <w:iCs/>
          <w:lang w:val="es-AR"/>
        </w:rPr>
        <w:t xml:space="preserve">Corrientes didácticas contemporáneas </w:t>
      </w:r>
      <w:r w:rsidRPr="00702FC9">
        <w:rPr>
          <w:rFonts w:ascii="Times New Roman" w:hAnsi="Times New Roman" w:cs="Times New Roman"/>
          <w:lang w:val="es-AR"/>
        </w:rPr>
        <w:t>(pp. 41-74), Paidós.</w:t>
      </w:r>
    </w:p>
    <w:p w14:paraId="0AE7E529"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Dewey, J. (1998). </w:t>
      </w:r>
      <w:r w:rsidRPr="00702FC9">
        <w:rPr>
          <w:rFonts w:ascii="Times New Roman" w:hAnsi="Times New Roman" w:cs="Times New Roman"/>
          <w:i/>
          <w:iCs/>
          <w:lang w:val="es-AR"/>
        </w:rPr>
        <w:t>Democracia y Educación. Una introducción a la filosofía de la educación</w:t>
      </w:r>
      <w:r w:rsidRPr="00702FC9">
        <w:rPr>
          <w:rFonts w:ascii="Times New Roman" w:hAnsi="Times New Roman" w:cs="Times New Roman"/>
          <w:lang w:val="es-AR"/>
        </w:rPr>
        <w:t>, Morata.</w:t>
      </w:r>
    </w:p>
    <w:p w14:paraId="7D4F0D6A"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Díaz Barriga, A. (2014). Competencias. Tensión entre programa político y proyecto educativo, </w:t>
      </w:r>
      <w:r w:rsidRPr="00702FC9">
        <w:rPr>
          <w:rFonts w:ascii="Times New Roman" w:hAnsi="Times New Roman" w:cs="Times New Roman"/>
          <w:i/>
          <w:iCs/>
          <w:lang w:val="es-AR"/>
        </w:rPr>
        <w:t>Propuesta Educativa</w:t>
      </w:r>
      <w:r w:rsidRPr="00702FC9">
        <w:rPr>
          <w:rFonts w:ascii="Times New Roman" w:hAnsi="Times New Roman" w:cs="Times New Roman"/>
          <w:lang w:val="es-AR"/>
        </w:rPr>
        <w:t>, 23(42), pp. 9-27.</w:t>
      </w:r>
    </w:p>
    <w:p w14:paraId="5CC28C33"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Dip, N. A. (2012). Peronismo y Universidad en los años sesenta. </w:t>
      </w:r>
      <w:r w:rsidRPr="00702FC9">
        <w:rPr>
          <w:rFonts w:ascii="Times New Roman" w:hAnsi="Times New Roman" w:cs="Times New Roman"/>
          <w:i/>
          <w:iCs/>
          <w:lang w:val="es-AR"/>
        </w:rPr>
        <w:t>Cuestiones de Sociología</w:t>
      </w:r>
      <w:r w:rsidRPr="00702FC9">
        <w:rPr>
          <w:rFonts w:ascii="Times New Roman" w:hAnsi="Times New Roman" w:cs="Times New Roman"/>
          <w:lang w:val="es-AR"/>
        </w:rPr>
        <w:t>, (8).</w:t>
      </w:r>
    </w:p>
    <w:p w14:paraId="2E896190"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Durkheim, E. (1974). </w:t>
      </w:r>
      <w:r w:rsidRPr="00702FC9">
        <w:rPr>
          <w:rFonts w:ascii="Times New Roman" w:hAnsi="Times New Roman" w:cs="Times New Roman"/>
          <w:i/>
          <w:iCs/>
          <w:lang w:val="es-AR"/>
        </w:rPr>
        <w:t>Naturaleza y método de la Pedagogía en Educación y sociología</w:t>
      </w:r>
      <w:r w:rsidRPr="00702FC9">
        <w:rPr>
          <w:rFonts w:ascii="Times New Roman" w:hAnsi="Times New Roman" w:cs="Times New Roman"/>
          <w:lang w:val="es-AR"/>
        </w:rPr>
        <w:t xml:space="preserve">, </w:t>
      </w:r>
      <w:proofErr w:type="spellStart"/>
      <w:r w:rsidRPr="00702FC9">
        <w:rPr>
          <w:rFonts w:ascii="Times New Roman" w:hAnsi="Times New Roman" w:cs="Times New Roman"/>
          <w:lang w:val="es-AR"/>
        </w:rPr>
        <w:t>Schapire</w:t>
      </w:r>
      <w:proofErr w:type="spellEnd"/>
      <w:r w:rsidRPr="00702FC9">
        <w:rPr>
          <w:rFonts w:ascii="Times New Roman" w:hAnsi="Times New Roman" w:cs="Times New Roman"/>
          <w:lang w:val="es-AR"/>
        </w:rPr>
        <w:t>.</w:t>
      </w:r>
    </w:p>
    <w:p w14:paraId="67708D67"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Dussel, I., &amp; P. Pineau (1995). De cuando la clase obrera entró al paraíso: La educación técnica estatal en el primer peronismo en A. Puiggrós, y S. Carli (Eds.). </w:t>
      </w:r>
      <w:r w:rsidRPr="00702FC9">
        <w:rPr>
          <w:rFonts w:ascii="Times New Roman" w:hAnsi="Times New Roman" w:cs="Times New Roman"/>
          <w:i/>
          <w:iCs/>
          <w:lang w:val="es-AR"/>
        </w:rPr>
        <w:t>Historia de la Educación Argentina VI. Discursos pedagógicos e imaginario social en el peronismo (1945-1955)</w:t>
      </w:r>
      <w:r w:rsidRPr="00702FC9">
        <w:rPr>
          <w:rFonts w:ascii="Times New Roman" w:hAnsi="Times New Roman" w:cs="Times New Roman"/>
          <w:lang w:val="es-AR"/>
        </w:rPr>
        <w:t>, (pp. 107-176). Editorial Galerna.</w:t>
      </w:r>
    </w:p>
    <w:p w14:paraId="63ED9C2E"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Escudero, M. C. &amp; D.J. Salto (2019). Más mercado, menos Estado: el financiamiento de los posgrados en Argentina, </w:t>
      </w:r>
      <w:r w:rsidRPr="00702FC9">
        <w:rPr>
          <w:rFonts w:ascii="Times New Roman" w:hAnsi="Times New Roman" w:cs="Times New Roman"/>
          <w:i/>
          <w:iCs/>
          <w:lang w:val="es-AR"/>
        </w:rPr>
        <w:t>Espacios en Blanco. Revista De Educación</w:t>
      </w:r>
      <w:r w:rsidRPr="00702FC9">
        <w:rPr>
          <w:rFonts w:ascii="Times New Roman" w:hAnsi="Times New Roman" w:cs="Times New Roman"/>
          <w:lang w:val="es-AR"/>
        </w:rPr>
        <w:t>, 1(29), 65–84.</w:t>
      </w:r>
    </w:p>
    <w:p w14:paraId="2D8D82E7"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Ezcurra, A.M. (2011). Abandono estudiantil en educación superior. Hipótesis y conceptos. En </w:t>
      </w:r>
      <w:proofErr w:type="spellStart"/>
      <w:r w:rsidRPr="00702FC9">
        <w:rPr>
          <w:rFonts w:ascii="Times New Roman" w:hAnsi="Times New Roman" w:cs="Times New Roman"/>
          <w:lang w:val="es-AR"/>
        </w:rPr>
        <w:t>Gluz</w:t>
      </w:r>
      <w:proofErr w:type="spellEnd"/>
      <w:r w:rsidRPr="00702FC9">
        <w:rPr>
          <w:rFonts w:ascii="Times New Roman" w:hAnsi="Times New Roman" w:cs="Times New Roman"/>
          <w:lang w:val="es-AR"/>
        </w:rPr>
        <w:t>, N. (</w:t>
      </w:r>
      <w:proofErr w:type="spellStart"/>
      <w:r w:rsidRPr="00702FC9">
        <w:rPr>
          <w:rFonts w:ascii="Times New Roman" w:hAnsi="Times New Roman" w:cs="Times New Roman"/>
          <w:lang w:val="es-AR"/>
        </w:rPr>
        <w:t>ed</w:t>
      </w:r>
      <w:proofErr w:type="spellEnd"/>
      <w:r w:rsidRPr="00702FC9">
        <w:rPr>
          <w:rFonts w:ascii="Times New Roman" w:hAnsi="Times New Roman" w:cs="Times New Roman"/>
          <w:lang w:val="es-AR"/>
        </w:rPr>
        <w:t xml:space="preserve">). </w:t>
      </w:r>
      <w:r w:rsidRPr="00702FC9">
        <w:rPr>
          <w:rFonts w:ascii="Times New Roman" w:hAnsi="Times New Roman" w:cs="Times New Roman"/>
          <w:i/>
          <w:iCs/>
          <w:lang w:val="es-AR"/>
        </w:rPr>
        <w:t>Admisión a la universidad y selectividad social Cuando la democratización es más que un problema de “ingresos”</w:t>
      </w:r>
      <w:r w:rsidRPr="00702FC9">
        <w:rPr>
          <w:rFonts w:ascii="Times New Roman" w:hAnsi="Times New Roman" w:cs="Times New Roman"/>
          <w:lang w:val="es-AR"/>
        </w:rPr>
        <w:t>, (pp. 23-49), Ediciones UNGS.</w:t>
      </w:r>
    </w:p>
    <w:p w14:paraId="28E3AADE" w14:textId="77777777" w:rsidR="00702FC9" w:rsidRPr="00702FC9" w:rsidRDefault="00702FC9" w:rsidP="00702FC9">
      <w:pPr>
        <w:spacing w:line="240" w:lineRule="auto"/>
        <w:jc w:val="both"/>
        <w:rPr>
          <w:rFonts w:ascii="Times New Roman" w:hAnsi="Times New Roman" w:cs="Times New Roman"/>
          <w:lang w:val="es-AR"/>
        </w:rPr>
      </w:pPr>
      <w:proofErr w:type="spellStart"/>
      <w:r w:rsidRPr="00702FC9">
        <w:rPr>
          <w:rFonts w:ascii="Times New Roman" w:hAnsi="Times New Roman" w:cs="Times New Roman"/>
          <w:lang w:val="es-AR"/>
        </w:rPr>
        <w:t>Fairstein</w:t>
      </w:r>
      <w:proofErr w:type="spellEnd"/>
      <w:r w:rsidRPr="00702FC9">
        <w:rPr>
          <w:rFonts w:ascii="Times New Roman" w:hAnsi="Times New Roman" w:cs="Times New Roman"/>
          <w:lang w:val="es-AR"/>
        </w:rPr>
        <w:t>, G. y Carretero, M (2007). La teoría de Jean Piaget y la educación. Medio siglo de debates y aplicaciones. En Trilla, J. (</w:t>
      </w:r>
      <w:proofErr w:type="spellStart"/>
      <w:r w:rsidRPr="00702FC9">
        <w:rPr>
          <w:rFonts w:ascii="Times New Roman" w:hAnsi="Times New Roman" w:cs="Times New Roman"/>
          <w:lang w:val="es-AR"/>
        </w:rPr>
        <w:t>coord</w:t>
      </w:r>
      <w:proofErr w:type="spellEnd"/>
      <w:r w:rsidRPr="00702FC9">
        <w:rPr>
          <w:rFonts w:ascii="Times New Roman" w:hAnsi="Times New Roman" w:cs="Times New Roman"/>
          <w:lang w:val="es-AR"/>
        </w:rPr>
        <w:t xml:space="preserve">). </w:t>
      </w:r>
      <w:r w:rsidRPr="00702FC9">
        <w:rPr>
          <w:rFonts w:ascii="Times New Roman" w:hAnsi="Times New Roman" w:cs="Times New Roman"/>
          <w:i/>
          <w:iCs/>
          <w:lang w:val="es-AR"/>
        </w:rPr>
        <w:t>El legado pedagógico del siglo XX para la escuela del siglo XXI</w:t>
      </w:r>
      <w:r w:rsidRPr="00702FC9">
        <w:rPr>
          <w:rFonts w:ascii="Times New Roman" w:hAnsi="Times New Roman" w:cs="Times New Roman"/>
          <w:lang w:val="es-AR"/>
        </w:rPr>
        <w:t>, (177-206), Grao.</w:t>
      </w:r>
    </w:p>
    <w:p w14:paraId="411EBD0C"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Fernández Enguita, M. (1990). </w:t>
      </w:r>
      <w:r w:rsidRPr="00702FC9">
        <w:rPr>
          <w:rFonts w:ascii="Times New Roman" w:hAnsi="Times New Roman" w:cs="Times New Roman"/>
          <w:i/>
          <w:iCs/>
          <w:lang w:val="es-AR"/>
        </w:rPr>
        <w:t>La cara oculta de la escuela. Educación y trabajo en el capitalismo</w:t>
      </w:r>
      <w:r w:rsidRPr="00702FC9">
        <w:rPr>
          <w:rFonts w:ascii="Times New Roman" w:hAnsi="Times New Roman" w:cs="Times New Roman"/>
          <w:lang w:val="es-AR"/>
        </w:rPr>
        <w:t>, Siglo XXI editores.</w:t>
      </w:r>
    </w:p>
    <w:p w14:paraId="53474A41"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Fernández Lamarra, N. (2003). La Educación Superior argentina en debate. Situación, problemas y perspectivas, Eudeba-IESALC-UNESCO.</w:t>
      </w:r>
    </w:p>
    <w:p w14:paraId="70F871BB"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Fernández Lamarra, N. (2018). </w:t>
      </w:r>
      <w:r w:rsidRPr="00702FC9">
        <w:rPr>
          <w:rFonts w:ascii="Times New Roman" w:hAnsi="Times New Roman" w:cs="Times New Roman"/>
          <w:i/>
          <w:iCs/>
          <w:lang w:val="es-AR"/>
        </w:rPr>
        <w:t>La educación superior universitaria argentina. Situación actual en el contexto regional</w:t>
      </w:r>
      <w:r w:rsidRPr="00702FC9">
        <w:rPr>
          <w:rFonts w:ascii="Times New Roman" w:hAnsi="Times New Roman" w:cs="Times New Roman"/>
          <w:lang w:val="es-AR"/>
        </w:rPr>
        <w:t>, UNTREF.</w:t>
      </w:r>
    </w:p>
    <w:p w14:paraId="06301623"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Finkelstein, C., Lucarelli, E., Da Cunha, M. I., Collazo, M., </w:t>
      </w:r>
      <w:proofErr w:type="spellStart"/>
      <w:r w:rsidRPr="00702FC9">
        <w:rPr>
          <w:rFonts w:ascii="Times New Roman" w:hAnsi="Times New Roman" w:cs="Times New Roman"/>
          <w:lang w:val="es-AR"/>
        </w:rPr>
        <w:t>Marin</w:t>
      </w:r>
      <w:proofErr w:type="spellEnd"/>
      <w:r w:rsidRPr="00702FC9">
        <w:rPr>
          <w:rFonts w:ascii="Times New Roman" w:hAnsi="Times New Roman" w:cs="Times New Roman"/>
          <w:lang w:val="es-AR"/>
        </w:rPr>
        <w:t xml:space="preserve">, P., &amp; Cascante, N. (2022). Abriendo fronteras en la formación pedagógica de los docentes universitarios. </w:t>
      </w:r>
      <w:r w:rsidRPr="00702FC9">
        <w:rPr>
          <w:rFonts w:ascii="Times New Roman" w:hAnsi="Times New Roman" w:cs="Times New Roman"/>
          <w:i/>
          <w:iCs/>
          <w:lang w:val="es-AR"/>
        </w:rPr>
        <w:t>Revista Educación Superior Y Sociedad (ESS)</w:t>
      </w:r>
      <w:r w:rsidRPr="00702FC9">
        <w:rPr>
          <w:rFonts w:ascii="Times New Roman" w:hAnsi="Times New Roman" w:cs="Times New Roman"/>
          <w:lang w:val="es-AR"/>
        </w:rPr>
        <w:t xml:space="preserve">, </w:t>
      </w:r>
      <w:r w:rsidRPr="00702FC9">
        <w:rPr>
          <w:rFonts w:ascii="Times New Roman" w:hAnsi="Times New Roman" w:cs="Times New Roman"/>
          <w:i/>
          <w:iCs/>
          <w:lang w:val="es-AR"/>
        </w:rPr>
        <w:t>34</w:t>
      </w:r>
      <w:r w:rsidRPr="00702FC9">
        <w:rPr>
          <w:rFonts w:ascii="Times New Roman" w:hAnsi="Times New Roman" w:cs="Times New Roman"/>
          <w:lang w:val="es-AR"/>
        </w:rPr>
        <w:t>(1), 230-258.</w:t>
      </w:r>
    </w:p>
    <w:p w14:paraId="7DCDF249"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Freire, P. (2008). </w:t>
      </w:r>
      <w:r w:rsidRPr="00702FC9">
        <w:rPr>
          <w:rFonts w:ascii="Times New Roman" w:hAnsi="Times New Roman" w:cs="Times New Roman"/>
          <w:i/>
          <w:iCs/>
          <w:lang w:val="es-AR"/>
        </w:rPr>
        <w:t>Pedagogía del oprimido</w:t>
      </w:r>
      <w:r w:rsidRPr="00702FC9">
        <w:rPr>
          <w:rFonts w:ascii="Times New Roman" w:hAnsi="Times New Roman" w:cs="Times New Roman"/>
          <w:lang w:val="es-AR"/>
        </w:rPr>
        <w:t>, Siglo XXI.</w:t>
      </w:r>
    </w:p>
    <w:p w14:paraId="60D4D5DA"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Friedemann, S. (2017). De las Cátedras Nacionales (1967-1971) a la Universidad Nacional y Popular de Buenos Aires (1973-1974). Experiencias configuradoras de institucionalidad universitaria, </w:t>
      </w:r>
      <w:r w:rsidRPr="00702FC9">
        <w:rPr>
          <w:rFonts w:ascii="Times New Roman" w:hAnsi="Times New Roman" w:cs="Times New Roman"/>
          <w:i/>
          <w:iCs/>
          <w:lang w:val="es-AR"/>
        </w:rPr>
        <w:t>Sociohistórica</w:t>
      </w:r>
      <w:r w:rsidRPr="00702FC9">
        <w:rPr>
          <w:rFonts w:ascii="Times New Roman" w:hAnsi="Times New Roman" w:cs="Times New Roman"/>
          <w:lang w:val="es-AR"/>
        </w:rPr>
        <w:t xml:space="preserve">, </w:t>
      </w:r>
      <w:proofErr w:type="spellStart"/>
      <w:r w:rsidRPr="00702FC9">
        <w:rPr>
          <w:rFonts w:ascii="Times New Roman" w:hAnsi="Times New Roman" w:cs="Times New Roman"/>
          <w:lang w:val="es-AR"/>
        </w:rPr>
        <w:t>nº</w:t>
      </w:r>
      <w:proofErr w:type="spellEnd"/>
      <w:r w:rsidRPr="00702FC9">
        <w:rPr>
          <w:rFonts w:ascii="Times New Roman" w:hAnsi="Times New Roman" w:cs="Times New Roman"/>
          <w:lang w:val="es-AR"/>
        </w:rPr>
        <w:t xml:space="preserve"> 39.</w:t>
      </w:r>
    </w:p>
    <w:p w14:paraId="601CE56F"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lastRenderedPageBreak/>
        <w:t xml:space="preserve">Friedemann, S. (2021). </w:t>
      </w:r>
      <w:r w:rsidRPr="00702FC9">
        <w:rPr>
          <w:rFonts w:ascii="Times New Roman" w:hAnsi="Times New Roman" w:cs="Times New Roman"/>
          <w:i/>
          <w:iCs/>
          <w:lang w:val="es-AR"/>
        </w:rPr>
        <w:t xml:space="preserve">La Universidad Nacional y Popular de Buenos Aires. La reforma universitaria de la izquierda peronista, 1973-1974. </w:t>
      </w:r>
      <w:r w:rsidRPr="00702FC9">
        <w:rPr>
          <w:rFonts w:ascii="Times New Roman" w:hAnsi="Times New Roman" w:cs="Times New Roman"/>
          <w:lang w:val="es-AR"/>
        </w:rPr>
        <w:t>Prometeo.</w:t>
      </w:r>
    </w:p>
    <w:p w14:paraId="4F9AB9FA"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Frondizi, R (2005). </w:t>
      </w:r>
      <w:r w:rsidRPr="00702FC9">
        <w:rPr>
          <w:rFonts w:ascii="Times New Roman" w:hAnsi="Times New Roman" w:cs="Times New Roman"/>
          <w:i/>
          <w:iCs/>
          <w:lang w:val="es-AR"/>
        </w:rPr>
        <w:t>La universidad en un mundo de tensiones</w:t>
      </w:r>
      <w:r w:rsidRPr="00702FC9">
        <w:rPr>
          <w:rFonts w:ascii="Times New Roman" w:hAnsi="Times New Roman" w:cs="Times New Roman"/>
          <w:lang w:val="es-AR"/>
        </w:rPr>
        <w:t>, Eudeba.</w:t>
      </w:r>
    </w:p>
    <w:p w14:paraId="7DDD7FD0" w14:textId="77777777" w:rsidR="00702FC9" w:rsidRPr="00702FC9" w:rsidRDefault="00702FC9" w:rsidP="00702FC9">
      <w:pPr>
        <w:spacing w:line="240" w:lineRule="auto"/>
        <w:jc w:val="both"/>
        <w:rPr>
          <w:rFonts w:ascii="Times New Roman" w:hAnsi="Times New Roman" w:cs="Times New Roman"/>
          <w:lang w:val="es-AR"/>
        </w:rPr>
      </w:pPr>
      <w:proofErr w:type="spellStart"/>
      <w:r w:rsidRPr="00702FC9">
        <w:rPr>
          <w:rFonts w:ascii="Times New Roman" w:hAnsi="Times New Roman" w:cs="Times New Roman"/>
          <w:lang w:val="es-AR"/>
        </w:rPr>
        <w:t>Garcia</w:t>
      </w:r>
      <w:proofErr w:type="spellEnd"/>
      <w:r w:rsidRPr="00702FC9">
        <w:rPr>
          <w:rFonts w:ascii="Times New Roman" w:hAnsi="Times New Roman" w:cs="Times New Roman"/>
          <w:lang w:val="es-AR"/>
        </w:rPr>
        <w:t xml:space="preserve">, P. D. (2023). Mapeo de dispositivos de ingreso a las universidades nacionales en Argentina. </w:t>
      </w:r>
      <w:r w:rsidRPr="00702FC9">
        <w:rPr>
          <w:rFonts w:ascii="Times New Roman" w:hAnsi="Times New Roman" w:cs="Times New Roman"/>
          <w:i/>
          <w:iCs/>
          <w:lang w:val="es-AR"/>
        </w:rPr>
        <w:t>Praxis Educativa</w:t>
      </w:r>
      <w:r w:rsidRPr="00702FC9">
        <w:rPr>
          <w:rFonts w:ascii="Times New Roman" w:hAnsi="Times New Roman" w:cs="Times New Roman"/>
          <w:lang w:val="es-AR"/>
        </w:rPr>
        <w:t xml:space="preserve">, </w:t>
      </w:r>
      <w:r w:rsidRPr="00702FC9">
        <w:rPr>
          <w:rFonts w:ascii="Times New Roman" w:hAnsi="Times New Roman" w:cs="Times New Roman"/>
          <w:i/>
          <w:iCs/>
          <w:lang w:val="es-AR"/>
        </w:rPr>
        <w:t>27</w:t>
      </w:r>
      <w:r w:rsidRPr="00702FC9">
        <w:rPr>
          <w:rFonts w:ascii="Times New Roman" w:hAnsi="Times New Roman" w:cs="Times New Roman"/>
          <w:lang w:val="es-AR"/>
        </w:rPr>
        <w:t>(3), 1-25.</w:t>
      </w:r>
    </w:p>
    <w:p w14:paraId="357D4028"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Gimeno Sacristán, J. (1978). Explicación, norma y utopía en Escolano, A et. </w:t>
      </w:r>
      <w:proofErr w:type="spellStart"/>
      <w:r w:rsidRPr="00702FC9">
        <w:rPr>
          <w:rFonts w:ascii="Times New Roman" w:hAnsi="Times New Roman" w:cs="Times New Roman"/>
          <w:lang w:val="es-AR"/>
        </w:rPr>
        <w:t>al</w:t>
      </w:r>
      <w:proofErr w:type="spellEnd"/>
      <w:r w:rsidRPr="00702FC9">
        <w:rPr>
          <w:rFonts w:ascii="Times New Roman" w:hAnsi="Times New Roman" w:cs="Times New Roman"/>
          <w:lang w:val="es-AR"/>
        </w:rPr>
        <w:t xml:space="preserve">., </w:t>
      </w:r>
      <w:r w:rsidRPr="00702FC9">
        <w:rPr>
          <w:rFonts w:ascii="Times New Roman" w:hAnsi="Times New Roman" w:cs="Times New Roman"/>
          <w:i/>
          <w:iCs/>
          <w:lang w:val="es-AR"/>
        </w:rPr>
        <w:t>Epistemología y Educación</w:t>
      </w:r>
      <w:r w:rsidRPr="00702FC9">
        <w:rPr>
          <w:rFonts w:ascii="Times New Roman" w:hAnsi="Times New Roman" w:cs="Times New Roman"/>
          <w:lang w:val="es-AR"/>
        </w:rPr>
        <w:t>. Editorial Sígueme.</w:t>
      </w:r>
    </w:p>
    <w:p w14:paraId="21130019"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Giroux, H (1985). Teoría de la reproducción y la resistencia en la nueva sociología de la educación. Un análisis crítico, </w:t>
      </w:r>
      <w:r w:rsidRPr="00702FC9">
        <w:rPr>
          <w:rFonts w:ascii="Times New Roman" w:hAnsi="Times New Roman" w:cs="Times New Roman"/>
          <w:i/>
          <w:iCs/>
          <w:lang w:val="es-AR"/>
        </w:rPr>
        <w:t xml:space="preserve">Cuadernos políticos, </w:t>
      </w:r>
      <w:r w:rsidRPr="00702FC9">
        <w:rPr>
          <w:rFonts w:ascii="Times New Roman" w:hAnsi="Times New Roman" w:cs="Times New Roman"/>
          <w:lang w:val="es-AR"/>
        </w:rPr>
        <w:t>Era.</w:t>
      </w:r>
    </w:p>
    <w:p w14:paraId="70F77015" w14:textId="77777777" w:rsidR="00702FC9" w:rsidRPr="00702FC9" w:rsidRDefault="00702FC9" w:rsidP="00702FC9">
      <w:pPr>
        <w:spacing w:line="240" w:lineRule="auto"/>
        <w:jc w:val="both"/>
        <w:rPr>
          <w:rFonts w:ascii="Times New Roman" w:hAnsi="Times New Roman" w:cs="Times New Roman"/>
          <w:lang w:val="es-AR"/>
        </w:rPr>
      </w:pPr>
      <w:proofErr w:type="spellStart"/>
      <w:r w:rsidRPr="00702FC9">
        <w:rPr>
          <w:rFonts w:ascii="Times New Roman" w:hAnsi="Times New Roman" w:cs="Times New Roman"/>
          <w:lang w:val="es-AR"/>
        </w:rPr>
        <w:t>Gluz</w:t>
      </w:r>
      <w:proofErr w:type="spellEnd"/>
      <w:r w:rsidRPr="00702FC9">
        <w:rPr>
          <w:rFonts w:ascii="Times New Roman" w:hAnsi="Times New Roman" w:cs="Times New Roman"/>
          <w:lang w:val="es-AR"/>
        </w:rPr>
        <w:t xml:space="preserve">, N. y Rosica, M. (2011). ¿Selectividad social o escolar? Fragmentación del sistema educativo y trayectoria en el CAU. En </w:t>
      </w:r>
      <w:proofErr w:type="spellStart"/>
      <w:r w:rsidRPr="00702FC9">
        <w:rPr>
          <w:rFonts w:ascii="Times New Roman" w:hAnsi="Times New Roman" w:cs="Times New Roman"/>
          <w:lang w:val="es-AR"/>
        </w:rPr>
        <w:t>Gluz</w:t>
      </w:r>
      <w:proofErr w:type="spellEnd"/>
      <w:r w:rsidRPr="00702FC9">
        <w:rPr>
          <w:rFonts w:ascii="Times New Roman" w:hAnsi="Times New Roman" w:cs="Times New Roman"/>
          <w:lang w:val="es-AR"/>
        </w:rPr>
        <w:t>, N. (</w:t>
      </w:r>
      <w:proofErr w:type="spellStart"/>
      <w:r w:rsidRPr="00702FC9">
        <w:rPr>
          <w:rFonts w:ascii="Times New Roman" w:hAnsi="Times New Roman" w:cs="Times New Roman"/>
          <w:lang w:val="es-AR"/>
        </w:rPr>
        <w:t>ed</w:t>
      </w:r>
      <w:proofErr w:type="spellEnd"/>
      <w:r w:rsidRPr="00702FC9">
        <w:rPr>
          <w:rFonts w:ascii="Times New Roman" w:hAnsi="Times New Roman" w:cs="Times New Roman"/>
          <w:lang w:val="es-AR"/>
        </w:rPr>
        <w:t xml:space="preserve">). </w:t>
      </w:r>
      <w:r w:rsidRPr="00702FC9">
        <w:rPr>
          <w:rFonts w:ascii="Times New Roman" w:hAnsi="Times New Roman" w:cs="Times New Roman"/>
          <w:i/>
          <w:iCs/>
          <w:lang w:val="es-AR"/>
        </w:rPr>
        <w:t>Admisión a la universidad y selectividad social Cuando la democratización es más que un problema de “ingresos”</w:t>
      </w:r>
      <w:r w:rsidRPr="00702FC9">
        <w:rPr>
          <w:rFonts w:ascii="Times New Roman" w:hAnsi="Times New Roman" w:cs="Times New Roman"/>
          <w:lang w:val="es-AR"/>
        </w:rPr>
        <w:t>, (pp. 127-174), Ediciones UNGS.</w:t>
      </w:r>
    </w:p>
    <w:p w14:paraId="5F93CDE3"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Gros Salvat, B (2007).  Burrhus Frederic Skinner y la </w:t>
      </w:r>
      <w:proofErr w:type="gramStart"/>
      <w:r w:rsidRPr="00702FC9">
        <w:rPr>
          <w:rFonts w:ascii="Times New Roman" w:hAnsi="Times New Roman" w:cs="Times New Roman"/>
          <w:lang w:val="es-AR"/>
        </w:rPr>
        <w:t>tecnología  En</w:t>
      </w:r>
      <w:proofErr w:type="gramEnd"/>
      <w:r w:rsidRPr="00702FC9">
        <w:rPr>
          <w:rFonts w:ascii="Times New Roman" w:hAnsi="Times New Roman" w:cs="Times New Roman"/>
          <w:lang w:val="es-AR"/>
        </w:rPr>
        <w:t xml:space="preserve"> Trilla, J. (</w:t>
      </w:r>
      <w:proofErr w:type="spellStart"/>
      <w:r w:rsidRPr="00702FC9">
        <w:rPr>
          <w:rFonts w:ascii="Times New Roman" w:hAnsi="Times New Roman" w:cs="Times New Roman"/>
          <w:lang w:val="es-AR"/>
        </w:rPr>
        <w:t>coord</w:t>
      </w:r>
      <w:proofErr w:type="spellEnd"/>
      <w:r w:rsidRPr="00702FC9">
        <w:rPr>
          <w:rFonts w:ascii="Times New Roman" w:hAnsi="Times New Roman" w:cs="Times New Roman"/>
          <w:lang w:val="es-AR"/>
        </w:rPr>
        <w:t xml:space="preserve">). </w:t>
      </w:r>
      <w:r w:rsidRPr="00702FC9">
        <w:rPr>
          <w:rFonts w:ascii="Times New Roman" w:hAnsi="Times New Roman" w:cs="Times New Roman"/>
          <w:i/>
          <w:iCs/>
          <w:lang w:val="es-AR"/>
        </w:rPr>
        <w:t>El legado pedagógico del siglo XX para la escuela del siglo XXI</w:t>
      </w:r>
      <w:r w:rsidRPr="00702FC9">
        <w:rPr>
          <w:rFonts w:ascii="Times New Roman" w:hAnsi="Times New Roman" w:cs="Times New Roman"/>
          <w:lang w:val="es-AR"/>
        </w:rPr>
        <w:t>, (223-248), Grao.</w:t>
      </w:r>
    </w:p>
    <w:p w14:paraId="444E6BD6"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Jackson, P. (2001). </w:t>
      </w:r>
      <w:r w:rsidRPr="00702FC9">
        <w:rPr>
          <w:rFonts w:ascii="Times New Roman" w:hAnsi="Times New Roman" w:cs="Times New Roman"/>
          <w:i/>
          <w:iCs/>
          <w:lang w:val="es-AR"/>
        </w:rPr>
        <w:t>La vida en las aulas</w:t>
      </w:r>
      <w:r w:rsidRPr="00702FC9">
        <w:rPr>
          <w:rFonts w:ascii="Times New Roman" w:hAnsi="Times New Roman" w:cs="Times New Roman"/>
          <w:lang w:val="es-AR"/>
        </w:rPr>
        <w:t>, Morata.</w:t>
      </w:r>
    </w:p>
    <w:p w14:paraId="0F8BB993"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Krotsch, P. (2009). </w:t>
      </w:r>
      <w:r w:rsidRPr="00702FC9">
        <w:rPr>
          <w:rFonts w:ascii="Times New Roman" w:hAnsi="Times New Roman" w:cs="Times New Roman"/>
          <w:i/>
          <w:iCs/>
          <w:lang w:val="es-AR"/>
        </w:rPr>
        <w:t>Educación superior y reformas comparadas</w:t>
      </w:r>
      <w:r w:rsidRPr="00702FC9">
        <w:rPr>
          <w:rFonts w:ascii="Times New Roman" w:hAnsi="Times New Roman" w:cs="Times New Roman"/>
          <w:lang w:val="es-AR"/>
        </w:rPr>
        <w:t>, Editorial UNQ.</w:t>
      </w:r>
    </w:p>
    <w:p w14:paraId="7E5B0527"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Lucarelli, E. (2011): </w:t>
      </w:r>
      <w:r w:rsidRPr="00702FC9">
        <w:rPr>
          <w:rFonts w:ascii="Times New Roman" w:hAnsi="Times New Roman" w:cs="Times New Roman"/>
          <w:i/>
          <w:iCs/>
          <w:lang w:val="es-AR"/>
        </w:rPr>
        <w:t xml:space="preserve">Didáctica universitaria, ¿un asunto de interés para la universidad actual? </w:t>
      </w:r>
      <w:r w:rsidRPr="00702FC9">
        <w:rPr>
          <w:rFonts w:ascii="Times New Roman" w:hAnsi="Times New Roman" w:cs="Times New Roman"/>
          <w:lang w:val="es-AR"/>
        </w:rPr>
        <w:t>en Revista Perspectiva. Vol 29(2), UFSC.</w:t>
      </w:r>
    </w:p>
    <w:p w14:paraId="04E1B7AF"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Marquina, M. (2021). El estudio de la profesión académica en América Latina: entre lo global y lo local, </w:t>
      </w:r>
      <w:r w:rsidRPr="00702FC9">
        <w:rPr>
          <w:rFonts w:ascii="Times New Roman" w:hAnsi="Times New Roman" w:cs="Times New Roman"/>
          <w:i/>
          <w:iCs/>
          <w:lang w:val="es-AR"/>
        </w:rPr>
        <w:t>Revista de Educación</w:t>
      </w:r>
      <w:r w:rsidRPr="00702FC9">
        <w:rPr>
          <w:rFonts w:ascii="Times New Roman" w:hAnsi="Times New Roman" w:cs="Times New Roman"/>
          <w:lang w:val="es-AR"/>
        </w:rPr>
        <w:t>, 24(2) (pp. 19-36).</w:t>
      </w:r>
    </w:p>
    <w:p w14:paraId="62507AA1"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Mendonça, M. (2019). Expansión y diversificación en la educación superior Argentina del siglo XX: el sistema universitario como un </w:t>
      </w:r>
      <w:proofErr w:type="spellStart"/>
      <w:r w:rsidRPr="00702FC9">
        <w:rPr>
          <w:rFonts w:ascii="Times New Roman" w:hAnsi="Times New Roman" w:cs="Times New Roman"/>
          <w:lang w:val="es-AR"/>
        </w:rPr>
        <w:t>patchwork</w:t>
      </w:r>
      <w:proofErr w:type="spellEnd"/>
      <w:r w:rsidRPr="00702FC9">
        <w:rPr>
          <w:rFonts w:ascii="Times New Roman" w:hAnsi="Times New Roman" w:cs="Times New Roman"/>
          <w:lang w:val="es-AR"/>
        </w:rPr>
        <w:t xml:space="preserve">. </w:t>
      </w:r>
      <w:r w:rsidRPr="00702FC9">
        <w:rPr>
          <w:rFonts w:ascii="Times New Roman" w:hAnsi="Times New Roman" w:cs="Times New Roman"/>
          <w:i/>
          <w:iCs/>
          <w:lang w:val="es-AR"/>
        </w:rPr>
        <w:t>Debate Universitario,</w:t>
      </w:r>
      <w:r w:rsidRPr="00702FC9">
        <w:rPr>
          <w:rFonts w:ascii="Times New Roman" w:hAnsi="Times New Roman" w:cs="Times New Roman"/>
          <w:lang w:val="es-AR"/>
        </w:rPr>
        <w:t xml:space="preserve"> 7 (14), 9-23.</w:t>
      </w:r>
    </w:p>
    <w:p w14:paraId="447D6C52"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Mendonça, M.  (2022).  Estrategias en el acompañamiento del estudiantado en el ingreso universitario en la argentina de las últimas dos décadas.  ¿Nuevos mecanismos o generalización y </w:t>
      </w:r>
      <w:proofErr w:type="spellStart"/>
      <w:r w:rsidRPr="00702FC9">
        <w:rPr>
          <w:rFonts w:ascii="Times New Roman" w:hAnsi="Times New Roman" w:cs="Times New Roman"/>
          <w:lang w:val="es-AR"/>
        </w:rPr>
        <w:t>visibilización</w:t>
      </w:r>
      <w:proofErr w:type="spellEnd"/>
      <w:r w:rsidRPr="00702FC9">
        <w:rPr>
          <w:rFonts w:ascii="Times New Roman" w:hAnsi="Times New Roman" w:cs="Times New Roman"/>
          <w:lang w:val="es-AR"/>
        </w:rPr>
        <w:t xml:space="preserve"> de acciones ya existentes?  </w:t>
      </w:r>
      <w:proofErr w:type="spellStart"/>
      <w:r w:rsidRPr="00702FC9">
        <w:rPr>
          <w:rFonts w:ascii="Times New Roman" w:hAnsi="Times New Roman" w:cs="Times New Roman"/>
          <w:i/>
          <w:iCs/>
          <w:lang w:val="es-AR"/>
        </w:rPr>
        <w:t>Esboços</w:t>
      </w:r>
      <w:proofErr w:type="spellEnd"/>
      <w:r w:rsidRPr="00702FC9">
        <w:rPr>
          <w:rFonts w:ascii="Times New Roman" w:hAnsi="Times New Roman" w:cs="Times New Roman"/>
          <w:lang w:val="es-AR"/>
        </w:rPr>
        <w:t xml:space="preserve"> ,29(51).</w:t>
      </w:r>
    </w:p>
    <w:p w14:paraId="1AB16CF8"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Molinari, A. y Ruiz, G. (2005). La organización de la formación para la docencia en la Universidad de Buenos Aires en </w:t>
      </w:r>
      <w:proofErr w:type="spellStart"/>
      <w:r w:rsidRPr="00702FC9">
        <w:rPr>
          <w:rFonts w:ascii="Times New Roman" w:hAnsi="Times New Roman" w:cs="Times New Roman"/>
          <w:lang w:val="es-AR"/>
        </w:rPr>
        <w:t>Cardinaux</w:t>
      </w:r>
      <w:proofErr w:type="spellEnd"/>
      <w:r w:rsidRPr="00702FC9">
        <w:rPr>
          <w:rFonts w:ascii="Times New Roman" w:hAnsi="Times New Roman" w:cs="Times New Roman"/>
          <w:lang w:val="es-AR"/>
        </w:rPr>
        <w:t xml:space="preserve">, N., </w:t>
      </w:r>
      <w:proofErr w:type="spellStart"/>
      <w:r w:rsidRPr="00702FC9">
        <w:rPr>
          <w:rFonts w:ascii="Times New Roman" w:hAnsi="Times New Roman" w:cs="Times New Roman"/>
          <w:lang w:val="es-AR"/>
        </w:rPr>
        <w:t>Clérico</w:t>
      </w:r>
      <w:proofErr w:type="spellEnd"/>
      <w:r w:rsidRPr="00702FC9">
        <w:rPr>
          <w:rFonts w:ascii="Times New Roman" w:hAnsi="Times New Roman" w:cs="Times New Roman"/>
          <w:lang w:val="es-AR"/>
        </w:rPr>
        <w:t>, L., Molinari, A. y Ruiz, G. (</w:t>
      </w:r>
      <w:proofErr w:type="spellStart"/>
      <w:r w:rsidRPr="00702FC9">
        <w:rPr>
          <w:rFonts w:ascii="Times New Roman" w:hAnsi="Times New Roman" w:cs="Times New Roman"/>
          <w:lang w:val="es-AR"/>
        </w:rPr>
        <w:t>coords</w:t>
      </w:r>
      <w:proofErr w:type="spellEnd"/>
      <w:r w:rsidRPr="00702FC9">
        <w:rPr>
          <w:rFonts w:ascii="Times New Roman" w:hAnsi="Times New Roman" w:cs="Times New Roman"/>
          <w:lang w:val="es-AR"/>
        </w:rPr>
        <w:t xml:space="preserve">.), </w:t>
      </w:r>
      <w:r w:rsidRPr="00702FC9">
        <w:rPr>
          <w:rFonts w:ascii="Times New Roman" w:hAnsi="Times New Roman" w:cs="Times New Roman"/>
          <w:i/>
          <w:iCs/>
          <w:lang w:val="es-AR"/>
        </w:rPr>
        <w:t xml:space="preserve">De cursos y de formaciones docentes </w:t>
      </w:r>
      <w:r w:rsidRPr="00702FC9">
        <w:rPr>
          <w:rFonts w:ascii="Times New Roman" w:hAnsi="Times New Roman" w:cs="Times New Roman"/>
          <w:lang w:val="es-AR"/>
        </w:rPr>
        <w:t>(pp. 101-118), Facultad de Derecho - Universidad de Buenos Aires, Eudeba.</w:t>
      </w:r>
    </w:p>
    <w:p w14:paraId="23AE1E24"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Morandi, G. (2022). Pedagogía Universitaria y Formación Docente: legados, compromisos y desafíos pendientes en Morandi, Glenda y Esther Levy. </w:t>
      </w:r>
      <w:r w:rsidRPr="00702FC9">
        <w:rPr>
          <w:rFonts w:ascii="Times New Roman" w:hAnsi="Times New Roman" w:cs="Times New Roman"/>
          <w:i/>
          <w:iCs/>
          <w:lang w:val="es-AR"/>
        </w:rPr>
        <w:t>Formación docente universitaria: un desafío postergado</w:t>
      </w:r>
      <w:r w:rsidRPr="00702FC9">
        <w:rPr>
          <w:rFonts w:ascii="Times New Roman" w:hAnsi="Times New Roman" w:cs="Times New Roman"/>
          <w:lang w:val="es-AR"/>
        </w:rPr>
        <w:t xml:space="preserve">, </w:t>
      </w:r>
      <w:proofErr w:type="spellStart"/>
      <w:r w:rsidRPr="00702FC9">
        <w:rPr>
          <w:rFonts w:ascii="Times New Roman" w:hAnsi="Times New Roman" w:cs="Times New Roman"/>
          <w:lang w:val="es-AR"/>
        </w:rPr>
        <w:t>Clacso</w:t>
      </w:r>
      <w:proofErr w:type="spellEnd"/>
      <w:r w:rsidRPr="00702FC9">
        <w:rPr>
          <w:rFonts w:ascii="Times New Roman" w:hAnsi="Times New Roman" w:cs="Times New Roman"/>
          <w:lang w:val="es-AR"/>
        </w:rPr>
        <w:t xml:space="preserve"> (pp. 53-104).</w:t>
      </w:r>
    </w:p>
    <w:p w14:paraId="69C71FD2"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O’ Donnell, G. (1982). </w:t>
      </w:r>
      <w:r w:rsidRPr="00702FC9">
        <w:rPr>
          <w:rFonts w:ascii="Times New Roman" w:hAnsi="Times New Roman" w:cs="Times New Roman"/>
          <w:i/>
          <w:iCs/>
          <w:lang w:val="es-AR"/>
        </w:rPr>
        <w:t xml:space="preserve">El Estado Burocrático </w:t>
      </w:r>
      <w:proofErr w:type="gramStart"/>
      <w:r w:rsidRPr="00702FC9">
        <w:rPr>
          <w:rFonts w:ascii="Times New Roman" w:hAnsi="Times New Roman" w:cs="Times New Roman"/>
          <w:i/>
          <w:iCs/>
          <w:lang w:val="es-AR"/>
        </w:rPr>
        <w:t>Autoritario</w:t>
      </w:r>
      <w:r w:rsidRPr="00702FC9">
        <w:rPr>
          <w:rFonts w:ascii="Times New Roman" w:hAnsi="Times New Roman" w:cs="Times New Roman"/>
          <w:lang w:val="es-AR"/>
        </w:rPr>
        <w:t>,  Ediciones</w:t>
      </w:r>
      <w:proofErr w:type="gramEnd"/>
      <w:r w:rsidRPr="00702FC9">
        <w:rPr>
          <w:rFonts w:ascii="Times New Roman" w:hAnsi="Times New Roman" w:cs="Times New Roman"/>
          <w:lang w:val="es-AR"/>
        </w:rPr>
        <w:t xml:space="preserve"> De Belgrano.</w:t>
      </w:r>
    </w:p>
    <w:p w14:paraId="171CA5D7" w14:textId="77777777" w:rsidR="00702FC9" w:rsidRPr="00702FC9" w:rsidRDefault="00702FC9" w:rsidP="00702FC9">
      <w:pPr>
        <w:spacing w:line="240" w:lineRule="auto"/>
        <w:jc w:val="both"/>
        <w:rPr>
          <w:rFonts w:ascii="Times New Roman" w:hAnsi="Times New Roman" w:cs="Times New Roman"/>
          <w:lang w:val="es-AR"/>
        </w:rPr>
      </w:pPr>
      <w:proofErr w:type="spellStart"/>
      <w:r w:rsidRPr="00702FC9">
        <w:rPr>
          <w:rFonts w:ascii="Times New Roman" w:hAnsi="Times New Roman" w:cs="Times New Roman"/>
          <w:lang w:val="es-AR"/>
        </w:rPr>
        <w:lastRenderedPageBreak/>
        <w:t>Pierella</w:t>
      </w:r>
      <w:proofErr w:type="spellEnd"/>
      <w:r w:rsidRPr="00702FC9">
        <w:rPr>
          <w:rFonts w:ascii="Times New Roman" w:hAnsi="Times New Roman" w:cs="Times New Roman"/>
          <w:lang w:val="es-AR"/>
        </w:rPr>
        <w:t xml:space="preserve">, M.P. (2014). </w:t>
      </w:r>
      <w:r w:rsidRPr="00702FC9">
        <w:rPr>
          <w:rFonts w:ascii="Times New Roman" w:hAnsi="Times New Roman" w:cs="Times New Roman"/>
          <w:i/>
          <w:iCs/>
          <w:lang w:val="es-AR"/>
        </w:rPr>
        <w:t>La autoridad en la universidad. Vínculos y experiencias entre estudiantes, profesores y saberes</w:t>
      </w:r>
      <w:r w:rsidRPr="00702FC9">
        <w:rPr>
          <w:rFonts w:ascii="Times New Roman" w:hAnsi="Times New Roman" w:cs="Times New Roman"/>
          <w:lang w:val="es-AR"/>
        </w:rPr>
        <w:t>, Paidós.</w:t>
      </w:r>
    </w:p>
    <w:p w14:paraId="4112E7D2"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Pineau, P. (2001). ¿Por qué triunfó la escuela?, o la modernidad dijo: “Esto es educación”, y la escuela respondió: “Yo me ocupo” en Pineau, P., Dussel, I. y Caruso, M. </w:t>
      </w:r>
      <w:r w:rsidRPr="00702FC9">
        <w:rPr>
          <w:rFonts w:ascii="Times New Roman" w:hAnsi="Times New Roman" w:cs="Times New Roman"/>
          <w:i/>
          <w:iCs/>
          <w:lang w:val="es-AR"/>
        </w:rPr>
        <w:t>La escuela como máquina de educar. Tres escritos sobre un proyecto de la modernidad</w:t>
      </w:r>
      <w:r w:rsidRPr="00702FC9">
        <w:rPr>
          <w:rFonts w:ascii="Times New Roman" w:hAnsi="Times New Roman" w:cs="Times New Roman"/>
          <w:lang w:val="es-AR"/>
        </w:rPr>
        <w:t>. Paidós.</w:t>
      </w:r>
    </w:p>
    <w:p w14:paraId="0D543E68"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Popkewitz, T. (1988). Los paradigmas en las Ciencias de la Educación: sus significados y la finalidad de la teoría en </w:t>
      </w:r>
      <w:r w:rsidRPr="00702FC9">
        <w:rPr>
          <w:rFonts w:ascii="Times New Roman" w:hAnsi="Times New Roman" w:cs="Times New Roman"/>
          <w:i/>
          <w:iCs/>
          <w:lang w:val="es-AR"/>
        </w:rPr>
        <w:t>Paradigma e Ideología en investigación educativa. Las funciones sociales del intelectual</w:t>
      </w:r>
      <w:r w:rsidRPr="00702FC9">
        <w:rPr>
          <w:rFonts w:ascii="Times New Roman" w:hAnsi="Times New Roman" w:cs="Times New Roman"/>
          <w:lang w:val="es-AR"/>
        </w:rPr>
        <w:t xml:space="preserve"> (pp. 61-87), Editorial Mondadori.</w:t>
      </w:r>
    </w:p>
    <w:p w14:paraId="73EACA75"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Puiggrós, A. (2015).</w:t>
      </w:r>
      <w:r w:rsidRPr="00702FC9">
        <w:rPr>
          <w:rFonts w:ascii="Times New Roman" w:hAnsi="Times New Roman" w:cs="Times New Roman"/>
          <w:i/>
          <w:iCs/>
          <w:lang w:val="es-AR"/>
        </w:rPr>
        <w:t xml:space="preserve"> Qué pasó en la educación argentina. Breve historia desde la Conquista hasta el Presente</w:t>
      </w:r>
      <w:r w:rsidRPr="00702FC9">
        <w:rPr>
          <w:rFonts w:ascii="Times New Roman" w:hAnsi="Times New Roman" w:cs="Times New Roman"/>
          <w:lang w:val="es-AR"/>
        </w:rPr>
        <w:t>, Galerna.</w:t>
      </w:r>
    </w:p>
    <w:p w14:paraId="1165F0EE"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Puiggrós, A. y Marengo, R. (2013). Pedagogía, reflexiones y debates, Cuadernos Universitarios UNQ.</w:t>
      </w:r>
    </w:p>
    <w:p w14:paraId="0ED888D8"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Ruiz, G. (2010). La clausura del patrón universitario original: intervención, normalización y desregulación universitaria en Ruiz, G. y </w:t>
      </w:r>
      <w:proofErr w:type="spellStart"/>
      <w:r w:rsidRPr="00702FC9">
        <w:rPr>
          <w:rFonts w:ascii="Times New Roman" w:hAnsi="Times New Roman" w:cs="Times New Roman"/>
          <w:lang w:val="es-AR"/>
        </w:rPr>
        <w:t>Cardinaux</w:t>
      </w:r>
      <w:proofErr w:type="spellEnd"/>
      <w:r w:rsidRPr="00702FC9">
        <w:rPr>
          <w:rFonts w:ascii="Times New Roman" w:hAnsi="Times New Roman" w:cs="Times New Roman"/>
          <w:lang w:val="es-AR"/>
        </w:rPr>
        <w:t>, N. (</w:t>
      </w:r>
      <w:proofErr w:type="spellStart"/>
      <w:r w:rsidRPr="00702FC9">
        <w:rPr>
          <w:rFonts w:ascii="Times New Roman" w:hAnsi="Times New Roman" w:cs="Times New Roman"/>
          <w:lang w:val="es-AR"/>
        </w:rPr>
        <w:t>coords</w:t>
      </w:r>
      <w:proofErr w:type="spellEnd"/>
      <w:r w:rsidRPr="00702FC9">
        <w:rPr>
          <w:rFonts w:ascii="Times New Roman" w:hAnsi="Times New Roman" w:cs="Times New Roman"/>
          <w:lang w:val="es-AR"/>
        </w:rPr>
        <w:t>).</w:t>
      </w:r>
      <w:r w:rsidRPr="00702FC9">
        <w:rPr>
          <w:rFonts w:ascii="Times New Roman" w:hAnsi="Times New Roman" w:cs="Times New Roman"/>
          <w:i/>
          <w:iCs/>
          <w:lang w:val="es-AR"/>
        </w:rPr>
        <w:t xml:space="preserve"> La autonomía universitaria: Definiciones Normativas y Jurisprudenciales en clave histórica y actual</w:t>
      </w:r>
      <w:r w:rsidRPr="00702FC9">
        <w:rPr>
          <w:rFonts w:ascii="Times New Roman" w:hAnsi="Times New Roman" w:cs="Times New Roman"/>
          <w:lang w:val="es-AR"/>
        </w:rPr>
        <w:t>. (pp. 55-104), La Ley-Departamento de Publicaciones.</w:t>
      </w:r>
    </w:p>
    <w:p w14:paraId="24068AA8" w14:textId="77777777" w:rsidR="00702FC9" w:rsidRPr="00702FC9" w:rsidRDefault="00702FC9" w:rsidP="00702FC9">
      <w:pPr>
        <w:spacing w:line="240" w:lineRule="auto"/>
        <w:jc w:val="both"/>
        <w:rPr>
          <w:rFonts w:ascii="Times New Roman" w:hAnsi="Times New Roman" w:cs="Times New Roman"/>
          <w:lang w:val="en-US"/>
        </w:rPr>
      </w:pPr>
      <w:r w:rsidRPr="00702FC9">
        <w:rPr>
          <w:rFonts w:ascii="Times New Roman" w:hAnsi="Times New Roman" w:cs="Times New Roman"/>
          <w:lang w:val="es-AR"/>
        </w:rPr>
        <w:t xml:space="preserve">Ruiz, G. (2016). El papel de los organismos internacionales en las reformas educativas de América Latina. </w:t>
      </w:r>
      <w:r w:rsidRPr="00702FC9">
        <w:rPr>
          <w:rFonts w:ascii="Times New Roman" w:hAnsi="Times New Roman" w:cs="Times New Roman"/>
          <w:lang w:val="en-US"/>
        </w:rPr>
        <w:t>Journal of international policies in education, UAM, pp. 2-17.</w:t>
      </w:r>
    </w:p>
    <w:p w14:paraId="2A020DBF"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Santos Sharpe, A. (2016). Un análisis histórico del abordaje sobre el abandono universitario en Argentina. </w:t>
      </w:r>
      <w:r w:rsidRPr="00702FC9">
        <w:rPr>
          <w:rFonts w:ascii="Times New Roman" w:hAnsi="Times New Roman" w:cs="Times New Roman"/>
          <w:i/>
          <w:iCs/>
          <w:lang w:val="es-AR"/>
        </w:rPr>
        <w:t>En Anuario de Historia de la Educación</w:t>
      </w:r>
      <w:r w:rsidRPr="00702FC9">
        <w:rPr>
          <w:rFonts w:ascii="Times New Roman" w:hAnsi="Times New Roman" w:cs="Times New Roman"/>
          <w:lang w:val="es-AR"/>
        </w:rPr>
        <w:t>, vol. 17 (2), 3-31.</w:t>
      </w:r>
    </w:p>
    <w:p w14:paraId="2BD63380"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Schön, D. (1997) </w:t>
      </w:r>
      <w:r w:rsidRPr="00702FC9">
        <w:rPr>
          <w:rFonts w:ascii="Times New Roman" w:hAnsi="Times New Roman" w:cs="Times New Roman"/>
          <w:i/>
          <w:iCs/>
          <w:lang w:val="es-AR"/>
        </w:rPr>
        <w:t>La formación de profesionales reflexivos</w:t>
      </w:r>
      <w:r w:rsidRPr="00702FC9">
        <w:rPr>
          <w:rFonts w:ascii="Times New Roman" w:hAnsi="Times New Roman" w:cs="Times New Roman"/>
          <w:lang w:val="es-AR"/>
        </w:rPr>
        <w:t>, Paidós.</w:t>
      </w:r>
    </w:p>
    <w:p w14:paraId="53828A8B"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Schwab, J. (1974). </w:t>
      </w:r>
      <w:r w:rsidRPr="00702FC9">
        <w:rPr>
          <w:rFonts w:ascii="Times New Roman" w:hAnsi="Times New Roman" w:cs="Times New Roman"/>
          <w:i/>
          <w:iCs/>
          <w:lang w:val="es-AR"/>
        </w:rPr>
        <w:t>Un enfoque práctico para la planificación del currículo</w:t>
      </w:r>
      <w:r w:rsidRPr="00702FC9">
        <w:rPr>
          <w:rFonts w:ascii="Times New Roman" w:hAnsi="Times New Roman" w:cs="Times New Roman"/>
          <w:lang w:val="es-AR"/>
        </w:rPr>
        <w:t>, Editorial El Ateneo.</w:t>
      </w:r>
    </w:p>
    <w:p w14:paraId="5209D68E"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Stenhouse, L. (1984). </w:t>
      </w:r>
      <w:r w:rsidRPr="00702FC9">
        <w:rPr>
          <w:rFonts w:ascii="Times New Roman" w:hAnsi="Times New Roman" w:cs="Times New Roman"/>
          <w:i/>
          <w:iCs/>
          <w:lang w:val="es-AR"/>
        </w:rPr>
        <w:t xml:space="preserve">Investigación y desarrollo del </w:t>
      </w:r>
      <w:proofErr w:type="spellStart"/>
      <w:r w:rsidRPr="00702FC9">
        <w:rPr>
          <w:rFonts w:ascii="Times New Roman" w:hAnsi="Times New Roman" w:cs="Times New Roman"/>
          <w:i/>
          <w:iCs/>
          <w:lang w:val="es-AR"/>
        </w:rPr>
        <w:t>curriculum</w:t>
      </w:r>
      <w:proofErr w:type="spellEnd"/>
      <w:r w:rsidRPr="00702FC9">
        <w:rPr>
          <w:rFonts w:ascii="Times New Roman" w:hAnsi="Times New Roman" w:cs="Times New Roman"/>
          <w:lang w:val="es-AR"/>
        </w:rPr>
        <w:t>, Morata.</w:t>
      </w:r>
    </w:p>
    <w:p w14:paraId="5E78DA2E"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Suasnábar, C. y Lazzaro Jam, S. (2022). La “normalización universitaria” durante los primeros años del retorno a la democracia: los debates inconclusos, la tensión entre nuevas/viejas funciones y los límites de una renovación académica </w:t>
      </w:r>
      <w:proofErr w:type="gramStart"/>
      <w:r w:rsidRPr="00702FC9">
        <w:rPr>
          <w:rFonts w:ascii="Times New Roman" w:hAnsi="Times New Roman" w:cs="Times New Roman"/>
          <w:lang w:val="es-AR"/>
        </w:rPr>
        <w:t>en  Talento</w:t>
      </w:r>
      <w:proofErr w:type="gramEnd"/>
      <w:r w:rsidRPr="00702FC9">
        <w:rPr>
          <w:rFonts w:ascii="Times New Roman" w:hAnsi="Times New Roman" w:cs="Times New Roman"/>
          <w:lang w:val="es-AR"/>
        </w:rPr>
        <w:t xml:space="preserve"> </w:t>
      </w:r>
      <w:proofErr w:type="spellStart"/>
      <w:r w:rsidRPr="00702FC9">
        <w:rPr>
          <w:rFonts w:ascii="Times New Roman" w:hAnsi="Times New Roman" w:cs="Times New Roman"/>
          <w:lang w:val="es-AR"/>
        </w:rPr>
        <w:t>Cutrin</w:t>
      </w:r>
      <w:proofErr w:type="spellEnd"/>
      <w:r w:rsidRPr="00702FC9">
        <w:rPr>
          <w:rFonts w:ascii="Times New Roman" w:hAnsi="Times New Roman" w:cs="Times New Roman"/>
          <w:lang w:val="es-AR"/>
        </w:rPr>
        <w:t>, Francisco José (</w:t>
      </w:r>
      <w:proofErr w:type="spellStart"/>
      <w:r w:rsidRPr="00702FC9">
        <w:rPr>
          <w:rFonts w:ascii="Times New Roman" w:hAnsi="Times New Roman" w:cs="Times New Roman"/>
          <w:lang w:val="es-AR"/>
        </w:rPr>
        <w:t>comp.</w:t>
      </w:r>
      <w:proofErr w:type="spellEnd"/>
      <w:r w:rsidRPr="00702FC9">
        <w:rPr>
          <w:rFonts w:ascii="Times New Roman" w:hAnsi="Times New Roman" w:cs="Times New Roman"/>
          <w:lang w:val="es-AR"/>
        </w:rPr>
        <w:t xml:space="preserve">) </w:t>
      </w:r>
      <w:r w:rsidRPr="00702FC9">
        <w:rPr>
          <w:rFonts w:ascii="Times New Roman" w:hAnsi="Times New Roman" w:cs="Times New Roman"/>
          <w:i/>
          <w:iCs/>
          <w:lang w:val="es-AR"/>
        </w:rPr>
        <w:t>100 años de Reforma Universitaria: principales apelaciones a la universidad argentina</w:t>
      </w:r>
      <w:r w:rsidRPr="00702FC9">
        <w:rPr>
          <w:rFonts w:ascii="Times New Roman" w:hAnsi="Times New Roman" w:cs="Times New Roman"/>
          <w:lang w:val="es-AR"/>
        </w:rPr>
        <w:t xml:space="preserve"> (pp. 183-194), CONEAU-Comisión Nacional de Evaluación y Acreditación Universitaria.</w:t>
      </w:r>
    </w:p>
    <w:p w14:paraId="5D56F352" w14:textId="77777777" w:rsidR="00702FC9"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Tarrio, L. (2013). </w:t>
      </w:r>
      <w:r w:rsidRPr="00702FC9">
        <w:rPr>
          <w:rFonts w:ascii="Times New Roman" w:hAnsi="Times New Roman" w:cs="Times New Roman"/>
          <w:i/>
          <w:iCs/>
          <w:lang w:val="es-AR"/>
        </w:rPr>
        <w:t>Las pedagogías de la expresión creadora en América Latina Los aportes y concepciones de los maestros autores: Jesualdo y Luis F. Iglesias</w:t>
      </w:r>
      <w:r w:rsidRPr="00702FC9">
        <w:rPr>
          <w:rFonts w:ascii="Times New Roman" w:hAnsi="Times New Roman" w:cs="Times New Roman"/>
          <w:lang w:val="es-AR"/>
        </w:rPr>
        <w:t>, Tesis de Maestría, Facultad de Filosofía y Letras, Universidad de Buenos Aires.</w:t>
      </w:r>
    </w:p>
    <w:p w14:paraId="23CA62C6" w14:textId="6BC17E1B" w:rsidR="00C802F5" w:rsidRPr="00702FC9" w:rsidRDefault="00702FC9" w:rsidP="00702FC9">
      <w:pPr>
        <w:spacing w:line="240" w:lineRule="auto"/>
        <w:jc w:val="both"/>
        <w:rPr>
          <w:rFonts w:ascii="Times New Roman" w:hAnsi="Times New Roman" w:cs="Times New Roman"/>
          <w:lang w:val="es-AR"/>
        </w:rPr>
      </w:pPr>
      <w:r w:rsidRPr="00702FC9">
        <w:rPr>
          <w:rFonts w:ascii="Times New Roman" w:hAnsi="Times New Roman" w:cs="Times New Roman"/>
          <w:lang w:val="es-AR"/>
        </w:rPr>
        <w:t xml:space="preserve">Willis, P. (1988). </w:t>
      </w:r>
      <w:r w:rsidRPr="00702FC9">
        <w:rPr>
          <w:rFonts w:ascii="Times New Roman" w:hAnsi="Times New Roman" w:cs="Times New Roman"/>
          <w:i/>
          <w:iCs/>
          <w:lang w:val="es-AR"/>
        </w:rPr>
        <w:t>Aprendiendo a trabajar. Como los chicos de clase obrera consiguen trabajos de clase obrera</w:t>
      </w:r>
      <w:r w:rsidRPr="00702FC9">
        <w:rPr>
          <w:rFonts w:ascii="Times New Roman" w:hAnsi="Times New Roman" w:cs="Times New Roman"/>
          <w:lang w:val="es-AR"/>
        </w:rPr>
        <w:t>, Akal.</w:t>
      </w:r>
    </w:p>
    <w:p w14:paraId="7E83515B" w14:textId="3DF0C184"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C70BA" w14:textId="77777777" w:rsidR="00C72124" w:rsidRPr="00BA642E" w:rsidRDefault="00C72124" w:rsidP="00C802F5">
      <w:pPr>
        <w:spacing w:after="0" w:line="240" w:lineRule="auto"/>
      </w:pPr>
      <w:r w:rsidRPr="00BA642E">
        <w:separator/>
      </w:r>
    </w:p>
  </w:endnote>
  <w:endnote w:type="continuationSeparator" w:id="0">
    <w:p w14:paraId="3398F840" w14:textId="77777777" w:rsidR="00C72124" w:rsidRPr="00BA642E" w:rsidRDefault="00C7212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Footer"/>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02784" w14:textId="77777777" w:rsidR="00C72124" w:rsidRPr="00BA642E" w:rsidRDefault="00C72124" w:rsidP="00C802F5">
      <w:pPr>
        <w:spacing w:after="0" w:line="240" w:lineRule="auto"/>
      </w:pPr>
      <w:r w:rsidRPr="00BA642E">
        <w:separator/>
      </w:r>
    </w:p>
  </w:footnote>
  <w:footnote w:type="continuationSeparator" w:id="0">
    <w:p w14:paraId="5BCD1B3A" w14:textId="77777777" w:rsidR="00C72124" w:rsidRPr="00BA642E" w:rsidRDefault="00C72124"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Header"/>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4040C0"/>
    <w:rsid w:val="00437E9C"/>
    <w:rsid w:val="00550766"/>
    <w:rsid w:val="005F3B2E"/>
    <w:rsid w:val="00701F64"/>
    <w:rsid w:val="00702FC9"/>
    <w:rsid w:val="007B5B5F"/>
    <w:rsid w:val="007D233B"/>
    <w:rsid w:val="0085070B"/>
    <w:rsid w:val="00893F06"/>
    <w:rsid w:val="00A17247"/>
    <w:rsid w:val="00BA642E"/>
    <w:rsid w:val="00BC236F"/>
    <w:rsid w:val="00C72124"/>
    <w:rsid w:val="00C802F5"/>
    <w:rsid w:val="00C96B2C"/>
    <w:rsid w:val="00CA0979"/>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link w:val="Heading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3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23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23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23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23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3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3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3DC"/>
    <w:rPr>
      <w:rFonts w:eastAsiaTheme="majorEastAsia" w:cstheme="majorBidi"/>
      <w:color w:val="272727" w:themeColor="text1" w:themeTint="D8"/>
    </w:rPr>
  </w:style>
  <w:style w:type="paragraph" w:styleId="Title">
    <w:name w:val="Title"/>
    <w:basedOn w:val="Normal"/>
    <w:next w:val="Normal"/>
    <w:link w:val="Title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3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3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3DC"/>
    <w:pPr>
      <w:spacing w:before="160"/>
      <w:jc w:val="center"/>
    </w:pPr>
    <w:rPr>
      <w:i/>
      <w:iCs/>
      <w:color w:val="404040" w:themeColor="text1" w:themeTint="BF"/>
    </w:rPr>
  </w:style>
  <w:style w:type="character" w:customStyle="1" w:styleId="QuoteChar">
    <w:name w:val="Quote Char"/>
    <w:basedOn w:val="DefaultParagraphFont"/>
    <w:link w:val="Quote"/>
    <w:uiPriority w:val="29"/>
    <w:rsid w:val="001923DC"/>
    <w:rPr>
      <w:i/>
      <w:iCs/>
      <w:color w:val="404040" w:themeColor="text1" w:themeTint="BF"/>
    </w:rPr>
  </w:style>
  <w:style w:type="paragraph" w:styleId="ListParagraph">
    <w:name w:val="List Paragraph"/>
    <w:basedOn w:val="Normal"/>
    <w:uiPriority w:val="34"/>
    <w:qFormat/>
    <w:rsid w:val="001923DC"/>
    <w:pPr>
      <w:ind w:left="720"/>
      <w:contextualSpacing/>
    </w:pPr>
  </w:style>
  <w:style w:type="character" w:styleId="IntenseEmphasis">
    <w:name w:val="Intense Emphasis"/>
    <w:basedOn w:val="DefaultParagraphFont"/>
    <w:uiPriority w:val="21"/>
    <w:qFormat/>
    <w:rsid w:val="001923DC"/>
    <w:rPr>
      <w:i/>
      <w:iCs/>
      <w:color w:val="2F5496" w:themeColor="accent1" w:themeShade="BF"/>
    </w:rPr>
  </w:style>
  <w:style w:type="paragraph" w:styleId="IntenseQuote">
    <w:name w:val="Intense Quote"/>
    <w:basedOn w:val="Normal"/>
    <w:next w:val="Normal"/>
    <w:link w:val="IntenseQuote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23DC"/>
    <w:rPr>
      <w:i/>
      <w:iCs/>
      <w:color w:val="2F5496" w:themeColor="accent1" w:themeShade="BF"/>
    </w:rPr>
  </w:style>
  <w:style w:type="character" w:styleId="IntenseReference">
    <w:name w:val="Intense Reference"/>
    <w:basedOn w:val="DefaultParagraphFont"/>
    <w:uiPriority w:val="32"/>
    <w:qFormat/>
    <w:rsid w:val="001923DC"/>
    <w:rPr>
      <w:b/>
      <w:bCs/>
      <w:smallCaps/>
      <w:color w:val="2F5496" w:themeColor="accent1" w:themeShade="BF"/>
      <w:spacing w:val="5"/>
    </w:rPr>
  </w:style>
  <w:style w:type="paragraph" w:styleId="Header">
    <w:name w:val="header"/>
    <w:basedOn w:val="Normal"/>
    <w:link w:val="HeaderChar"/>
    <w:uiPriority w:val="99"/>
    <w:unhideWhenUsed/>
    <w:rsid w:val="00C802F5"/>
    <w:pPr>
      <w:tabs>
        <w:tab w:val="center" w:pos="4252"/>
        <w:tab w:val="right" w:pos="8504"/>
      </w:tabs>
      <w:spacing w:after="0" w:line="240" w:lineRule="auto"/>
    </w:pPr>
  </w:style>
  <w:style w:type="character" w:customStyle="1" w:styleId="HeaderChar">
    <w:name w:val="Header Char"/>
    <w:basedOn w:val="DefaultParagraphFont"/>
    <w:link w:val="Header"/>
    <w:uiPriority w:val="99"/>
    <w:rsid w:val="00C802F5"/>
  </w:style>
  <w:style w:type="paragraph" w:styleId="Footer">
    <w:name w:val="footer"/>
    <w:basedOn w:val="Normal"/>
    <w:link w:val="FooterChar"/>
    <w:uiPriority w:val="99"/>
    <w:unhideWhenUsed/>
    <w:rsid w:val="00C802F5"/>
    <w:pPr>
      <w:tabs>
        <w:tab w:val="center" w:pos="4252"/>
        <w:tab w:val="right" w:pos="8504"/>
      </w:tabs>
      <w:spacing w:after="0" w:line="240" w:lineRule="auto"/>
    </w:pPr>
  </w:style>
  <w:style w:type="character" w:customStyle="1" w:styleId="FooterChar">
    <w:name w:val="Footer Char"/>
    <w:basedOn w:val="DefaultParagraphFont"/>
    <w:link w:val="Footer"/>
    <w:uiPriority w:val="99"/>
    <w:rsid w:val="00C802F5"/>
  </w:style>
  <w:style w:type="character" w:styleId="Hyperlink">
    <w:name w:val="Hyperlink"/>
    <w:basedOn w:val="DefaultParagraphFont"/>
    <w:uiPriority w:val="99"/>
    <w:unhideWhenUsed/>
    <w:rsid w:val="00C802F5"/>
    <w:rPr>
      <w:color w:val="0563C1" w:themeColor="hyperlink"/>
      <w:u w:val="single"/>
    </w:rPr>
  </w:style>
  <w:style w:type="character" w:styleId="UnresolvedMention">
    <w:name w:val="Unresolved Mention"/>
    <w:basedOn w:val="DefaultParagraphFont"/>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702FC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16</Pages>
  <Words>7534</Words>
  <Characters>42949</Characters>
  <Application>Microsoft Office Word</Application>
  <DocSecurity>0</DocSecurity>
  <Lines>357</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GIUSEPPE FOTI 555385</cp:lastModifiedBy>
  <cp:revision>6</cp:revision>
  <dcterms:created xsi:type="dcterms:W3CDTF">2026-03-14T03:50:00Z</dcterms:created>
  <dcterms:modified xsi:type="dcterms:W3CDTF">2026-04-21T18:31:00Z</dcterms:modified>
</cp:coreProperties>
</file>