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2">
      <w:pPr>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Mutaciones en la cultura material en las prácticas estudiantiles y la respuesta docente e institucional frente a la “disrupción tecnológica” en la postpandemia extendida. Tres estudios de caso del Observatorio de Educación Superior de la UNAJ</w:t>
      </w:r>
    </w:p>
    <w:p w:rsidR="00000000" w:rsidDel="00000000" w:rsidP="00000000" w:rsidRDefault="00000000" w:rsidRPr="00000000" w14:paraId="00000003">
      <w:pPr>
        <w:jc w:val="righ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Massetti, Astor</w:t>
      </w:r>
    </w:p>
    <w:p w:rsidR="00000000" w:rsidDel="00000000" w:rsidP="00000000" w:rsidRDefault="00000000" w:rsidRPr="00000000" w14:paraId="00000004">
      <w:pPr>
        <w:jc w:val="righ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Observatorio de Educación Superior, Universidad Nacional Arturo Jauretche (UNAJ)</w:t>
      </w:r>
    </w:p>
    <w:p w:rsidR="00000000" w:rsidDel="00000000" w:rsidP="00000000" w:rsidRDefault="00000000" w:rsidRPr="00000000" w14:paraId="00000005">
      <w:pPr>
        <w:jc w:val="righ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amassetti@unaj.edu.ar</w:t>
      </w:r>
    </w:p>
    <w:p w:rsidR="00000000" w:rsidDel="00000000" w:rsidP="00000000" w:rsidRDefault="00000000" w:rsidRPr="00000000" w14:paraId="00000006">
      <w:pPr>
        <w:jc w:val="center"/>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07">
      <w:pPr>
        <w:spacing w:after="0" w:line="240" w:lineRule="auto"/>
        <w:jc w:val="righ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8">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Resumen:</w:t>
      </w:r>
      <w:r w:rsidDel="00000000" w:rsidR="00000000" w:rsidRPr="00000000">
        <w:rPr>
          <w:rFonts w:ascii="Times New Roman" w:cs="Times New Roman" w:eastAsia="Times New Roman" w:hAnsi="Times New Roman"/>
          <w:rtl w:val="0"/>
        </w:rPr>
        <w:t xml:space="preserve">A partir de la implementación de la “Educación Remota de Emergencia” durante la pandemia de COVID-19, la generalización del uso del celular —tanto como reemplazo del espacio áulico como soporte de los materiales de lectura— avanzó hasta un punto de no retorno. Desde el Observatorio de Educación Superior de la Universidad Nacional Arturo Jauretche (UNAJ) relevamos la intensidad y las modalidades de ese uso, que desplazó a las fotocopias, los libros y los intercambios cara a cara como forma predominante de “transitar” la universidad, a la vez que modificó las preferencias y prácticas docentes. En este trabajo se presentan los resultados de tres estudios de caso —la revista para celulares “Pueblo”, la Encuesta Docente TS 2022 sobre modalidades de dictado y uso del Campus Virtual, y la irrupción de la Inteligencia Artificial Generativa (IAG) en las prácticas de estudio— para indagar las estrategias pedagógicas e institucionales desplegadas frente a lo que la UNESCO denomina “disrupción tecnológica” en la Educación Superior.</w:t>
      </w:r>
    </w:p>
    <w:p w:rsidR="00000000" w:rsidDel="00000000" w:rsidP="00000000" w:rsidRDefault="00000000" w:rsidRPr="00000000" w14:paraId="00000009">
      <w:pPr>
        <w:spacing w:line="240" w:lineRule="auto"/>
        <w:jc w:val="both"/>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0A">
      <w:pPr>
        <w:spacing w:line="240"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Palabras clave: </w:t>
      </w:r>
      <w:r w:rsidDel="00000000" w:rsidR="00000000" w:rsidRPr="00000000">
        <w:rPr>
          <w:rFonts w:ascii="Times New Roman" w:cs="Times New Roman" w:eastAsia="Times New Roman" w:hAnsi="Times New Roman"/>
          <w:rtl w:val="0"/>
        </w:rPr>
        <w:t xml:space="preserve">Lorem, Consectetur, Sed, Tempor. </w:t>
      </w:r>
      <w:r w:rsidDel="00000000" w:rsidR="00000000" w:rsidRPr="00000000">
        <w:rPr>
          <w:rtl w:val="0"/>
        </w:rPr>
      </w:r>
    </w:p>
    <w:p w:rsidR="00000000" w:rsidDel="00000000" w:rsidP="00000000" w:rsidRDefault="00000000" w:rsidRPr="00000000" w14:paraId="0000000B">
      <w:pPr>
        <w:spacing w:after="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Palabras clave: </w:t>
      </w:r>
      <w:r w:rsidDel="00000000" w:rsidR="00000000" w:rsidRPr="00000000">
        <w:rPr>
          <w:rFonts w:ascii="Times New Roman" w:cs="Times New Roman" w:eastAsia="Times New Roman" w:hAnsi="Times New Roman"/>
          <w:rtl w:val="0"/>
        </w:rPr>
        <w:t xml:space="preserve">Educación superior; disrupción tecnológica; cultura material del estudio; pandemia; inteligencia artificial generativa.</w:t>
      </w:r>
    </w:p>
    <w:p w:rsidR="00000000" w:rsidDel="00000000" w:rsidP="00000000" w:rsidRDefault="00000000" w:rsidRPr="00000000" w14:paraId="0000000C">
      <w:pPr>
        <w:spacing w:after="20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Introducción</w:t>
      </w:r>
      <w:r w:rsidDel="00000000" w:rsidR="00000000" w:rsidRPr="00000000">
        <w:rPr>
          <w:rtl w:val="0"/>
        </w:rPr>
      </w:r>
    </w:p>
    <w:p w:rsidR="00000000" w:rsidDel="00000000" w:rsidP="00000000" w:rsidRDefault="00000000" w:rsidRPr="00000000" w14:paraId="0000000D">
      <w:pPr>
        <w:spacing w:after="20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Según un informe de la UNESCO del año 2023, la educación superior es el subsector educativo con mayor índice de adopción de tecnología digital. El Informe mundial sobre las tendencias de la educación superior de 2026, también de la UNESCO, señala que en el 77% de los países la educación superior incluye dimensiones relacionadas con los servicios educativos digitales, aunque a la vez advierte que un tercio de la población mundial continúa sin conexión a internet. A este fenómeno de digitalización atravesado por la desigualdad es lo que la UNESCO denomina “disrupción tecnológica”, concepto que enmarca contextualmente el abordaje de esta investigación sobre prácticas y expectativas estudiantiles y docentes.</w:t>
      </w:r>
    </w:p>
    <w:p w:rsidR="00000000" w:rsidDel="00000000" w:rsidP="00000000" w:rsidRDefault="00000000" w:rsidRPr="00000000" w14:paraId="0000000E">
      <w:pPr>
        <w:spacing w:after="20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 pandemia de COVID-19 aceleró procesos de incorporación de tecnologías, conceptos, pedagogías y políticas académicas que ya estaban en debate, operando como una suerte de catalizador que extrajo un esfuerzo adicional de las y los docentes, quienes finalmente franquearon brechas tanto en disponibilidad de recursos e infraestructura tecnológica como en conocimientos técnicos. A las habilidades mínimas de manejo del paquete de oficina se sumó, hacia 2025, experiencia en aplicaciones de videoconferencia (Meet, Zoom, Jitsi, Teams), diseño gráfico, entornos docentes (Moodle y Classroom) y otras herramientas, generalmente incorporadas por iniciativa autodidacta del propio cuerpo docente. Hacia el final de la pandemia (2023) irrumpieron además las Inteligencias Artificiales Generativas (IAG) al estilo de ChatGPT que, con un fuerte despliegue publicitario, interpelaron a una población ya proclive a la incorporación de plataformas comerciales.</w:t>
      </w:r>
    </w:p>
    <w:p w:rsidR="00000000" w:rsidDel="00000000" w:rsidP="00000000" w:rsidRDefault="00000000" w:rsidRPr="00000000" w14:paraId="0000000F">
      <w:pPr>
        <w:spacing w:after="20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 “Educación Remota de Emergencia” fue la estrategia adoptada para dar continuidad a las cursadas universitarias en el marco de las medidas de Aislamiento Social, Preventivo y Obligatorio (ASPO) y su posterior Distanciamiento Social, Preventivo y Obligatorio (DISPO), que interrumpieron el funcionamiento habitual de las universidades argentinas durante casi dos años (desde el decreto 297/2020 del 20 de marzo de 2020 hasta el 31 de diciembre de 2021). Se trató de una política institucional —no de un dispositivo con sustento pedagógico previo— mediante la cual el sistema universitario nacional, traccionado por el Consejo Interuniversitario Nacional, optó por cerrar los edificios pero no las universidades.</w:t>
      </w:r>
    </w:p>
    <w:p w:rsidR="00000000" w:rsidDel="00000000" w:rsidP="00000000" w:rsidRDefault="00000000" w:rsidRPr="00000000" w14:paraId="00000010">
      <w:pPr>
        <w:spacing w:after="20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Las carencias pedagógicas y de condiciones laborales y de estudio vividas durante ese período han sido objeto de múltiples investigaciones, incluidas las propias desarrolladas desde 2020 en adelante. En síntesis, puede señalarse la pérdida de la grupalidad y la copresencia como dinámicas constructoras de sentido; la ausencia de capacitación sobre herramientas didácticas y soportes tecnológicos; la falta de regulación sobre la disponibilidad horaria docente (lo que hacia el final de la pandemia se denominó “derecho a la desconexión”); la transferencia de costos de conectividad, equipamiento y software hacia docentes y estudiantes; y la escasa atención al daño emocional que el aislamiento pudo generar. La adopción de modalidades de dictado mediadas por pantallas no logró convencer en términos de calidad pedagógica, entendida como proceso de construcción de habilidades críticas y de abstracción.</w:t>
      </w:r>
    </w:p>
    <w:p w:rsidR="00000000" w:rsidDel="00000000" w:rsidP="00000000" w:rsidRDefault="00000000" w:rsidRPr="00000000" w14:paraId="00000011">
      <w:pPr>
        <w:spacing w:after="20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Cuando en 2020 comenzamos a relevar estas cuestiones no aparecía aún en el horizonte, ni como amenaza ni como posibilidad, la Inteligencia Artificial Generativa. Hacia 2022, pese al inventario de problemáticas señaladas, cuando las razones epidemiológicas cesaron, las modalidades de dictado y las formas de concebir a los sujetos del sistema no regresaron a los consensos del período prepandémico. Se trata de cambios profundos, de registro sistemático difícil, que en este trabajo entendemos como una mutación en la “cultura material del estudio”: una dislocación en la relación con las textualidades —ahora pensadas como “contenidos”—, con otras temporalidades y con otras distancias interpersonales, todo ello mediado por productos digitales de grandes corporaciones que formatean los vínculos y las emociones. Presentamos a continuación tres estudios de caso desarrollados desde el Observatorio de Educación Superior de la UNAJ entre 2014 y 2026 para comprender cómo docentes y estudiantes reconfiguraron sus prácticas, expectativas y usos de herramientas en ese proceso.</w:t>
      </w:r>
    </w:p>
    <w:p w:rsidR="00000000" w:rsidDel="00000000" w:rsidP="00000000" w:rsidRDefault="00000000" w:rsidRPr="00000000" w14:paraId="00000012">
      <w:pPr>
        <w:spacing w:after="20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Desarrollo</w:t>
      </w:r>
      <w:r w:rsidDel="00000000" w:rsidR="00000000" w:rsidRPr="00000000">
        <w:rPr>
          <w:rtl w:val="0"/>
        </w:rPr>
      </w:r>
    </w:p>
    <w:p w:rsidR="00000000" w:rsidDel="00000000" w:rsidP="00000000" w:rsidRDefault="00000000" w:rsidRPr="00000000" w14:paraId="00000013">
      <w:pPr>
        <w:spacing w:after="20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1. Primer estudio de caso: la revista Pueblo y la “experiencia smartphone” en el aula</w:t>
      </w:r>
      <w:r w:rsidDel="00000000" w:rsidR="00000000" w:rsidRPr="00000000">
        <w:rPr>
          <w:rtl w:val="0"/>
        </w:rPr>
      </w:r>
    </w:p>
    <w:p w:rsidR="00000000" w:rsidDel="00000000" w:rsidP="00000000" w:rsidRDefault="00000000" w:rsidRPr="00000000" w14:paraId="00000014">
      <w:pPr>
        <w:spacing w:after="20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Promediando la década de 2010 ya era evidente el impacto, en magnitud y velocidad, de las redes sociales y los teléfonos inteligentes sobre los medios expresivos y los acervos de conocimiento de la población estudiantil. Las Tecnologías de la Información y la Comunicación (TIC) prometían entonces quebrar las barreras de acceso que generaba la circulación material de las investigaciones y el costo de reproducción de las obras clásicas. El Decreto presidencial 459/10 había inaugurado el Plan Conectar Igualdad, retomando la noción de Nicholas Negroponte de “brecha digital” como intento de reducir las desigualdades en el acceso al equipamiento (Espíndola, 2024), en paralelo a un plan de infraestructura digital universitaria que finalmente no se concretó.</w:t>
      </w:r>
    </w:p>
    <w:p w:rsidR="00000000" w:rsidDel="00000000" w:rsidP="00000000" w:rsidRDefault="00000000" w:rsidRPr="00000000" w14:paraId="00000015">
      <w:pPr>
        <w:spacing w:after="20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ese contexto, en la carrera de Trabajo Social de la Universidad Nacional Arturo Jauretche se desarrolló desde 2014 un dispositivo de adecuación a las tecnologías de uso social frecuente: la revista Pueblo (https://pueblo.unaj.edu.ar), un intento temprano de no desactualizar el tono de la comunicación intergeneracional, bajo el supuesto de que era necesario “colonizar” pedagógicamente al celular antes que combatirlo. La observación inicial, hacia 2014-2016, fue el cambio actitudinal de los y las estudiantes en la situación de clase, que dejaban de prestar atención a la interacción docente para “hacer cosas” en sus celulares. Una década después esa observación devino en una definición mucho más compleja vinculada a la economía de la atención y a la dependencia neurológica de la gratificación instantánea, en diálogo con la bibliografía que retoma la crítica tecnológica desde la tradición de la crítica cultural (Lovink, 2026) y con la noción de extractivismo de la subjetividad como materia prima de las plataformas (Zuboff, 2019, 2025).</w:t>
      </w:r>
    </w:p>
    <w:p w:rsidR="00000000" w:rsidDel="00000000" w:rsidP="00000000" w:rsidRDefault="00000000" w:rsidRPr="00000000" w14:paraId="00000016">
      <w:pPr>
        <w:spacing w:after="20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El primer número de la revista se publicó en 2016, tras explorar distintos diseños HTML pensados para la lectura en pantallas pequeñas, alojados en el servidor de la universidad. Durante los primeros cuatro años (2017-2019) el ritmo de publicación fue modesto: cuatro números con 24 artículos en total, producidos casi exclusivamente por docentes y estudiantes de la propia carrera, con un fuerte componente metapedagógico orientado a estimular la comunicación académica interna.</w:t>
      </w:r>
    </w:p>
    <w:p w:rsidR="00000000" w:rsidDel="00000000" w:rsidP="00000000" w:rsidRDefault="00000000" w:rsidRPr="00000000" w14:paraId="00000017">
      <w:pPr>
        <w:spacing w:after="20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 pandemia de 2020 transformó esa dinámica en al menos tres sentidos. Primero, la revista se volcó “hacia afuera”: el número 5, publicado en el primer semestre de 2020, incorporó colaboraciones de Brasil, Colombia, Italia, Uruguay, Cuba y Nicaragua, en una experiencia de internacionalización que se replicaría en distintos formatos durante la ASPO. Segundo, el formato se consolidó institucionalmente, en sintonía con el movimiento de acceso abierto (Declaración de Budapest, 2002) y con la incorporación de las revistas digitales indexadas a los criterios de evaluación de CONICET (Gorostiaga, 2019), proceso para el cual la sanción de la Ley 26.899 de Repositorios Digitales Institucionales de Acceso Abierto (2013) constituye un antecedente relevante. Tercero, la escala se disparó: de los cuatro números editados entre 2017 y 2019 se pasó a veintiuno entre 2020 y 2025, con un tono editorial marcado por la urgencia de explicar los desafíos de la época.</w:t>
      </w:r>
    </w:p>
    <w:p w:rsidR="00000000" w:rsidDel="00000000" w:rsidP="00000000" w:rsidRDefault="00000000" w:rsidRPr="00000000" w14:paraId="00000018">
      <w:pPr>
        <w:spacing w:after="20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lo largo de sus primeros veinte números, la revista Pueblo publicó un total de 140 artículos, con un promedio de siete por número (los números 5 y 11 alcanzaron nueve artículos cada uno), en una tendencia sostenida de crecimiento. Para evaluar la apropiación pedagógica de la revista por parte del cuerpo docente, en 2022 administramos la Encuesta Docente TS 2022 a 90 de los 100 docentes de la carrera de Trabajo Social. El 40% de las y los docentes declaró haber publicado en la revista y otro 30% conocía estudiantes que también lo habían hecho; el 90% la consideró una herramienta útil y el 70% afirmó haberla utilizado de alguna manera en el desarrollo de sus clases. Respecto del modo concreto de uso, un 32% la emplea como consigna de trabajo en clase, un 21% como marco teórico y un 18% como insumo para el debate de temas de actualidad, mientras que un 29% declaró no utilizarla.</w:t>
      </w:r>
    </w:p>
    <w:p w:rsidR="00000000" w:rsidDel="00000000" w:rsidP="00000000" w:rsidRDefault="00000000" w:rsidRPr="00000000" w14:paraId="00000019">
      <w:pPr>
        <w:spacing w:after="10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Tabla 1. Formas de uso de la revista Pueblo en la práctica docente (Encuesta Docente TS 2022, n=90)</w:t>
      </w:r>
      <w:r w:rsidDel="00000000" w:rsidR="00000000" w:rsidRPr="00000000">
        <w:rPr>
          <w:rtl w:val="0"/>
        </w:rPr>
      </w:r>
    </w:p>
    <w:tbl>
      <w:tblPr>
        <w:tblStyle w:val="Table1"/>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6960"/>
        <w:gridCol w:w="2400"/>
        <w:tblGridChange w:id="0">
          <w:tblGrid>
            <w:gridCol w:w="6960"/>
            <w:gridCol w:w="2400"/>
          </w:tblGrid>
        </w:tblGridChange>
      </w:tblGrid>
      <w:tr>
        <w:trPr>
          <w:cantSplit w:val="0"/>
          <w:tblHeader w:val="0"/>
        </w:trPr>
        <w:tc>
          <w:tcPr>
            <w:tcBorders>
              <w:top w:color="999999" w:space="0" w:sz="4" w:val="single"/>
              <w:left w:color="999999" w:space="0" w:sz="4" w:val="single"/>
              <w:bottom w:color="999999" w:space="0" w:sz="4" w:val="single"/>
              <w:right w:color="999999" w:space="0" w:sz="4" w:val="single"/>
            </w:tcBorders>
            <w:tcMar>
              <w:top w:w="80.0" w:type="dxa"/>
              <w:left w:w="120.0" w:type="dxa"/>
              <w:bottom w:w="80.0" w:type="dxa"/>
              <w:right w:w="120.0" w:type="dxa"/>
            </w:tcMar>
          </w:tcPr>
          <w:p w:rsidR="00000000" w:rsidDel="00000000" w:rsidP="00000000" w:rsidRDefault="00000000" w:rsidRPr="00000000" w14:paraId="0000001A">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Como consigna para trabajo en clase</w:t>
            </w:r>
          </w:p>
        </w:tc>
        <w:tc>
          <w:tcPr>
            <w:tcBorders>
              <w:top w:color="999999" w:space="0" w:sz="4" w:val="single"/>
              <w:left w:color="999999" w:space="0" w:sz="4" w:val="single"/>
              <w:bottom w:color="999999" w:space="0" w:sz="4" w:val="single"/>
              <w:right w:color="999999" w:space="0" w:sz="4" w:val="single"/>
            </w:tcBorders>
            <w:tcMar>
              <w:top w:w="80.0" w:type="dxa"/>
              <w:left w:w="120.0" w:type="dxa"/>
              <w:bottom w:w="80.0" w:type="dxa"/>
              <w:right w:w="120.0" w:type="dxa"/>
            </w:tcMar>
          </w:tcPr>
          <w:p w:rsidR="00000000" w:rsidDel="00000000" w:rsidP="00000000" w:rsidRDefault="00000000" w:rsidRPr="00000000" w14:paraId="0000001B">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32%</w:t>
            </w:r>
          </w:p>
        </w:tc>
      </w:tr>
      <w:tr>
        <w:trPr>
          <w:cantSplit w:val="0"/>
          <w:tblHeader w:val="0"/>
        </w:trPr>
        <w:tc>
          <w:tcPr>
            <w:tcBorders>
              <w:top w:color="999999" w:space="0" w:sz="4" w:val="single"/>
              <w:left w:color="999999" w:space="0" w:sz="4" w:val="single"/>
              <w:bottom w:color="999999" w:space="0" w:sz="4" w:val="single"/>
              <w:right w:color="999999" w:space="0" w:sz="4" w:val="single"/>
            </w:tcBorders>
            <w:tcMar>
              <w:top w:w="80.0" w:type="dxa"/>
              <w:left w:w="120.0" w:type="dxa"/>
              <w:bottom w:w="80.0" w:type="dxa"/>
              <w:right w:w="120.0" w:type="dxa"/>
            </w:tcMar>
          </w:tcPr>
          <w:p w:rsidR="00000000" w:rsidDel="00000000" w:rsidP="00000000" w:rsidRDefault="00000000" w:rsidRPr="00000000" w14:paraId="0000001C">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Como marco teórico</w:t>
            </w:r>
          </w:p>
        </w:tc>
        <w:tc>
          <w:tcPr>
            <w:tcBorders>
              <w:top w:color="999999" w:space="0" w:sz="4" w:val="single"/>
              <w:left w:color="999999" w:space="0" w:sz="4" w:val="single"/>
              <w:bottom w:color="999999" w:space="0" w:sz="4" w:val="single"/>
              <w:right w:color="999999" w:space="0" w:sz="4" w:val="single"/>
            </w:tcBorders>
            <w:tcMar>
              <w:top w:w="80.0" w:type="dxa"/>
              <w:left w:w="120.0" w:type="dxa"/>
              <w:bottom w:w="80.0" w:type="dxa"/>
              <w:right w:w="120.0" w:type="dxa"/>
            </w:tcMar>
          </w:tcPr>
          <w:p w:rsidR="00000000" w:rsidDel="00000000" w:rsidP="00000000" w:rsidRDefault="00000000" w:rsidRPr="00000000" w14:paraId="0000001D">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21%</w:t>
            </w:r>
          </w:p>
        </w:tc>
      </w:tr>
      <w:tr>
        <w:trPr>
          <w:cantSplit w:val="0"/>
          <w:tblHeader w:val="0"/>
        </w:trPr>
        <w:tc>
          <w:tcPr>
            <w:tcBorders>
              <w:top w:color="999999" w:space="0" w:sz="4" w:val="single"/>
              <w:left w:color="999999" w:space="0" w:sz="4" w:val="single"/>
              <w:bottom w:color="999999" w:space="0" w:sz="4" w:val="single"/>
              <w:right w:color="999999" w:space="0" w:sz="4" w:val="single"/>
            </w:tcBorders>
            <w:tcMar>
              <w:top w:w="80.0" w:type="dxa"/>
              <w:left w:w="120.0" w:type="dxa"/>
              <w:bottom w:w="80.0" w:type="dxa"/>
              <w:right w:w="120.0" w:type="dxa"/>
            </w:tcMar>
          </w:tcPr>
          <w:p w:rsidR="00000000" w:rsidDel="00000000" w:rsidP="00000000" w:rsidRDefault="00000000" w:rsidRPr="00000000" w14:paraId="0000001E">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Como insumo para el debate de temas de actualidad</w:t>
            </w:r>
          </w:p>
        </w:tc>
        <w:tc>
          <w:tcPr>
            <w:tcBorders>
              <w:top w:color="999999" w:space="0" w:sz="4" w:val="single"/>
              <w:left w:color="999999" w:space="0" w:sz="4" w:val="single"/>
              <w:bottom w:color="999999" w:space="0" w:sz="4" w:val="single"/>
              <w:right w:color="999999" w:space="0" w:sz="4" w:val="single"/>
            </w:tcBorders>
            <w:tcMar>
              <w:top w:w="80.0" w:type="dxa"/>
              <w:left w:w="120.0" w:type="dxa"/>
              <w:bottom w:w="80.0" w:type="dxa"/>
              <w:right w:w="120.0" w:type="dxa"/>
            </w:tcMar>
          </w:tcPr>
          <w:p w:rsidR="00000000" w:rsidDel="00000000" w:rsidP="00000000" w:rsidRDefault="00000000" w:rsidRPr="00000000" w14:paraId="0000001F">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18%</w:t>
            </w:r>
          </w:p>
        </w:tc>
      </w:tr>
      <w:tr>
        <w:trPr>
          <w:cantSplit w:val="0"/>
          <w:tblHeader w:val="0"/>
        </w:trPr>
        <w:tc>
          <w:tcPr>
            <w:tcBorders>
              <w:top w:color="999999" w:space="0" w:sz="4" w:val="single"/>
              <w:left w:color="999999" w:space="0" w:sz="4" w:val="single"/>
              <w:bottom w:color="999999" w:space="0" w:sz="4" w:val="single"/>
              <w:right w:color="999999" w:space="0" w:sz="4" w:val="single"/>
            </w:tcBorders>
            <w:tcMar>
              <w:top w:w="80.0" w:type="dxa"/>
              <w:left w:w="120.0" w:type="dxa"/>
              <w:bottom w:w="80.0" w:type="dxa"/>
              <w:right w:w="120.0" w:type="dxa"/>
            </w:tcMar>
          </w:tcPr>
          <w:p w:rsidR="00000000" w:rsidDel="00000000" w:rsidP="00000000" w:rsidRDefault="00000000" w:rsidRPr="00000000" w14:paraId="00000020">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 la usa / no la conoce</w:t>
            </w:r>
          </w:p>
        </w:tc>
        <w:tc>
          <w:tcPr>
            <w:tcBorders>
              <w:top w:color="999999" w:space="0" w:sz="4" w:val="single"/>
              <w:left w:color="999999" w:space="0" w:sz="4" w:val="single"/>
              <w:bottom w:color="999999" w:space="0" w:sz="4" w:val="single"/>
              <w:right w:color="999999" w:space="0" w:sz="4" w:val="single"/>
            </w:tcBorders>
            <w:tcMar>
              <w:top w:w="80.0" w:type="dxa"/>
              <w:left w:w="120.0" w:type="dxa"/>
              <w:bottom w:w="80.0" w:type="dxa"/>
              <w:right w:w="120.0" w:type="dxa"/>
            </w:tcMar>
          </w:tcPr>
          <w:p w:rsidR="00000000" w:rsidDel="00000000" w:rsidP="00000000" w:rsidRDefault="00000000" w:rsidRPr="00000000" w14:paraId="00000021">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29%</w:t>
            </w:r>
          </w:p>
        </w:tc>
      </w:tr>
    </w:tbl>
    <w:p w:rsidR="00000000" w:rsidDel="00000000" w:rsidP="00000000" w:rsidRDefault="00000000" w:rsidRPr="00000000" w14:paraId="00000022">
      <w:pPr>
        <w:spacing w:after="20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3">
      <w:pPr>
        <w:spacing w:after="20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Un análisis de frecuencia léxica realizado sobre los títulos de los 140 artículos y las temáticas de los 20 números de la revista, una vez eliminadas las palabras vacías (artículos, preposiciones, conjunciones) y los términos genéricos, permite reconstruir el vocabulario temático representativo de la publicación a lo largo de una década. Ese vocabulario muestra una fuerte presencia de los términos vinculados a la disciplina de Trabajo Social, a la coyuntura sociopolítica de cada momento y, de manera creciente desde 2020, a las problemáticas asociadas a la pandemia, la salud mental y, más recientemente, la tecnología y la inteligencia artificial. Esta evolución temática confirma que la revista no funcionó como un dispositivo aislado de la coyuntura institucional y social, sino como una caja de resonancia de las preocupaciones que atravesaban, en cada momento, a la comunidad docente y estudiantil de la carrera.</w:t>
      </w:r>
    </w:p>
    <w:p w:rsidR="00000000" w:rsidDel="00000000" w:rsidP="00000000" w:rsidRDefault="00000000" w:rsidRPr="00000000" w14:paraId="00000024">
      <w:pPr>
        <w:spacing w:after="20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Estos resultados muestran que la revista Pueblo, en tanto dispositivo metapedagógico y parainstitucional de adecuación de las prácticas docentes a una tecnología de uso difundido, resulta efectiva pero no es un dispositivo estable: requiere alimentación y renovación permanentes y se transforma junto con las comunidades que le dan vida. Es imposible “competir” con las plataformas y redes diseñadas para capturar adictivamente la atención (Pasquinelli, 2024); además, la incorporación creciente de la mediación de pantallas en el dictado regular —sincrónico y asincrónico— tiende a homogeneizar el estatus de cualquier contenido, licuando la especificidad de un material pensado para un entorno determinado. Aun así, la tradición de diez años de la revista permite pensar en su continuidad, incluso en un ecosistema digital —el “tecnoceno”, en términos de Acosta (2024)— que ha modificado sustancialmente las reglas del juego.</w:t>
      </w:r>
    </w:p>
    <w:p w:rsidR="00000000" w:rsidDel="00000000" w:rsidP="00000000" w:rsidRDefault="00000000" w:rsidRPr="00000000" w14:paraId="00000025">
      <w:pPr>
        <w:spacing w:after="20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2. Segundo estudio de caso: docentes frente a las pantallas y transformaciones en las “modalidades de dictado”</w:t>
      </w:r>
      <w:r w:rsidDel="00000000" w:rsidR="00000000" w:rsidRPr="00000000">
        <w:rPr>
          <w:rtl w:val="0"/>
        </w:rPr>
      </w:r>
    </w:p>
    <w:p w:rsidR="00000000" w:rsidDel="00000000" w:rsidP="00000000" w:rsidRDefault="00000000" w:rsidRPr="00000000" w14:paraId="00000026">
      <w:pPr>
        <w:spacing w:after="20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 Encuesta Docente TS 2022, realizada a 90 de los 100 docentes de la carrera de Trabajo Social de la UNAJ, constituye una casuística acotada que, sin embargo, permite extraer puntos de vista relevantes sobre cómo la respuesta de emergencia a la crisis epidemiológica decantó en una nueva forma de concebir la educación superior. Es importante señalar que el relevamiento se realizó en un clima institucional muy distinto al actual: previo al triunfo electoral de la ultraderecha en octubre de 2023 y previo también a la masificación del debate sobre la Inteligencia Artificial Generativa, lo que permite usar estos datos como una fotografía de un momento de transición específico.</w:t>
      </w:r>
    </w:p>
    <w:p w:rsidR="00000000" w:rsidDel="00000000" w:rsidP="00000000" w:rsidRDefault="00000000" w:rsidRPr="00000000" w14:paraId="00000027">
      <w:pPr>
        <w:spacing w:after="20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Durante el primer cuatrimestre de 2022 coexistían al menos tres modalidades de dictado: virtual sincrónica, híbrida (presencialidad cada quince días combinada con tareas asincrónicas) y presencial, con numerosas variantes ad hoc. Esta heterogeneidad respondía al proceso conocido como “escalonamiento progresivo”, dispuesto por el Ministerio de Educación de la Nación mediante la resolución del Consejo Federal de Educación 364/20 de julio de 2020, que reguló la alternancia entre asistencia presencial y no presencial durante la vigencia del DISPO. Recién en 2023 la Resolución 2599/2023 del Ministerio de Educación terminó de delimitar institucionalmente los criterios para distinguir entre modalidad presencial y educación a distancia.</w:t>
      </w:r>
    </w:p>
    <w:p w:rsidR="00000000" w:rsidDel="00000000" w:rsidP="00000000" w:rsidRDefault="00000000" w:rsidRPr="00000000" w14:paraId="00000028">
      <w:pPr>
        <w:spacing w:after="20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Siete de cada diez docentes encuestados declararon dictar clases de manera presencial durante el primer cuatrimestre de 2022, lo que a escala de las 120 comisiones de la carrera equivale a un 55% de comisiones presencializadas. Consultados sobre su modalidad de dictado preferida, seis de cada diez optaron por la presencialidad, aunque al ser indagados sobre la modalidad que —a su juicio— preferían las y los estudiantes, la opción presencial bajó a cuatro de cada seis. La consistencia entre modalidad efectiva y preferida fue alta en el caso presencial (75%) y notablemente menor en la modalidad híbrida (38%); solo un cuarto de quienes dictaban de manera presencial hubiera preferido la virtualidad, mientras que un 62% de quienes alternaban modalidades sí la prefería. El principal argumento a favor de la presencialidad remitió a la capacidad relacional de la conformación grupal —el “cara a cara”, la fluidez de los intercambios, la escucha—, mientras que entre quienes valoraban las pantallas pesaron el ahorro de tiempo y dinero en transporte y, en menor medida, la versatilidad organizativa del dictado remoto.</w:t>
      </w:r>
    </w:p>
    <w:p w:rsidR="00000000" w:rsidDel="00000000" w:rsidP="00000000" w:rsidRDefault="00000000" w:rsidRPr="00000000" w14:paraId="00000029">
      <w:pPr>
        <w:spacing w:after="20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relación con el Campus Virtual (Moodle), un tercio de las y los docentes que dictan clases presenciales no dejó de utilizarlo como apoyatura, mientras que solo dos de cada diez declararon no usarlo en absoluto. La función más valorada fue la organización de los tiempos de la cursada (46% de las menciones), seguida por la recepción de entregas y exámenes (12%) y por compartir bibliografía (11%); un 23% declaró no usar el campus. Pese al alto nivel de uso, persisten dificultades de capacitación: un 15% de las y los docentes consideró que le falta formación y casi un 56% se mostró algo o poco satisfecho con la capacitación recibida, aunque un 84% manifestó disposición a realizar un curso de mejora. Datos posteriores del Instituto de Ciencias Sociales y Administración de la UNAJ (ICSyA, 2025) muestran que hacia 2025 el 91% de las y los docentes encuestados declaraba utilizar el Campus Virtual, lo que sugiere una consolidación progresiva de esa práctica más allá de la capacitación formal.</w:t>
      </w:r>
    </w:p>
    <w:p w:rsidR="00000000" w:rsidDel="00000000" w:rsidP="00000000" w:rsidRDefault="00000000" w:rsidRPr="00000000" w14:paraId="0000002A">
      <w:pPr>
        <w:spacing w:after="10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Tabla 2. Modalidad de dictado declarada y preferida (Encuesta Docente TS 2022, n=90)</w:t>
      </w:r>
      <w:r w:rsidDel="00000000" w:rsidR="00000000" w:rsidRPr="00000000">
        <w:rPr>
          <w:rtl w:val="0"/>
        </w:rPr>
      </w:r>
    </w:p>
    <w:tbl>
      <w:tblPr>
        <w:tblStyle w:val="Table2"/>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6960"/>
        <w:gridCol w:w="2400"/>
        <w:tblGridChange w:id="0">
          <w:tblGrid>
            <w:gridCol w:w="6960"/>
            <w:gridCol w:w="2400"/>
          </w:tblGrid>
        </w:tblGridChange>
      </w:tblGrid>
      <w:tr>
        <w:trPr>
          <w:cantSplit w:val="0"/>
          <w:tblHeader w:val="0"/>
        </w:trPr>
        <w:tc>
          <w:tcPr>
            <w:tcBorders>
              <w:top w:color="999999" w:space="0" w:sz="4" w:val="single"/>
              <w:left w:color="999999" w:space="0" w:sz="4" w:val="single"/>
              <w:bottom w:color="999999" w:space="0" w:sz="4" w:val="single"/>
              <w:right w:color="999999" w:space="0" w:sz="4" w:val="single"/>
            </w:tcBorders>
            <w:tcMar>
              <w:top w:w="80.0" w:type="dxa"/>
              <w:left w:w="120.0" w:type="dxa"/>
              <w:bottom w:w="80.0" w:type="dxa"/>
              <w:right w:w="120.0" w:type="dxa"/>
            </w:tcMar>
          </w:tcPr>
          <w:p w:rsidR="00000000" w:rsidDel="00000000" w:rsidP="00000000" w:rsidRDefault="00000000" w:rsidRPr="00000000" w14:paraId="0000002B">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Dictan de manera presencial</w:t>
            </w:r>
          </w:p>
        </w:tc>
        <w:tc>
          <w:tcPr>
            <w:tcBorders>
              <w:top w:color="999999" w:space="0" w:sz="4" w:val="single"/>
              <w:left w:color="999999" w:space="0" w:sz="4" w:val="single"/>
              <w:bottom w:color="999999" w:space="0" w:sz="4" w:val="single"/>
              <w:right w:color="999999" w:space="0" w:sz="4" w:val="single"/>
            </w:tcBorders>
            <w:tcMar>
              <w:top w:w="80.0" w:type="dxa"/>
              <w:left w:w="120.0" w:type="dxa"/>
              <w:bottom w:w="80.0" w:type="dxa"/>
              <w:right w:w="120.0" w:type="dxa"/>
            </w:tcMar>
          </w:tcPr>
          <w:p w:rsidR="00000000" w:rsidDel="00000000" w:rsidP="00000000" w:rsidRDefault="00000000" w:rsidRPr="00000000" w14:paraId="0000002C">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70% (55% de las comisiones)</w:t>
            </w:r>
          </w:p>
        </w:tc>
      </w:tr>
      <w:tr>
        <w:trPr>
          <w:cantSplit w:val="0"/>
          <w:tblHeader w:val="0"/>
        </w:trPr>
        <w:tc>
          <w:tcPr>
            <w:tcBorders>
              <w:top w:color="999999" w:space="0" w:sz="4" w:val="single"/>
              <w:left w:color="999999" w:space="0" w:sz="4" w:val="single"/>
              <w:bottom w:color="999999" w:space="0" w:sz="4" w:val="single"/>
              <w:right w:color="999999" w:space="0" w:sz="4" w:val="single"/>
            </w:tcBorders>
            <w:tcMar>
              <w:top w:w="80.0" w:type="dxa"/>
              <w:left w:w="120.0" w:type="dxa"/>
              <w:bottom w:w="80.0" w:type="dxa"/>
              <w:right w:w="120.0" w:type="dxa"/>
            </w:tcMar>
          </w:tcPr>
          <w:p w:rsidR="00000000" w:rsidDel="00000000" w:rsidP="00000000" w:rsidRDefault="00000000" w:rsidRPr="00000000" w14:paraId="0000002D">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Prefieren la modalidad presencial</w:t>
            </w:r>
          </w:p>
        </w:tc>
        <w:tc>
          <w:tcPr>
            <w:tcBorders>
              <w:top w:color="999999" w:space="0" w:sz="4" w:val="single"/>
              <w:left w:color="999999" w:space="0" w:sz="4" w:val="single"/>
              <w:bottom w:color="999999" w:space="0" w:sz="4" w:val="single"/>
              <w:right w:color="999999" w:space="0" w:sz="4" w:val="single"/>
            </w:tcBorders>
            <w:tcMar>
              <w:top w:w="80.0" w:type="dxa"/>
              <w:left w:w="120.0" w:type="dxa"/>
              <w:bottom w:w="80.0" w:type="dxa"/>
              <w:right w:w="120.0" w:type="dxa"/>
            </w:tcMar>
          </w:tcPr>
          <w:p w:rsidR="00000000" w:rsidDel="00000000" w:rsidP="00000000" w:rsidRDefault="00000000" w:rsidRPr="00000000" w14:paraId="0000002E">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60%</w:t>
            </w:r>
          </w:p>
        </w:tc>
      </w:tr>
      <w:tr>
        <w:trPr>
          <w:cantSplit w:val="0"/>
          <w:tblHeader w:val="0"/>
        </w:trPr>
        <w:tc>
          <w:tcPr>
            <w:tcBorders>
              <w:top w:color="999999" w:space="0" w:sz="4" w:val="single"/>
              <w:left w:color="999999" w:space="0" w:sz="4" w:val="single"/>
              <w:bottom w:color="999999" w:space="0" w:sz="4" w:val="single"/>
              <w:right w:color="999999" w:space="0" w:sz="4" w:val="single"/>
            </w:tcBorders>
            <w:tcMar>
              <w:top w:w="80.0" w:type="dxa"/>
              <w:left w:w="120.0" w:type="dxa"/>
              <w:bottom w:w="80.0" w:type="dxa"/>
              <w:right w:w="120.0" w:type="dxa"/>
            </w:tcMar>
          </w:tcPr>
          <w:p w:rsidR="00000000" w:rsidDel="00000000" w:rsidP="00000000" w:rsidRDefault="00000000" w:rsidRPr="00000000" w14:paraId="0000002F">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Consideran que el estudiantado prefiere la modalidad presencial</w:t>
            </w:r>
          </w:p>
        </w:tc>
        <w:tc>
          <w:tcPr>
            <w:tcBorders>
              <w:top w:color="999999" w:space="0" w:sz="4" w:val="single"/>
              <w:left w:color="999999" w:space="0" w:sz="4" w:val="single"/>
              <w:bottom w:color="999999" w:space="0" w:sz="4" w:val="single"/>
              <w:right w:color="999999" w:space="0" w:sz="4" w:val="single"/>
            </w:tcBorders>
            <w:tcMar>
              <w:top w:w="80.0" w:type="dxa"/>
              <w:left w:w="120.0" w:type="dxa"/>
              <w:bottom w:w="80.0" w:type="dxa"/>
              <w:right w:w="120.0" w:type="dxa"/>
            </w:tcMar>
          </w:tcPr>
          <w:p w:rsidR="00000000" w:rsidDel="00000000" w:rsidP="00000000" w:rsidRDefault="00000000" w:rsidRPr="00000000" w14:paraId="00000030">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40 (cuatro de cada seis)</w:t>
            </w:r>
          </w:p>
        </w:tc>
      </w:tr>
    </w:tbl>
    <w:p w:rsidR="00000000" w:rsidDel="00000000" w:rsidP="00000000" w:rsidRDefault="00000000" w:rsidRPr="00000000" w14:paraId="00000031">
      <w:pPr>
        <w:spacing w:after="20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2">
      <w:pPr>
        <w:spacing w:after="20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cuanto a los desafíos percibidos en el desarrollo de la cursada, el 41% de las respuestas docentes refirió dificultades de rendimiento —dificultad para sostener los ritmos de lectura, atención en clase y calidad de las producciones—; un 80% detectó problemas de lectocomprensión y un 53% señaló dificultades en la expresión de pensamiento crítico. Un 27% de las menciones se vinculó con la reorganización de los tiempos asociada al retorno a la presencialidad y al ausentismo: un tercio de las y los docentes percibió mayor ausentismo que el habitual en el período prepandémico. Un 20% experimentó problemas de asignación de aulas derivados de la coexistencia de modalidades, la mitad de ellos calificados como serios o muy serios. Las y los docentes interpretaron estas dificultades no como falta de compromiso estudiantil sino como parte de un proceso de readecuación posterior al aislamiento, atravesado además por la carga de tareas de cuidado en una matrícula fuertemente feminizada. Entre las estrategias propuestas se destacaron los talleres de escritura académica, los clubes de lectura, la articulación entre teoría y práctica, las dinámicas que promuevan el trabajo grupal y el seguimiento personalizado de las trayectorias más vulnerables. Un docente describe ese contraste de manera elocuente al señalar que el cuatrimestre había mostrado dificultades similares a las de períodos anteriores en materia de motivación y lectocomprensión, agravadas por el crecimiento sostenido de la matrícula y por el hecho de que buena parte del estudiantado del taller combina la cursada con responsabilidades laborales y familiares, aunque al mismo tiempo destaca que el manejo del Campus Virtual se mostraba más afianzado que en cuatrimestres anteriores, con menos dificultades técnicas tanto entre docentes como entre estudiantes. Otra docente, en cambio, pone el acento en la angustia que traen consigo las y los estudiantes, vinculada al cansancio, a las dificultades económicas y familiares y a la necesidad de poner en palabras los duelos y las pérdidas asociadas a la pandemia para poder retomar plenamente la vida académica. En los testimonios recogidos durante 2022 conviven, en definitiva, el relato de una vuelta a la presencialidad vivida con alivio y entusiasmo —“nos reímos, nos emocionamos, discutimos de política y logramos construir entre todes el conocimiento de manera circular”— con la percepción de un agotamiento persistente vinculado a la situación económica y a las secuelas del aislamiento, en una convivencia ambivalente entre el deseo de recuperar el vínculo presencial y el reconocimiento de que las pantallas ya formaban parte estructural de la cursada.</w:t>
      </w:r>
    </w:p>
    <w:p w:rsidR="00000000" w:rsidDel="00000000" w:rsidP="00000000" w:rsidRDefault="00000000" w:rsidRPr="00000000" w14:paraId="00000033">
      <w:pPr>
        <w:spacing w:after="20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Cabe señalar una limitación metodológica relevante de este segundo estudio de caso: se trata de una encuesta de tipo exploratorio, aplicada sobre una muestra no probabilística por conveniencia, que no permite representatividad poblacional, aunque sí ofrece una aproximación útil para pensar tendencias y orientar futuras líneas de investigación con un diseño muestral más robusto. La misma advertencia aplica, en mayor medida aún, a la Encuesta Estudiantes 2025 que se retoma en el tercer estudio de caso, cuya muestra de 547 casos —si bien releva información de 17 de las 25 carreras de grado de la UNAJ— presenta una representación desigual entre carreras, con una clara sobre-representación de Trabajo Social y de la Tecnicatura en Emergencias Sanitarias y Desastres, y una sub-representación de Kinesiología y Enfermería, las carreras de mayor matrícula de la universidad. Estas limitaciones no invalidan el valor exploratorio de los hallazgos, pero exigen prudencia interpretativa y refuerzan la necesidad de estudios longitudinales que permitan seguir la trayectoria de una misma cohorte a lo largo de toda su formación.</w:t>
      </w:r>
    </w:p>
    <w:p w:rsidR="00000000" w:rsidDel="00000000" w:rsidP="00000000" w:rsidRDefault="00000000" w:rsidRPr="00000000" w14:paraId="00000034">
      <w:pPr>
        <w:spacing w:after="20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3. Tercer estudio de caso: la irrupción de la Inteligencia Artificial y nuevos cambios en los modos de estudiar</w:t>
      </w:r>
      <w:r w:rsidDel="00000000" w:rsidR="00000000" w:rsidRPr="00000000">
        <w:rPr>
          <w:rtl w:val="0"/>
        </w:rPr>
      </w:r>
    </w:p>
    <w:p w:rsidR="00000000" w:rsidDel="00000000" w:rsidP="00000000" w:rsidRDefault="00000000" w:rsidRPr="00000000" w14:paraId="00000035">
      <w:pPr>
        <w:spacing w:after="20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Si la primera mutación de la cultura material del estudio remitió al desplazamiento de la interacción cara a cara por la mediación de pantallas —con la consecuente opacidad relacional que señalamos en investigaciones previas (Massetti, 2021b)—, la irrupción de la IAG introduce una transformación de naturaleza distinta. No se trata únicamente de una distancia emocional o de un obstáculo cognitivo adicional, sino de un nuevo sistema de construcción de subjetividades ordenado por un número reducido de corporaciones globales. En diálogo con la propuesta de Rikap (2026), puede entenderse el avance de la IA generativa como un nuevo episodio de desposesión, análogo en su lógica a la “gran transformación” descripta por Karl Polanyi para el mercado de trabajo industrial: si aquel proceso requirió la enajenación de habilidades manuales, el que proponen las IAG avanza sobre capacidades cognitivas básicas como el pensamiento crítico, la capacidad de abstracción y la capacidad de concentración. En la misma línea, Zuboff (2025) describe una “cesión de la autoridad epistémica” mediante la cual las personas usuarias delegan en la IA —como antes lo hicieron en los buscadores— el discernimiento sobre la veracidad de un resultado, en el marco de un ciclo de desposesión conductual más amplio (Zuboff, 2019). Costa (2024) sintetiza este desplazamiento al señalar que la gubernamentalidad contemporánea ya no requiere de un sujeto reflexivo, sino de sujetos dóciles, engarzados en procesos de datificación y vigilancia.</w:t>
      </w:r>
    </w:p>
    <w:p w:rsidR="00000000" w:rsidDel="00000000" w:rsidP="00000000" w:rsidRDefault="00000000" w:rsidRPr="00000000" w14:paraId="00000036">
      <w:pPr>
        <w:spacing w:after="20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Una encuesta realizada por el Instituto de Ciencias Sociales y Administración de la UNAJ en 2025 muestra que solo una minoría de docentes no había incorporado ChatGPT a sus prácticas: un sector relevante declaró un uso frecuente y un 2% afirmó utilizarlo incluso en instancias de evaluación. En una repregunta, el 51% de las y los docentes encuestados declaró incorporar IA a sus prácticas docentes (frente a un 77% que la utilizaba para fines personales), principalmente a través de chatbots de tipo ChatGPT (80% de las menciones), aunque también para la elaboración de resúmenes, videos y otras producciones. No se observa, según esta muestra, una resistencia docente generalizada; por el contrario, predominan la demanda de capacitación y una valoración mayormente positiva de las aplicaciones de IA en distintos momentos del proceso pedagógico.</w:t>
      </w:r>
    </w:p>
    <w:p w:rsidR="00000000" w:rsidDel="00000000" w:rsidP="00000000" w:rsidRDefault="00000000" w:rsidRPr="00000000" w14:paraId="00000037">
      <w:pPr>
        <w:spacing w:after="20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Este fenómeno no es exclusivo de las periferias del sistema universitario argentino. Una nota de The Economist del 25 de junio de 2026 recoge el testimonio de 1.800 docentes de matemáticas y ciencias de la Universidad de California, quienes señalan que entre el 20% y el 30% del estudiantado de primer año llega a la universidad con “severas carencias de preparación” (severe preparation deficits). La enajenación cognitiva y la transferencia hacia el estudiantado de parte del proceso pedagógico redefine así nuevas periferias dentro del propio sistema universitario global (Rikap, 2026).</w:t>
      </w:r>
    </w:p>
    <w:p w:rsidR="00000000" w:rsidDel="00000000" w:rsidP="00000000" w:rsidRDefault="00000000" w:rsidRPr="00000000" w14:paraId="00000038">
      <w:pPr>
        <w:spacing w:after="20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Para avanzar en la tipologización de los usos de la IA en el estudio resulta especialmente relevante la investigación dirigida por Sharma et al. (2026), publicada en enero de ese año, basada en el análisis de 1,5 millones de conversaciones mantenidas con Claude, el modelo de IA desarrollado por la empresa Anthropic. Su principal conclusión es que el uso de la IAG puede exponer a las personas usuarias a situaciones que reducen su capacidad de actuar según su propia conveniencia, valores o creencias —lo que las autoras denominan “potencial de desempoderamiento situacional”—, riesgo que aparece cuando la interacción ofrece versiones distorsionadas de la realidad, juicios de valor falsos o razonamientos contrarios a los valores de quien consulta, capaces de modificar conductas. Aunque la incidencia cuantitativa de estos efectos resulta estadísticamente baja, su relevancia cualitativa es considerable, en la medida en que el uso de la IA se inscribe dentro de ese proceso más amplio de cesión de autoridad epistémica al que ya se hizo referencia.</w:t>
      </w:r>
    </w:p>
    <w:p w:rsidR="00000000" w:rsidDel="00000000" w:rsidP="00000000" w:rsidRDefault="00000000" w:rsidRPr="00000000" w14:paraId="00000039">
      <w:pPr>
        <w:spacing w:after="20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fin de contrastar estas tipologías internacionales con las prácticas declaradas por nuestro propio estudiantado, desarrollamos 60 entrevistas en profundidad a estudiantes de grado de las carreras de Trabajo Social e Ingeniería Informática de la UNAJ, orientadas a relevar los modos de uso, las contradicciones y las tensiones que atraviesan estos procesos de enajenación de capacidades cognitivas y de transferencia de los ámbitos de intercambio pedagógico hacia dispositivos personales mediados por corporaciones tecnológicas. Esta línea de indagación se complementa con los hallazgos de la Encuesta Estudiantes 2025, relevada entre 2024 y 2025 sobre una muestra no probabilística de 547 casos correspondientes a 17 de las 25 carreras de grado de la UNAJ.</w:t>
      </w:r>
    </w:p>
    <w:p w:rsidR="00000000" w:rsidDel="00000000" w:rsidP="00000000" w:rsidRDefault="00000000" w:rsidRPr="00000000" w14:paraId="0000003A">
      <w:pPr>
        <w:spacing w:after="20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Esa encuesta permite contextualizar la centralidad del celular en la cultura material del estudio. El 78% del estudiantado entrevistado declaró haber cursado de manera virtual durante la semana de referencia, aun cuando ya no exista un objetivo pedagógico explícito que sostenga esa mediación, sino más bien un cambio de expectativas institucionales y laborales compartido por autoridades, docentes y estudiantes. Esa persistencia resulta llamativa frente a la evidencia disponible (Holmes, 2026) sobre la baja calidad pedagógica de la interacción mediada por pantallas y sobre las nuevas desigualdades que genera: solo el 44% del estudiantado dispone de computadora de uso exclusivo en el hogar, un 26% no tiene computadora y otro 29% accede a un equipo de uso compartido. Según el INDEC, hacia el cuarto trimestre de 2024 el 60,3% de los hogares argentinos contaba con computadora, lo que sugiere que el dato relevado por la UNAJ se aproxima a la incidencia poblacional general, aunque no permite conocer el estado de esos equipos, probablemente sin recambio desde la prepandemia. Se observa además una correlación positiva y significativa entre el avance en la carrera y la disponibilidad de computadora propia: del 31,1% en primer año se pasa al 71,4% en cuarto año, lo que permite hipotetizar que la falta de acceso a una computadora constituye un indicador temprano de riesgo de interrupción de la trayectoria académica.</w:t>
      </w:r>
    </w:p>
    <w:p w:rsidR="00000000" w:rsidDel="00000000" w:rsidP="00000000" w:rsidRDefault="00000000" w:rsidRPr="00000000" w14:paraId="0000003B">
      <w:pPr>
        <w:spacing w:after="20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Un 26% del estudiantado declaró cursar de manera virtual sin disponer de computadora en el hogar, conformando un sector en riesgo de interrupción de su trayectoria que probablemente curse exclusivamente a través del celular: solo el 8% de quienes cursan virtualmente lo hace fuera de su domicilio, un 15% declara el celular como única herramienta de estudio y un 36% adicional prefiere los textos digitalizados. El 98% del estudiantado declara tener celular, y solo el 15% afirma no usarlo en absoluto para estudiar. Sin embargo, mientras que hasta tercer año más del 84% recurre al smartphone para estudiar, esa proporción cae al 50% hacia el final del trayecto formativo —en sentido inverso a la disponibilidad creciente de computadoras—, lo que sugiere que el celular, pese a funcionar como “la computadora popular”, no resulta un soporte suficiente para sostener la trayectoria hasta su finalización.</w:t>
      </w:r>
    </w:p>
    <w:p w:rsidR="00000000" w:rsidDel="00000000" w:rsidP="00000000" w:rsidRDefault="00000000" w:rsidRPr="00000000" w14:paraId="0000003C">
      <w:pPr>
        <w:spacing w:after="20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Finalmente, entrevistas exploratorias en profundidad realizadas durante 2026 (Entrevistas a Estudiantes 2026) muestran que un número creciente de estudiantes utiliza cotidianamente plataformas de IA generativa no solo para resolver tareas académicas, sino también como soporte emocional y como fuente de respuesta ante prácticamente cualquier tipo de consulta, lo que complejiza aún más el problema de las pedagogías digitalizadas. Se trata de una temática reciente que amerita investigaciones situadas más profundas: mientras que sus defensores destacan la posibilidad de maximizar la experiencia pedagógica y automatizar tareas de bajo esfuerzo cognitivo, sus detractores señalan la dependencia que genera el estilo servil y condescendiente del diálogo con estos sistemas (sycophancy), la obturación del esfuerzo y la creatividad propios, la disminución del pensamiento crítico y el sesgo informativo asociado a la estandarización de las respuestas (En Foco, 2025).</w:t>
      </w:r>
    </w:p>
    <w:p w:rsidR="00000000" w:rsidDel="00000000" w:rsidP="00000000" w:rsidRDefault="00000000" w:rsidRPr="00000000" w14:paraId="0000003D">
      <w:pPr>
        <w:spacing w:after="20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Conclusiones</w:t>
      </w:r>
      <w:r w:rsidDel="00000000" w:rsidR="00000000" w:rsidRPr="00000000">
        <w:rPr>
          <w:rtl w:val="0"/>
        </w:rPr>
      </w:r>
    </w:p>
    <w:p w:rsidR="00000000" w:rsidDel="00000000" w:rsidP="00000000" w:rsidRDefault="00000000" w:rsidRPr="00000000" w14:paraId="0000003E">
      <w:pPr>
        <w:spacing w:after="20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 pandemia de COVID-19, frente a la ausencia de una terapéutica específica, derivó en una estrategia de control epidemiológico basada en la ingeniería social: la restricción de la circulación de personas. Esa restricción tuvo, además del impacto sanitario, un impacto social, económico y cultural de gran envergadura, en el que la tecnología ocupó un lugar central. Se consolidó así la economía de plataformas (Srnicek, 2023), se expandió el trabajo de reparto precarizado, se popularizó el “video on demand” y el uso de YouTube —que en Argentina alcanza al 94% de la población adulta y registró un incremento del 180% en horas de visualización durante 2020 (Schulkin, 2020)—, se generalizó la cultura del videojuego multijugador —asociada también, no sin tensiones, a la diseminación de ideas de ultraderecha (Fisher, 2024)— y se consolidó WhatsApp como sinónimo de interacción mediada por el smartphone (Lorusso, 2020). El aislamiento como política de Estado habilitó asimismo el crecimiento sostenido de las redes sociales, cuyo impacto integral en la salud mental y en los vínculos interpersonales probablemente requiera todavía años de investigación para ser dimensionado en su complejidad (Delogu et al., 2025). La videoconferencia, por su parte, registró un incremento del 1900% en su uso (Moffat, 2024), consolidando a Zoom, Meet y Teams como actores centrales de la infraestructura educativa cotidiana. A ello se sumó la delegación, cada vez más naturalizada, del almacenamiento personal e institucional en la nube, bajo el control de un puñado de corporaciones (Alphabet, Microsoft, Meta y Amazon) que concentran buena parte de la mediación tecnológica de la vida contemporánea (Varoufakis, 2024; Couldry y Mejías, 2024).</w:t>
      </w:r>
    </w:p>
    <w:p w:rsidR="00000000" w:rsidDel="00000000" w:rsidP="00000000" w:rsidRDefault="00000000" w:rsidRPr="00000000" w14:paraId="0000003F">
      <w:pPr>
        <w:spacing w:after="20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Ese reducido grupo de empresas se apalancó en la vulnerabilidad política, social, económica y psíquica generada por la pandemia para expandir un modelo de negocios sustentado en la explotación de los excedentes conductuales (Zuboff, 2019, 2025). El resultado es un proceso de datificación (Couldry y Mejías, 2024; Lovink, 2026) de ámbitos cada vez más amplios de la vida humana, cuyo correlato en la educación superior es lo que en este trabajo denominamos la transformación de la cultura material del estudio: mutaciones en las mediaciones, las prácticas, los soportes, las temporalidades y los procesos administrativos y pedagógicos, que conviven con una disputa más amplia, entre empresas, estados y movimientos políticos, por definir el para qué de la educación superior y su capacidad de formar profesionales críticos y comprometidos con el bienestar de sus comunidades.</w:t>
      </w:r>
    </w:p>
    <w:p w:rsidR="00000000" w:rsidDel="00000000" w:rsidP="00000000" w:rsidRDefault="00000000" w:rsidRPr="00000000" w14:paraId="00000040">
      <w:pPr>
        <w:spacing w:after="20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Los tres estudios de caso presentados permiten reconstruir, de manera situada, distintos momentos de ese proceso. La revista Pueblo muestra la posibilidad —y también los límites— de “colonizar” pedagógicamente al celular mediante un dispositivo metapedagógico sostenido durante diez años, que requiere renovación constante y no logra, por sí solo, competir con la lógica extractiva de las plataformas comerciales. La Encuesta Docente TS 2022 documenta un momento de transición en el que, pese al deseo mayoritario de recuperar la presencialidad, la heterogeneidad de modalidades de dictado y la adopción extendida del Campus Virtual ya habían modificado de manera estructural las prácticas docentes, incluso antes de que la Inteligencia Artificial Generativa apareciera en el horizonte de preocupaciones. Finalmente, la irrupción de la IAG entre 2023 y 2026 agrega una capa de complejidad cualitativamente distinta: no se trata únicamente de una mediación tecnológica adicional sobre la interacción pedagógica, sino de un desplazamiento más profundo de la autoridad epistémica (Zuboff, 2025) y de las capacidades cognitivas básicas hacia sistemas diseñados y controlados por un número reducido de corporaciones globales (Rikap, 2026).</w:t>
      </w:r>
    </w:p>
    <w:p w:rsidR="00000000" w:rsidDel="00000000" w:rsidP="00000000" w:rsidRDefault="00000000" w:rsidRPr="00000000" w14:paraId="00000041">
      <w:pPr>
        <w:spacing w:after="20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Persisten, sin embargo, desigualdades estructurales que atraviesan todo este proceso: menos de la mitad del estudiantado de la UNAJ cuenta con una computadora de uso exclusivo en su hogar, y un sector que ronda el cuarto de la matrícula cursa de manera exclusivamente mediada por el celular, en una posición de mayor vulnerabilidad frente a la interrupción de su trayectoria académica. Lejos de tratarse de una cuestión meramente instrumental, la disponibilidad de dispositivos y de conectividad se revela como un componente central —aunque no excluyente— de las trayectorias educativas interrumpidas (García Fanelli, 2025), en un contexto regional de fuerte ataque presupuestario a las universidades públicas, hostilidad institucional y disputa por el sentido mismo de la educación superior. Queda planteada como agenda futura del Observatorio de Educación Superior de la UNAJ la profundización del análisis sobre los usos cotidianos de la IA generativa por parte del estudiantado, sus contradicciones y su impacto de mediano plazo sobre las capacidades de lectoescritura, pensamiento crítico y autonomía intelectual que constituyen, en definitiva, el objeto último de la formación universitaria.</w:t>
      </w:r>
    </w:p>
    <w:p w:rsidR="00000000" w:rsidDel="00000000" w:rsidP="00000000" w:rsidRDefault="00000000" w:rsidRPr="00000000" w14:paraId="00000042">
      <w:pPr>
        <w:spacing w:after="20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modo de cierre, conviene insistir en que ninguno de los tres procesos relevados —la apropiación pedagógica del celular, la heterogeneización de las modalidades de dictado y la masificación de la IA generativa— constituye un fenómeno autónomo o lineal: se trata de capas sucesivas de una misma mutación en la cultura material del estudio, que se montan unas sobre otras y que conviven hoy en una misma aula, en una misma cursada y, muchas veces, en una misma pantalla. Comprender esa estratificación, antes que reducirla a una sucesión cronológica de “modas” tecnológicas, resulta indispensable para que las universidades públicas del conurbano —y en particular la UNAJ, una universidad joven, con una matrícula históricamente excluida del sistema universitario tradicional— puedan diseñar políticas pedagógicas e institucionales que no naturalicen la desigualdad digital ni renuncien a la formación del pensamiento crítico como horizonte irrenunciable de la educación superior. </w:t>
      </w:r>
    </w:p>
    <w:p w:rsidR="00000000" w:rsidDel="00000000" w:rsidP="00000000" w:rsidRDefault="00000000" w:rsidRPr="00000000" w14:paraId="00000043">
      <w:pPr>
        <w:spacing w:after="20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Referencias Bibliográficas (APA 7)</w:t>
      </w:r>
      <w:r w:rsidDel="00000000" w:rsidR="00000000" w:rsidRPr="00000000">
        <w:rPr>
          <w:rtl w:val="0"/>
        </w:rPr>
      </w:r>
    </w:p>
    <w:p w:rsidR="00000000" w:rsidDel="00000000" w:rsidP="00000000" w:rsidRDefault="00000000" w:rsidRPr="00000000" w14:paraId="00000044">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Acosta, F. (2024). El tecnoceno: mediaciones digitales y educación superior en clave latinoamericana. Observatorio de Educación Superior, UNAJ.</w:t>
      </w:r>
    </w:p>
    <w:p w:rsidR="00000000" w:rsidDel="00000000" w:rsidP="00000000" w:rsidRDefault="00000000" w:rsidRPr="00000000" w14:paraId="00000045">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Costa, F. (2024). Tecnoceno: algoritmos, vigilancia y nuevas formas de gubernamentalidad. Taurus.</w:t>
      </w:r>
    </w:p>
    <w:p w:rsidR="00000000" w:rsidDel="00000000" w:rsidP="00000000" w:rsidRDefault="00000000" w:rsidRPr="00000000" w14:paraId="00000046">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Couldry, N., &amp; Mejías, U. A. (2024). El costo de la conexión: cómo la datificación del mundo nos coloniza para el capitalismo (2.ª ed.). Capital Intelectual.</w:t>
      </w:r>
    </w:p>
    <w:p w:rsidR="00000000" w:rsidDel="00000000" w:rsidP="00000000" w:rsidRDefault="00000000" w:rsidRPr="00000000" w14:paraId="00000047">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Delogu, A., et al. (2025). Confinamiento, restricciones sociales y uso de redes sociales durante la pandemia de COVID-19: una revisión de sus efectos psicológicos. Acta Psychologica, 255.</w:t>
      </w:r>
    </w:p>
    <w:p w:rsidR="00000000" w:rsidDel="00000000" w:rsidP="00000000" w:rsidRDefault="00000000" w:rsidRPr="00000000" w14:paraId="00000048">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Foco. (2025). Sycophancy y dependencia cognitiva en el uso educativo de la inteligencia artificial generativa. Boletín En Foco, Observatorio de Educación Superior.</w:t>
      </w:r>
    </w:p>
    <w:p w:rsidR="00000000" w:rsidDel="00000000" w:rsidP="00000000" w:rsidRDefault="00000000" w:rsidRPr="00000000" w14:paraId="00000049">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Espíndola, E. (2024). Brecha digital y políticas públicas de inclusión tecnológica en Argentina. Revista Pensamiento Universitario, (7).</w:t>
      </w:r>
    </w:p>
    <w:p w:rsidR="00000000" w:rsidDel="00000000" w:rsidP="00000000" w:rsidRDefault="00000000" w:rsidRPr="00000000" w14:paraId="0000004A">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Fisher, M. (2024). Cultura gamer, comunidades digitales y radicalización política juvenil. Caja Negra.</w:t>
      </w:r>
    </w:p>
    <w:p w:rsidR="00000000" w:rsidDel="00000000" w:rsidP="00000000" w:rsidRDefault="00000000" w:rsidRPr="00000000" w14:paraId="0000004B">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García Fanelli, A. (2025). Brechas en la graduación en la Educación Superior argentina y su impacto sobre la equidad. Revista Pensamiento Universitario, (8).</w:t>
      </w:r>
    </w:p>
    <w:p w:rsidR="00000000" w:rsidDel="00000000" w:rsidP="00000000" w:rsidRDefault="00000000" w:rsidRPr="00000000" w14:paraId="0000004C">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Gorostiaga, J. (2019). Bibliometría, evaluación académica y revistas digitales en el sistema científico argentino. CONICET.</w:t>
      </w:r>
    </w:p>
    <w:p w:rsidR="00000000" w:rsidDel="00000000" w:rsidP="00000000" w:rsidRDefault="00000000" w:rsidRPr="00000000" w14:paraId="0000004D">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Holmes, W. (2026). Inteligencia artificial generativa y calidad pedagógica en la educación superior. UNESCO.</w:t>
      </w:r>
    </w:p>
    <w:p w:rsidR="00000000" w:rsidDel="00000000" w:rsidP="00000000" w:rsidRDefault="00000000" w:rsidRPr="00000000" w14:paraId="0000004E">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Instituto de Ciencias Sociales y Administración. (2025). Informe sobre uso del Campus Virtual e Inteligencia Artificial Generativa por parte del cuerpo docente. Universidad Nacional Arturo Jauretche.</w:t>
      </w:r>
    </w:p>
    <w:p w:rsidR="00000000" w:rsidDel="00000000" w:rsidP="00000000" w:rsidRDefault="00000000" w:rsidRPr="00000000" w14:paraId="0000004F">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Instituto Nacional de Estadística y Censos. (2025). Acceso y uso de tecnologías de la información y la comunicación. Encuesta Permanente de Hogares, cuarto trimestre de 2024. INDEC.</w:t>
      </w:r>
    </w:p>
    <w:p w:rsidR="00000000" w:rsidDel="00000000" w:rsidP="00000000" w:rsidRDefault="00000000" w:rsidRPr="00000000" w14:paraId="00000050">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Lorusso, S. (2020). WhatsApp y la mediación de los vínculos interpersonales durante el aislamiento. Caja Negra.</w:t>
      </w:r>
    </w:p>
    <w:p w:rsidR="00000000" w:rsidDel="00000000" w:rsidP="00000000" w:rsidRDefault="00000000" w:rsidRPr="00000000" w14:paraId="00000051">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Lovink, G. (2026). Tristeza extractiva: crítica cultural de las plataformas digitales. Caja Negra.</w:t>
      </w:r>
    </w:p>
    <w:p w:rsidR="00000000" w:rsidDel="00000000" w:rsidP="00000000" w:rsidRDefault="00000000" w:rsidRPr="00000000" w14:paraId="00000052">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Massetti, A. (2021b). Notas sobre la represencialización: reconstruir los lazos, la mística y la alegría. Revista Mestiza. https://revistamestiza.unaj.edu.ar/reconstruir-los-lazos-la-mistica-y-la-alegria/</w:t>
      </w:r>
    </w:p>
    <w:p w:rsidR="00000000" w:rsidDel="00000000" w:rsidP="00000000" w:rsidRDefault="00000000" w:rsidRPr="00000000" w14:paraId="00000053">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Moffat, M. (2024). El auge de la videoconferencia: transformaciones en el trabajo y la educación remota. Informe de mercado tecnológico.</w:t>
      </w:r>
    </w:p>
    <w:p w:rsidR="00000000" w:rsidDel="00000000" w:rsidP="00000000" w:rsidRDefault="00000000" w:rsidRPr="00000000" w14:paraId="00000054">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Pasquinelli, M. (2024). La economía de la atención y los algoritmos de recomendación. Caja Negra.</w:t>
      </w:r>
    </w:p>
    <w:p w:rsidR="00000000" w:rsidDel="00000000" w:rsidP="00000000" w:rsidRDefault="00000000" w:rsidRPr="00000000" w14:paraId="00000055">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Rikap, C. (2026). Dependencia digital: inteligencia artificial, desposesión y nuevas periferias globales. Fondo de Cultura Económica.</w:t>
      </w:r>
    </w:p>
    <w:p w:rsidR="00000000" w:rsidDel="00000000" w:rsidP="00000000" w:rsidRDefault="00000000" w:rsidRPr="00000000" w14:paraId="00000056">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Schulkin, R. (2020). Consumo audiovisual y plataformas de streaming en Argentina durante la pandemia. IATEC.</w:t>
      </w:r>
    </w:p>
    <w:p w:rsidR="00000000" w:rsidDel="00000000" w:rsidP="00000000" w:rsidRDefault="00000000" w:rsidRPr="00000000" w14:paraId="00000057">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Srnicek, N. (2023). Capitalismo de plataformas (2.ª ed.). Caja Negra.</w:t>
      </w:r>
    </w:p>
    <w:p w:rsidR="00000000" w:rsidDel="00000000" w:rsidP="00000000" w:rsidRDefault="00000000" w:rsidRPr="00000000" w14:paraId="00000058">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Sharma, M., MacCain, M., Douglas, R., &amp; Devenaud, D. (2026). Who's in charge? Disempowerment patterns in real-world LLM usage. arXiv. https://arxiv.org/abs/2601.19062</w:t>
      </w:r>
    </w:p>
    <w:p w:rsidR="00000000" w:rsidDel="00000000" w:rsidP="00000000" w:rsidRDefault="00000000" w:rsidRPr="00000000" w14:paraId="00000059">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Economist. (2026, 25 de junio). Severe preparation deficits: cómo la IA generativa erosiona las competencias básicas de ingreso a la universidad.</w:t>
      </w:r>
    </w:p>
    <w:p w:rsidR="00000000" w:rsidDel="00000000" w:rsidP="00000000" w:rsidRDefault="00000000" w:rsidRPr="00000000" w14:paraId="0000005A">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UNESCO. (2023). Informe de seguimiento de la educación en el mundo: tecnología en la educación. UNESCO.</w:t>
      </w:r>
    </w:p>
    <w:p w:rsidR="00000000" w:rsidDel="00000000" w:rsidP="00000000" w:rsidRDefault="00000000" w:rsidRPr="00000000" w14:paraId="0000005B">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UNESCO. (2026). Informe mundial sobre las tendencias de la educación superior. UNESCO.</w:t>
      </w:r>
    </w:p>
    <w:p w:rsidR="00000000" w:rsidDel="00000000" w:rsidP="00000000" w:rsidRDefault="00000000" w:rsidRPr="00000000" w14:paraId="0000005C">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Varoufakis, Y. (2024). Tecnofeudalismo: el sigiloso reemplazo del capitalismo por una nueva forma de poder. Deusto.</w:t>
      </w:r>
    </w:p>
    <w:p w:rsidR="00000000" w:rsidDel="00000000" w:rsidP="00000000" w:rsidRDefault="00000000" w:rsidRPr="00000000" w14:paraId="0000005D">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Zuboff, S. (2019). La era del capitalismo de la vigilancia: la lucha por un futuro humano frente a las nuevas fronteras del poder. Paidós.</w:t>
      </w:r>
    </w:p>
    <w:p w:rsidR="00000000" w:rsidDel="00000000" w:rsidP="00000000" w:rsidRDefault="00000000" w:rsidRPr="00000000" w14:paraId="0000005E">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Zuboff, S. (2025). Derechos cognitivos y autoridad epistémica en la era de la inteligencia artificial generativa. Harvard Business Review.</w:t>
      </w:r>
    </w:p>
    <w:p w:rsidR="00000000" w:rsidDel="00000000" w:rsidP="00000000" w:rsidRDefault="00000000" w:rsidRPr="00000000" w14:paraId="0000005F">
      <w:pPr>
        <w:spacing w:line="240" w:lineRule="auto"/>
        <w:jc w:val="center"/>
        <w:rPr>
          <w:rFonts w:ascii="Times New Roman" w:cs="Times New Roman" w:eastAsia="Times New Roman" w:hAnsi="Times New Roman"/>
          <w:b w:val="1"/>
          <w:bCs w:val="1"/>
        </w:rPr>
      </w:pPr>
      <w:r w:rsidDel="00000000" w:rsidR="00000000" w:rsidRPr="00000000">
        <w:rPr>
          <w:rtl w:val="0"/>
        </w:rPr>
      </w:r>
    </w:p>
    <w:sectPr>
      <w:headerReference r:id="rId7" w:type="default"/>
      <w:footerReference r:id="rId8" w:type="default"/>
      <w:pgSz w:h="16838" w:w="11906" w:orient="portrait"/>
      <w:pgMar w:bottom="1843" w:top="2410" w:left="1701" w:right="1701" w:header="284" w:foot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Pr>
      <w:drawing>
        <wp:inline distB="0" distT="0" distL="0" distR="0">
          <wp:extent cx="5400040" cy="428625"/>
          <wp:effectExtent b="0" l="0" r="0" t="0"/>
          <wp:docPr id="2" name="image2.png"/>
          <a:graphic>
            <a:graphicData uri="http://schemas.openxmlformats.org/drawingml/2006/picture">
              <pic:pic>
                <pic:nvPicPr>
                  <pic:cNvPr id="0" name="image2.png"/>
                  <pic:cNvPicPr preferRelativeResize="0"/>
                </pic:nvPicPr>
                <pic:blipFill>
                  <a:blip r:embed="rId1"/>
                  <a:srcRect b="0" l="0" r="0" t="0"/>
                  <a:stretch>
                    <a:fillRect/>
                  </a:stretch>
                </pic:blipFill>
                <pic:spPr>
                  <a:xfrm>
                    <a:off x="0" y="0"/>
                    <a:ext cx="5400040" cy="428625"/>
                  </a:xfrm>
                  <a:prstGeom prst="rect"/>
                  <a:ln/>
                </pic:spPr>
              </pic:pic>
            </a:graphicData>
          </a:graphic>
        </wp:inline>
      </w:drawing>
    </w:r>
    <w:r w:rsidDel="00000000" w:rsidR="00000000" w:rsidRPr="00000000">
      <w:rPr>
        <w:rtl w:val="0"/>
      </w:rPr>
    </w:r>
  </w:p>
  <w:p w:rsidR="00000000" w:rsidDel="00000000" w:rsidP="00000000" w:rsidRDefault="00000000" w:rsidRPr="00000000" w14:paraId="0000006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center"/>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Pr>
      <w:drawing>
        <wp:inline distB="0" distT="0" distL="0" distR="0">
          <wp:extent cx="2617939" cy="1091320"/>
          <wp:effectExtent b="0" l="0" r="0" t="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2617939" cy="1091320"/>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4"/>
        <w:szCs w:val="24"/>
        <w:lang w:val="es_419"/>
      </w:rPr>
    </w:rPrDefault>
    <w:pPrDefault>
      <w:pPr>
        <w:spacing w:after="160" w:line="278.0000000000000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Calibri" w:cs="Calibri" w:eastAsia="Calibri" w:hAnsi="Calibri"/>
      <w:color w:val="2f5496"/>
      <w:sz w:val="40"/>
      <w:szCs w:val="40"/>
    </w:rPr>
  </w:style>
  <w:style w:type="paragraph" w:styleId="Heading2">
    <w:name w:val="heading 2"/>
    <w:basedOn w:val="Normal"/>
    <w:next w:val="Normal"/>
    <w:pPr>
      <w:keepNext w:val="1"/>
      <w:keepLines w:val="1"/>
      <w:spacing w:after="80" w:before="160" w:lineRule="auto"/>
    </w:pPr>
    <w:rPr>
      <w:rFonts w:ascii="Calibri" w:cs="Calibri" w:eastAsia="Calibri" w:hAnsi="Calibri"/>
      <w:color w:val="2f5496"/>
      <w:sz w:val="32"/>
      <w:szCs w:val="32"/>
    </w:rPr>
  </w:style>
  <w:style w:type="paragraph" w:styleId="Heading3">
    <w:name w:val="heading 3"/>
    <w:basedOn w:val="Normal"/>
    <w:next w:val="Normal"/>
    <w:pPr>
      <w:keepNext w:val="1"/>
      <w:keepLines w:val="1"/>
      <w:spacing w:after="80" w:before="160" w:lineRule="auto"/>
    </w:pPr>
    <w:rPr>
      <w:color w:val="2f5496"/>
      <w:sz w:val="28"/>
      <w:szCs w:val="28"/>
    </w:rPr>
  </w:style>
  <w:style w:type="paragraph" w:styleId="Heading4">
    <w:name w:val="heading 4"/>
    <w:basedOn w:val="Normal"/>
    <w:next w:val="Normal"/>
    <w:pPr>
      <w:keepNext w:val="1"/>
      <w:keepLines w:val="1"/>
      <w:spacing w:after="40" w:before="80" w:lineRule="auto"/>
    </w:pPr>
    <w:rPr>
      <w:i w:val="1"/>
      <w:iCs w:val="1"/>
      <w:color w:val="2f5496"/>
    </w:rPr>
  </w:style>
  <w:style w:type="paragraph" w:styleId="Heading5">
    <w:name w:val="heading 5"/>
    <w:basedOn w:val="Normal"/>
    <w:next w:val="Normal"/>
    <w:pPr>
      <w:keepNext w:val="1"/>
      <w:keepLines w:val="1"/>
      <w:spacing w:after="40" w:before="80" w:lineRule="auto"/>
    </w:pPr>
    <w:rPr>
      <w:color w:val="2f5496"/>
    </w:rPr>
  </w:style>
  <w:style w:type="paragraph" w:styleId="Heading6">
    <w:name w:val="heading 6"/>
    <w:basedOn w:val="Normal"/>
    <w:next w:val="Normal"/>
    <w:pPr>
      <w:keepNext w:val="1"/>
      <w:keepLines w:val="1"/>
      <w:spacing w:after="0" w:before="40" w:lineRule="auto"/>
    </w:pPr>
    <w:rPr>
      <w:i w:val="1"/>
      <w:iCs w:val="1"/>
      <w:color w:val="595959"/>
    </w:rPr>
  </w:style>
  <w:style w:type="paragraph" w:styleId="Title">
    <w:name w:val="Title"/>
    <w:basedOn w:val="Normal"/>
    <w:next w:val="Normal"/>
    <w:pPr>
      <w:spacing w:after="80" w:line="240" w:lineRule="auto"/>
    </w:pPr>
    <w:rPr>
      <w:rFonts w:ascii="Calibri" w:cs="Calibri" w:eastAsia="Calibri" w:hAnsi="Calibri"/>
      <w:sz w:val="56"/>
      <w:szCs w:val="56"/>
    </w:rPr>
  </w:style>
  <w:style w:type="paragraph" w:styleId="Subtitle">
    <w:name w:val="Subtitle"/>
    <w:basedOn w:val="Normal"/>
    <w:next w:val="Normal"/>
    <w:pPr/>
    <w:rPr>
      <w:color w:val="595959"/>
      <w:sz w:val="28"/>
      <w:szCs w:val="2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NpiK1lUkKY+AOql7cOKw/gojbAw==">CgMxLjA4AHIhMU5jTXdXRks1MHFtbFZJM0xDSy00UHlib25Cc1hOZWhY</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