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435255A1" w:rsidR="005F3B2E" w:rsidRPr="00BA642E" w:rsidRDefault="00B97C8D" w:rsidP="001923DC">
      <w:pPr>
        <w:jc w:val="center"/>
        <w:rPr>
          <w:rFonts w:ascii="Times New Roman" w:hAnsi="Times New Roman" w:cs="Times New Roman"/>
        </w:rPr>
      </w:pPr>
      <w:r w:rsidRPr="00B97C8D">
        <w:rPr>
          <w:rFonts w:ascii="Times New Roman" w:hAnsi="Times New Roman" w:cs="Times New Roman"/>
          <w:b/>
          <w:bCs/>
        </w:rPr>
        <w:t>Sesgos docentes en el uso de IA en la enseñanza universitaria de periodismo</w:t>
      </w:r>
    </w:p>
    <w:p w14:paraId="4E738780" w14:textId="12227857" w:rsidR="005F3B2E" w:rsidRPr="00BA642E" w:rsidRDefault="00B97C8D" w:rsidP="005F3B2E">
      <w:pPr>
        <w:spacing w:after="0" w:line="240" w:lineRule="auto"/>
        <w:jc w:val="right"/>
        <w:rPr>
          <w:rFonts w:ascii="Times New Roman" w:hAnsi="Times New Roman" w:cs="Times New Roman"/>
        </w:rPr>
      </w:pPr>
      <w:r>
        <w:rPr>
          <w:rFonts w:ascii="Times New Roman" w:hAnsi="Times New Roman" w:cs="Times New Roman"/>
        </w:rPr>
        <w:t>Carlucci Laura</w:t>
      </w:r>
    </w:p>
    <w:p w14:paraId="6C2AECCA" w14:textId="4A910227" w:rsidR="005F3B2E" w:rsidRPr="00BA642E" w:rsidRDefault="00B97C8D" w:rsidP="005F3B2E">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7D0026CD" w14:textId="1F3C9E13" w:rsidR="005F3B2E" w:rsidRDefault="00B97C8D" w:rsidP="005F3B2E">
      <w:pPr>
        <w:spacing w:after="0" w:line="240" w:lineRule="auto"/>
        <w:jc w:val="right"/>
        <w:rPr>
          <w:rFonts w:ascii="Times New Roman" w:hAnsi="Times New Roman" w:cs="Times New Roman"/>
        </w:rPr>
      </w:pPr>
      <w:hyperlink r:id="rId6" w:history="1">
        <w:r w:rsidRPr="002C760E">
          <w:rPr>
            <w:rStyle w:val="Hipervnculo"/>
            <w:rFonts w:ascii="Times New Roman" w:hAnsi="Times New Roman" w:cs="Times New Roman"/>
          </w:rPr>
          <w:t>lauracarlucci@gmail.com</w:t>
        </w:r>
      </w:hyperlink>
    </w:p>
    <w:p w14:paraId="7B9027E2" w14:textId="77777777" w:rsidR="00BA642E" w:rsidRPr="00BA642E" w:rsidRDefault="00BA642E" w:rsidP="005F3B2E">
      <w:pPr>
        <w:rPr>
          <w:rFonts w:ascii="Times New Roman" w:hAnsi="Times New Roman" w:cs="Times New Roman"/>
          <w:b/>
          <w:bCs/>
        </w:rPr>
      </w:pPr>
    </w:p>
    <w:p w14:paraId="35A6682C" w14:textId="690DE8C3" w:rsidR="00BA642E" w:rsidRPr="007B5B5F" w:rsidRDefault="00BA642E" w:rsidP="007B5B5F">
      <w:pPr>
        <w:spacing w:line="240" w:lineRule="auto"/>
        <w:jc w:val="both"/>
        <w:rPr>
          <w:rFonts w:ascii="Times New Roman" w:hAnsi="Times New Roman" w:cs="Times New Roman"/>
          <w:b/>
          <w:bCs/>
        </w:rPr>
      </w:pPr>
      <w:r w:rsidRPr="00B97C8D">
        <w:rPr>
          <w:rFonts w:ascii="Times New Roman" w:hAnsi="Times New Roman" w:cs="Times New Roman"/>
          <w:b/>
          <w:bCs/>
        </w:rPr>
        <w:t>Resumen:</w:t>
      </w:r>
      <w:r w:rsidR="007B5B5F" w:rsidRPr="00B97C8D">
        <w:rPr>
          <w:rFonts w:ascii="Times New Roman" w:hAnsi="Times New Roman" w:cs="Times New Roman"/>
          <w:b/>
          <w:bCs/>
        </w:rPr>
        <w:t xml:space="preserve"> </w:t>
      </w:r>
      <w:r w:rsidR="00B97C8D" w:rsidRPr="00B97C8D">
        <w:rPr>
          <w:rFonts w:ascii="Times New Roman" w:hAnsi="Times New Roman" w:cs="Times New Roman"/>
        </w:rPr>
        <w:t>La acelerada incorporación de herramientas de inteligencia artificial (IA) generativa en las aulas universitarias de periodismo está transformando las prácticas de enseñanza, los modos de producción de conocimiento y las dinámicas de evaluación, pero también está poniendo en evidencia un conjunto de sesgos docentes que inciden de manera decisiva en su adopción, regulación y aprovechamiento pedagógico. Este trabajo se propone analizar los sesgos que intervienen cuando profesores y profesoras de educación superior integran, o rechazan, la IA como herramienta didáctica, haciendo especial foco en carreras de periodismo, en donde la dimensión ética, la autoría y la credibilidad profesional adquieren un peso central. A partir de una revisión actualizada del estado de la cuestión y del análisis de experiencias institucionales recientes en universidades que han incorporado IA en asignaturas vinculadas a redacción, periodismo de datos e investigación, el artículo identifica tres grandes núcleos problemáticos: sesgos cognitivos individuales (tecnofilia, tecnofobia, efecto halo algorítmico), sesgos profesionales vinculados a la identidad docente y a la concepción tradicional del oficio periodístico, y sesgos estructurales derivados de desigualdades en la formación digital, acceso a recursos y políticas institucionales. Se sostiene que la integración pedagógica de IA no depende únicamente de la disponibilidad tecnológica sino, fundamentalmente, de marcos interpretativos previos que orientan la percepción de riesgo, legitimidad y utilidad de estas herramientas. Asimismo, se argumenta que en el campo del periodismo estos sesgos se amplifican debido a tensiones históricas vinculadas a automatización y autoría, verificación y velocidad, creatividad y estandarización. Metodológicamente, el artículo combina revisión bibliográfica sistematizada con análisis cualitativo de investigaciones que relevan discursos docentes, con el objetivo de ofrecer una tipología o clasificación que ayude a comprender cómo operan estos sesgos en la práctica concreta del aula. Como aporte, se propone un marco conceptual para distinguir entre sesgos derivados de la herramienta y sesgos pedagógicos asociados a decisiones humanas, subrayando la necesidad de políticas de formación docente continua en alfabetización y ética de la IA. Finalmente, en este trabajo se plantea que reconocer y problematizar los sesgos docentes no implica obstaculizar la innovación, sino generar condiciones para una integración reflexiva de la IA que fortalezca el pensamiento crítico, la autonomía profesional y la responsabilidad social en la formación de las y los periodistas del futuro.</w:t>
      </w:r>
    </w:p>
    <w:p w14:paraId="2994BAB3" w14:textId="450E6BFE"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B97C8D" w:rsidRPr="00B97C8D">
        <w:rPr>
          <w:rFonts w:ascii="Times New Roman" w:hAnsi="Times New Roman" w:cs="Times New Roman"/>
        </w:rPr>
        <w:t>inteligencia artificial, educación superior, periodismo, sesgos docentes</w:t>
      </w:r>
    </w:p>
    <w:p w14:paraId="06C66C82" w14:textId="77777777" w:rsidR="00B97C8D" w:rsidRDefault="00B97C8D" w:rsidP="007B5B5F">
      <w:pPr>
        <w:spacing w:line="240" w:lineRule="auto"/>
        <w:rPr>
          <w:rFonts w:ascii="Times New Roman" w:hAnsi="Times New Roman" w:cs="Times New Roman"/>
          <w:b/>
          <w:bCs/>
        </w:rPr>
      </w:pPr>
    </w:p>
    <w:p w14:paraId="3ABD9CA0" w14:textId="77777777" w:rsidR="00497FE6" w:rsidRDefault="00497FE6">
      <w:pPr>
        <w:rPr>
          <w:rFonts w:ascii="Times New Roman" w:hAnsi="Times New Roman" w:cs="Times New Roman"/>
          <w:b/>
          <w:bCs/>
        </w:rPr>
      </w:pPr>
      <w:r>
        <w:rPr>
          <w:rFonts w:ascii="Times New Roman" w:hAnsi="Times New Roman" w:cs="Times New Roman"/>
          <w:b/>
          <w:bCs/>
        </w:rPr>
        <w:br w:type="page"/>
      </w:r>
    </w:p>
    <w:p w14:paraId="6A5547A1" w14:textId="5F221CF4"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lastRenderedPageBreak/>
        <w:t>Introducción</w:t>
      </w:r>
    </w:p>
    <w:p w14:paraId="420D0942" w14:textId="77777777" w:rsidR="00B97C8D" w:rsidRPr="00B97C8D" w:rsidRDefault="00B97C8D" w:rsidP="00B97C8D">
      <w:pPr>
        <w:spacing w:line="240" w:lineRule="auto"/>
        <w:jc w:val="both"/>
        <w:rPr>
          <w:rFonts w:ascii="Times New Roman" w:hAnsi="Times New Roman" w:cs="Times New Roman"/>
        </w:rPr>
      </w:pPr>
      <w:r w:rsidRPr="00B97C8D">
        <w:rPr>
          <w:rFonts w:ascii="Times New Roman" w:hAnsi="Times New Roman" w:cs="Times New Roman"/>
        </w:rPr>
        <w:t>La Educación Superior se encuentra ante un nuevo escenario en el que la Inteligencia Artificial (IA) Generativa, capaz de producir textos, imágenes, códigos y otros contenidos, irrumpe y demanda la necesidad de formar en su uso a estudiantes, docentes y a la sociedad en general.</w:t>
      </w:r>
    </w:p>
    <w:p w14:paraId="0928FBC7" w14:textId="77777777" w:rsidR="00B97C8D" w:rsidRPr="00B97C8D" w:rsidRDefault="00B97C8D" w:rsidP="00B97C8D">
      <w:pPr>
        <w:spacing w:line="240" w:lineRule="auto"/>
        <w:jc w:val="both"/>
        <w:rPr>
          <w:rFonts w:ascii="Times New Roman" w:hAnsi="Times New Roman" w:cs="Times New Roman"/>
        </w:rPr>
      </w:pPr>
      <w:r w:rsidRPr="00B97C8D">
        <w:rPr>
          <w:rFonts w:ascii="Times New Roman" w:hAnsi="Times New Roman" w:cs="Times New Roman"/>
        </w:rPr>
        <w:t>Desde la aparición pública del Chat GPT en 2022, universidades de todo el mundo comenzaron a debatir el lugar que estas tecnologías tienen que tener en los procesos de enseñanza y aprendizaje, considerando los desafíos que plantean para la producción, difusión y evaluación del conocimiento, pero también considerando las oportunidades.</w:t>
      </w:r>
    </w:p>
    <w:p w14:paraId="044FA9C2" w14:textId="77777777" w:rsidR="00B97C8D" w:rsidRPr="00B97C8D" w:rsidRDefault="00B97C8D" w:rsidP="00B97C8D">
      <w:pPr>
        <w:spacing w:line="240" w:lineRule="auto"/>
        <w:jc w:val="both"/>
        <w:rPr>
          <w:rFonts w:ascii="Times New Roman" w:hAnsi="Times New Roman" w:cs="Times New Roman"/>
        </w:rPr>
      </w:pPr>
      <w:r w:rsidRPr="00B97C8D">
        <w:rPr>
          <w:rFonts w:ascii="Times New Roman" w:hAnsi="Times New Roman" w:cs="Times New Roman"/>
        </w:rPr>
        <w:t>Las primeras preguntas se centraron en el plagio y en la automatización de tareas académicas. Más tarde empezaron a incorporarse algunas más complejas, sobre alfabetización algorítmica, pensamiento crítico, autoría, creatividad y transformación de la práctica docente.</w:t>
      </w:r>
    </w:p>
    <w:p w14:paraId="7F302E3F" w14:textId="77777777" w:rsidR="00B97C8D" w:rsidRPr="00B97C8D" w:rsidRDefault="00B97C8D" w:rsidP="00B97C8D">
      <w:pPr>
        <w:spacing w:line="240" w:lineRule="auto"/>
        <w:jc w:val="both"/>
        <w:rPr>
          <w:rFonts w:ascii="Times New Roman" w:hAnsi="Times New Roman" w:cs="Times New Roman"/>
        </w:rPr>
      </w:pPr>
      <w:r w:rsidRPr="00B97C8D">
        <w:rPr>
          <w:rFonts w:ascii="Times New Roman" w:hAnsi="Times New Roman" w:cs="Times New Roman"/>
        </w:rPr>
        <w:t xml:space="preserve">Particularmente en el campo de la enseñanza del periodismo la IA sacudió un tablero donde la profesión periodística ya venía atravesando un proceso de transformación impulsado por la digitalización, la automatización de las tareas propias de la rutina informativa y el boom del periodismo de datos, entre otras cuestiones. </w:t>
      </w:r>
    </w:p>
    <w:p w14:paraId="766B1E9F" w14:textId="77777777" w:rsidR="00B97C8D" w:rsidRPr="00B97C8D" w:rsidRDefault="00B97C8D" w:rsidP="00B97C8D">
      <w:pPr>
        <w:spacing w:line="240" w:lineRule="auto"/>
        <w:jc w:val="both"/>
        <w:rPr>
          <w:rFonts w:ascii="Times New Roman" w:hAnsi="Times New Roman" w:cs="Times New Roman"/>
        </w:rPr>
      </w:pPr>
      <w:r w:rsidRPr="00B97C8D">
        <w:rPr>
          <w:rFonts w:ascii="Times New Roman" w:hAnsi="Times New Roman" w:cs="Times New Roman"/>
        </w:rPr>
        <w:t xml:space="preserve">La Inteligencia Artificial Generativa llegó para intensificar estas transformaciones, al introducir herramientas que pueden redactar noticias, resumir documentos, sugerir enfoques narrativos y analizar grandes volúmenes de datos en pocos segundos, además de asistir en múltiples tareas asociadas al trabajo intelectual de periodistas y estudiantes. </w:t>
      </w:r>
    </w:p>
    <w:p w14:paraId="5BEC3B1A" w14:textId="1F72B5BB" w:rsidR="00B97C8D" w:rsidRPr="00B97C8D" w:rsidRDefault="00B97C8D" w:rsidP="00B97C8D">
      <w:pPr>
        <w:spacing w:line="240" w:lineRule="auto"/>
        <w:jc w:val="both"/>
        <w:rPr>
          <w:rFonts w:ascii="Times New Roman" w:hAnsi="Times New Roman" w:cs="Times New Roman"/>
        </w:rPr>
      </w:pPr>
      <w:r w:rsidRPr="00B97C8D">
        <w:rPr>
          <w:rFonts w:ascii="Times New Roman" w:hAnsi="Times New Roman" w:cs="Times New Roman"/>
        </w:rPr>
        <w:t>Como consecuencia, las carreras universitarias de periodismo y comunicación se preguntan: ¿Cómo formar profesionales capaces de comprender críticamente estas tecnologías, aprovechar su potencial y reconocer los límites éticos, epistemológicos y sociales?</w:t>
      </w:r>
      <w:r>
        <w:rPr>
          <w:rFonts w:ascii="Times New Roman" w:hAnsi="Times New Roman" w:cs="Times New Roman"/>
        </w:rPr>
        <w:t xml:space="preserve"> </w:t>
      </w:r>
      <w:r w:rsidRPr="00B97C8D">
        <w:rPr>
          <w:rFonts w:ascii="Times New Roman" w:hAnsi="Times New Roman" w:cs="Times New Roman"/>
        </w:rPr>
        <w:t xml:space="preserve">Alrededor del mundo, las instituciones educativas comenzaron a responder, posiblemente sin demasiado tiempo para la reflexión, con la incorporación de contenidos vinculados con la IA en sus planes de estudio, la incorporación de nuevas asignaturas y la implementación de experiencias pedagógicas específicas. Diversos estudios muestran que en Europa, Asia y América las universidades están experimentando con la integración de herramientas de IA en actividades de redacción periodística, periodismo de datos y producción </w:t>
      </w:r>
      <w:proofErr w:type="spellStart"/>
      <w:r w:rsidRPr="00B97C8D">
        <w:rPr>
          <w:rFonts w:ascii="Times New Roman" w:hAnsi="Times New Roman" w:cs="Times New Roman"/>
        </w:rPr>
        <w:t>transmedia</w:t>
      </w:r>
      <w:proofErr w:type="spellEnd"/>
      <w:r w:rsidRPr="00B97C8D">
        <w:rPr>
          <w:rFonts w:ascii="Times New Roman" w:hAnsi="Times New Roman" w:cs="Times New Roman"/>
        </w:rPr>
        <w:t xml:space="preserve">. Al mismo tiempo, organismos internacionales y asociaciones académicas vinculadas al periodismo señalan la necesidad de actualizar las </w:t>
      </w:r>
      <w:proofErr w:type="spellStart"/>
      <w:r w:rsidRPr="00B97C8D">
        <w:rPr>
          <w:rFonts w:ascii="Times New Roman" w:hAnsi="Times New Roman" w:cs="Times New Roman"/>
        </w:rPr>
        <w:t>currículas</w:t>
      </w:r>
      <w:proofErr w:type="spellEnd"/>
      <w:r w:rsidRPr="00B97C8D">
        <w:rPr>
          <w:rFonts w:ascii="Times New Roman" w:hAnsi="Times New Roman" w:cs="Times New Roman"/>
        </w:rPr>
        <w:t xml:space="preserve"> para responder a las transformaciones del ecosistema mediático contemporáneo.</w:t>
      </w:r>
    </w:p>
    <w:p w14:paraId="10A443CB" w14:textId="77777777" w:rsidR="00B97C8D" w:rsidRPr="00B97C8D" w:rsidRDefault="00B97C8D" w:rsidP="00B97C8D">
      <w:pPr>
        <w:spacing w:line="240" w:lineRule="auto"/>
        <w:jc w:val="both"/>
        <w:rPr>
          <w:rFonts w:ascii="Times New Roman" w:hAnsi="Times New Roman" w:cs="Times New Roman"/>
        </w:rPr>
      </w:pPr>
      <w:r w:rsidRPr="00B97C8D">
        <w:rPr>
          <w:rFonts w:ascii="Times New Roman" w:hAnsi="Times New Roman" w:cs="Times New Roman"/>
        </w:rPr>
        <w:t xml:space="preserve">Sin embargo, la incorporación de la IA en la educación superior no constituye un proceso exclusivamente técnico ni depende únicamente de la disponibilidad de herramientas digitales. Las decisiones acerca de cuándo, cómo y para qué utilizar estas tecnologías se encuentran condicionadas por las percepciones, creencias, expectativas y preocupaciones de las y los docentes: existen marcos interpretativos que influyen tanto en su aceptación como en su rechazo. Algunos profesores perciben estas herramientas como una oportunidad para potenciar el aprendizaje, desarrollar nuevas competencias y optimizar determinadas tareas académicas, en tanto que otros las consideran una amenaza para la </w:t>
      </w:r>
      <w:r w:rsidRPr="00B97C8D">
        <w:rPr>
          <w:rFonts w:ascii="Times New Roman" w:hAnsi="Times New Roman" w:cs="Times New Roman"/>
        </w:rPr>
        <w:lastRenderedPageBreak/>
        <w:t>creatividad, la autonomía intelectual, la integridad académica o la formación profesional de los estudiantes. Estas posiciones no necesariamente responden a evaluaciones objetivas sobre las nuevas tecnologías y sus capacidades reales, sino que expresan, muchas veces, formas particulares de comprender el conocimiento, la enseñanza, el aprendizaje y la identidad profesional del periodista. Por este motivo, para analizar la integración de la IA a la educación superior, no alcanza considerar solo perspectiva tecnológica o instrumental, sino que se vuelve necesario examinar también los sesgos que intervienen en las decisiones pedagógicas y que orientan las prácticas de los docentes frente a estas innovaciones.</w:t>
      </w:r>
    </w:p>
    <w:p w14:paraId="08C97314" w14:textId="77777777" w:rsidR="00B97C8D" w:rsidRPr="00B97C8D" w:rsidRDefault="00B97C8D" w:rsidP="00B97C8D">
      <w:pPr>
        <w:spacing w:line="240" w:lineRule="auto"/>
        <w:jc w:val="both"/>
        <w:rPr>
          <w:rFonts w:ascii="Times New Roman" w:hAnsi="Times New Roman" w:cs="Times New Roman"/>
        </w:rPr>
      </w:pPr>
      <w:r w:rsidRPr="00B97C8D">
        <w:rPr>
          <w:rFonts w:ascii="Times New Roman" w:hAnsi="Times New Roman" w:cs="Times New Roman"/>
        </w:rPr>
        <w:t xml:space="preserve">El presente trabajo analiza los sesgos que intervienen en la adopción pedagógica de herramientas de IA en la enseñanza universitaria del periodismo a partir de un análisis secundario de investigaciones publicadas que relevan percepciones y experiencias docentes. Posteriormente se identifican patrones recurrentes y se propone una tipología analítica compuesta por cuatro dimensiones: sesgos cognitivos individuales, profesionales-identitarios, pedagógicos e institucionales. Esta clasificación permite comprender cómo distintos marcos interpretativos condicionan la aceptación, regulación o rechazo de la inteligencia artificial en contextos educativos y distinguir entre los sesgos propios de los sistemas algorítmicos y aquellos asociados a las decisiones humanas. </w:t>
      </w:r>
    </w:p>
    <w:p w14:paraId="78EEEA32" w14:textId="77777777" w:rsidR="00B97C8D" w:rsidRDefault="00B97C8D" w:rsidP="00B97C8D">
      <w:pPr>
        <w:spacing w:line="240" w:lineRule="auto"/>
        <w:jc w:val="both"/>
        <w:rPr>
          <w:rFonts w:ascii="Times New Roman" w:hAnsi="Times New Roman" w:cs="Times New Roman"/>
        </w:rPr>
      </w:pPr>
      <w:r w:rsidRPr="00B97C8D">
        <w:rPr>
          <w:rFonts w:ascii="Times New Roman" w:hAnsi="Times New Roman" w:cs="Times New Roman"/>
        </w:rPr>
        <w:t>La hipótesis central de este trabajo sostiene que estos sesgos influyen directamente en las posibilidades de innovación curricular y desarrollo de competencias emergentes, por lo que su reconocimiento constituye una condición necesaria para promover una integración tecnológica más crítica y reflexiva en la formación periodística.</w:t>
      </w:r>
    </w:p>
    <w:p w14:paraId="65A749C7" w14:textId="77777777" w:rsidR="00B97C8D" w:rsidRDefault="00B97C8D" w:rsidP="00B97C8D">
      <w:pPr>
        <w:spacing w:line="240" w:lineRule="auto"/>
        <w:rPr>
          <w:rFonts w:ascii="Times New Roman" w:hAnsi="Times New Roman" w:cs="Times New Roman"/>
          <w:b/>
          <w:bCs/>
          <w:lang w:val="es-AR"/>
        </w:rPr>
      </w:pPr>
    </w:p>
    <w:p w14:paraId="2FD138AD" w14:textId="009B6CBD" w:rsidR="005F3B2E" w:rsidRPr="00B97C8D" w:rsidRDefault="005F3B2E" w:rsidP="00B97C8D">
      <w:pPr>
        <w:spacing w:line="240" w:lineRule="auto"/>
        <w:rPr>
          <w:rFonts w:ascii="Times New Roman" w:hAnsi="Times New Roman" w:cs="Times New Roman"/>
          <w:b/>
          <w:bCs/>
          <w:lang w:val="es-AR"/>
        </w:rPr>
      </w:pPr>
      <w:r w:rsidRPr="00B97C8D">
        <w:rPr>
          <w:rFonts w:ascii="Times New Roman" w:hAnsi="Times New Roman" w:cs="Times New Roman"/>
          <w:b/>
          <w:bCs/>
          <w:lang w:val="es-AR"/>
        </w:rPr>
        <w:t>Desarrollo</w:t>
      </w:r>
    </w:p>
    <w:p w14:paraId="2B4CCFCA" w14:textId="77777777" w:rsidR="00B97C8D" w:rsidRPr="00B97C8D" w:rsidRDefault="00B97C8D" w:rsidP="00B97C8D">
      <w:pPr>
        <w:spacing w:line="240" w:lineRule="auto"/>
        <w:jc w:val="both"/>
        <w:rPr>
          <w:rFonts w:ascii="Times New Roman" w:hAnsi="Times New Roman" w:cs="Times New Roman"/>
          <w:b/>
          <w:bCs/>
          <w:lang w:val="es-AR"/>
        </w:rPr>
      </w:pPr>
      <w:r w:rsidRPr="00B97C8D">
        <w:rPr>
          <w:rFonts w:ascii="Times New Roman" w:hAnsi="Times New Roman" w:cs="Times New Roman"/>
          <w:b/>
          <w:bCs/>
          <w:lang w:val="es-AR"/>
        </w:rPr>
        <w:t>Estado de la cuestión</w:t>
      </w:r>
    </w:p>
    <w:p w14:paraId="01C0D152"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La incorporación de inteligencia artificial en la actividad periodística precede a su desembarco en las aulas de la universidad. Mucho antes de que herramientas como el Chat GPT popularizaran la IA generativa entre docentes y estudiantes, los grandes medios ya experimentaban con sistemas automatizados para la producción, distribución y personalización de contenidos. Esto nos lleva a pensar que el debate sobre la formación universitaria de periodistas no puede comprenderse aislado de las transformaciones que atraviesan las prácticas profesionales del periodismo.</w:t>
      </w:r>
    </w:p>
    <w:p w14:paraId="506A5B66"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A partir de las conclusiones del informe </w:t>
      </w:r>
      <w:r w:rsidRPr="00E466E4">
        <w:rPr>
          <w:rFonts w:ascii="Times New Roman" w:hAnsi="Times New Roman" w:cs="Times New Roman"/>
          <w:i/>
          <w:iCs/>
          <w:lang w:val="es-AR"/>
        </w:rPr>
        <w:t xml:space="preserve">New Powers, New </w:t>
      </w:r>
      <w:proofErr w:type="spellStart"/>
      <w:r w:rsidRPr="00E466E4">
        <w:rPr>
          <w:rFonts w:ascii="Times New Roman" w:hAnsi="Times New Roman" w:cs="Times New Roman"/>
          <w:i/>
          <w:iCs/>
          <w:lang w:val="es-AR"/>
        </w:rPr>
        <w:t>Responsibilities</w:t>
      </w:r>
      <w:proofErr w:type="spellEnd"/>
      <w:r w:rsidRPr="00E466E4">
        <w:rPr>
          <w:rFonts w:ascii="Times New Roman" w:hAnsi="Times New Roman" w:cs="Times New Roman"/>
          <w:i/>
          <w:iCs/>
          <w:lang w:val="es-AR"/>
        </w:rPr>
        <w:t xml:space="preserve">: A Global </w:t>
      </w:r>
      <w:proofErr w:type="spellStart"/>
      <w:r w:rsidRPr="00E466E4">
        <w:rPr>
          <w:rFonts w:ascii="Times New Roman" w:hAnsi="Times New Roman" w:cs="Times New Roman"/>
          <w:i/>
          <w:iCs/>
          <w:lang w:val="es-AR"/>
        </w:rPr>
        <w:t>Survey</w:t>
      </w:r>
      <w:proofErr w:type="spellEnd"/>
      <w:r w:rsidRPr="00E466E4">
        <w:rPr>
          <w:rFonts w:ascii="Times New Roman" w:hAnsi="Times New Roman" w:cs="Times New Roman"/>
          <w:i/>
          <w:iCs/>
          <w:lang w:val="es-AR"/>
        </w:rPr>
        <w:t xml:space="preserve"> </w:t>
      </w:r>
      <w:proofErr w:type="spellStart"/>
      <w:r w:rsidRPr="00E466E4">
        <w:rPr>
          <w:rFonts w:ascii="Times New Roman" w:hAnsi="Times New Roman" w:cs="Times New Roman"/>
          <w:i/>
          <w:iCs/>
          <w:lang w:val="es-AR"/>
        </w:rPr>
        <w:t>of</w:t>
      </w:r>
      <w:proofErr w:type="spellEnd"/>
      <w:r w:rsidRPr="00E466E4">
        <w:rPr>
          <w:rFonts w:ascii="Times New Roman" w:hAnsi="Times New Roman" w:cs="Times New Roman"/>
          <w:i/>
          <w:iCs/>
          <w:lang w:val="es-AR"/>
        </w:rPr>
        <w:t xml:space="preserve"> </w:t>
      </w:r>
      <w:proofErr w:type="spellStart"/>
      <w:r w:rsidRPr="00E466E4">
        <w:rPr>
          <w:rFonts w:ascii="Times New Roman" w:hAnsi="Times New Roman" w:cs="Times New Roman"/>
          <w:i/>
          <w:iCs/>
          <w:lang w:val="es-AR"/>
        </w:rPr>
        <w:t>Journalism</w:t>
      </w:r>
      <w:proofErr w:type="spellEnd"/>
      <w:r w:rsidRPr="00E466E4">
        <w:rPr>
          <w:rFonts w:ascii="Times New Roman" w:hAnsi="Times New Roman" w:cs="Times New Roman"/>
          <w:i/>
          <w:iCs/>
          <w:lang w:val="es-AR"/>
        </w:rPr>
        <w:t xml:space="preserve"> and Artificial </w:t>
      </w:r>
      <w:proofErr w:type="spellStart"/>
      <w:r w:rsidRPr="00E466E4">
        <w:rPr>
          <w:rFonts w:ascii="Times New Roman" w:hAnsi="Times New Roman" w:cs="Times New Roman"/>
          <w:i/>
          <w:iCs/>
          <w:lang w:val="es-AR"/>
        </w:rPr>
        <w:t>Intelligence</w:t>
      </w:r>
      <w:proofErr w:type="spellEnd"/>
      <w:r w:rsidRPr="00B97C8D">
        <w:rPr>
          <w:rFonts w:ascii="Times New Roman" w:hAnsi="Times New Roman" w:cs="Times New Roman"/>
          <w:lang w:val="es-AR"/>
        </w:rPr>
        <w:t xml:space="preserve"> de Charlie Beckett, catedrático del Departamento de Medios y Comunicación de la Escuela de Economía y Ciencias Políticas de Londres, puede afirmarse que la inteligencia artificial no es concebida por las organizaciones periodísticas como un sustituto del trabajo periodístico, sino como una herramienta de ampliación de capacidades. </w:t>
      </w:r>
    </w:p>
    <w:p w14:paraId="1B4126BB" w14:textId="2126849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En ese estudio, los profesionales encuestados sostienen que la IA permite aumentar la eficiencia de las redacciones y liberar tiempo para la producción de un periodismo de </w:t>
      </w:r>
      <w:r w:rsidRPr="00B97C8D">
        <w:rPr>
          <w:rFonts w:ascii="Times New Roman" w:hAnsi="Times New Roman" w:cs="Times New Roman"/>
          <w:lang w:val="es-AR"/>
        </w:rPr>
        <w:lastRenderedPageBreak/>
        <w:t xml:space="preserve">mayor calidad, especialmente en un contexto de crisis económica y pérdida de confianza. Asimismo, destacan el potencial de estas tecnologías para ayudar a las audiencias a gestionar la sobrecarga informativa y acceder a contenidos confiables y relevantes. </w:t>
      </w:r>
    </w:p>
    <w:p w14:paraId="2D77A322" w14:textId="740B080A"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La incorporación de la IA, muestra el informe, exige transformaciones profundas en las organizaciones periodísticas. No alcanza con adoptar herramientas tecnológicas: las empresas de medios deben desarrollar estrategias específicas, modificar sus flujos de trabajo, invertir en capacitación y promover la colaboración tanto dentro del sector como con universidades y empresas </w:t>
      </w:r>
      <w:r w:rsidR="003F12CE">
        <w:rPr>
          <w:rFonts w:ascii="Times New Roman" w:hAnsi="Times New Roman" w:cs="Times New Roman"/>
          <w:lang w:val="es-AR"/>
        </w:rPr>
        <w:t xml:space="preserve">de </w:t>
      </w:r>
      <w:r w:rsidRPr="00B97C8D">
        <w:rPr>
          <w:rFonts w:ascii="Times New Roman" w:hAnsi="Times New Roman" w:cs="Times New Roman"/>
          <w:lang w:val="es-AR"/>
        </w:rPr>
        <w:t>tecnol</w:t>
      </w:r>
      <w:r w:rsidR="003F12CE">
        <w:rPr>
          <w:rFonts w:ascii="Times New Roman" w:hAnsi="Times New Roman" w:cs="Times New Roman"/>
          <w:lang w:val="es-AR"/>
        </w:rPr>
        <w:t>ogía</w:t>
      </w:r>
      <w:r w:rsidRPr="00B97C8D">
        <w:rPr>
          <w:rFonts w:ascii="Times New Roman" w:hAnsi="Times New Roman" w:cs="Times New Roman"/>
          <w:lang w:val="es-AR"/>
        </w:rPr>
        <w:t>. Los autores advierten que la implementación de la IA implica desafíos significativos, como los sesgos algorítmicos, la falta de recursos y el riesgo de privilegiar beneficios económicos de corto plazo por sobre calidad editorial.</w:t>
      </w:r>
    </w:p>
    <w:p w14:paraId="61BA28F7" w14:textId="4B923FE4"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Finalmente, el estudio sostiene que la inteligencia artificial obligará al periodismo a redefinir su papel social. En un ecosistema informativo cada vez más complejo, el valor diferencial del periodismo seguirá residiendo en la producción y curaduría de información confiable, el análisis crítico y la promoción del debate público. En este sentido, el director y fundador de Polis afirma que: "Las tecnologías de IA no salvarán ni acabarán con el periodismo. Este se enfrenta a muchos otros desafíos, como la apatía y la antipatía del público, la competencia por captar la atención y la persecución política. Quizás la mejor esperanza para el periodismo en un mundo donde la IA se vuelve más poderosa en tantos ámbitos, desde la política hasta la medicina, reside en que la IA y el mundo necesitan el buen periodismo más que nunca"(p. 90), subrayando que el futuro del periodismo dependerá menos de la tecnología en sí misma que de la capacidad de las organizaciones para integrarla de manera estratégica, ética y orientada al interés público.</w:t>
      </w:r>
    </w:p>
    <w:p w14:paraId="3DC26EDC" w14:textId="47F4737D"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El informe menciona, además, una amplia variedad de aplicaciones que incluyen generación automatizada de noticias, sistemas de recomendación de contenidos, personalización de la experiencia de usuario, análisis de grandes volúmenes de datos, verificación automatizada de hechos y optimización de procesos editoriales. Entre los casos más citados aparecen herramientas como </w:t>
      </w:r>
      <w:proofErr w:type="spellStart"/>
      <w:r w:rsidRPr="00B97C8D">
        <w:rPr>
          <w:rFonts w:ascii="Times New Roman" w:hAnsi="Times New Roman" w:cs="Times New Roman"/>
          <w:lang w:val="es-AR"/>
        </w:rPr>
        <w:t>Heliograf</w:t>
      </w:r>
      <w:proofErr w:type="spellEnd"/>
      <w:r w:rsidRPr="00B97C8D">
        <w:rPr>
          <w:rFonts w:ascii="Times New Roman" w:hAnsi="Times New Roman" w:cs="Times New Roman"/>
          <w:lang w:val="es-AR"/>
        </w:rPr>
        <w:t xml:space="preserve"> del Washington Post, </w:t>
      </w:r>
      <w:proofErr w:type="spellStart"/>
      <w:r w:rsidRPr="00B97C8D">
        <w:rPr>
          <w:rFonts w:ascii="Times New Roman" w:hAnsi="Times New Roman" w:cs="Times New Roman"/>
          <w:lang w:val="es-AR"/>
        </w:rPr>
        <w:t>Cyborg</w:t>
      </w:r>
      <w:proofErr w:type="spellEnd"/>
      <w:r w:rsidRPr="00B97C8D">
        <w:rPr>
          <w:rFonts w:ascii="Times New Roman" w:hAnsi="Times New Roman" w:cs="Times New Roman"/>
          <w:lang w:val="es-AR"/>
        </w:rPr>
        <w:t xml:space="preserve"> de Bloomberg</w:t>
      </w:r>
      <w:r w:rsidR="003F12CE">
        <w:rPr>
          <w:rFonts w:ascii="Times New Roman" w:hAnsi="Times New Roman" w:cs="Times New Roman"/>
          <w:lang w:val="es-AR"/>
        </w:rPr>
        <w:t>,</w:t>
      </w:r>
      <w:r w:rsidR="003F12CE" w:rsidRPr="003F12CE">
        <w:rPr>
          <w:rFonts w:ascii="Times New Roman" w:hAnsi="Times New Roman" w:cs="Times New Roman"/>
          <w:lang w:val="es-AR"/>
        </w:rPr>
        <w:t xml:space="preserve"> </w:t>
      </w:r>
      <w:r w:rsidR="003F12CE" w:rsidRPr="00B97C8D">
        <w:rPr>
          <w:rFonts w:ascii="Times New Roman" w:hAnsi="Times New Roman" w:cs="Times New Roman"/>
          <w:lang w:val="es-AR"/>
        </w:rPr>
        <w:t xml:space="preserve">RADAR de la Press </w:t>
      </w:r>
      <w:proofErr w:type="spellStart"/>
      <w:r w:rsidR="003F12CE" w:rsidRPr="00B97C8D">
        <w:rPr>
          <w:rFonts w:ascii="Times New Roman" w:hAnsi="Times New Roman" w:cs="Times New Roman"/>
          <w:lang w:val="es-AR"/>
        </w:rPr>
        <w:t>Association</w:t>
      </w:r>
      <w:proofErr w:type="spellEnd"/>
      <w:r w:rsidR="003F12CE" w:rsidRPr="00B97C8D">
        <w:rPr>
          <w:rFonts w:ascii="Times New Roman" w:hAnsi="Times New Roman" w:cs="Times New Roman"/>
          <w:lang w:val="es-AR"/>
        </w:rPr>
        <w:t>,</w:t>
      </w:r>
      <w:r w:rsidRPr="00B97C8D">
        <w:rPr>
          <w:rFonts w:ascii="Times New Roman" w:hAnsi="Times New Roman" w:cs="Times New Roman"/>
          <w:lang w:val="es-AR"/>
        </w:rPr>
        <w:t xml:space="preserve"> y diversos sistemas de personalización desarrollados por organizaciones como The New York Times y The Times de Londres. </w:t>
      </w:r>
    </w:p>
    <w:p w14:paraId="1361D918" w14:textId="77777777" w:rsidR="003F12CE"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Lejos de representar experiencias marginales, estas iniciativas responden a objetivos estratégicos claramente identificados por los grandes medios. Según el informe, las principales motivaciones para adoptar tecnologías de IA son ofrecer contenidos más relevantes a las audiencias, aumentar la eficiencia del trabajo periodístico y mejorar la sostenibilidad económica de los medios. </w:t>
      </w:r>
    </w:p>
    <w:p w14:paraId="647C60F2" w14:textId="35EAFFBD"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Lo que sí es claro es que la adopción de estas tecnologías no supone una sustitución completa del trabajo humano. Por el contrario, uno de los consensos más reiterados en el informe es que el juicio editorial continúa siendo indispensable para planificar, supervisar y evaluar los procesos automatizados. Incluso en aquellas organizaciones que han alcanzado mayores niveles de sofisticación tecnológica, la IA aparece concebida como una herramienta de apoyo al trabajo periodístico y no como un reemplazo de las capacidades profesionales de periodistas y editores. </w:t>
      </w:r>
    </w:p>
    <w:p w14:paraId="240F4AA7" w14:textId="5E32E685"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lastRenderedPageBreak/>
        <w:t xml:space="preserve">En la misma línea, </w:t>
      </w:r>
      <w:r w:rsidR="003F12CE">
        <w:rPr>
          <w:rFonts w:ascii="Times New Roman" w:hAnsi="Times New Roman" w:cs="Times New Roman"/>
          <w:lang w:val="es-AR"/>
        </w:rPr>
        <w:t xml:space="preserve">pero analizando el periodismo español, </w:t>
      </w:r>
      <w:r w:rsidRPr="00B97C8D">
        <w:rPr>
          <w:rFonts w:ascii="Times New Roman" w:hAnsi="Times New Roman" w:cs="Times New Roman"/>
          <w:lang w:val="es-AR"/>
        </w:rPr>
        <w:t xml:space="preserve">Jesús Pérez Da Silva, junto a un equipo de investigación de la Universidad del país Vasco, evidencia en su estudio </w:t>
      </w:r>
      <w:r w:rsidRPr="003F12CE">
        <w:rPr>
          <w:rFonts w:ascii="Times New Roman" w:hAnsi="Times New Roman" w:cs="Times New Roman"/>
          <w:i/>
          <w:iCs/>
          <w:lang w:val="es-AR"/>
        </w:rPr>
        <w:t>Percepciones sobre el uso de IA en el periodismo vasco y su integración en los medios</w:t>
      </w:r>
      <w:r w:rsidRPr="00B97C8D">
        <w:rPr>
          <w:rFonts w:ascii="Times New Roman" w:hAnsi="Times New Roman" w:cs="Times New Roman"/>
          <w:lang w:val="es-AR"/>
        </w:rPr>
        <w:t xml:space="preserve"> que la incorporación de herramientas de inteligencia artificial en el periodismo vasco es desigual y se concentra principalmente en los medios digitales y en profesionales independientes, mientras que los medios tradicionales, especialmente la radio y la televisión, muestran niveles de adopción más moderados. Las aplicaciones más utilizadas son </w:t>
      </w:r>
      <w:proofErr w:type="spellStart"/>
      <w:r w:rsidRPr="00B97C8D">
        <w:rPr>
          <w:rFonts w:ascii="Times New Roman" w:hAnsi="Times New Roman" w:cs="Times New Roman"/>
          <w:lang w:val="es-AR"/>
        </w:rPr>
        <w:t>ChatGPT</w:t>
      </w:r>
      <w:proofErr w:type="spellEnd"/>
      <w:r w:rsidRPr="00B97C8D">
        <w:rPr>
          <w:rFonts w:ascii="Times New Roman" w:hAnsi="Times New Roman" w:cs="Times New Roman"/>
          <w:lang w:val="es-AR"/>
        </w:rPr>
        <w:t xml:space="preserve">, </w:t>
      </w:r>
      <w:proofErr w:type="spellStart"/>
      <w:r w:rsidRPr="00B97C8D">
        <w:rPr>
          <w:rFonts w:ascii="Times New Roman" w:hAnsi="Times New Roman" w:cs="Times New Roman"/>
          <w:lang w:val="es-AR"/>
        </w:rPr>
        <w:t>Canva</w:t>
      </w:r>
      <w:proofErr w:type="spellEnd"/>
      <w:r w:rsidRPr="00B97C8D">
        <w:rPr>
          <w:rFonts w:ascii="Times New Roman" w:hAnsi="Times New Roman" w:cs="Times New Roman"/>
          <w:lang w:val="es-AR"/>
        </w:rPr>
        <w:t xml:space="preserve"> y herramientas de traducción, corrección y transcripción, empleadas fundamentalmente para tareas de apoyo y producción de contenidos. A pesar del crecimiento en el uso de la IA, casi la mitad de los periodistas -afirma el estudio- aún no la utiliza, lo que indica que su integración en la profesión continúa en una fase de expansión.</w:t>
      </w:r>
    </w:p>
    <w:p w14:paraId="79AF9D90" w14:textId="6C0F2F31"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La investigación también identifica brechas significativas en el uso y la percepción de la IA. Se observan diferencias de género en las tareas para las que se emplea esta tecnología y una limitada conciencia sobre los sesgos algorítmicos, asociada a la escasa formación especializada. Aunque la mayoría de los profesionales considera que las competencias en IA serán fundamentales para el ejercicio del periodismo, el 86 %</w:t>
      </w:r>
      <w:r w:rsidR="003F12CE">
        <w:rPr>
          <w:rFonts w:ascii="Times New Roman" w:hAnsi="Times New Roman" w:cs="Times New Roman"/>
          <w:lang w:val="es-AR"/>
        </w:rPr>
        <w:t>, refleja el estudio,</w:t>
      </w:r>
      <w:r w:rsidRPr="00B97C8D">
        <w:rPr>
          <w:rFonts w:ascii="Times New Roman" w:hAnsi="Times New Roman" w:cs="Times New Roman"/>
          <w:lang w:val="es-AR"/>
        </w:rPr>
        <w:t xml:space="preserve"> no ha recibido capacitación específica y predomina el autoaprendizaje. Esta carencia formativa, junto con las preocupaciones éticas, constituye uno de los principales obstáculos para una adopción más amplia y sofisticada de la </w:t>
      </w:r>
      <w:r w:rsidR="003F12CE">
        <w:rPr>
          <w:rFonts w:ascii="Times New Roman" w:hAnsi="Times New Roman" w:cs="Times New Roman"/>
          <w:lang w:val="es-AR"/>
        </w:rPr>
        <w:t>IA</w:t>
      </w:r>
      <w:r w:rsidRPr="00B97C8D">
        <w:rPr>
          <w:rFonts w:ascii="Times New Roman" w:hAnsi="Times New Roman" w:cs="Times New Roman"/>
          <w:lang w:val="es-AR"/>
        </w:rPr>
        <w:t xml:space="preserve"> en las redacciones.</w:t>
      </w:r>
    </w:p>
    <w:p w14:paraId="613CA6A8"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Finalmente, el estudio muestra un amplio consenso respecto al impacto transformador que la IA tendrá en el periodismo durante los próximos años, especialmente en la producción de contenidos. Sin embargo, los periodistas perciben riesgos relevantes vinculados a la desinformación, la precisión de los datos y la posible pérdida de empleo. Frente a estos desafíos, las estrategias más valoradas son la regulación, la transparencia, la capacitación y el fortalecimiento de marcos éticos y de responsabilidad profesional, considerados elementos esenciales para aprovechar el potencial de la inteligencia artificial sin comprometer los valores fundamentales del periodismo.</w:t>
      </w:r>
    </w:p>
    <w:p w14:paraId="15C4040D"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Esta constatación resulta particularmente relevante para el ámbito educativo. Si las propias organizaciones periodísticas consideran que la supervisión humana sigue siendo esencial, la formación universitaria enfrenta el desafío de preparar profesionales capaces de trabajar críticamente con sistemas algorítmicos, comprender sus limitaciones y tomar decisiones informadas sobre su utilización. En este sentido, la cuestión ya no consiste únicamente en enseñar a utilizar herramientas tecnológicas, sino en desarrollar competencias vinculadas con la evaluación, interpretación y gobernanza de procesos automatizados.</w:t>
      </w:r>
    </w:p>
    <w:p w14:paraId="64A3F6AF" w14:textId="346859F9"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Gloria Gómez Diago, doctora y docente en la Universidad Rey Juan Carlos, en su estudio </w:t>
      </w:r>
      <w:r w:rsidRPr="003F12CE">
        <w:rPr>
          <w:rFonts w:ascii="Times New Roman" w:hAnsi="Times New Roman" w:cs="Times New Roman"/>
          <w:i/>
          <w:iCs/>
          <w:lang w:val="es-AR"/>
        </w:rPr>
        <w:t>Perspectivas para abordar la inteligencia artificial en la enseñanza de periodismo</w:t>
      </w:r>
      <w:r w:rsidR="000C194D" w:rsidRPr="000C194D">
        <w:rPr>
          <w:rFonts w:ascii="Times New Roman" w:hAnsi="Times New Roman" w:cs="Times New Roman"/>
          <w:lang w:val="es-AR"/>
        </w:rPr>
        <w:t xml:space="preserve"> de 2022</w:t>
      </w:r>
      <w:r w:rsidRPr="00B97C8D">
        <w:rPr>
          <w:rFonts w:ascii="Times New Roman" w:hAnsi="Times New Roman" w:cs="Times New Roman"/>
          <w:lang w:val="es-AR"/>
        </w:rPr>
        <w:t xml:space="preserve">, a partir de una revisión de experiencias internacionales, observa que las escuelas de periodismo han comenzado a incorporar contenidos vinculados con automatización, algoritmos y análisis de datos, aunque de manera desigual y todavía limitada. La autora identifica una brecha entre la velocidad de adopción de la IA en las redacciones y la </w:t>
      </w:r>
      <w:r w:rsidRPr="00B97C8D">
        <w:rPr>
          <w:rFonts w:ascii="Times New Roman" w:hAnsi="Times New Roman" w:cs="Times New Roman"/>
          <w:lang w:val="es-AR"/>
        </w:rPr>
        <w:lastRenderedPageBreak/>
        <w:t>capacidad de las instituciones educativas para adaptar sus currículos a las nuevas demandas profesionales.</w:t>
      </w:r>
    </w:p>
    <w:p w14:paraId="60977FE2" w14:textId="30A5087E"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Otros estudios recientes sobre la incorporación de la inteligencia artificial en la formación periodística muestran cómo las instituciones de educación superior están adoptando estrategias diversas para integrar estas tecnologías en sus planes de estudio y reducir esa brecha. Una investigación relevante es la realizada por la </w:t>
      </w:r>
      <w:r w:rsidR="00D63F56" w:rsidRPr="00B97C8D">
        <w:rPr>
          <w:rFonts w:ascii="Times New Roman" w:hAnsi="Times New Roman" w:cs="Times New Roman"/>
          <w:lang w:val="es-AR"/>
        </w:rPr>
        <w:t>secretaria</w:t>
      </w:r>
      <w:r w:rsidRPr="00B97C8D">
        <w:rPr>
          <w:rFonts w:ascii="Times New Roman" w:hAnsi="Times New Roman" w:cs="Times New Roman"/>
          <w:lang w:val="es-AR"/>
        </w:rPr>
        <w:t xml:space="preserve"> </w:t>
      </w:r>
      <w:r w:rsidR="00D63F56">
        <w:rPr>
          <w:rFonts w:ascii="Times New Roman" w:hAnsi="Times New Roman" w:cs="Times New Roman"/>
          <w:lang w:val="es-AR"/>
        </w:rPr>
        <w:t>a</w:t>
      </w:r>
      <w:r w:rsidRPr="00B97C8D">
        <w:rPr>
          <w:rFonts w:ascii="Times New Roman" w:hAnsi="Times New Roman" w:cs="Times New Roman"/>
          <w:lang w:val="es-AR"/>
        </w:rPr>
        <w:t xml:space="preserve">cadémica de la Carrera de Periodismo de la Universidad Autónoma de Chile </w:t>
      </w:r>
      <w:proofErr w:type="spellStart"/>
      <w:r w:rsidR="000C194D">
        <w:rPr>
          <w:rFonts w:ascii="Times New Roman" w:hAnsi="Times New Roman" w:cs="Times New Roman"/>
          <w:lang w:val="es-AR"/>
        </w:rPr>
        <w:t>Rosmir</w:t>
      </w:r>
      <w:proofErr w:type="spellEnd"/>
      <w:r w:rsidR="000C194D">
        <w:rPr>
          <w:rFonts w:ascii="Times New Roman" w:hAnsi="Times New Roman" w:cs="Times New Roman"/>
          <w:lang w:val="es-AR"/>
        </w:rPr>
        <w:t xml:space="preserve"> </w:t>
      </w:r>
      <w:r w:rsidRPr="00B97C8D">
        <w:rPr>
          <w:rFonts w:ascii="Times New Roman" w:hAnsi="Times New Roman" w:cs="Times New Roman"/>
          <w:lang w:val="es-AR"/>
        </w:rPr>
        <w:t xml:space="preserve">Sivira Camacaro, </w:t>
      </w:r>
      <w:r w:rsidR="00D63F56" w:rsidRPr="00B97C8D">
        <w:rPr>
          <w:rFonts w:ascii="Times New Roman" w:hAnsi="Times New Roman" w:cs="Times New Roman"/>
          <w:lang w:val="es-AR"/>
        </w:rPr>
        <w:t>quien,</w:t>
      </w:r>
      <w:r w:rsidRPr="00B97C8D">
        <w:rPr>
          <w:rFonts w:ascii="Times New Roman" w:hAnsi="Times New Roman" w:cs="Times New Roman"/>
          <w:lang w:val="es-AR"/>
        </w:rPr>
        <w:t xml:space="preserve"> en 2024, tras revisar más de un centenar de investigaciones sobre formación universitaria en periodismo e inteligencia artificial, sostiene que las transformaciones tecnológicas están redefiniendo las competencias profesionales consideradas centrales para el ejercicio periodístico. Su estudio, titulado como </w:t>
      </w:r>
      <w:r w:rsidRPr="003F12CE">
        <w:rPr>
          <w:rFonts w:ascii="Times New Roman" w:hAnsi="Times New Roman" w:cs="Times New Roman"/>
          <w:i/>
          <w:iCs/>
          <w:lang w:val="es-AR"/>
        </w:rPr>
        <w:t>La formación universitaria de periodistas en el contexto de la Inteligencia Artificial: una revisión sistematizada</w:t>
      </w:r>
      <w:r w:rsidRPr="00B97C8D">
        <w:rPr>
          <w:rFonts w:ascii="Times New Roman" w:hAnsi="Times New Roman" w:cs="Times New Roman"/>
          <w:lang w:val="es-AR"/>
        </w:rPr>
        <w:t>, demuestra que, junto con las habilidades tradicionales de búsqueda, verificación y producción de información, adquieren creciente relevancia conocimientos vinculados con alfabetización de datos, comprensión de algoritmos, ética de la automatización y evaluación crítica de sistemas de IA.</w:t>
      </w:r>
    </w:p>
    <w:p w14:paraId="2F11FE02" w14:textId="1C660708"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En consonancia con estos hallazgos, diversas investigaciones realizadas en contextos universitarios específicos evidencian tanto el reconocimiento del potencial de la inteligencia artificial como las tensiones y desafíos que su incorporación plantea en la formación periodística, incluso para el estudiantado. En la Universidad Complutense de Madrid, por ejemplo, los estudiantes de periodismo reconocen -en un estudio publicado en 2025 por Carla Matos Mejías y Rafael Carrasco Polaino</w:t>
      </w:r>
      <w:r w:rsidR="005915A9">
        <w:rPr>
          <w:rFonts w:ascii="Times New Roman" w:hAnsi="Times New Roman" w:cs="Times New Roman"/>
          <w:lang w:val="es-AR"/>
        </w:rPr>
        <w:t xml:space="preserve"> denominado </w:t>
      </w:r>
      <w:r w:rsidR="005915A9" w:rsidRPr="005915A9">
        <w:rPr>
          <w:rFonts w:ascii="Times New Roman" w:hAnsi="Times New Roman" w:cs="Times New Roman"/>
          <w:i/>
          <w:iCs/>
          <w:lang w:val="es-AR"/>
        </w:rPr>
        <w:t>Implementación de la Inteligencia Artificial en los estudios de Periodismo de la Facultad de Ciencias de la Información de la Universidad Complutense de Madrid</w:t>
      </w:r>
      <w:r w:rsidRPr="00B97C8D">
        <w:rPr>
          <w:rFonts w:ascii="Times New Roman" w:hAnsi="Times New Roman" w:cs="Times New Roman"/>
          <w:lang w:val="es-AR"/>
        </w:rPr>
        <w:t>- el potencial de la inteligencia artificial para mejorar el análisis de datos y la producción de contenidos, aunque también expresan preocupación por sus implicancias éticas, la calidad informativa y la credibilidad de los contenidos automatizados.</w:t>
      </w:r>
    </w:p>
    <w:p w14:paraId="604A7029" w14:textId="77777777" w:rsidR="00B97C8D" w:rsidRPr="00B97C8D" w:rsidRDefault="00B97C8D" w:rsidP="00B97C8D">
      <w:pPr>
        <w:spacing w:line="240" w:lineRule="auto"/>
        <w:jc w:val="both"/>
        <w:rPr>
          <w:rFonts w:ascii="Times New Roman" w:hAnsi="Times New Roman" w:cs="Times New Roman"/>
          <w:lang w:val="es-AR"/>
        </w:rPr>
      </w:pPr>
    </w:p>
    <w:p w14:paraId="22BDC224" w14:textId="77777777" w:rsidR="00B97C8D" w:rsidRPr="00B97C8D" w:rsidRDefault="00B97C8D" w:rsidP="00B97C8D">
      <w:pPr>
        <w:spacing w:line="240" w:lineRule="auto"/>
        <w:jc w:val="both"/>
        <w:rPr>
          <w:rFonts w:ascii="Times New Roman" w:hAnsi="Times New Roman" w:cs="Times New Roman"/>
          <w:b/>
          <w:bCs/>
          <w:lang w:val="es-AR"/>
        </w:rPr>
      </w:pPr>
      <w:r w:rsidRPr="00B97C8D">
        <w:rPr>
          <w:rFonts w:ascii="Times New Roman" w:hAnsi="Times New Roman" w:cs="Times New Roman"/>
          <w:b/>
          <w:bCs/>
          <w:lang w:val="es-AR"/>
        </w:rPr>
        <w:t>La respuesta de las universidades a la IA</w:t>
      </w:r>
    </w:p>
    <w:p w14:paraId="4244AC2A"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La rápida expansión de herramientas de inteligencia artificial generativa ha impulsado a las instituciones de educación superior a revisar sus propuestas formativas y a reconsiderar las competencias necesarias para el ejercicio profesional del periodismo en entornos cada vez más automatizados. Aunque las respuestas institucionales han sido diversas, la literatura coincide en señalar que la discusión ya no gira en torno a si la inteligencia artificial debe formar parte de la formación universitaria, sino sobre cómo integrarla de manera pedagógicamente significativa y éticamente responsable.</w:t>
      </w:r>
    </w:p>
    <w:p w14:paraId="58B77EC0"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Las primeras respuestas de las universidades estuvieron fuertemente atravesadas por preocupaciones vinculadas con la integridad académica. La aparición de sistemas capaces de producir textos coherentes y aparentemente originales generó inquietud respecto de la autoría de los trabajos estudiantiles, la evaluación de los aprendizajes y la detección de plagio. Sin embargo, a medida que estas herramientas comenzaron a consolidarse en ámbitos profesionales y académicos, numerosas instituciones abandonaron enfoques </w:t>
      </w:r>
      <w:r w:rsidRPr="00B97C8D">
        <w:rPr>
          <w:rFonts w:ascii="Times New Roman" w:hAnsi="Times New Roman" w:cs="Times New Roman"/>
          <w:lang w:val="es-AR"/>
        </w:rPr>
        <w:lastRenderedPageBreak/>
        <w:t>exclusivamente restrictivos para explorar modalidades de incorporación curricular más complejas.</w:t>
      </w:r>
    </w:p>
    <w:p w14:paraId="128679D3" w14:textId="53F232CF"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La revisión realizada por </w:t>
      </w:r>
      <w:r w:rsidR="000C194D">
        <w:rPr>
          <w:rFonts w:ascii="Times New Roman" w:hAnsi="Times New Roman" w:cs="Times New Roman"/>
          <w:lang w:val="es-AR"/>
        </w:rPr>
        <w:t xml:space="preserve">Gloria </w:t>
      </w:r>
      <w:r w:rsidRPr="00B97C8D">
        <w:rPr>
          <w:rFonts w:ascii="Times New Roman" w:hAnsi="Times New Roman" w:cs="Times New Roman"/>
          <w:lang w:val="es-AR"/>
        </w:rPr>
        <w:t>Gómez</w:t>
      </w:r>
      <w:r w:rsidR="000C194D">
        <w:rPr>
          <w:rFonts w:ascii="Times New Roman" w:hAnsi="Times New Roman" w:cs="Times New Roman"/>
          <w:lang w:val="es-AR"/>
        </w:rPr>
        <w:t xml:space="preserve"> </w:t>
      </w:r>
      <w:r w:rsidRPr="00B97C8D">
        <w:rPr>
          <w:rFonts w:ascii="Times New Roman" w:hAnsi="Times New Roman" w:cs="Times New Roman"/>
          <w:lang w:val="es-AR"/>
        </w:rPr>
        <w:t>Diago (2022) identifica experiencias pioneras en escuelas de periodismo que comenzaron a introducir contenidos relacionados con algoritmos, automatización y sistemas de inteligencia artificial. Según la autora, estas iniciativas responden al reconocimiento de que las transformaciones tecnológicas están modificando de manera estructural los procesos de producción, distribución y consumo de información, por lo que las universidades deben preparar a los futuros periodistas para desempeñarse en escenarios híbridos donde conviven decisiones humanas y procesos automatizados.</w:t>
      </w:r>
    </w:p>
    <w:p w14:paraId="4BFC409C" w14:textId="500A50E1"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En la misma línea, la revisión sistematizada de </w:t>
      </w:r>
      <w:proofErr w:type="spellStart"/>
      <w:r w:rsidR="000C194D">
        <w:rPr>
          <w:rFonts w:ascii="Times New Roman" w:hAnsi="Times New Roman" w:cs="Times New Roman"/>
          <w:lang w:val="es-AR"/>
        </w:rPr>
        <w:t>Rosmir</w:t>
      </w:r>
      <w:proofErr w:type="spellEnd"/>
      <w:r w:rsidR="000C194D">
        <w:rPr>
          <w:rFonts w:ascii="Times New Roman" w:hAnsi="Times New Roman" w:cs="Times New Roman"/>
          <w:lang w:val="es-AR"/>
        </w:rPr>
        <w:t xml:space="preserve"> </w:t>
      </w:r>
      <w:r w:rsidRPr="00B97C8D">
        <w:rPr>
          <w:rFonts w:ascii="Times New Roman" w:hAnsi="Times New Roman" w:cs="Times New Roman"/>
          <w:lang w:val="es-AR"/>
        </w:rPr>
        <w:t>Sivira Camacaro (2024) muestra que la formación universitaria en periodismo se encuentra en una etapa de transición curricular.</w:t>
      </w:r>
    </w:p>
    <w:p w14:paraId="274779EA" w14:textId="7039A080" w:rsidR="00B97C8D" w:rsidRPr="00B97C8D" w:rsidRDefault="000C194D" w:rsidP="00B97C8D">
      <w:pPr>
        <w:spacing w:line="240" w:lineRule="auto"/>
        <w:jc w:val="both"/>
        <w:rPr>
          <w:rFonts w:ascii="Times New Roman" w:hAnsi="Times New Roman" w:cs="Times New Roman"/>
          <w:lang w:val="es-AR"/>
        </w:rPr>
      </w:pPr>
      <w:r>
        <w:rPr>
          <w:rFonts w:ascii="Times New Roman" w:hAnsi="Times New Roman" w:cs="Times New Roman"/>
          <w:lang w:val="es-AR"/>
        </w:rPr>
        <w:t>Est</w:t>
      </w:r>
      <w:r w:rsidR="00B97C8D" w:rsidRPr="00B97C8D">
        <w:rPr>
          <w:rFonts w:ascii="Times New Roman" w:hAnsi="Times New Roman" w:cs="Times New Roman"/>
          <w:lang w:val="es-AR"/>
        </w:rPr>
        <w:t xml:space="preserve">a autora realizó una revisión sistematizada de </w:t>
      </w:r>
      <w:r>
        <w:rPr>
          <w:rFonts w:ascii="Times New Roman" w:hAnsi="Times New Roman" w:cs="Times New Roman"/>
          <w:lang w:val="es-AR"/>
        </w:rPr>
        <w:t>más de cien</w:t>
      </w:r>
      <w:r w:rsidR="00B97C8D" w:rsidRPr="00B97C8D">
        <w:rPr>
          <w:rFonts w:ascii="Times New Roman" w:hAnsi="Times New Roman" w:cs="Times New Roman"/>
          <w:lang w:val="es-AR"/>
        </w:rPr>
        <w:t xml:space="preserve"> artículos científicos sobre formación periodística e inteligencia artificial y concluyó que:</w:t>
      </w:r>
    </w:p>
    <w:p w14:paraId="7C1CC64B"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w:t>
      </w:r>
      <w:r w:rsidRPr="00B97C8D">
        <w:rPr>
          <w:rFonts w:ascii="Times New Roman" w:hAnsi="Times New Roman" w:cs="Times New Roman"/>
          <w:lang w:val="es-AR"/>
        </w:rPr>
        <w:tab/>
        <w:t>las universidades aún no incorporan de manera específica y profunda los contenidos relacionados con IA;</w:t>
      </w:r>
    </w:p>
    <w:p w14:paraId="76F0259A"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w:t>
      </w:r>
      <w:r w:rsidRPr="00B97C8D">
        <w:rPr>
          <w:rFonts w:ascii="Times New Roman" w:hAnsi="Times New Roman" w:cs="Times New Roman"/>
          <w:lang w:val="es-AR"/>
        </w:rPr>
        <w:tab/>
        <w:t>existe una brecha entre las competencias que demanda el mercado laboral y las que ofrecen los programas universitarios;</w:t>
      </w:r>
    </w:p>
    <w:p w14:paraId="75DF769C"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w:t>
      </w:r>
      <w:r w:rsidRPr="00B97C8D">
        <w:rPr>
          <w:rFonts w:ascii="Times New Roman" w:hAnsi="Times New Roman" w:cs="Times New Roman"/>
          <w:lang w:val="es-AR"/>
        </w:rPr>
        <w:tab/>
        <w:t>muchos docentes reconocen no contar con la formación necesaria para impartir estos contenidos;</w:t>
      </w:r>
    </w:p>
    <w:p w14:paraId="18D62DA5"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w:t>
      </w:r>
      <w:r w:rsidRPr="00B97C8D">
        <w:rPr>
          <w:rFonts w:ascii="Times New Roman" w:hAnsi="Times New Roman" w:cs="Times New Roman"/>
          <w:lang w:val="es-AR"/>
        </w:rPr>
        <w:tab/>
        <w:t>se requiere una actualización curricular, con enfoques interdisciplinarios y formación específica en aspectos técnicos, éticos y críticos de la IA.</w:t>
      </w:r>
    </w:p>
    <w:p w14:paraId="6BA1C6DD" w14:textId="6DCF3E4A"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El análisis permite observar una creciente preocupación por incorporar competencias vinculadas con alfabetización de datos, comprensión de algoritmos, análisis crítico de plataformas digitales y uso responsable de herramientas de inteligencia artificial. No obstante, la autora advierte que estas transformaciones avanzan a ritmos desiguales y que persisten importantes diferencias entre instituciones en cuanto a recursos, capacidades docentes y estrategias de implementación.</w:t>
      </w:r>
    </w:p>
    <w:p w14:paraId="7DD1D13A"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Las experiencias documentadas en distintas regiones del mundo reflejan esta diversidad de enfoques. En China, por ejemplo, </w:t>
      </w:r>
      <w:proofErr w:type="spellStart"/>
      <w:r w:rsidRPr="00B97C8D">
        <w:rPr>
          <w:rFonts w:ascii="Times New Roman" w:hAnsi="Times New Roman" w:cs="Times New Roman"/>
          <w:lang w:val="es-AR"/>
        </w:rPr>
        <w:t>Yuehan</w:t>
      </w:r>
      <w:proofErr w:type="spellEnd"/>
      <w:r w:rsidRPr="00B97C8D">
        <w:rPr>
          <w:rFonts w:ascii="Times New Roman" w:hAnsi="Times New Roman" w:cs="Times New Roman"/>
          <w:lang w:val="es-AR"/>
        </w:rPr>
        <w:t xml:space="preserve"> Yang, doctora, docente e investigadora en la Universidad Xi'an </w:t>
      </w:r>
      <w:proofErr w:type="spellStart"/>
      <w:r w:rsidRPr="00B97C8D">
        <w:rPr>
          <w:rFonts w:ascii="Times New Roman" w:hAnsi="Times New Roman" w:cs="Times New Roman"/>
          <w:lang w:val="es-AR"/>
        </w:rPr>
        <w:t>Jiaotong</w:t>
      </w:r>
      <w:proofErr w:type="spellEnd"/>
      <w:r w:rsidRPr="00B97C8D">
        <w:rPr>
          <w:rFonts w:ascii="Times New Roman" w:hAnsi="Times New Roman" w:cs="Times New Roman"/>
          <w:lang w:val="es-AR"/>
        </w:rPr>
        <w:t xml:space="preserve">-Liverpool describe, en su artículo </w:t>
      </w:r>
      <w:r w:rsidRPr="000C194D">
        <w:rPr>
          <w:rFonts w:ascii="Times New Roman" w:hAnsi="Times New Roman" w:cs="Times New Roman"/>
          <w:i/>
          <w:iCs/>
          <w:lang w:val="es-AR"/>
        </w:rPr>
        <w:t>Integración de la IA en la educación periodística en China: vías para la innovación curricular y la adaptación ética</w:t>
      </w:r>
      <w:r w:rsidRPr="00B97C8D">
        <w:rPr>
          <w:rFonts w:ascii="Times New Roman" w:hAnsi="Times New Roman" w:cs="Times New Roman"/>
          <w:lang w:val="es-AR"/>
        </w:rPr>
        <w:t xml:space="preserve"> de 2025, procesos de innovación curricular impulsados por universidades que han incorporado módulos específicos sobre inteligencia artificial aplicada al periodismo, combinando formación técnica con debates sobre ética, responsabilidad profesional y sesgos algorítmicos. La autora sostiene que la integración de la IA no debe limitarse al aprendizaje instrumental de herramientas, sino promover una comprensión crítica de sus implicancias sociales y culturales.</w:t>
      </w:r>
    </w:p>
    <w:p w14:paraId="755494E7" w14:textId="131ECD6B"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lastRenderedPageBreak/>
        <w:t xml:space="preserve">Un proceso similar puede observarse en Europa. El estudio realizado por </w:t>
      </w:r>
      <w:r w:rsidR="000C194D">
        <w:rPr>
          <w:rFonts w:ascii="Times New Roman" w:hAnsi="Times New Roman" w:cs="Times New Roman"/>
          <w:lang w:val="es-AR"/>
        </w:rPr>
        <w:t xml:space="preserve">Carla </w:t>
      </w:r>
      <w:r w:rsidRPr="00B97C8D">
        <w:rPr>
          <w:rFonts w:ascii="Times New Roman" w:hAnsi="Times New Roman" w:cs="Times New Roman"/>
          <w:lang w:val="es-AR"/>
        </w:rPr>
        <w:t xml:space="preserve">Matos Mejías y </w:t>
      </w:r>
      <w:r w:rsidR="000C194D">
        <w:rPr>
          <w:rFonts w:ascii="Times New Roman" w:hAnsi="Times New Roman" w:cs="Times New Roman"/>
          <w:lang w:val="es-AR"/>
        </w:rPr>
        <w:t xml:space="preserve">Rafael </w:t>
      </w:r>
      <w:r w:rsidRPr="00B97C8D">
        <w:rPr>
          <w:rFonts w:ascii="Times New Roman" w:hAnsi="Times New Roman" w:cs="Times New Roman"/>
          <w:lang w:val="es-AR"/>
        </w:rPr>
        <w:t>Carrasco Polaino (2025) en la Universidad Complutense de Madrid muestra que la incorporación de contenidos relacionados con inteligencia artificial dentro de los estudios de periodismo responde tanto a demandas profesionales como a expectativas de los propios estudiantes. Los resultados indican que los futuros periodistas reconocen el valor de estas herramientas para tareas vinculadas con procesamiento de datos, búsqueda de información y producción de contenidos, aunque manifiestan preocupación por los riesgos asociados a la desinformación, la pérdida de calidad informativa y los problemas éticos derivados de su utilización.</w:t>
      </w:r>
    </w:p>
    <w:p w14:paraId="48E1656B" w14:textId="777B744B"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Paralelamente, han surgido iniciativas de alcance internacional orientadas a fortalecer la capacitación en inteligencia artificial dentro del ecosistema periodístico. Programas como </w:t>
      </w:r>
      <w:proofErr w:type="spellStart"/>
      <w:r w:rsidRPr="00B97C8D">
        <w:rPr>
          <w:rFonts w:ascii="Times New Roman" w:hAnsi="Times New Roman" w:cs="Times New Roman"/>
          <w:lang w:val="es-AR"/>
        </w:rPr>
        <w:t>JournalismAI</w:t>
      </w:r>
      <w:proofErr w:type="spellEnd"/>
      <w:r w:rsidRPr="00B97C8D">
        <w:rPr>
          <w:rFonts w:ascii="Times New Roman" w:hAnsi="Times New Roman" w:cs="Times New Roman"/>
          <w:lang w:val="es-AR"/>
        </w:rPr>
        <w:t>, una iniciativa global liderada por Polis -el centro de estudios periodísticos dirigido por Charlie Beckett-, han contribuido a difundir conocimientos, experiencias y recursos educativos destinados tanto a profesionales como a instituciones formadoras. Estas iniciativas reflejan la creciente percepción de que la alfabetización en inteligencia artificial constituye una competencia estratégica para el ejercicio periodístico contemporáneo.</w:t>
      </w:r>
    </w:p>
    <w:p w14:paraId="38798D46" w14:textId="05528A50"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En conjunto, estas experiencias sugieren que la educación superior se encuentra ante un proceso de redefinición curricular que excede la incorporación de nuevas herramientas tecnológicas. La discusión involucra cuestiones más amplias relacionadas con las competencias profesionales, los modelos pedagógicos y los principios éticos que orientan la formación de periodistas en contextos de creciente automatización. Sin embargo, la materialización de estas transformaciones curriculares en las prácticas concretas de enseñanza depende, en gran medida, de los actores responsables de implementarlas en el aula.</w:t>
      </w:r>
      <w:r w:rsidR="00051203">
        <w:rPr>
          <w:rFonts w:ascii="Times New Roman" w:hAnsi="Times New Roman" w:cs="Times New Roman"/>
          <w:lang w:val="es-AR"/>
        </w:rPr>
        <w:t xml:space="preserve"> </w:t>
      </w:r>
      <w:r w:rsidRPr="00B97C8D">
        <w:rPr>
          <w:rFonts w:ascii="Times New Roman" w:hAnsi="Times New Roman" w:cs="Times New Roman"/>
          <w:lang w:val="es-AR"/>
        </w:rPr>
        <w:t>En este sentido, si bien las transformaciones curriculares constituyen una dimensión relevante de la respuesta institucional frente a la inteligencia artificial, la literatura reciente muestra que la adopción efectiva de estas tecnologías depende en gran medida de las percepciones y posicionamientos de los docentes. Son ellos quienes, en última instancia, deciden cómo integrar estas herramientas en las actividades de enseñanza, qué usos promover o restringir y qué significado atribuirles dentro de los procesos formativos.</w:t>
      </w:r>
    </w:p>
    <w:p w14:paraId="31213772"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Las investigaciones disponibles muestran un panorama heterogéneo y, en muchos casos, ambivalente. Los estudios sobre sesgos docentes respecto de la inteligencia artificial generativa revelan la coexistencia de expectativas positivas vinculadas con la innovación pedagógica y preocupaciones asociadas a riesgos académicos, éticos y profesionales. Más que posiciones claramente favorables o contrarias, predominan posturas intermedias caracterizadas por la incertidumbre y la necesidad de adaptación frente a una tecnología en rápida evolución.</w:t>
      </w:r>
    </w:p>
    <w:p w14:paraId="07A116FB"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Antes de avanzar, será necesario hacer una distinción conceptual entre sesgo y prejuicio. En las ciencias sociales y cognitivas, los conceptos de sesgo y prejuicio suelen utilizarse de manera indistinta, aunque refieren a fenómenos diferentes. Un sesgo puede entenderse como una predisposición o tendencia sistemática que influye en la interpretación de la realidad y en la toma de decisiones. Los sesgos operan habitualmente como atajos cognitivos que permiten procesar información compleja en contextos de incertidumbre, </w:t>
      </w:r>
      <w:r w:rsidRPr="00B97C8D">
        <w:rPr>
          <w:rFonts w:ascii="Times New Roman" w:hAnsi="Times New Roman" w:cs="Times New Roman"/>
          <w:lang w:val="es-AR"/>
        </w:rPr>
        <w:lastRenderedPageBreak/>
        <w:t>por lo que no constituyen necesariamente errores ni juicios deliberadamente negativos. Desde esta perspectiva, los sesgos forman parte de los mecanismos habituales mediante los cuales las personas evalúan situaciones, construyen significados y orientan sus acciones.</w:t>
      </w:r>
    </w:p>
    <w:p w14:paraId="69559EC2" w14:textId="77777777" w:rsidR="00051203"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El prejuicio, en cambio, implica una valoración previa generalmente basada en generalizaciones rígidas o insuficientemente fundamentadas acerca de personas, grupos o fenómenos específicos. </w:t>
      </w:r>
      <w:r w:rsidR="00051203">
        <w:rPr>
          <w:rFonts w:ascii="Times New Roman" w:hAnsi="Times New Roman" w:cs="Times New Roman"/>
          <w:lang w:val="es-AR"/>
        </w:rPr>
        <w:t>L</w:t>
      </w:r>
      <w:r w:rsidRPr="00B97C8D">
        <w:rPr>
          <w:rFonts w:ascii="Times New Roman" w:hAnsi="Times New Roman" w:cs="Times New Roman"/>
          <w:lang w:val="es-AR"/>
        </w:rPr>
        <w:t xml:space="preserve">os prejuicios suelen asociarse a juicios normativos y valorativos, </w:t>
      </w:r>
      <w:r w:rsidR="00051203">
        <w:rPr>
          <w:rFonts w:ascii="Times New Roman" w:hAnsi="Times New Roman" w:cs="Times New Roman"/>
          <w:lang w:val="es-AR"/>
        </w:rPr>
        <w:t xml:space="preserve">mientras que </w:t>
      </w:r>
      <w:r w:rsidRPr="00B97C8D">
        <w:rPr>
          <w:rFonts w:ascii="Times New Roman" w:hAnsi="Times New Roman" w:cs="Times New Roman"/>
          <w:lang w:val="es-AR"/>
        </w:rPr>
        <w:t xml:space="preserve">los sesgos pueden manifestarse incluso en ausencia de una intención consciente. </w:t>
      </w:r>
    </w:p>
    <w:p w14:paraId="49FB43B8" w14:textId="2BFA9190"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En el contexto de este trabajo, la noción de sesgo resulta especialmente útil porque permite analizar las predisposiciones que intervienen en la adopción o rechazo de herramientas de </w:t>
      </w:r>
      <w:r w:rsidR="00051203">
        <w:rPr>
          <w:rFonts w:ascii="Times New Roman" w:hAnsi="Times New Roman" w:cs="Times New Roman"/>
          <w:lang w:val="es-AR"/>
        </w:rPr>
        <w:t>IA</w:t>
      </w:r>
      <w:r w:rsidRPr="00B97C8D">
        <w:rPr>
          <w:rFonts w:ascii="Times New Roman" w:hAnsi="Times New Roman" w:cs="Times New Roman"/>
          <w:lang w:val="es-AR"/>
        </w:rPr>
        <w:t xml:space="preserve"> sin asumir necesariamente posiciones irracionales o infundadas. El interés no radica en identificar errores individuales, sino en comprender los marcos interpretativos que orientan las decisiones docentes frente a </w:t>
      </w:r>
      <w:r w:rsidR="00051203">
        <w:rPr>
          <w:rFonts w:ascii="Times New Roman" w:hAnsi="Times New Roman" w:cs="Times New Roman"/>
          <w:lang w:val="es-AR"/>
        </w:rPr>
        <w:t xml:space="preserve">las </w:t>
      </w:r>
      <w:r w:rsidRPr="00B97C8D">
        <w:rPr>
          <w:rFonts w:ascii="Times New Roman" w:hAnsi="Times New Roman" w:cs="Times New Roman"/>
          <w:lang w:val="es-AR"/>
        </w:rPr>
        <w:t>tecnologías emergentes.</w:t>
      </w:r>
    </w:p>
    <w:p w14:paraId="0E26B088" w14:textId="54D1A961" w:rsidR="00B97C8D" w:rsidRPr="00B97C8D" w:rsidRDefault="00051203" w:rsidP="00B97C8D">
      <w:pPr>
        <w:spacing w:line="240" w:lineRule="auto"/>
        <w:jc w:val="both"/>
        <w:rPr>
          <w:rFonts w:ascii="Times New Roman" w:hAnsi="Times New Roman" w:cs="Times New Roman"/>
          <w:lang w:val="es-AR"/>
        </w:rPr>
      </w:pPr>
      <w:r>
        <w:rPr>
          <w:rFonts w:ascii="Times New Roman" w:hAnsi="Times New Roman" w:cs="Times New Roman"/>
          <w:lang w:val="es-AR"/>
        </w:rPr>
        <w:t>Dicho esto, t</w:t>
      </w:r>
      <w:r w:rsidR="00B97C8D" w:rsidRPr="00B97C8D">
        <w:rPr>
          <w:rFonts w:ascii="Times New Roman" w:hAnsi="Times New Roman" w:cs="Times New Roman"/>
          <w:lang w:val="es-AR"/>
        </w:rPr>
        <w:t xml:space="preserve">omando como base el trabajo de Beatriz Cabellos, Carlos de Aldama y Juan Ignacio Pozo, de la Universidad Rey Juan Carlos, centrado en las creencias de docentes universitarios sobre el uso de inteligencia artificial generativa se analizará a continuación cómo las percepciones pedagógicas influyen de manera decisiva en los niveles de aceptación de estas herramientas. </w:t>
      </w:r>
    </w:p>
    <w:p w14:paraId="5D0AB1CC" w14:textId="2E43BAB5"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Estos autores, en su investigación </w:t>
      </w:r>
      <w:r w:rsidRPr="00051203">
        <w:rPr>
          <w:rFonts w:ascii="Times New Roman" w:hAnsi="Times New Roman" w:cs="Times New Roman"/>
          <w:i/>
          <w:iCs/>
          <w:lang w:val="es-AR"/>
        </w:rPr>
        <w:t>Creencias de los docentes universitarios sobre el uso de la inteligencia artificial generativa para la enseñanza y el aprendizaje</w:t>
      </w:r>
      <w:r w:rsidRPr="00B97C8D">
        <w:rPr>
          <w:rFonts w:ascii="Times New Roman" w:hAnsi="Times New Roman" w:cs="Times New Roman"/>
          <w:lang w:val="es-AR"/>
        </w:rPr>
        <w:t xml:space="preserve"> de 2024, concluyen que "las creencias de los docentes sobre la enseñanza y el aprendizaje influyen significativamente en sus creencias sobre el uso educativo de la IA generativa" (p. </w:t>
      </w:r>
      <w:r w:rsidR="009F3376">
        <w:rPr>
          <w:rFonts w:ascii="Times New Roman" w:hAnsi="Times New Roman" w:cs="Times New Roman"/>
          <w:lang w:val="es-AR"/>
        </w:rPr>
        <w:t>08</w:t>
      </w:r>
      <w:r w:rsidRPr="00B97C8D">
        <w:rPr>
          <w:rFonts w:ascii="Times New Roman" w:hAnsi="Times New Roman" w:cs="Times New Roman"/>
          <w:lang w:val="es-AR"/>
        </w:rPr>
        <w:t xml:space="preserve">), evidenciando que las actitudes hacia la inteligencia artificial no dependen exclusivamente de sus características técnicas, sino también de las concepciones pedagógicas previas de los docentes. En particular, identifican diferencias significativas entre profesores con orientaciones pedagógicas más constructivistas y aquellos con enfoques más reproductivos, observando que "los docentes con creencias pedagógicas más constructivistas percibieron un mayor potencial educativo en la IA generativa que aquellos con creencias más reproductivas" (p. </w:t>
      </w:r>
      <w:r w:rsidR="009F3376">
        <w:rPr>
          <w:rFonts w:ascii="Times New Roman" w:hAnsi="Times New Roman" w:cs="Times New Roman"/>
          <w:lang w:val="es-AR"/>
        </w:rPr>
        <w:t>0</w:t>
      </w:r>
      <w:r w:rsidRPr="00B97C8D">
        <w:rPr>
          <w:rFonts w:ascii="Times New Roman" w:hAnsi="Times New Roman" w:cs="Times New Roman"/>
          <w:lang w:val="es-AR"/>
        </w:rPr>
        <w:t>1).</w:t>
      </w:r>
    </w:p>
    <w:p w14:paraId="6D415011" w14:textId="0854103F"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Los resultados del estudio también destacan la relevancia de la experiencia previa y la familiaridad tecnológica en la configuración de las percepciones docentes. Según los autores, "los docentes que utilizaban la IA generativa con mayor frecuencia tenían creencias más positivas sobre su uso educativo que aquellos que la empleaban con menor frecuencia o no la utilizaban en absoluto" (p. </w:t>
      </w:r>
      <w:r w:rsidR="009F3376">
        <w:rPr>
          <w:rFonts w:ascii="Times New Roman" w:hAnsi="Times New Roman" w:cs="Times New Roman"/>
          <w:lang w:val="es-AR"/>
        </w:rPr>
        <w:t>0</w:t>
      </w:r>
      <w:r w:rsidRPr="00B97C8D">
        <w:rPr>
          <w:rFonts w:ascii="Times New Roman" w:hAnsi="Times New Roman" w:cs="Times New Roman"/>
          <w:lang w:val="es-AR"/>
        </w:rPr>
        <w:t>1). Este hallazgo sugiere que la falta de experiencia concreta con estas herramientas puede favorecer interpretaciones basadas más en expectativas, temores o representaciones previas que en un conocimiento situado de sus posibilidades y limitaciones pedagógicas.</w:t>
      </w:r>
    </w:p>
    <w:p w14:paraId="1F1FC300" w14:textId="5BFD70B0"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Otro aspecto relevante identificado por la investigación refiere a las tensiones que los docentes perciben entre los beneficios potenciales de la inteligencia artificial y sus posibles efectos sobre el aprendizaje estudiantil. Los autores observaron que "los docentes valoraban los efectos positivos de la IA generativa en su labor pedagógica, pero también </w:t>
      </w:r>
      <w:r w:rsidRPr="00B97C8D">
        <w:rPr>
          <w:rFonts w:ascii="Times New Roman" w:hAnsi="Times New Roman" w:cs="Times New Roman"/>
          <w:lang w:val="es-AR"/>
        </w:rPr>
        <w:lastRenderedPageBreak/>
        <w:t xml:space="preserve">consideraban que su uso podía resultar perjudicial para los procesos de aprendizaje de los estudiantes, haciéndolos más superficiales" (p. </w:t>
      </w:r>
      <w:r w:rsidR="009F3376">
        <w:rPr>
          <w:rFonts w:ascii="Times New Roman" w:hAnsi="Times New Roman" w:cs="Times New Roman"/>
          <w:lang w:val="es-AR"/>
        </w:rPr>
        <w:t>0</w:t>
      </w:r>
      <w:r w:rsidRPr="00B97C8D">
        <w:rPr>
          <w:rFonts w:ascii="Times New Roman" w:hAnsi="Times New Roman" w:cs="Times New Roman"/>
          <w:lang w:val="es-AR"/>
        </w:rPr>
        <w:t>1). Esta preocupación resulta especialmente significativa en relación con actividades que requieren reflexión, producción original y desarrollo de capacidades cognitivas complejas.</w:t>
      </w:r>
      <w:r w:rsidR="009F3376">
        <w:rPr>
          <w:rFonts w:ascii="Times New Roman" w:hAnsi="Times New Roman" w:cs="Times New Roman"/>
          <w:lang w:val="es-AR"/>
        </w:rPr>
        <w:t xml:space="preserve"> </w:t>
      </w:r>
      <w:r w:rsidRPr="00B97C8D">
        <w:rPr>
          <w:rFonts w:ascii="Times New Roman" w:hAnsi="Times New Roman" w:cs="Times New Roman"/>
          <w:lang w:val="es-AR"/>
        </w:rPr>
        <w:t xml:space="preserve">En el caso específico de la formación periodística, estas tensiones adquieren características particulares. La enseñanza del periodismo históricamente ha otorgado un lugar central a competencias como la verificación de información, la construcción de criterio editorial, la capacidad de investigación y la producción </w:t>
      </w:r>
      <w:r w:rsidR="009F3376">
        <w:rPr>
          <w:rFonts w:ascii="Times New Roman" w:hAnsi="Times New Roman" w:cs="Times New Roman"/>
          <w:lang w:val="es-AR"/>
        </w:rPr>
        <w:t xml:space="preserve">de contenidos </w:t>
      </w:r>
      <w:r w:rsidRPr="00B97C8D">
        <w:rPr>
          <w:rFonts w:ascii="Times New Roman" w:hAnsi="Times New Roman" w:cs="Times New Roman"/>
          <w:lang w:val="es-AR"/>
        </w:rPr>
        <w:t>autónoma. La aparición de herramientas capaces de automatizar parcialmente algunas de estas tareas generan interrogantes acerca del modo en que dichas competencias deben enseñarse, ejercitarse y evaluarse en la actualidad.</w:t>
      </w:r>
    </w:p>
    <w:p w14:paraId="356B2B7F" w14:textId="72D73C3E"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Al mismo tiempo, los hallazgos de Cabellos (2024) muestran que muchos docentes reconocen el potencial de la inteligencia artificial para enriquecer determinadas actividades de enseñanza y aprendizaje, aunque este reconocimiento se encuentra mediado por sus propias concepciones pedagógicas. De hecho, los autores concluyen </w:t>
      </w:r>
      <w:proofErr w:type="gramStart"/>
      <w:r w:rsidRPr="00B97C8D">
        <w:rPr>
          <w:rFonts w:ascii="Times New Roman" w:hAnsi="Times New Roman" w:cs="Times New Roman"/>
          <w:lang w:val="es-AR"/>
        </w:rPr>
        <w:t>que</w:t>
      </w:r>
      <w:proofErr w:type="gramEnd"/>
      <w:r w:rsidRPr="00B97C8D">
        <w:rPr>
          <w:rFonts w:ascii="Times New Roman" w:hAnsi="Times New Roman" w:cs="Times New Roman"/>
          <w:lang w:val="es-AR"/>
        </w:rPr>
        <w:t xml:space="preserve"> de todas las variables analizadas, solo las creencias pedagógicas y la frecuencia de uso previo de IA generativa influyeron en las creencias sobre el uso de la IA generativa, reforzando la idea de que las disposiciones hacia la inteligencia artificial se construyen a partir de marcos interpretativos previos sobre el aprendizaje y la enseñanza.</w:t>
      </w:r>
    </w:p>
    <w:p w14:paraId="545EBC05"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En consecuencia, las percepciones docentes sobre la inteligencia artificial parecen estar atravesadas por concepciones más amplias acerca del conocimiento, la profesión y el papel del educador. Las actitudes frente a estas tecnologías no dependen exclusivamente de las herramientas disponibles, sino también de las creencias sobre qué significa aprender, qué capacidades deben desarrollar los estudiantes y cuál es el rol que corresponde al docente en contextos educativos crecientemente mediados por tecnologías digitales.</w:t>
      </w:r>
    </w:p>
    <w:p w14:paraId="6830A1BC" w14:textId="088D62A3"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Esta constatación resulta especialmente relevante para el presente trabajo. El análisis de los hallazgos de Cabellos, </w:t>
      </w:r>
      <w:r w:rsidR="00421C32">
        <w:rPr>
          <w:rFonts w:ascii="Times New Roman" w:hAnsi="Times New Roman" w:cs="Times New Roman"/>
          <w:lang w:val="es-AR"/>
        </w:rPr>
        <w:t xml:space="preserve">de </w:t>
      </w:r>
      <w:r w:rsidRPr="00B97C8D">
        <w:rPr>
          <w:rFonts w:ascii="Times New Roman" w:hAnsi="Times New Roman" w:cs="Times New Roman"/>
          <w:lang w:val="es-AR"/>
        </w:rPr>
        <w:t xml:space="preserve">Aldama y Pozo (2024) permite observar que detrás de los debates sobre </w:t>
      </w:r>
      <w:r w:rsidR="00421C32">
        <w:rPr>
          <w:rFonts w:ascii="Times New Roman" w:hAnsi="Times New Roman" w:cs="Times New Roman"/>
          <w:lang w:val="es-AR"/>
        </w:rPr>
        <w:t>IA</w:t>
      </w:r>
      <w:r w:rsidRPr="00B97C8D">
        <w:rPr>
          <w:rFonts w:ascii="Times New Roman" w:hAnsi="Times New Roman" w:cs="Times New Roman"/>
          <w:lang w:val="es-AR"/>
        </w:rPr>
        <w:t xml:space="preserve"> emergen patrones recurrentes de interpretación que influyen en las decisiones pedagógicas. A partir de est</w:t>
      </w:r>
      <w:r w:rsidR="00421C32">
        <w:rPr>
          <w:rFonts w:ascii="Times New Roman" w:hAnsi="Times New Roman" w:cs="Times New Roman"/>
          <w:lang w:val="es-AR"/>
        </w:rPr>
        <w:t>o</w:t>
      </w:r>
      <w:r w:rsidRPr="00B97C8D">
        <w:rPr>
          <w:rFonts w:ascii="Times New Roman" w:hAnsi="Times New Roman" w:cs="Times New Roman"/>
          <w:lang w:val="es-AR"/>
        </w:rPr>
        <w:t xml:space="preserve">s </w:t>
      </w:r>
      <w:r w:rsidR="00421C32">
        <w:rPr>
          <w:rFonts w:ascii="Times New Roman" w:hAnsi="Times New Roman" w:cs="Times New Roman"/>
          <w:lang w:val="es-AR"/>
        </w:rPr>
        <w:t>patrone</w:t>
      </w:r>
      <w:r w:rsidRPr="00B97C8D">
        <w:rPr>
          <w:rFonts w:ascii="Times New Roman" w:hAnsi="Times New Roman" w:cs="Times New Roman"/>
          <w:lang w:val="es-AR"/>
        </w:rPr>
        <w:t>s, en las páginas siguientes se propone una tipología de sesgos docentes orientada a comprender de manera más sistemática los factores que condicionan la adopción, regulación o rechazo de la inteligencia artificial en la enseñanza universitaria del periodismo.</w:t>
      </w:r>
    </w:p>
    <w:p w14:paraId="6621CDC7" w14:textId="711928F0"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Cabe destacar que recientemente, un estudio desarrollado por Bettina Bravo, Gastón Pérez, Gabriela Lorenzo, junto a los propios Cabellos, de Aldama y Pozo (2025), adaptó el instrumento original para explorar las creencias de 375 docentes en Argentina. Los resultados de esta investigación no s</w:t>
      </w:r>
      <w:r w:rsidR="00421C32">
        <w:rPr>
          <w:rFonts w:ascii="Times New Roman" w:hAnsi="Times New Roman" w:cs="Times New Roman"/>
          <w:lang w:val="es-AR"/>
        </w:rPr>
        <w:t>ó</w:t>
      </w:r>
      <w:r w:rsidRPr="00B97C8D">
        <w:rPr>
          <w:rFonts w:ascii="Times New Roman" w:hAnsi="Times New Roman" w:cs="Times New Roman"/>
          <w:lang w:val="es-AR"/>
        </w:rPr>
        <w:t xml:space="preserve">lo respaldan los hallazgos previos, sino que profundizan en las particularidades de la adopción tecnológica en el entorno educativo sudamericano. </w:t>
      </w:r>
    </w:p>
    <w:p w14:paraId="39E040B5" w14:textId="20FFE59C"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En alineación con la tendencia general, </w:t>
      </w:r>
      <w:r w:rsidR="00421C32">
        <w:rPr>
          <w:rFonts w:ascii="Times New Roman" w:hAnsi="Times New Roman" w:cs="Times New Roman"/>
          <w:lang w:val="es-AR"/>
        </w:rPr>
        <w:t>los</w:t>
      </w:r>
      <w:r w:rsidRPr="00B97C8D">
        <w:rPr>
          <w:rFonts w:ascii="Times New Roman" w:hAnsi="Times New Roman" w:cs="Times New Roman"/>
          <w:lang w:val="es-AR"/>
        </w:rPr>
        <w:t xml:space="preserve"> profesor</w:t>
      </w:r>
      <w:r w:rsidR="00421C32">
        <w:rPr>
          <w:rFonts w:ascii="Times New Roman" w:hAnsi="Times New Roman" w:cs="Times New Roman"/>
          <w:lang w:val="es-AR"/>
        </w:rPr>
        <w:t>es</w:t>
      </w:r>
      <w:r w:rsidRPr="00B97C8D">
        <w:rPr>
          <w:rFonts w:ascii="Times New Roman" w:hAnsi="Times New Roman" w:cs="Times New Roman"/>
          <w:lang w:val="es-AR"/>
        </w:rPr>
        <w:t xml:space="preserve"> argentino</w:t>
      </w:r>
      <w:r w:rsidR="00421C32">
        <w:rPr>
          <w:rFonts w:ascii="Times New Roman" w:hAnsi="Times New Roman" w:cs="Times New Roman"/>
          <w:lang w:val="es-AR"/>
        </w:rPr>
        <w:t>s</w:t>
      </w:r>
      <w:r w:rsidRPr="00B97C8D">
        <w:rPr>
          <w:rFonts w:ascii="Times New Roman" w:hAnsi="Times New Roman" w:cs="Times New Roman"/>
          <w:lang w:val="es-AR"/>
        </w:rPr>
        <w:t xml:space="preserve"> valora</w:t>
      </w:r>
      <w:r w:rsidR="00421C32">
        <w:rPr>
          <w:rFonts w:ascii="Times New Roman" w:hAnsi="Times New Roman" w:cs="Times New Roman"/>
          <w:lang w:val="es-AR"/>
        </w:rPr>
        <w:t>n</w:t>
      </w:r>
      <w:r w:rsidRPr="00B97C8D">
        <w:rPr>
          <w:rFonts w:ascii="Times New Roman" w:hAnsi="Times New Roman" w:cs="Times New Roman"/>
          <w:lang w:val="es-AR"/>
        </w:rPr>
        <w:t xml:space="preserve"> la inteligencia artificial generativa significativamente más como una oportunidad que como una </w:t>
      </w:r>
      <w:r w:rsidRPr="00B97C8D">
        <w:rPr>
          <w:rFonts w:ascii="Times New Roman" w:hAnsi="Times New Roman" w:cs="Times New Roman"/>
          <w:lang w:val="es-AR"/>
        </w:rPr>
        <w:lastRenderedPageBreak/>
        <w:t xml:space="preserve">amenaza. Sin embargo, el estudio revela matices críticos según la dimensión educativa analizada:  </w:t>
      </w:r>
    </w:p>
    <w:p w14:paraId="6B1F2B6E"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w:t>
      </w:r>
      <w:r w:rsidRPr="00B97C8D">
        <w:rPr>
          <w:rFonts w:ascii="Times New Roman" w:hAnsi="Times New Roman" w:cs="Times New Roman"/>
          <w:lang w:val="es-AR"/>
        </w:rPr>
        <w:tab/>
        <w:t xml:space="preserve">El rol docente en la enseñanza: Fue la dimensión que obtuvo la puntuación más alta. Los docentes argentinos destacan con fuerza el potencial de la IA generativa para optimizar la planificación de clases, adaptar contenidos académicos a las necesidades de los alumnos y mejorar la gestión del conocimiento diario.  </w:t>
      </w:r>
    </w:p>
    <w:p w14:paraId="25D20656"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w:t>
      </w:r>
      <w:r w:rsidRPr="00B97C8D">
        <w:rPr>
          <w:rFonts w:ascii="Times New Roman" w:hAnsi="Times New Roman" w:cs="Times New Roman"/>
          <w:lang w:val="es-AR"/>
        </w:rPr>
        <w:tab/>
        <w:t xml:space="preserve">El rol docente en la evaluación: Se concibe mayoritariamente como una oportunidad para propiciar nuevas formas de evaluación que trasciendan la mera reproducción de contenidos, aunque persisten lógicas de alerta ante las dificultades para detectar el plagio o validar la autoría auténtica de los trabajos.  </w:t>
      </w:r>
    </w:p>
    <w:p w14:paraId="0549CFF6" w14:textId="4EF8B47F"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w:t>
      </w:r>
      <w:r w:rsidRPr="00B97C8D">
        <w:rPr>
          <w:rFonts w:ascii="Times New Roman" w:hAnsi="Times New Roman" w:cs="Times New Roman"/>
          <w:lang w:val="es-AR"/>
        </w:rPr>
        <w:tab/>
        <w:t xml:space="preserve">Los procesos de aprendizaje del estudiante: </w:t>
      </w:r>
      <w:r w:rsidR="00421C32">
        <w:rPr>
          <w:rFonts w:ascii="Times New Roman" w:hAnsi="Times New Roman" w:cs="Times New Roman"/>
          <w:lang w:val="es-AR"/>
        </w:rPr>
        <w:t>E</w:t>
      </w:r>
      <w:r w:rsidRPr="00B97C8D">
        <w:rPr>
          <w:rFonts w:ascii="Times New Roman" w:hAnsi="Times New Roman" w:cs="Times New Roman"/>
          <w:lang w:val="es-AR"/>
        </w:rPr>
        <w:t xml:space="preserve">sta fue la dimensión peor puntuada en el estudio. A pesar de vislumbrar oportunidades para un aprendizaje activo, se manifiesta una marcada preocupación en torno a que las herramientas promuevan dinámicas de aprendizaje superficial, </w:t>
      </w:r>
      <w:r w:rsidR="00421C32" w:rsidRPr="00B97C8D">
        <w:rPr>
          <w:rFonts w:ascii="Times New Roman" w:hAnsi="Times New Roman" w:cs="Times New Roman"/>
          <w:lang w:val="es-AR"/>
        </w:rPr>
        <w:t>automáti</w:t>
      </w:r>
      <w:r w:rsidR="00421C32">
        <w:rPr>
          <w:rFonts w:ascii="Times New Roman" w:hAnsi="Times New Roman" w:cs="Times New Roman"/>
          <w:lang w:val="es-AR"/>
        </w:rPr>
        <w:t>co</w:t>
      </w:r>
      <w:r w:rsidRPr="00B97C8D">
        <w:rPr>
          <w:rFonts w:ascii="Times New Roman" w:hAnsi="Times New Roman" w:cs="Times New Roman"/>
          <w:lang w:val="es-AR"/>
        </w:rPr>
        <w:t xml:space="preserve"> o pasiv</w:t>
      </w:r>
      <w:r w:rsidR="00421C32">
        <w:rPr>
          <w:rFonts w:ascii="Times New Roman" w:hAnsi="Times New Roman" w:cs="Times New Roman"/>
          <w:lang w:val="es-AR"/>
        </w:rPr>
        <w:t>o</w:t>
      </w:r>
      <w:r w:rsidRPr="00B97C8D">
        <w:rPr>
          <w:rFonts w:ascii="Times New Roman" w:hAnsi="Times New Roman" w:cs="Times New Roman"/>
          <w:lang w:val="es-AR"/>
        </w:rPr>
        <w:t xml:space="preserve"> por parte del </w:t>
      </w:r>
      <w:r w:rsidR="00421C32">
        <w:rPr>
          <w:rFonts w:ascii="Times New Roman" w:hAnsi="Times New Roman" w:cs="Times New Roman"/>
          <w:lang w:val="es-AR"/>
        </w:rPr>
        <w:t>estudiant</w:t>
      </w:r>
      <w:r w:rsidRPr="00B97C8D">
        <w:rPr>
          <w:rFonts w:ascii="Times New Roman" w:hAnsi="Times New Roman" w:cs="Times New Roman"/>
          <w:lang w:val="es-AR"/>
        </w:rPr>
        <w:t xml:space="preserve">ado.  </w:t>
      </w:r>
    </w:p>
    <w:p w14:paraId="7BBBC51D" w14:textId="4B62A914"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Al evaluar qué factores condicionan estas miradas, la investigación en Argentina ratific</w:t>
      </w:r>
      <w:r w:rsidR="00421C32">
        <w:rPr>
          <w:rFonts w:ascii="Times New Roman" w:hAnsi="Times New Roman" w:cs="Times New Roman"/>
          <w:lang w:val="es-AR"/>
        </w:rPr>
        <w:t>ó</w:t>
      </w:r>
      <w:r w:rsidRPr="00B97C8D">
        <w:rPr>
          <w:rFonts w:ascii="Times New Roman" w:hAnsi="Times New Roman" w:cs="Times New Roman"/>
          <w:lang w:val="es-AR"/>
        </w:rPr>
        <w:t xml:space="preserve"> de manera contundente que las variables sociodemográficas tradicionales </w:t>
      </w:r>
      <w:r w:rsidR="00421C32">
        <w:rPr>
          <w:rFonts w:ascii="Times New Roman" w:hAnsi="Times New Roman" w:cs="Times New Roman"/>
          <w:lang w:val="es-AR"/>
        </w:rPr>
        <w:t>-</w:t>
      </w:r>
      <w:r w:rsidRPr="00B97C8D">
        <w:rPr>
          <w:rFonts w:ascii="Times New Roman" w:hAnsi="Times New Roman" w:cs="Times New Roman"/>
          <w:lang w:val="es-AR"/>
        </w:rPr>
        <w:t>como el género, los años de experiencia docente o el nivel educativo en el que se enseña</w:t>
      </w:r>
      <w:r w:rsidR="00421C32">
        <w:rPr>
          <w:rFonts w:ascii="Times New Roman" w:hAnsi="Times New Roman" w:cs="Times New Roman"/>
          <w:lang w:val="es-AR"/>
        </w:rPr>
        <w:t>-</w:t>
      </w:r>
      <w:r w:rsidRPr="00B97C8D">
        <w:rPr>
          <w:rFonts w:ascii="Times New Roman" w:hAnsi="Times New Roman" w:cs="Times New Roman"/>
          <w:lang w:val="es-AR"/>
        </w:rPr>
        <w:t xml:space="preserve"> no muestran diferencias estadísticamente significativas en la percepción de la IA. En cambio, el peso decisivo recae una </w:t>
      </w:r>
      <w:r w:rsidR="00421C32">
        <w:rPr>
          <w:rFonts w:ascii="Times New Roman" w:hAnsi="Times New Roman" w:cs="Times New Roman"/>
          <w:lang w:val="es-AR"/>
        </w:rPr>
        <w:t>nuevamente</w:t>
      </w:r>
      <w:r w:rsidRPr="00B97C8D">
        <w:rPr>
          <w:rFonts w:ascii="Times New Roman" w:hAnsi="Times New Roman" w:cs="Times New Roman"/>
          <w:lang w:val="es-AR"/>
        </w:rPr>
        <w:t xml:space="preserve"> en los enfoques pedagógicos previos y en la frecuencia del uso educativo de la herramienta.  </w:t>
      </w:r>
    </w:p>
    <w:p w14:paraId="6D85E4F1" w14:textId="1A8B07E5"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Por un lado, los docentes </w:t>
      </w:r>
      <w:r w:rsidR="00421C32">
        <w:rPr>
          <w:rFonts w:ascii="Times New Roman" w:hAnsi="Times New Roman" w:cs="Times New Roman"/>
          <w:lang w:val="es-AR"/>
        </w:rPr>
        <w:t>con</w:t>
      </w:r>
      <w:r w:rsidRPr="00B97C8D">
        <w:rPr>
          <w:rFonts w:ascii="Times New Roman" w:hAnsi="Times New Roman" w:cs="Times New Roman"/>
          <w:lang w:val="es-AR"/>
        </w:rPr>
        <w:t xml:space="preserve"> enfoque constructivista </w:t>
      </w:r>
      <w:r w:rsidR="00421C32">
        <w:rPr>
          <w:rFonts w:ascii="Times New Roman" w:hAnsi="Times New Roman" w:cs="Times New Roman"/>
          <w:lang w:val="es-AR"/>
        </w:rPr>
        <w:t>muestran</w:t>
      </w:r>
      <w:r w:rsidRPr="00B97C8D">
        <w:rPr>
          <w:rFonts w:ascii="Times New Roman" w:hAnsi="Times New Roman" w:cs="Times New Roman"/>
          <w:lang w:val="es-AR"/>
        </w:rPr>
        <w:t xml:space="preserve"> una predisposición significativamente más optimista y una menor percepción de riesgo que </w:t>
      </w:r>
      <w:r w:rsidR="00421C32">
        <w:rPr>
          <w:rFonts w:ascii="Times New Roman" w:hAnsi="Times New Roman" w:cs="Times New Roman"/>
          <w:lang w:val="es-AR"/>
        </w:rPr>
        <w:t>otros docentes</w:t>
      </w:r>
      <w:r w:rsidRPr="00B97C8D">
        <w:rPr>
          <w:rFonts w:ascii="Times New Roman" w:hAnsi="Times New Roman" w:cs="Times New Roman"/>
          <w:lang w:val="es-AR"/>
        </w:rPr>
        <w:t xml:space="preserve"> con enfoques tradicionales o interpretativos. Por otro lado, la familiaridad técnica opera como un fuerte atenuador de alarmas: quienes utilizan la IA con regularidad manifiestan valoraciones positivas sustancialmente más altas y una percepción de amenaza notablemente menor en comparación con quienes la emplean de forma esporádica o nula.  </w:t>
      </w:r>
    </w:p>
    <w:p w14:paraId="44ACD1AF" w14:textId="2514B4F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Esta evidencia refuerza la tesis de que la asimilación de la </w:t>
      </w:r>
      <w:r w:rsidR="00421C32">
        <w:rPr>
          <w:rFonts w:ascii="Times New Roman" w:hAnsi="Times New Roman" w:cs="Times New Roman"/>
          <w:lang w:val="es-AR"/>
        </w:rPr>
        <w:t>IA</w:t>
      </w:r>
      <w:r w:rsidRPr="00B97C8D">
        <w:rPr>
          <w:rFonts w:ascii="Times New Roman" w:hAnsi="Times New Roman" w:cs="Times New Roman"/>
          <w:lang w:val="es-AR"/>
        </w:rPr>
        <w:t xml:space="preserve"> en las aulas universitarias no es un fenómeno puramente técnico, sino un proceso mediado por las biografías pedagógicas de los educadores. A partir de estas regularidades, en las páginas siguientes se propone una tipología de sesgos docentes.</w:t>
      </w:r>
    </w:p>
    <w:p w14:paraId="34F50236" w14:textId="77777777" w:rsidR="00B97C8D" w:rsidRPr="00B97C8D" w:rsidRDefault="00B97C8D" w:rsidP="00B97C8D">
      <w:pPr>
        <w:spacing w:line="240" w:lineRule="auto"/>
        <w:jc w:val="both"/>
        <w:rPr>
          <w:rFonts w:ascii="Times New Roman" w:hAnsi="Times New Roman" w:cs="Times New Roman"/>
          <w:lang w:val="es-AR"/>
        </w:rPr>
      </w:pPr>
    </w:p>
    <w:p w14:paraId="6C1B6D7B" w14:textId="77777777" w:rsidR="00497FE6" w:rsidRDefault="00497FE6">
      <w:pPr>
        <w:rPr>
          <w:rFonts w:ascii="Times New Roman" w:hAnsi="Times New Roman" w:cs="Times New Roman"/>
          <w:b/>
          <w:bCs/>
          <w:lang w:val="es-AR"/>
        </w:rPr>
      </w:pPr>
      <w:r>
        <w:rPr>
          <w:rFonts w:ascii="Times New Roman" w:hAnsi="Times New Roman" w:cs="Times New Roman"/>
          <w:b/>
          <w:bCs/>
          <w:lang w:val="es-AR"/>
        </w:rPr>
        <w:br w:type="page"/>
      </w:r>
    </w:p>
    <w:p w14:paraId="3662B114" w14:textId="67A53864" w:rsidR="00B97C8D" w:rsidRPr="00B97C8D" w:rsidRDefault="00B97C8D" w:rsidP="00B97C8D">
      <w:pPr>
        <w:spacing w:line="240" w:lineRule="auto"/>
        <w:jc w:val="both"/>
        <w:rPr>
          <w:rFonts w:ascii="Times New Roman" w:hAnsi="Times New Roman" w:cs="Times New Roman"/>
          <w:b/>
          <w:bCs/>
          <w:lang w:val="es-AR"/>
        </w:rPr>
      </w:pPr>
      <w:r w:rsidRPr="00B97C8D">
        <w:rPr>
          <w:rFonts w:ascii="Times New Roman" w:hAnsi="Times New Roman" w:cs="Times New Roman"/>
          <w:b/>
          <w:bCs/>
          <w:lang w:val="es-AR"/>
        </w:rPr>
        <w:lastRenderedPageBreak/>
        <w:t xml:space="preserve">Metodología de análisis y </w:t>
      </w:r>
      <w:r w:rsidR="00191FE2">
        <w:rPr>
          <w:rFonts w:ascii="Times New Roman" w:hAnsi="Times New Roman" w:cs="Times New Roman"/>
          <w:b/>
          <w:bCs/>
          <w:lang w:val="es-AR"/>
        </w:rPr>
        <w:t>clasificación</w:t>
      </w:r>
    </w:p>
    <w:p w14:paraId="65CE9289" w14:textId="3918CD86"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El presente trabajo se inscribe en el campo de los estudios sobre innovación educativa, inteligencia artificial y formación universitaria en periodismo, y adopta una estrategia metodológica de carácter cualitativo basada en el análisis secundario de literatura académica reciente. </w:t>
      </w:r>
      <w:r w:rsidR="00191FE2">
        <w:rPr>
          <w:rFonts w:ascii="Times New Roman" w:hAnsi="Times New Roman" w:cs="Times New Roman"/>
          <w:lang w:val="es-AR"/>
        </w:rPr>
        <w:t>E</w:t>
      </w:r>
      <w:r w:rsidRPr="00B97C8D">
        <w:rPr>
          <w:rFonts w:ascii="Times New Roman" w:hAnsi="Times New Roman" w:cs="Times New Roman"/>
          <w:lang w:val="es-AR"/>
        </w:rPr>
        <w:t>sta propuesta no releva datos primarios ni realiza entrevistas a docentes o estudiantes, sino que examina investigaciones previas que han documentado percepciones</w:t>
      </w:r>
      <w:r w:rsidR="00191FE2">
        <w:rPr>
          <w:rFonts w:ascii="Times New Roman" w:hAnsi="Times New Roman" w:cs="Times New Roman"/>
          <w:lang w:val="es-AR"/>
        </w:rPr>
        <w:t xml:space="preserve"> sobre</w:t>
      </w:r>
      <w:r w:rsidRPr="00B97C8D">
        <w:rPr>
          <w:rFonts w:ascii="Times New Roman" w:hAnsi="Times New Roman" w:cs="Times New Roman"/>
          <w:lang w:val="es-AR"/>
        </w:rPr>
        <w:t xml:space="preserve"> la incorporación de herramientas de inteligencia artificial en contextos de educación superior.</w:t>
      </w:r>
    </w:p>
    <w:p w14:paraId="4C1D8BE5" w14:textId="5B35A5E9"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Para ello se realizó una revisión bibliográfica focalizada en publicaciones académicas producidas entre 2022 y 2025, período que coincide con la expansión masiva de las herramientas de inteligencia artificial generativa y con la intensificación de los debates sobre sus usos educativos. Se seleccionaron artículos científicos</w:t>
      </w:r>
      <w:r w:rsidR="00191FE2">
        <w:rPr>
          <w:rFonts w:ascii="Times New Roman" w:hAnsi="Times New Roman" w:cs="Times New Roman"/>
          <w:lang w:val="es-AR"/>
        </w:rPr>
        <w:t xml:space="preserve"> </w:t>
      </w:r>
      <w:r w:rsidRPr="00B97C8D">
        <w:rPr>
          <w:rFonts w:ascii="Times New Roman" w:hAnsi="Times New Roman" w:cs="Times New Roman"/>
          <w:lang w:val="es-AR"/>
        </w:rPr>
        <w:t xml:space="preserve">que relevan discursos y experiencias de docentes universitarios </w:t>
      </w:r>
      <w:r w:rsidR="00191FE2">
        <w:rPr>
          <w:rFonts w:ascii="Times New Roman" w:hAnsi="Times New Roman" w:cs="Times New Roman"/>
          <w:lang w:val="es-AR"/>
        </w:rPr>
        <w:t>y</w:t>
      </w:r>
      <w:r w:rsidRPr="00B97C8D">
        <w:rPr>
          <w:rFonts w:ascii="Times New Roman" w:hAnsi="Times New Roman" w:cs="Times New Roman"/>
          <w:lang w:val="es-AR"/>
        </w:rPr>
        <w:t xml:space="preserve"> trabajos centrados en procesos de reforma curricular e implementación institucional de herramientas de </w:t>
      </w:r>
      <w:r w:rsidR="00191FE2">
        <w:rPr>
          <w:rFonts w:ascii="Times New Roman" w:hAnsi="Times New Roman" w:cs="Times New Roman"/>
          <w:lang w:val="es-AR"/>
        </w:rPr>
        <w:t>IA</w:t>
      </w:r>
      <w:r w:rsidRPr="00B97C8D">
        <w:rPr>
          <w:rFonts w:ascii="Times New Roman" w:hAnsi="Times New Roman" w:cs="Times New Roman"/>
          <w:lang w:val="es-AR"/>
        </w:rPr>
        <w:t>. Asimismo, se incorpora</w:t>
      </w:r>
      <w:r w:rsidR="00191FE2">
        <w:rPr>
          <w:rFonts w:ascii="Times New Roman" w:hAnsi="Times New Roman" w:cs="Times New Roman"/>
          <w:lang w:val="es-AR"/>
        </w:rPr>
        <w:t>ro</w:t>
      </w:r>
      <w:r w:rsidRPr="00B97C8D">
        <w:rPr>
          <w:rFonts w:ascii="Times New Roman" w:hAnsi="Times New Roman" w:cs="Times New Roman"/>
          <w:lang w:val="es-AR"/>
        </w:rPr>
        <w:t xml:space="preserve">n informes sobre la transformación del ecosistema periodístico </w:t>
      </w:r>
      <w:r w:rsidR="00191FE2">
        <w:rPr>
          <w:rFonts w:ascii="Times New Roman" w:hAnsi="Times New Roman" w:cs="Times New Roman"/>
          <w:lang w:val="es-AR"/>
        </w:rPr>
        <w:t>actual</w:t>
      </w:r>
      <w:r w:rsidRPr="00B97C8D">
        <w:rPr>
          <w:rFonts w:ascii="Times New Roman" w:hAnsi="Times New Roman" w:cs="Times New Roman"/>
          <w:lang w:val="es-AR"/>
        </w:rPr>
        <w:t>, con el objetivo de contextualizar los cambios que inciden sobre la formación de futuros profesionales.</w:t>
      </w:r>
    </w:p>
    <w:p w14:paraId="2C8D307D" w14:textId="1CAC8739" w:rsidR="00B97C8D" w:rsidRDefault="00191FE2" w:rsidP="00B97C8D">
      <w:pPr>
        <w:spacing w:line="240" w:lineRule="auto"/>
        <w:jc w:val="both"/>
        <w:rPr>
          <w:rFonts w:ascii="Times New Roman" w:hAnsi="Times New Roman" w:cs="Times New Roman"/>
          <w:lang w:val="es-AR"/>
        </w:rPr>
      </w:pPr>
      <w:r w:rsidRPr="00191FE2">
        <w:rPr>
          <w:rFonts w:ascii="Times New Roman" w:hAnsi="Times New Roman" w:cs="Times New Roman"/>
          <w:lang w:val="es-AR"/>
        </w:rPr>
        <w:t>El análisis de la literatura permitió identificar temas, preocupaciones y posiciones que aparecen de manera reiterada en los discursos docentes sobre la inteligencia artificial. A partir de la comparación de estudios realizados en distintos contextos, se elaboró una clasificación de los principales sesgos que influyen en las decisiones de los docentes respecto de la incorporación de estas tecnologías en la enseñanza.</w:t>
      </w:r>
      <w:r w:rsidRPr="00191FE2">
        <w:rPr>
          <w:rFonts w:ascii="Times New Roman" w:hAnsi="Times New Roman" w:cs="Times New Roman"/>
          <w:lang w:val="es-AR"/>
        </w:rPr>
        <w:t xml:space="preserve"> </w:t>
      </w:r>
      <w:r w:rsidR="00B97C8D" w:rsidRPr="00191FE2">
        <w:rPr>
          <w:rFonts w:ascii="Times New Roman" w:hAnsi="Times New Roman" w:cs="Times New Roman"/>
          <w:lang w:val="es-AR"/>
        </w:rPr>
        <w:t xml:space="preserve">Más que establecer </w:t>
      </w:r>
      <w:r w:rsidR="00B97C8D" w:rsidRPr="00B97C8D">
        <w:rPr>
          <w:rFonts w:ascii="Times New Roman" w:hAnsi="Times New Roman" w:cs="Times New Roman"/>
          <w:lang w:val="es-AR"/>
        </w:rPr>
        <w:t xml:space="preserve">relaciones causales o medir la frecuencia de determinadas posiciones, el propósito del estudio es ofrecer una herramienta conceptual que permita comprender cómo distintos marcos interpretativos condicionan las decisiones docentes frente a la inteligencia artificial. En este sentido, la tipología propuesta debe entenderse como una construcción analítica derivada de </w:t>
      </w:r>
      <w:r>
        <w:rPr>
          <w:rFonts w:ascii="Times New Roman" w:hAnsi="Times New Roman" w:cs="Times New Roman"/>
          <w:lang w:val="es-AR"/>
        </w:rPr>
        <w:t>patrones</w:t>
      </w:r>
      <w:r w:rsidR="00B97C8D" w:rsidRPr="00B97C8D">
        <w:rPr>
          <w:rFonts w:ascii="Times New Roman" w:hAnsi="Times New Roman" w:cs="Times New Roman"/>
          <w:lang w:val="es-AR"/>
        </w:rPr>
        <w:t xml:space="preserve"> observad</w:t>
      </w:r>
      <w:r>
        <w:rPr>
          <w:rFonts w:ascii="Times New Roman" w:hAnsi="Times New Roman" w:cs="Times New Roman"/>
          <w:lang w:val="es-AR"/>
        </w:rPr>
        <w:t>o</w:t>
      </w:r>
      <w:r w:rsidR="00B97C8D" w:rsidRPr="00B97C8D">
        <w:rPr>
          <w:rFonts w:ascii="Times New Roman" w:hAnsi="Times New Roman" w:cs="Times New Roman"/>
          <w:lang w:val="es-AR"/>
        </w:rPr>
        <w:t>s en la literatura revisada y no como una clasificación exhaustiva o definitiva de las prácticas docentes existentes. Su valor radica en contribuir a la comprensión de un fenómeno emergente y en proporcionar categorías útiles para futuras investigaciones empíricas sobre la enseñanza universitaria del periodismo en contextos de creciente automatización.</w:t>
      </w:r>
    </w:p>
    <w:p w14:paraId="15FAF109" w14:textId="77777777" w:rsidR="00191FE2" w:rsidRPr="00B97C8D" w:rsidRDefault="00191FE2" w:rsidP="00B97C8D">
      <w:pPr>
        <w:spacing w:line="240" w:lineRule="auto"/>
        <w:jc w:val="both"/>
        <w:rPr>
          <w:rFonts w:ascii="Times New Roman" w:hAnsi="Times New Roman" w:cs="Times New Roman"/>
          <w:lang w:val="es-AR"/>
        </w:rPr>
      </w:pPr>
    </w:p>
    <w:p w14:paraId="3F89EA20" w14:textId="2BC3368F" w:rsidR="00B97C8D" w:rsidRPr="00B97C8D" w:rsidRDefault="00B97C8D" w:rsidP="00B97C8D">
      <w:pPr>
        <w:spacing w:line="240" w:lineRule="auto"/>
        <w:jc w:val="both"/>
        <w:rPr>
          <w:rFonts w:ascii="Times New Roman" w:hAnsi="Times New Roman" w:cs="Times New Roman"/>
          <w:b/>
          <w:bCs/>
          <w:lang w:val="es-AR"/>
        </w:rPr>
      </w:pPr>
      <w:r w:rsidRPr="00B97C8D">
        <w:rPr>
          <w:rFonts w:ascii="Times New Roman" w:hAnsi="Times New Roman" w:cs="Times New Roman"/>
          <w:b/>
          <w:bCs/>
          <w:lang w:val="es-AR"/>
        </w:rPr>
        <w:t>Tipología</w:t>
      </w:r>
      <w:r w:rsidR="00191FE2">
        <w:rPr>
          <w:rFonts w:ascii="Times New Roman" w:hAnsi="Times New Roman" w:cs="Times New Roman"/>
          <w:b/>
          <w:bCs/>
          <w:lang w:val="es-AR"/>
        </w:rPr>
        <w:t xml:space="preserve"> de sesgos docentes en el uso de IA</w:t>
      </w:r>
    </w:p>
    <w:p w14:paraId="5A412FB4" w14:textId="17CB8911"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La revisión de la literatura permite observar que las posiciones docentes frente a la inteligencia artificial no responden únicamente a las características técnicas de las herramientas disponibles. En realidad, se encuentran mediadas por un conjunto de creencias, representaciones profesionales, decisiones pedagógicas y condicionamientos institucionales que influyen en la forma en que estas tecnologías son interpretadas e incorporadas al aula. Aunque los estudios analizados utilizan marcos conceptuales diversos</w:t>
      </w:r>
      <w:r w:rsidR="00B62E20">
        <w:rPr>
          <w:rFonts w:ascii="Times New Roman" w:hAnsi="Times New Roman" w:cs="Times New Roman"/>
          <w:lang w:val="es-AR"/>
        </w:rPr>
        <w:t>,</w:t>
      </w:r>
      <w:r w:rsidRPr="00B97C8D">
        <w:rPr>
          <w:rFonts w:ascii="Times New Roman" w:hAnsi="Times New Roman" w:cs="Times New Roman"/>
          <w:lang w:val="es-AR"/>
        </w:rPr>
        <w:t xml:space="preserve"> y se desarrollan en contextos institucionales diferentes, es posible identificar regularidades que permiten construir una tipología analítica de los sesgos que intervienen en la adopción pedagógica de la </w:t>
      </w:r>
      <w:r w:rsidR="00EA14B1">
        <w:rPr>
          <w:rFonts w:ascii="Times New Roman" w:hAnsi="Times New Roman" w:cs="Times New Roman"/>
          <w:lang w:val="es-AR"/>
        </w:rPr>
        <w:t>IA</w:t>
      </w:r>
      <w:r w:rsidRPr="00B97C8D">
        <w:rPr>
          <w:rFonts w:ascii="Times New Roman" w:hAnsi="Times New Roman" w:cs="Times New Roman"/>
          <w:lang w:val="es-AR"/>
        </w:rPr>
        <w:t xml:space="preserve"> en la enseñanza universitaria del periodismo.</w:t>
      </w:r>
    </w:p>
    <w:p w14:paraId="70AECC5E" w14:textId="71B69598"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lastRenderedPageBreak/>
        <w:t xml:space="preserve">La primera dimensión corresponde a los </w:t>
      </w:r>
      <w:r w:rsidRPr="00EA14B1">
        <w:rPr>
          <w:rFonts w:ascii="Times New Roman" w:hAnsi="Times New Roman" w:cs="Times New Roman"/>
          <w:u w:val="single"/>
          <w:lang w:val="es-AR"/>
        </w:rPr>
        <w:t>sesgos cognitivos individuales</w:t>
      </w:r>
      <w:r w:rsidRPr="00B97C8D">
        <w:rPr>
          <w:rFonts w:ascii="Times New Roman" w:hAnsi="Times New Roman" w:cs="Times New Roman"/>
          <w:lang w:val="es-AR"/>
        </w:rPr>
        <w:t xml:space="preserve">, entendidos como predisposiciones personales que condicionan la evaluación de las </w:t>
      </w:r>
      <w:r w:rsidR="00EA14B1">
        <w:rPr>
          <w:rFonts w:ascii="Times New Roman" w:hAnsi="Times New Roman" w:cs="Times New Roman"/>
          <w:lang w:val="es-AR"/>
        </w:rPr>
        <w:t xml:space="preserve">nuevas </w:t>
      </w:r>
      <w:r w:rsidRPr="00B97C8D">
        <w:rPr>
          <w:rFonts w:ascii="Times New Roman" w:hAnsi="Times New Roman" w:cs="Times New Roman"/>
          <w:lang w:val="es-AR"/>
        </w:rPr>
        <w:t>tecnologías. En la literatura revisada aparecen dos posiciones recurrentes y aparentemente opuestas</w:t>
      </w:r>
      <w:r w:rsidR="00EA14B1">
        <w:rPr>
          <w:rFonts w:ascii="Times New Roman" w:hAnsi="Times New Roman" w:cs="Times New Roman"/>
          <w:lang w:val="es-AR"/>
        </w:rPr>
        <w:t>.</w:t>
      </w:r>
      <w:r w:rsidRPr="00B97C8D">
        <w:rPr>
          <w:rFonts w:ascii="Times New Roman" w:hAnsi="Times New Roman" w:cs="Times New Roman"/>
          <w:lang w:val="es-AR"/>
        </w:rPr>
        <w:t xml:space="preserve"> </w:t>
      </w:r>
      <w:r w:rsidR="00EA14B1">
        <w:rPr>
          <w:rFonts w:ascii="Times New Roman" w:hAnsi="Times New Roman" w:cs="Times New Roman"/>
          <w:lang w:val="es-AR"/>
        </w:rPr>
        <w:t>P</w:t>
      </w:r>
      <w:r w:rsidRPr="00B97C8D">
        <w:rPr>
          <w:rFonts w:ascii="Times New Roman" w:hAnsi="Times New Roman" w:cs="Times New Roman"/>
          <w:lang w:val="es-AR"/>
        </w:rPr>
        <w:t xml:space="preserve">or un lado, la tecnofobia, caracterizada por una percepción predominantemente negativa de la inteligencia artificial, asociada a riesgos de plagio, pérdida de habilidades cognitivas, deterioro de la calidad educativa o amenaza a la profesión periodística. En estos casos, la IA suele ser interpretada principalmente como un problema que debe ser controlado o restringido. Por otro lado, </w:t>
      </w:r>
      <w:r w:rsidR="00EA14B1">
        <w:rPr>
          <w:rFonts w:ascii="Times New Roman" w:hAnsi="Times New Roman" w:cs="Times New Roman"/>
          <w:lang w:val="es-AR"/>
        </w:rPr>
        <w:t>la</w:t>
      </w:r>
      <w:r w:rsidRPr="00B97C8D">
        <w:rPr>
          <w:rFonts w:ascii="Times New Roman" w:hAnsi="Times New Roman" w:cs="Times New Roman"/>
          <w:lang w:val="es-AR"/>
        </w:rPr>
        <w:t xml:space="preserve"> tecnofilia, una confianza excesiva en la capacidad de las herramientas para resolver problemas educativos complejos o mejorar automáticamente los procesos de aprendizaje. Ambas posiciones simplifican el fenómeno y dificultan </w:t>
      </w:r>
      <w:r w:rsidR="00EA14B1">
        <w:rPr>
          <w:rFonts w:ascii="Times New Roman" w:hAnsi="Times New Roman" w:cs="Times New Roman"/>
          <w:lang w:val="es-AR"/>
        </w:rPr>
        <w:t>su</w:t>
      </w:r>
      <w:r w:rsidRPr="00B97C8D">
        <w:rPr>
          <w:rFonts w:ascii="Times New Roman" w:hAnsi="Times New Roman" w:cs="Times New Roman"/>
          <w:lang w:val="es-AR"/>
        </w:rPr>
        <w:t xml:space="preserve"> evaluación crítica </w:t>
      </w:r>
      <w:r w:rsidR="00EA14B1">
        <w:rPr>
          <w:rFonts w:ascii="Times New Roman" w:hAnsi="Times New Roman" w:cs="Times New Roman"/>
          <w:lang w:val="es-AR"/>
        </w:rPr>
        <w:t>(</w:t>
      </w:r>
      <w:r w:rsidRPr="00B97C8D">
        <w:rPr>
          <w:rFonts w:ascii="Times New Roman" w:hAnsi="Times New Roman" w:cs="Times New Roman"/>
          <w:lang w:val="es-AR"/>
        </w:rPr>
        <w:t>potencialidades y limitaciones</w:t>
      </w:r>
      <w:r w:rsidR="00EA14B1">
        <w:rPr>
          <w:rFonts w:ascii="Times New Roman" w:hAnsi="Times New Roman" w:cs="Times New Roman"/>
          <w:lang w:val="es-AR"/>
        </w:rPr>
        <w:t>)</w:t>
      </w:r>
      <w:r w:rsidRPr="00B97C8D">
        <w:rPr>
          <w:rFonts w:ascii="Times New Roman" w:hAnsi="Times New Roman" w:cs="Times New Roman"/>
          <w:lang w:val="es-AR"/>
        </w:rPr>
        <w:t>.</w:t>
      </w:r>
    </w:p>
    <w:p w14:paraId="7CE3351F" w14:textId="502EA60B"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A estas tendencias se suma lo que podría denominarse efecto halo algorítmico, observable cuando docentes o estudiantes atribuyen a los sistemas de </w:t>
      </w:r>
      <w:r w:rsidR="00EA14B1">
        <w:rPr>
          <w:rFonts w:ascii="Times New Roman" w:hAnsi="Times New Roman" w:cs="Times New Roman"/>
          <w:lang w:val="es-AR"/>
        </w:rPr>
        <w:t xml:space="preserve">IA </w:t>
      </w:r>
      <w:r w:rsidRPr="00B97C8D">
        <w:rPr>
          <w:rFonts w:ascii="Times New Roman" w:hAnsi="Times New Roman" w:cs="Times New Roman"/>
          <w:lang w:val="es-AR"/>
        </w:rPr>
        <w:t>niveles de objetividad, neutralidad o precisión superiores a los que efectivamente poseen. Diversos trabajos sobre alfabetización algorítmica advierten que la aparente sofisticación tecnológica de estas herramientas puede generar una percepción exagerada de confiabilidad, invisibilizando errores, sesgos presentes en los datos de entrenamiento o limitaciones inherentes a los modelos generativos. En el contexto de la enseñanza del periodismo, esta situación resulta particularmente problemática debido a que la verificación, la evaluación de fuentes y la contrastación de información constituyen competencias centrales de la profesión.</w:t>
      </w:r>
    </w:p>
    <w:p w14:paraId="3379D395" w14:textId="2B8A300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Sin embargo, las actitudes frente a la inteligencia artificial no se explican únicamente por factores cognitivos. Una segunda dimensión de análisis está constituida por los </w:t>
      </w:r>
      <w:r w:rsidRPr="00EA14B1">
        <w:rPr>
          <w:rFonts w:ascii="Times New Roman" w:hAnsi="Times New Roman" w:cs="Times New Roman"/>
          <w:u w:val="single"/>
          <w:lang w:val="es-AR"/>
        </w:rPr>
        <w:t>sesgos profesionales-identitarios</w:t>
      </w:r>
      <w:r w:rsidRPr="00B97C8D">
        <w:rPr>
          <w:rFonts w:ascii="Times New Roman" w:hAnsi="Times New Roman" w:cs="Times New Roman"/>
          <w:lang w:val="es-AR"/>
        </w:rPr>
        <w:t xml:space="preserve">, estrechamente vinculados con la manera en que los docentes conciben el periodismo y su propia función dentro de la formación universitaria. </w:t>
      </w:r>
      <w:r w:rsidR="00EA14B1">
        <w:rPr>
          <w:rFonts w:ascii="Times New Roman" w:hAnsi="Times New Roman" w:cs="Times New Roman"/>
          <w:lang w:val="es-AR"/>
        </w:rPr>
        <w:t>Diferentes</w:t>
      </w:r>
      <w:r w:rsidRPr="00B97C8D">
        <w:rPr>
          <w:rFonts w:ascii="Times New Roman" w:hAnsi="Times New Roman" w:cs="Times New Roman"/>
          <w:lang w:val="es-AR"/>
        </w:rPr>
        <w:t xml:space="preserve"> estudios muestran que las discusiones sobre </w:t>
      </w:r>
      <w:r w:rsidR="00EA14B1">
        <w:rPr>
          <w:rFonts w:ascii="Times New Roman" w:hAnsi="Times New Roman" w:cs="Times New Roman"/>
          <w:lang w:val="es-AR"/>
        </w:rPr>
        <w:t>IA</w:t>
      </w:r>
      <w:r w:rsidRPr="00B97C8D">
        <w:rPr>
          <w:rFonts w:ascii="Times New Roman" w:hAnsi="Times New Roman" w:cs="Times New Roman"/>
          <w:lang w:val="es-AR"/>
        </w:rPr>
        <w:t xml:space="preserve"> suelen activar tensiones relacionadas con la identidad profesional del periodista, especialmente en torno a cuestiones como la autoría, la creatividad, el criterio editorial y la producción de conocimiento original</w:t>
      </w:r>
      <w:r w:rsidR="00EA14B1">
        <w:rPr>
          <w:rFonts w:ascii="Times New Roman" w:hAnsi="Times New Roman" w:cs="Times New Roman"/>
          <w:lang w:val="es-AR"/>
        </w:rPr>
        <w:t>, como se ha visto en la primera parte de este artículo sobre las tensiones en el mundo profesional.</w:t>
      </w:r>
    </w:p>
    <w:p w14:paraId="63B6D591" w14:textId="2D3C3E79" w:rsidR="00B97C8D" w:rsidRPr="00B97C8D" w:rsidRDefault="00B97C8D" w:rsidP="00B97C8D">
      <w:pPr>
        <w:spacing w:line="240" w:lineRule="auto"/>
        <w:jc w:val="both"/>
        <w:rPr>
          <w:rFonts w:ascii="Times New Roman" w:hAnsi="Times New Roman" w:cs="Times New Roman"/>
          <w:lang w:val="es-AR"/>
        </w:rPr>
      </w:pPr>
      <w:r w:rsidRPr="00C829C4">
        <w:rPr>
          <w:rFonts w:ascii="Times New Roman" w:hAnsi="Times New Roman" w:cs="Times New Roman"/>
          <w:lang w:val="es-AR"/>
        </w:rPr>
        <w:t>La historia</w:t>
      </w:r>
      <w:r w:rsidRPr="00B97C8D">
        <w:rPr>
          <w:rFonts w:ascii="Times New Roman" w:hAnsi="Times New Roman" w:cs="Times New Roman"/>
          <w:lang w:val="es-AR"/>
        </w:rPr>
        <w:t xml:space="preserve"> del periodismo moderno se encuentra asociada a valores como la búsqueda autónoma de información, la verificación rigurosa de los hechos y la construcción de relatos basados en el </w:t>
      </w:r>
      <w:r w:rsidR="00C829C4">
        <w:rPr>
          <w:rFonts w:ascii="Times New Roman" w:hAnsi="Times New Roman" w:cs="Times New Roman"/>
          <w:lang w:val="es-AR"/>
        </w:rPr>
        <w:t>criterio</w:t>
      </w:r>
      <w:r w:rsidRPr="00B97C8D">
        <w:rPr>
          <w:rFonts w:ascii="Times New Roman" w:hAnsi="Times New Roman" w:cs="Times New Roman"/>
          <w:lang w:val="es-AR"/>
        </w:rPr>
        <w:t xml:space="preserve"> profesional. En consecuencia, la aparición de sistemas capaces de producir textos periodísticos o asistir en tareas tradicionalmente intelectuales genera interrogantes sobre aquello que continúa siendo específicamente humano dentro de la práctica profesional. Algunos docentes interpretan estas tecnologías como una amenaza a competencias que consideran constitutivas del oficio, mientras que otros las conciben como herramientas complementarias que amplían </w:t>
      </w:r>
      <w:r w:rsidR="00C829C4">
        <w:rPr>
          <w:rFonts w:ascii="Times New Roman" w:hAnsi="Times New Roman" w:cs="Times New Roman"/>
          <w:lang w:val="es-AR"/>
        </w:rPr>
        <w:t xml:space="preserve">y agilizan </w:t>
      </w:r>
      <w:r w:rsidRPr="00B97C8D">
        <w:rPr>
          <w:rFonts w:ascii="Times New Roman" w:hAnsi="Times New Roman" w:cs="Times New Roman"/>
          <w:lang w:val="es-AR"/>
        </w:rPr>
        <w:t>las posibilidades de trabajo. En ambos casos, la valoración de la inteligencia artificial aparece mediada por representaciones previas acerca de qué significa ser periodista y qué aspectos de la profesión deben preservarse en los procesos formativos.</w:t>
      </w:r>
    </w:p>
    <w:p w14:paraId="782BFEBA"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Las investigaciones analizadas muestran que estas preocupaciones adquieren especial intensidad en carreras de periodismo y comunicación, donde la dimensión ética ocupa un lugar central. La posibilidad de automatizar ciertas tareas informativas no sólo plantea </w:t>
      </w:r>
      <w:r w:rsidRPr="00B97C8D">
        <w:rPr>
          <w:rFonts w:ascii="Times New Roman" w:hAnsi="Times New Roman" w:cs="Times New Roman"/>
          <w:lang w:val="es-AR"/>
        </w:rPr>
        <w:lastRenderedPageBreak/>
        <w:t>desafíos técnicos, sino también interrogantes sobre responsabilidad editorial, transparencia y credibilidad. En consecuencia, parte de la resistencia observada en algunos contextos educativos no deriva exclusivamente de desconocimiento tecnológico, sino de preocupaciones legítimas vinculadas con la preservación de estándares profesionales considerados fundamentales para el ejercicio periodístico.</w:t>
      </w:r>
    </w:p>
    <w:p w14:paraId="61EBA624" w14:textId="49EBB6BA"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Una tercera dimensión corresponde a los </w:t>
      </w:r>
      <w:r w:rsidRPr="000D4D7F">
        <w:rPr>
          <w:rFonts w:ascii="Times New Roman" w:hAnsi="Times New Roman" w:cs="Times New Roman"/>
          <w:u w:val="single"/>
          <w:lang w:val="es-AR"/>
        </w:rPr>
        <w:t>sesgos pedagógicos</w:t>
      </w:r>
      <w:r w:rsidR="000D4D7F">
        <w:rPr>
          <w:rFonts w:ascii="Times New Roman" w:hAnsi="Times New Roman" w:cs="Times New Roman"/>
          <w:u w:val="single"/>
          <w:lang w:val="es-AR"/>
        </w:rPr>
        <w:t xml:space="preserve">. </w:t>
      </w:r>
      <w:r w:rsidR="000D4D7F">
        <w:rPr>
          <w:rFonts w:ascii="Times New Roman" w:hAnsi="Times New Roman" w:cs="Times New Roman"/>
          <w:lang w:val="es-AR"/>
        </w:rPr>
        <w:t>Son</w:t>
      </w:r>
      <w:r w:rsidRPr="00B97C8D">
        <w:rPr>
          <w:rFonts w:ascii="Times New Roman" w:hAnsi="Times New Roman" w:cs="Times New Roman"/>
          <w:lang w:val="es-AR"/>
        </w:rPr>
        <w:t xml:space="preserve"> aquellos que emergen de las concepciones sobre enseñanza, aprendizaje y evaluación que orientan la práctica docente. La literatura muestra que las respuestas institucionales frente a la </w:t>
      </w:r>
      <w:r w:rsidR="000D4D7F">
        <w:rPr>
          <w:rFonts w:ascii="Times New Roman" w:hAnsi="Times New Roman" w:cs="Times New Roman"/>
          <w:lang w:val="es-AR"/>
        </w:rPr>
        <w:t>IA</w:t>
      </w:r>
      <w:r w:rsidRPr="00B97C8D">
        <w:rPr>
          <w:rFonts w:ascii="Times New Roman" w:hAnsi="Times New Roman" w:cs="Times New Roman"/>
          <w:lang w:val="es-AR"/>
        </w:rPr>
        <w:t xml:space="preserve"> suelen oscilar entre dos extremos. En un polo se ubican las estrategias centradas en la prohibición o restricción absoluta del uso de estas herramientas, fundamentadas en preocupaciones relacionadas con el plagio, la autoría o la pérdida de habilidades cognitivas. En el otro</w:t>
      </w:r>
      <w:r w:rsidR="000D4D7F">
        <w:rPr>
          <w:rFonts w:ascii="Times New Roman" w:hAnsi="Times New Roman" w:cs="Times New Roman"/>
          <w:lang w:val="es-AR"/>
        </w:rPr>
        <w:t>,</w:t>
      </w:r>
      <w:r w:rsidRPr="00B97C8D">
        <w:rPr>
          <w:rFonts w:ascii="Times New Roman" w:hAnsi="Times New Roman" w:cs="Times New Roman"/>
          <w:lang w:val="es-AR"/>
        </w:rPr>
        <w:t xml:space="preserve"> aparecen enfoques que promueven su incorporación sin una reflexión suficiente sobre sus implicancias pedagógicas, bajo el supuesto de que toda innovación tecnológica constituye necesariamente una mejora educativa.</w:t>
      </w:r>
      <w:r w:rsidR="000D4D7F">
        <w:rPr>
          <w:rFonts w:ascii="Times New Roman" w:hAnsi="Times New Roman" w:cs="Times New Roman"/>
          <w:lang w:val="es-AR"/>
        </w:rPr>
        <w:t xml:space="preserve"> </w:t>
      </w:r>
      <w:r w:rsidRPr="00B97C8D">
        <w:rPr>
          <w:rFonts w:ascii="Times New Roman" w:hAnsi="Times New Roman" w:cs="Times New Roman"/>
          <w:lang w:val="es-AR"/>
        </w:rPr>
        <w:t xml:space="preserve">Ambas posiciones presentan limitaciones. La prohibición total suele desconocer que los estudiantes convivirán profesionalmente con estas tecnologías y que la alfabetización crítica requiere espacios de experimentación y análisis dentro de las propias instituciones educativas. Por su parte, la adopción acrítica puede favorecer la delegación excesiva de procesos intelectuales complejos en sistemas automatizados, debilitando </w:t>
      </w:r>
      <w:r w:rsidR="000D4D7F">
        <w:rPr>
          <w:rFonts w:ascii="Times New Roman" w:hAnsi="Times New Roman" w:cs="Times New Roman"/>
          <w:lang w:val="es-AR"/>
        </w:rPr>
        <w:t xml:space="preserve">las </w:t>
      </w:r>
      <w:r w:rsidRPr="00B97C8D">
        <w:rPr>
          <w:rFonts w:ascii="Times New Roman" w:hAnsi="Times New Roman" w:cs="Times New Roman"/>
          <w:lang w:val="es-AR"/>
        </w:rPr>
        <w:t>instancias fundamentales de reflexión, argumentación y producción autónoma de conocimiento.</w:t>
      </w:r>
    </w:p>
    <w:p w14:paraId="28518FFE" w14:textId="77777777" w:rsidR="00B97C8D" w:rsidRP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Entre ambos extremos emerge una tercera posibilidad, identificada en diversas experiencias recientes, que consiste en integrar la inteligencia artificial como objeto de análisis crítico y como herramienta de aprendizaje supervisada. Desde esta perspectiva, el desafío pedagógico no radica en sustituir prácticas existentes ni en defenderlas de manera incondicional, sino en rediseñar actividades capaces de promover el uso reflexivo de estas tecnologías, fortaleciendo simultáneamente capacidades de evaluación crítica, verificación y toma de decisiones.</w:t>
      </w:r>
    </w:p>
    <w:p w14:paraId="711FF387" w14:textId="404334F1" w:rsidR="00B97C8D" w:rsidRDefault="00B97C8D" w:rsidP="00B97C8D">
      <w:pPr>
        <w:spacing w:line="240" w:lineRule="auto"/>
        <w:jc w:val="both"/>
        <w:rPr>
          <w:rFonts w:ascii="Times New Roman" w:hAnsi="Times New Roman" w:cs="Times New Roman"/>
          <w:lang w:val="es-AR"/>
        </w:rPr>
      </w:pPr>
      <w:proofErr w:type="gramStart"/>
      <w:r w:rsidRPr="00B97C8D">
        <w:rPr>
          <w:rFonts w:ascii="Times New Roman" w:hAnsi="Times New Roman" w:cs="Times New Roman"/>
          <w:lang w:val="es-AR"/>
        </w:rPr>
        <w:t>Finalmente</w:t>
      </w:r>
      <w:proofErr w:type="gramEnd"/>
      <w:r w:rsidR="000D4D7F">
        <w:rPr>
          <w:rFonts w:ascii="Times New Roman" w:hAnsi="Times New Roman" w:cs="Times New Roman"/>
          <w:lang w:val="es-AR"/>
        </w:rPr>
        <w:t xml:space="preserve"> y en cuarto lugar</w:t>
      </w:r>
      <w:r w:rsidRPr="00B97C8D">
        <w:rPr>
          <w:rFonts w:ascii="Times New Roman" w:hAnsi="Times New Roman" w:cs="Times New Roman"/>
          <w:lang w:val="es-AR"/>
        </w:rPr>
        <w:t xml:space="preserve">, la literatura evidencia la existencia de </w:t>
      </w:r>
      <w:r w:rsidRPr="000D4D7F">
        <w:rPr>
          <w:rFonts w:ascii="Times New Roman" w:hAnsi="Times New Roman" w:cs="Times New Roman"/>
          <w:u w:val="single"/>
          <w:lang w:val="es-AR"/>
        </w:rPr>
        <w:t>sesgos institucionales</w:t>
      </w:r>
      <w:r w:rsidRPr="00B97C8D">
        <w:rPr>
          <w:rFonts w:ascii="Times New Roman" w:hAnsi="Times New Roman" w:cs="Times New Roman"/>
          <w:lang w:val="es-AR"/>
        </w:rPr>
        <w:t>, vinculados con las condiciones estructurales que enmarcan la acción docente. Aunque las discusiones sobre inteligencia artificial suelen centrarse en decisiones individuales, numerosos estudios muestran que las posibilidades reales de adopción dependen también de factores organizacionales como disponibilidad de recursos, acceso a capacitación, políticas institucionales y marcos regulatorios.</w:t>
      </w:r>
    </w:p>
    <w:p w14:paraId="674B8344" w14:textId="77777777" w:rsidR="000D4D7F" w:rsidRPr="00B97C8D" w:rsidRDefault="000D4D7F" w:rsidP="000D4D7F">
      <w:pPr>
        <w:spacing w:line="240" w:lineRule="auto"/>
        <w:jc w:val="both"/>
        <w:rPr>
          <w:rFonts w:ascii="Times New Roman" w:hAnsi="Times New Roman" w:cs="Times New Roman"/>
          <w:lang w:val="es-AR"/>
        </w:rPr>
      </w:pPr>
      <w:r w:rsidRPr="00B97C8D">
        <w:rPr>
          <w:rFonts w:ascii="Times New Roman" w:hAnsi="Times New Roman" w:cs="Times New Roman"/>
          <w:lang w:val="es-AR"/>
        </w:rPr>
        <w:t>En muchos casos, los docentes enfrentan la incorporación de tecnologías emergentes sin orientaciones claras por parte de sus instituciones. La ausencia de lineamientos específicos favorece respuestas individuales heterogéneas, mientras que los protocolos excesivamente restrictivos pueden desalentar procesos de innovación pedagógica. De manera similar, la falta de formación especializada dificulta la construcción de criterios informados para evaluar las potencialidades y limitaciones de estas herramientas.</w:t>
      </w:r>
    </w:p>
    <w:p w14:paraId="56F7B373" w14:textId="77777777" w:rsidR="000D4D7F" w:rsidRPr="00B97C8D" w:rsidRDefault="000D4D7F" w:rsidP="000D4D7F">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Las desigualdades de acceso </w:t>
      </w:r>
      <w:r>
        <w:rPr>
          <w:rFonts w:ascii="Times New Roman" w:hAnsi="Times New Roman" w:cs="Times New Roman"/>
          <w:lang w:val="es-AR"/>
        </w:rPr>
        <w:t>son</w:t>
      </w:r>
      <w:r w:rsidRPr="00B97C8D">
        <w:rPr>
          <w:rFonts w:ascii="Times New Roman" w:hAnsi="Times New Roman" w:cs="Times New Roman"/>
          <w:lang w:val="es-AR"/>
        </w:rPr>
        <w:t xml:space="preserve"> otro aspecto relevante. No todas las universidades cuentan con los mismos recursos tecnológicos</w:t>
      </w:r>
      <w:r>
        <w:rPr>
          <w:rFonts w:ascii="Times New Roman" w:hAnsi="Times New Roman" w:cs="Times New Roman"/>
          <w:lang w:val="es-AR"/>
        </w:rPr>
        <w:t>,</w:t>
      </w:r>
      <w:r w:rsidRPr="00B97C8D">
        <w:rPr>
          <w:rFonts w:ascii="Times New Roman" w:hAnsi="Times New Roman" w:cs="Times New Roman"/>
          <w:lang w:val="es-AR"/>
        </w:rPr>
        <w:t xml:space="preserve"> ni con las mismas posibilidades de capacitación docente. Como consecuencia, la incorporación de </w:t>
      </w:r>
      <w:r>
        <w:rPr>
          <w:rFonts w:ascii="Times New Roman" w:hAnsi="Times New Roman" w:cs="Times New Roman"/>
          <w:lang w:val="es-AR"/>
        </w:rPr>
        <w:t>IA</w:t>
      </w:r>
      <w:r w:rsidRPr="00B97C8D">
        <w:rPr>
          <w:rFonts w:ascii="Times New Roman" w:hAnsi="Times New Roman" w:cs="Times New Roman"/>
          <w:lang w:val="es-AR"/>
        </w:rPr>
        <w:t xml:space="preserve"> puede profundizar </w:t>
      </w:r>
      <w:r w:rsidRPr="00B97C8D">
        <w:rPr>
          <w:rFonts w:ascii="Times New Roman" w:hAnsi="Times New Roman" w:cs="Times New Roman"/>
          <w:lang w:val="es-AR"/>
        </w:rPr>
        <w:lastRenderedPageBreak/>
        <w:t>brechas preexistentes entre instituciones y entre actores educativos, condicionando las oportunidades de innovación curricular.</w:t>
      </w:r>
    </w:p>
    <w:p w14:paraId="1D0BC32E" w14:textId="77777777" w:rsidR="000D4D7F" w:rsidRDefault="000D4D7F" w:rsidP="00B97C8D">
      <w:pPr>
        <w:spacing w:line="240" w:lineRule="auto"/>
        <w:jc w:val="both"/>
        <w:rPr>
          <w:rFonts w:ascii="Times New Roman" w:hAnsi="Times New Roman" w:cs="Times New Roman"/>
          <w:lang w:val="es-AR"/>
        </w:rPr>
      </w:pPr>
    </w:p>
    <w:p w14:paraId="19286AEB" w14:textId="78A695EA" w:rsidR="00B97C8D" w:rsidRDefault="00B97C8D" w:rsidP="00B97C8D">
      <w:pPr>
        <w:spacing w:line="240" w:lineRule="auto"/>
        <w:jc w:val="both"/>
        <w:rPr>
          <w:rFonts w:ascii="Times New Roman" w:hAnsi="Times New Roman" w:cs="Times New Roman"/>
          <w:lang w:val="es-AR"/>
        </w:rPr>
      </w:pPr>
      <w:r>
        <w:rPr>
          <w:rFonts w:ascii="Times New Roman" w:hAnsi="Times New Roman" w:cs="Times New Roman"/>
          <w:bCs/>
          <w:noProof/>
        </w:rPr>
        <w:drawing>
          <wp:inline distT="0" distB="0" distL="0" distR="0" wp14:anchorId="29D22C84" wp14:editId="387107D9">
            <wp:extent cx="5400040" cy="1966595"/>
            <wp:effectExtent l="0" t="57150" r="0" b="90805"/>
            <wp:docPr id="188394456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4D01832" w14:textId="3D07DBC7" w:rsidR="00B97C8D" w:rsidRDefault="00B97C8D" w:rsidP="00B97C8D">
      <w:pPr>
        <w:spacing w:line="240" w:lineRule="auto"/>
        <w:jc w:val="both"/>
        <w:rPr>
          <w:rFonts w:ascii="Times New Roman" w:hAnsi="Times New Roman" w:cs="Times New Roman"/>
          <w:lang w:val="es-AR"/>
        </w:rPr>
      </w:pPr>
      <w:r w:rsidRPr="00B97C8D">
        <w:rPr>
          <w:rFonts w:ascii="Times New Roman" w:hAnsi="Times New Roman" w:cs="Times New Roman"/>
          <w:lang w:val="es-AR"/>
        </w:rPr>
        <w:t xml:space="preserve">La distinción entre sesgos cognitivos, profesionales-identitarios, pedagógicos e institucionales posee un carácter analítico. En la práctica, estas dimensiones suelen superponerse e influirse mutuamente. Un docente que manifiesta resistencia a la </w:t>
      </w:r>
      <w:r w:rsidR="000D4D7F">
        <w:rPr>
          <w:rFonts w:ascii="Times New Roman" w:hAnsi="Times New Roman" w:cs="Times New Roman"/>
          <w:lang w:val="es-AR"/>
        </w:rPr>
        <w:t>IA</w:t>
      </w:r>
      <w:r w:rsidRPr="00B97C8D">
        <w:rPr>
          <w:rFonts w:ascii="Times New Roman" w:hAnsi="Times New Roman" w:cs="Times New Roman"/>
          <w:lang w:val="es-AR"/>
        </w:rPr>
        <w:t xml:space="preserve"> puede estar expresando simultáneamente preocupaciones profesionales, concepciones pedagógicas específicas y limitaciones derivadas de su contexto institucional. No obstante, la diferenciación propuesta permite comprender con mayor precisión la complejidad del fenómeno y evitar explicaciones reduccionistas que atribuyen la aceptación o el rechazo de estas tecnologías exclusivamente a factores individuales o tecnológicos. Desde esta perspectiva, la incorporación de inteligencia artificial en la enseñanza universitaria del periodismo aparece como un proceso profundamente mediado por interpretaciones humanas, cuya comprensión resulta indispensable para diseñar estrategias de formación docente y actualización curricular acordes con los desafíos contemporáneos.</w:t>
      </w:r>
    </w:p>
    <w:p w14:paraId="6A310D53" w14:textId="77777777" w:rsidR="000D4D7F" w:rsidRDefault="000D4D7F" w:rsidP="00B97C8D">
      <w:pPr>
        <w:spacing w:line="240" w:lineRule="auto"/>
        <w:jc w:val="both"/>
        <w:rPr>
          <w:rFonts w:ascii="Times New Roman" w:hAnsi="Times New Roman" w:cs="Times New Roman"/>
          <w:lang w:val="es-AR"/>
        </w:rPr>
      </w:pPr>
    </w:p>
    <w:tbl>
      <w:tblPr>
        <w:tblStyle w:val="Tablaconcuadrcula3-nfasis1"/>
        <w:tblW w:w="0" w:type="auto"/>
        <w:tblLook w:val="04A0" w:firstRow="1" w:lastRow="0" w:firstColumn="1" w:lastColumn="0" w:noHBand="0" w:noVBand="1"/>
      </w:tblPr>
      <w:tblGrid>
        <w:gridCol w:w="2829"/>
        <w:gridCol w:w="2838"/>
        <w:gridCol w:w="2837"/>
      </w:tblGrid>
      <w:tr w:rsidR="00B97C8D" w14:paraId="642DE694" w14:textId="77777777" w:rsidTr="00337A9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80" w:type="dxa"/>
          </w:tcPr>
          <w:p w14:paraId="030F49A5" w14:textId="77777777" w:rsidR="00B97C8D" w:rsidRDefault="00B97C8D" w:rsidP="00337A93">
            <w:r>
              <w:t>Tipo de sesgo</w:t>
            </w:r>
          </w:p>
        </w:tc>
        <w:tc>
          <w:tcPr>
            <w:tcW w:w="2880" w:type="dxa"/>
          </w:tcPr>
          <w:p w14:paraId="7C88ED52" w14:textId="77777777" w:rsidR="00B97C8D" w:rsidRDefault="00B97C8D" w:rsidP="00337A93">
            <w:pPr>
              <w:cnfStyle w:val="100000000000" w:firstRow="1" w:lastRow="0" w:firstColumn="0" w:lastColumn="0" w:oddVBand="0" w:evenVBand="0" w:oddHBand="0" w:evenHBand="0" w:firstRowFirstColumn="0" w:firstRowLastColumn="0" w:lastRowFirstColumn="0" w:lastRowLastColumn="0"/>
            </w:pPr>
            <w:r>
              <w:t>Manifestaciones frecuentes</w:t>
            </w:r>
          </w:p>
        </w:tc>
        <w:tc>
          <w:tcPr>
            <w:tcW w:w="2880" w:type="dxa"/>
          </w:tcPr>
          <w:p w14:paraId="2C0558D6" w14:textId="77777777" w:rsidR="00B97C8D" w:rsidRDefault="00B97C8D" w:rsidP="00337A93">
            <w:pPr>
              <w:cnfStyle w:val="100000000000" w:firstRow="1" w:lastRow="0" w:firstColumn="0" w:lastColumn="0" w:oddVBand="0" w:evenVBand="0" w:oddHBand="0" w:evenHBand="0" w:firstRowFirstColumn="0" w:firstRowLastColumn="0" w:lastRowFirstColumn="0" w:lastRowLastColumn="0"/>
            </w:pPr>
            <w:r>
              <w:t>Riesgos pedagógicos</w:t>
            </w:r>
          </w:p>
        </w:tc>
      </w:tr>
      <w:tr w:rsidR="00B97C8D" w:rsidRPr="00F65BE4" w14:paraId="1E9DB51B" w14:textId="77777777" w:rsidTr="00337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FF397A1" w14:textId="77777777" w:rsidR="00B97C8D" w:rsidRDefault="00B97C8D" w:rsidP="00337A93">
            <w:r>
              <w:t>Cognitivos individuales</w:t>
            </w:r>
          </w:p>
        </w:tc>
        <w:tc>
          <w:tcPr>
            <w:tcW w:w="2880" w:type="dxa"/>
          </w:tcPr>
          <w:p w14:paraId="4F0CC97D" w14:textId="77777777" w:rsidR="00B97C8D" w:rsidRPr="00F65BE4" w:rsidRDefault="00B97C8D" w:rsidP="00337A93">
            <w:pPr>
              <w:cnfStyle w:val="000000100000" w:firstRow="0" w:lastRow="0" w:firstColumn="0" w:lastColumn="0" w:oddVBand="0" w:evenVBand="0" w:oddHBand="1" w:evenHBand="0" w:firstRowFirstColumn="0" w:firstRowLastColumn="0" w:lastRowFirstColumn="0" w:lastRowLastColumn="0"/>
              <w:rPr>
                <w:lang w:val="es-AR"/>
              </w:rPr>
            </w:pPr>
            <w:r w:rsidRPr="00F65BE4">
              <w:rPr>
                <w:lang w:val="es-AR"/>
              </w:rPr>
              <w:t>Tecnofobia, tecnofilia, efecto halo algorítmico</w:t>
            </w:r>
          </w:p>
        </w:tc>
        <w:tc>
          <w:tcPr>
            <w:tcW w:w="2880" w:type="dxa"/>
          </w:tcPr>
          <w:p w14:paraId="389A9D9F" w14:textId="77777777" w:rsidR="00B97C8D" w:rsidRPr="00F65BE4" w:rsidRDefault="00B97C8D" w:rsidP="00337A93">
            <w:pPr>
              <w:cnfStyle w:val="000000100000" w:firstRow="0" w:lastRow="0" w:firstColumn="0" w:lastColumn="0" w:oddVBand="0" w:evenVBand="0" w:oddHBand="1" w:evenHBand="0" w:firstRowFirstColumn="0" w:firstRowLastColumn="0" w:lastRowFirstColumn="0" w:lastRowLastColumn="0"/>
              <w:rPr>
                <w:lang w:val="es-AR"/>
              </w:rPr>
            </w:pPr>
            <w:r w:rsidRPr="00F65BE4">
              <w:rPr>
                <w:lang w:val="es-AR"/>
              </w:rPr>
              <w:t>Rechazo preventivo o confianza excesiva en la IA</w:t>
            </w:r>
          </w:p>
        </w:tc>
      </w:tr>
      <w:tr w:rsidR="00B97C8D" w:rsidRPr="00F65BE4" w14:paraId="1F3D850C" w14:textId="77777777" w:rsidTr="00337A93">
        <w:tc>
          <w:tcPr>
            <w:cnfStyle w:val="001000000000" w:firstRow="0" w:lastRow="0" w:firstColumn="1" w:lastColumn="0" w:oddVBand="0" w:evenVBand="0" w:oddHBand="0" w:evenHBand="0" w:firstRowFirstColumn="0" w:firstRowLastColumn="0" w:lastRowFirstColumn="0" w:lastRowLastColumn="0"/>
            <w:tcW w:w="2880" w:type="dxa"/>
          </w:tcPr>
          <w:p w14:paraId="23398635" w14:textId="77777777" w:rsidR="00B97C8D" w:rsidRDefault="00B97C8D" w:rsidP="00337A93">
            <w:r>
              <w:t>Profesionales-identitarios</w:t>
            </w:r>
          </w:p>
        </w:tc>
        <w:tc>
          <w:tcPr>
            <w:tcW w:w="2880" w:type="dxa"/>
          </w:tcPr>
          <w:p w14:paraId="70DE57F9" w14:textId="77777777" w:rsidR="00B97C8D" w:rsidRPr="00F65BE4" w:rsidRDefault="00B97C8D" w:rsidP="00337A93">
            <w:pPr>
              <w:cnfStyle w:val="000000000000" w:firstRow="0" w:lastRow="0" w:firstColumn="0" w:lastColumn="0" w:oddVBand="0" w:evenVBand="0" w:oddHBand="0" w:evenHBand="0" w:firstRowFirstColumn="0" w:firstRowLastColumn="0" w:lastRowFirstColumn="0" w:lastRowLastColumn="0"/>
              <w:rPr>
                <w:lang w:val="es-AR"/>
              </w:rPr>
            </w:pPr>
            <w:r w:rsidRPr="00F65BE4">
              <w:rPr>
                <w:lang w:val="es-AR"/>
              </w:rPr>
              <w:t>Defensa de la autoría, resistencia a la automatización, preservación del oficio</w:t>
            </w:r>
          </w:p>
        </w:tc>
        <w:tc>
          <w:tcPr>
            <w:tcW w:w="2880" w:type="dxa"/>
          </w:tcPr>
          <w:p w14:paraId="1CE1D88E" w14:textId="77777777" w:rsidR="00B97C8D" w:rsidRPr="00F65BE4" w:rsidRDefault="00B97C8D" w:rsidP="00337A93">
            <w:pPr>
              <w:cnfStyle w:val="000000000000" w:firstRow="0" w:lastRow="0" w:firstColumn="0" w:lastColumn="0" w:oddVBand="0" w:evenVBand="0" w:oddHBand="0" w:evenHBand="0" w:firstRowFirstColumn="0" w:firstRowLastColumn="0" w:lastRowFirstColumn="0" w:lastRowLastColumn="0"/>
              <w:rPr>
                <w:lang w:val="es-AR"/>
              </w:rPr>
            </w:pPr>
            <w:r w:rsidRPr="00F65BE4">
              <w:rPr>
                <w:lang w:val="es-AR"/>
              </w:rPr>
              <w:t>Desactualización curricular o rechazo de competencias emergentes</w:t>
            </w:r>
          </w:p>
        </w:tc>
      </w:tr>
      <w:tr w:rsidR="00B97C8D" w:rsidRPr="00F65BE4" w14:paraId="7B949751" w14:textId="77777777" w:rsidTr="00337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625DF73" w14:textId="77777777" w:rsidR="00B97C8D" w:rsidRDefault="00B97C8D" w:rsidP="00337A93">
            <w:r>
              <w:t>Pedagógicos</w:t>
            </w:r>
          </w:p>
        </w:tc>
        <w:tc>
          <w:tcPr>
            <w:tcW w:w="2880" w:type="dxa"/>
          </w:tcPr>
          <w:p w14:paraId="45F9FA32" w14:textId="77777777" w:rsidR="00B97C8D" w:rsidRPr="00F65BE4" w:rsidRDefault="00B97C8D" w:rsidP="00337A93">
            <w:pPr>
              <w:cnfStyle w:val="000000100000" w:firstRow="0" w:lastRow="0" w:firstColumn="0" w:lastColumn="0" w:oddVBand="0" w:evenVBand="0" w:oddHBand="1" w:evenHBand="0" w:firstRowFirstColumn="0" w:firstRowLastColumn="0" w:lastRowFirstColumn="0" w:lastRowLastColumn="0"/>
              <w:rPr>
                <w:lang w:val="es-AR"/>
              </w:rPr>
            </w:pPr>
            <w:r w:rsidRPr="00F65BE4">
              <w:rPr>
                <w:lang w:val="es-AR"/>
              </w:rPr>
              <w:t>Prohibición total, adopción acrítica, delegación excesiva de tareas cognitivas</w:t>
            </w:r>
          </w:p>
        </w:tc>
        <w:tc>
          <w:tcPr>
            <w:tcW w:w="2880" w:type="dxa"/>
          </w:tcPr>
          <w:p w14:paraId="22002B94" w14:textId="77777777" w:rsidR="00B97C8D" w:rsidRPr="00F65BE4" w:rsidRDefault="00B97C8D" w:rsidP="00337A93">
            <w:pPr>
              <w:cnfStyle w:val="000000100000" w:firstRow="0" w:lastRow="0" w:firstColumn="0" w:lastColumn="0" w:oddVBand="0" w:evenVBand="0" w:oddHBand="1" w:evenHBand="0" w:firstRowFirstColumn="0" w:firstRowLastColumn="0" w:lastRowFirstColumn="0" w:lastRowLastColumn="0"/>
              <w:rPr>
                <w:lang w:val="es-AR"/>
              </w:rPr>
            </w:pPr>
            <w:r w:rsidRPr="00F65BE4">
              <w:rPr>
                <w:lang w:val="es-AR"/>
              </w:rPr>
              <w:t>Aprendizajes superficiales o falta de alfabetización crítica</w:t>
            </w:r>
          </w:p>
        </w:tc>
      </w:tr>
      <w:tr w:rsidR="00B97C8D" w:rsidRPr="00F65BE4" w14:paraId="10F9E4C0" w14:textId="77777777" w:rsidTr="00337A93">
        <w:tc>
          <w:tcPr>
            <w:cnfStyle w:val="001000000000" w:firstRow="0" w:lastRow="0" w:firstColumn="1" w:lastColumn="0" w:oddVBand="0" w:evenVBand="0" w:oddHBand="0" w:evenHBand="0" w:firstRowFirstColumn="0" w:firstRowLastColumn="0" w:lastRowFirstColumn="0" w:lastRowLastColumn="0"/>
            <w:tcW w:w="2880" w:type="dxa"/>
          </w:tcPr>
          <w:p w14:paraId="0E7DF45E" w14:textId="77777777" w:rsidR="00B97C8D" w:rsidRDefault="00B97C8D" w:rsidP="00337A93">
            <w:r>
              <w:t>Institucionales</w:t>
            </w:r>
          </w:p>
        </w:tc>
        <w:tc>
          <w:tcPr>
            <w:tcW w:w="2880" w:type="dxa"/>
          </w:tcPr>
          <w:p w14:paraId="11146A08" w14:textId="77777777" w:rsidR="00B97C8D" w:rsidRPr="00F65BE4" w:rsidRDefault="00B97C8D" w:rsidP="00337A93">
            <w:pPr>
              <w:cnfStyle w:val="000000000000" w:firstRow="0" w:lastRow="0" w:firstColumn="0" w:lastColumn="0" w:oddVBand="0" w:evenVBand="0" w:oddHBand="0" w:evenHBand="0" w:firstRowFirstColumn="0" w:firstRowLastColumn="0" w:lastRowFirstColumn="0" w:lastRowLastColumn="0"/>
              <w:rPr>
                <w:lang w:val="es-AR"/>
              </w:rPr>
            </w:pPr>
            <w:r w:rsidRPr="00F65BE4">
              <w:rPr>
                <w:lang w:val="es-AR"/>
              </w:rPr>
              <w:t>Falta de capacitación, ausencia de lineamientos, desigualdad de recursos</w:t>
            </w:r>
          </w:p>
        </w:tc>
        <w:tc>
          <w:tcPr>
            <w:tcW w:w="2880" w:type="dxa"/>
          </w:tcPr>
          <w:p w14:paraId="57346B01" w14:textId="77777777" w:rsidR="00B97C8D" w:rsidRPr="00F65BE4" w:rsidRDefault="00B97C8D" w:rsidP="00337A93">
            <w:pPr>
              <w:cnfStyle w:val="000000000000" w:firstRow="0" w:lastRow="0" w:firstColumn="0" w:lastColumn="0" w:oddVBand="0" w:evenVBand="0" w:oddHBand="0" w:evenHBand="0" w:firstRowFirstColumn="0" w:firstRowLastColumn="0" w:lastRowFirstColumn="0" w:lastRowLastColumn="0"/>
              <w:rPr>
                <w:lang w:val="es-AR"/>
              </w:rPr>
            </w:pPr>
            <w:r w:rsidRPr="00F65BE4">
              <w:rPr>
                <w:lang w:val="es-AR"/>
              </w:rPr>
              <w:t>Brechas de innovación y respuestas pedagógicas inconsistentes</w:t>
            </w:r>
          </w:p>
        </w:tc>
      </w:tr>
    </w:tbl>
    <w:p w14:paraId="05F81AEC" w14:textId="77777777" w:rsidR="00B97C8D" w:rsidRDefault="00B97C8D" w:rsidP="00B97C8D">
      <w:pPr>
        <w:spacing w:line="240" w:lineRule="auto"/>
        <w:jc w:val="both"/>
        <w:rPr>
          <w:rFonts w:ascii="Times New Roman" w:hAnsi="Times New Roman" w:cs="Times New Roman"/>
          <w:lang w:val="es-AR"/>
        </w:rPr>
      </w:pPr>
    </w:p>
    <w:p w14:paraId="690D8FDB" w14:textId="78F5B072" w:rsidR="000D4D7F" w:rsidRPr="000D4D7F" w:rsidRDefault="000D4D7F" w:rsidP="00B97C8D">
      <w:pPr>
        <w:spacing w:after="0" w:line="240" w:lineRule="auto"/>
        <w:jc w:val="both"/>
        <w:rPr>
          <w:rFonts w:ascii="Times New Roman" w:hAnsi="Times New Roman" w:cs="Times New Roman"/>
          <w:b/>
        </w:rPr>
      </w:pPr>
      <w:r w:rsidRPr="000D4D7F">
        <w:rPr>
          <w:rFonts w:ascii="Times New Roman" w:hAnsi="Times New Roman" w:cs="Times New Roman"/>
          <w:b/>
        </w:rPr>
        <w:t>Conclusi</w:t>
      </w:r>
      <w:r>
        <w:rPr>
          <w:rFonts w:ascii="Times New Roman" w:hAnsi="Times New Roman" w:cs="Times New Roman"/>
          <w:b/>
        </w:rPr>
        <w:t>ones</w:t>
      </w:r>
    </w:p>
    <w:p w14:paraId="760D6A05" w14:textId="77777777" w:rsidR="000D4D7F" w:rsidRDefault="000D4D7F" w:rsidP="00B97C8D">
      <w:pPr>
        <w:spacing w:after="0" w:line="240" w:lineRule="auto"/>
        <w:jc w:val="both"/>
        <w:rPr>
          <w:rFonts w:ascii="Times New Roman" w:hAnsi="Times New Roman" w:cs="Times New Roman"/>
          <w:bCs/>
        </w:rPr>
      </w:pPr>
    </w:p>
    <w:p w14:paraId="78A64114" w14:textId="77777777" w:rsidR="000D4D7F" w:rsidRPr="000D4D7F" w:rsidRDefault="000D4D7F" w:rsidP="000D4D7F">
      <w:pPr>
        <w:spacing w:line="240" w:lineRule="auto"/>
        <w:jc w:val="both"/>
        <w:rPr>
          <w:rFonts w:ascii="Times New Roman" w:hAnsi="Times New Roman" w:cs="Times New Roman"/>
          <w:lang w:val="es-AR"/>
        </w:rPr>
      </w:pPr>
      <w:r w:rsidRPr="000D4D7F">
        <w:rPr>
          <w:rFonts w:ascii="Times New Roman" w:hAnsi="Times New Roman" w:cs="Times New Roman"/>
          <w:lang w:val="es-AR"/>
        </w:rPr>
        <w:t>La incorporación de herramientas de inteligencia artificial en la educación superior constituye uno de los procesos de transformación más relevantes que atraviesan actualmente las universidades. En la formación periodística, este fenómeno adquiere una particular importancia, ya que las mismas tecnologías que están modificando las rutinas profesionales, los modelos de negocio y las competencias demandadas en el campo periodístico comienzan a incorporarse también como recursos pedagógicos.</w:t>
      </w:r>
    </w:p>
    <w:p w14:paraId="1D1B99D9" w14:textId="1A187647" w:rsidR="000D4D7F" w:rsidRPr="000D4D7F" w:rsidRDefault="000D4D7F" w:rsidP="000D4D7F">
      <w:pPr>
        <w:spacing w:line="240" w:lineRule="auto"/>
        <w:jc w:val="both"/>
        <w:rPr>
          <w:rFonts w:ascii="Times New Roman" w:hAnsi="Times New Roman" w:cs="Times New Roman"/>
          <w:lang w:val="es-AR"/>
        </w:rPr>
      </w:pPr>
      <w:r w:rsidRPr="000D4D7F">
        <w:rPr>
          <w:rFonts w:ascii="Times New Roman" w:hAnsi="Times New Roman" w:cs="Times New Roman"/>
          <w:lang w:val="es-AR"/>
        </w:rPr>
        <w:t xml:space="preserve">La revisión de la literatura realizada en este trabajo muestra que las decisiones docentes respecto de la adopción, regulación o rechazo de la </w:t>
      </w:r>
      <w:r w:rsidR="002D491C">
        <w:rPr>
          <w:rFonts w:ascii="Times New Roman" w:hAnsi="Times New Roman" w:cs="Times New Roman"/>
          <w:lang w:val="es-AR"/>
        </w:rPr>
        <w:t>IA</w:t>
      </w:r>
      <w:r w:rsidRPr="000D4D7F">
        <w:rPr>
          <w:rFonts w:ascii="Times New Roman" w:hAnsi="Times New Roman" w:cs="Times New Roman"/>
          <w:lang w:val="es-AR"/>
        </w:rPr>
        <w:t xml:space="preserve"> no dependen exclusivamente de las características técnicas de estas herramientas o de su disponibilidad, sino también de interpretaciones, creencias y condicionamientos que influyen en la percepción de sus potencialidades y riesgos. En este sentido, la principal contribución del estudio consiste en proponer una tipología analítica que organiza estos factores en cuatro dimensiones: sesgos cognitivos individuales, sesgos profesionales-identitarios, sesgos pedagógicos y sesgos institucionales.</w:t>
      </w:r>
    </w:p>
    <w:p w14:paraId="46E9DDCB" w14:textId="391A8F36" w:rsidR="000D4D7F" w:rsidRPr="000D4D7F" w:rsidRDefault="000D4D7F" w:rsidP="000D4D7F">
      <w:pPr>
        <w:spacing w:line="240" w:lineRule="auto"/>
        <w:jc w:val="both"/>
        <w:rPr>
          <w:rFonts w:ascii="Times New Roman" w:hAnsi="Times New Roman" w:cs="Times New Roman"/>
          <w:lang w:val="es-AR"/>
        </w:rPr>
      </w:pPr>
      <w:r w:rsidRPr="000D4D7F">
        <w:rPr>
          <w:rFonts w:ascii="Times New Roman" w:hAnsi="Times New Roman" w:cs="Times New Roman"/>
          <w:lang w:val="es-AR"/>
        </w:rPr>
        <w:t xml:space="preserve">El análisis evidenció que las posiciones docentes frente a la inteligencia artificial suelen combinar expectativas de innovación, preocupaciones éticas, resistencias profesionales e incertidumbres pedagógicas. La tecnofobia y la tecnofilia aparecen como respuestas igualmente limitantes cuando impiden una evaluación crítica de estas herramientas. Asimismo, las tensiones vinculadas con la identidad profesional del periodista revelan que el debate sobre </w:t>
      </w:r>
      <w:r w:rsidR="0010072D">
        <w:rPr>
          <w:rFonts w:ascii="Times New Roman" w:hAnsi="Times New Roman" w:cs="Times New Roman"/>
          <w:lang w:val="es-AR"/>
        </w:rPr>
        <w:t>la IA</w:t>
      </w:r>
      <w:r w:rsidRPr="000D4D7F">
        <w:rPr>
          <w:rFonts w:ascii="Times New Roman" w:hAnsi="Times New Roman" w:cs="Times New Roman"/>
          <w:lang w:val="es-AR"/>
        </w:rPr>
        <w:t xml:space="preserve"> excede la dimensión tecnológica e involucra cuestiones relacionadas con la autoría, la creatividad, la verificación y la responsabilidad profesional.</w:t>
      </w:r>
    </w:p>
    <w:p w14:paraId="14EE84EC" w14:textId="1E22033A" w:rsidR="000D4D7F" w:rsidRPr="000D4D7F" w:rsidRDefault="000D4D7F" w:rsidP="000D4D7F">
      <w:pPr>
        <w:spacing w:line="240" w:lineRule="auto"/>
        <w:jc w:val="both"/>
        <w:rPr>
          <w:rFonts w:ascii="Times New Roman" w:hAnsi="Times New Roman" w:cs="Times New Roman"/>
          <w:lang w:val="es-AR"/>
        </w:rPr>
      </w:pPr>
      <w:r w:rsidRPr="000D4D7F">
        <w:rPr>
          <w:rFonts w:ascii="Times New Roman" w:hAnsi="Times New Roman" w:cs="Times New Roman"/>
          <w:lang w:val="es-AR"/>
        </w:rPr>
        <w:t xml:space="preserve">En la enseñanza del periodismo, este desafío resulta especialmente significativo. La incorporación de inteligencia artificial no sólo modifica las formas de enseñar, sino también la preparación de futuros profesionales para un entorno laboral </w:t>
      </w:r>
      <w:r w:rsidR="0010072D">
        <w:rPr>
          <w:rFonts w:ascii="Times New Roman" w:hAnsi="Times New Roman" w:cs="Times New Roman"/>
          <w:lang w:val="es-AR"/>
        </w:rPr>
        <w:t>cada vez más</w:t>
      </w:r>
      <w:r w:rsidRPr="000D4D7F">
        <w:rPr>
          <w:rFonts w:ascii="Times New Roman" w:hAnsi="Times New Roman" w:cs="Times New Roman"/>
          <w:lang w:val="es-AR"/>
        </w:rPr>
        <w:t xml:space="preserve"> automatizado. Por e</w:t>
      </w:r>
      <w:r w:rsidR="0010072D">
        <w:rPr>
          <w:rFonts w:ascii="Times New Roman" w:hAnsi="Times New Roman" w:cs="Times New Roman"/>
          <w:lang w:val="es-AR"/>
        </w:rPr>
        <w:t>sto</w:t>
      </w:r>
      <w:r w:rsidRPr="000D4D7F">
        <w:rPr>
          <w:rFonts w:ascii="Times New Roman" w:hAnsi="Times New Roman" w:cs="Times New Roman"/>
          <w:lang w:val="es-AR"/>
        </w:rPr>
        <w:t>, la alfabetización en inteligencia artificial debe entenderse como una extensión de competencias históricamente asociadas al oficio periodístico, como la verificación, la evaluación crítica de fuentes y la toma de decisiones fundamentadas.</w:t>
      </w:r>
    </w:p>
    <w:p w14:paraId="1D6E12D9" w14:textId="371F255C" w:rsidR="000D4D7F" w:rsidRPr="000D4D7F" w:rsidRDefault="000D4D7F" w:rsidP="000D4D7F">
      <w:pPr>
        <w:spacing w:line="240" w:lineRule="auto"/>
        <w:jc w:val="both"/>
        <w:rPr>
          <w:rFonts w:ascii="Times New Roman" w:hAnsi="Times New Roman" w:cs="Times New Roman"/>
          <w:lang w:val="es-AR"/>
        </w:rPr>
      </w:pPr>
      <w:r w:rsidRPr="000D4D7F">
        <w:rPr>
          <w:rFonts w:ascii="Times New Roman" w:hAnsi="Times New Roman" w:cs="Times New Roman"/>
          <w:lang w:val="es-AR"/>
        </w:rPr>
        <w:t xml:space="preserve">La revisión también </w:t>
      </w:r>
      <w:r w:rsidR="0010072D">
        <w:rPr>
          <w:rFonts w:ascii="Times New Roman" w:hAnsi="Times New Roman" w:cs="Times New Roman"/>
          <w:lang w:val="es-AR"/>
        </w:rPr>
        <w:t>muestra</w:t>
      </w:r>
      <w:r w:rsidRPr="000D4D7F">
        <w:rPr>
          <w:rFonts w:ascii="Times New Roman" w:hAnsi="Times New Roman" w:cs="Times New Roman"/>
          <w:lang w:val="es-AR"/>
        </w:rPr>
        <w:t xml:space="preserve"> que las prácticas pedagógicas oscilan con frecuencia entre la prohibición y la adopción acrítica de estas tecnologías. Ambas posiciones resultan insuficientes: la primera desconoce la creciente presencia de la </w:t>
      </w:r>
      <w:r w:rsidR="0010072D">
        <w:rPr>
          <w:rFonts w:ascii="Times New Roman" w:hAnsi="Times New Roman" w:cs="Times New Roman"/>
          <w:lang w:val="es-AR"/>
        </w:rPr>
        <w:t>IA</w:t>
      </w:r>
      <w:r w:rsidRPr="000D4D7F">
        <w:rPr>
          <w:rFonts w:ascii="Times New Roman" w:hAnsi="Times New Roman" w:cs="Times New Roman"/>
          <w:lang w:val="es-AR"/>
        </w:rPr>
        <w:t xml:space="preserve"> en el ejercicio profesional, mientras que la segunda puede </w:t>
      </w:r>
      <w:r w:rsidR="0010072D">
        <w:rPr>
          <w:rFonts w:ascii="Times New Roman" w:hAnsi="Times New Roman" w:cs="Times New Roman"/>
          <w:lang w:val="es-AR"/>
        </w:rPr>
        <w:t>desconocer</w:t>
      </w:r>
      <w:r w:rsidRPr="000D4D7F">
        <w:rPr>
          <w:rFonts w:ascii="Times New Roman" w:hAnsi="Times New Roman" w:cs="Times New Roman"/>
          <w:lang w:val="es-AR"/>
        </w:rPr>
        <w:t xml:space="preserve"> sus limitaciones y reproducir sus sesgos. A ello se suman factores institucionales, como la disponibilidad de recursos, las políticas universitarias y la</w:t>
      </w:r>
      <w:r w:rsidR="0010072D">
        <w:rPr>
          <w:rFonts w:ascii="Times New Roman" w:hAnsi="Times New Roman" w:cs="Times New Roman"/>
          <w:lang w:val="es-AR"/>
        </w:rPr>
        <w:t xml:space="preserve"> falta de</w:t>
      </w:r>
      <w:r w:rsidRPr="000D4D7F">
        <w:rPr>
          <w:rFonts w:ascii="Times New Roman" w:hAnsi="Times New Roman" w:cs="Times New Roman"/>
          <w:lang w:val="es-AR"/>
        </w:rPr>
        <w:t xml:space="preserve"> oportunidades de capacitación, que condicionan las posibilidades reales de innovación pedagógica.</w:t>
      </w:r>
    </w:p>
    <w:p w14:paraId="22D5E2C1" w14:textId="2CE5ADEB" w:rsidR="000D4D7F" w:rsidRPr="000D4D7F" w:rsidRDefault="000D4D7F" w:rsidP="000D4D7F">
      <w:pPr>
        <w:spacing w:line="240" w:lineRule="auto"/>
        <w:jc w:val="both"/>
        <w:rPr>
          <w:rFonts w:ascii="Times New Roman" w:hAnsi="Times New Roman" w:cs="Times New Roman"/>
          <w:lang w:val="es-AR"/>
        </w:rPr>
      </w:pPr>
      <w:r w:rsidRPr="000D4D7F">
        <w:rPr>
          <w:rFonts w:ascii="Times New Roman" w:hAnsi="Times New Roman" w:cs="Times New Roman"/>
          <w:lang w:val="es-AR"/>
        </w:rPr>
        <w:t xml:space="preserve">Finalmente, este trabajo sostiene que el principal desafío no consiste en aceptar o rechazar </w:t>
      </w:r>
      <w:r w:rsidR="0010072D">
        <w:rPr>
          <w:rFonts w:ascii="Times New Roman" w:hAnsi="Times New Roman" w:cs="Times New Roman"/>
          <w:lang w:val="es-AR"/>
        </w:rPr>
        <w:t>el uso de la IA</w:t>
      </w:r>
      <w:r w:rsidRPr="000D4D7F">
        <w:rPr>
          <w:rFonts w:ascii="Times New Roman" w:hAnsi="Times New Roman" w:cs="Times New Roman"/>
          <w:lang w:val="es-AR"/>
        </w:rPr>
        <w:t xml:space="preserve">, sino en desarrollar formas de integración pedagógica que articulen innovación tecnológica, pensamiento crítico y responsabilidad profesional. Reconocer la existencia de sesgos docentes no implica deslegitimar sus preocupaciones, sino comprender mejor los factores que influyen en las decisiones educativas. En la formación </w:t>
      </w:r>
      <w:r w:rsidRPr="000D4D7F">
        <w:rPr>
          <w:rFonts w:ascii="Times New Roman" w:hAnsi="Times New Roman" w:cs="Times New Roman"/>
          <w:lang w:val="es-AR"/>
        </w:rPr>
        <w:lastRenderedPageBreak/>
        <w:t>periodística, esta tarea resulta estratégica para formar profesionales capaces no sólo de utilizar herramientas de inteligencia artificial, sino también de cuestionarlas, interpretarlas y evaluar críticamente sus efectos sobre la producción y circulación de información.</w:t>
      </w:r>
    </w:p>
    <w:p w14:paraId="4B217C9A" w14:textId="77777777" w:rsidR="00B97C8D" w:rsidRPr="00B97C8D" w:rsidRDefault="00B97C8D" w:rsidP="00B97C8D">
      <w:pPr>
        <w:spacing w:line="240" w:lineRule="auto"/>
        <w:jc w:val="both"/>
        <w:rPr>
          <w:rFonts w:ascii="Times New Roman" w:hAnsi="Times New Roman" w:cs="Times New Roman"/>
          <w:lang w:val="es-AR"/>
        </w:rPr>
      </w:pPr>
    </w:p>
    <w:p w14:paraId="39B57161" w14:textId="0E2A8489" w:rsidR="005F3B2E" w:rsidRPr="00F92C8C" w:rsidRDefault="005F3B2E" w:rsidP="007B5B5F">
      <w:pPr>
        <w:spacing w:line="240" w:lineRule="auto"/>
        <w:rPr>
          <w:rFonts w:ascii="Times New Roman" w:hAnsi="Times New Roman" w:cs="Times New Roman"/>
          <w:b/>
          <w:bCs/>
          <w:lang w:val="en-US"/>
        </w:rPr>
      </w:pPr>
      <w:proofErr w:type="spellStart"/>
      <w:r w:rsidRPr="00F92C8C">
        <w:rPr>
          <w:rFonts w:ascii="Times New Roman" w:hAnsi="Times New Roman" w:cs="Times New Roman"/>
          <w:b/>
          <w:bCs/>
          <w:lang w:val="en-US"/>
        </w:rPr>
        <w:t>Referencias</w:t>
      </w:r>
      <w:proofErr w:type="spellEnd"/>
      <w:r w:rsidRPr="00F92C8C">
        <w:rPr>
          <w:rFonts w:ascii="Times New Roman" w:hAnsi="Times New Roman" w:cs="Times New Roman"/>
          <w:b/>
          <w:bCs/>
          <w:lang w:val="en-US"/>
        </w:rPr>
        <w:t xml:space="preserve"> </w:t>
      </w:r>
      <w:proofErr w:type="spellStart"/>
      <w:r w:rsidR="00D63F56">
        <w:rPr>
          <w:rFonts w:ascii="Times New Roman" w:hAnsi="Times New Roman" w:cs="Times New Roman"/>
          <w:b/>
          <w:bCs/>
          <w:lang w:val="en-US"/>
        </w:rPr>
        <w:t>b</w:t>
      </w:r>
      <w:r w:rsidRPr="00F92C8C">
        <w:rPr>
          <w:rFonts w:ascii="Times New Roman" w:hAnsi="Times New Roman" w:cs="Times New Roman"/>
          <w:b/>
          <w:bCs/>
          <w:lang w:val="en-US"/>
        </w:rPr>
        <w:t>ibliográficas</w:t>
      </w:r>
      <w:proofErr w:type="spellEnd"/>
    </w:p>
    <w:p w14:paraId="34A21A9B" w14:textId="3CD603ED" w:rsidR="00A96357" w:rsidRPr="00D63F56" w:rsidRDefault="00F92C8C" w:rsidP="00A96357">
      <w:pPr>
        <w:spacing w:line="240" w:lineRule="auto"/>
        <w:rPr>
          <w:rFonts w:ascii="Times New Roman" w:hAnsi="Times New Roman" w:cs="Times New Roman"/>
          <w:lang w:val="es-AR"/>
        </w:rPr>
      </w:pPr>
      <w:r w:rsidRPr="00F92C8C">
        <w:rPr>
          <w:rFonts w:ascii="Times New Roman" w:hAnsi="Times New Roman" w:cs="Times New Roman"/>
          <w:lang w:val="en-US"/>
        </w:rPr>
        <w:t>Beckett, C. (2019). New powers, new responsibilities: A global survey of journalism and artificial intelligence.</w:t>
      </w:r>
      <w:r w:rsidR="000F38E8">
        <w:rPr>
          <w:rFonts w:ascii="Times New Roman" w:hAnsi="Times New Roman" w:cs="Times New Roman"/>
          <w:lang w:val="en-US"/>
        </w:rPr>
        <w:t xml:space="preserve"> </w:t>
      </w:r>
      <w:hyperlink r:id="rId12" w:history="1">
        <w:r w:rsidR="000F38E8" w:rsidRPr="00D63F56">
          <w:rPr>
            <w:rStyle w:val="Hipervnculo"/>
            <w:rFonts w:ascii="Times New Roman" w:hAnsi="Times New Roman" w:cs="Times New Roman"/>
            <w:lang w:val="es-AR"/>
          </w:rPr>
          <w:t>https://researchonline.lse.ac.uk/id/</w:t>
        </w:r>
        <w:r w:rsidR="000F38E8" w:rsidRPr="00D63F56">
          <w:rPr>
            <w:rStyle w:val="Hipervnculo"/>
            <w:rFonts w:ascii="Times New Roman" w:hAnsi="Times New Roman" w:cs="Times New Roman"/>
            <w:lang w:val="es-AR"/>
          </w:rPr>
          <w:t>e</w:t>
        </w:r>
        <w:r w:rsidR="000F38E8" w:rsidRPr="00D63F56">
          <w:rPr>
            <w:rStyle w:val="Hipervnculo"/>
            <w:rFonts w:ascii="Times New Roman" w:hAnsi="Times New Roman" w:cs="Times New Roman"/>
            <w:lang w:val="es-AR"/>
          </w:rPr>
          <w:t>print/129641/</w:t>
        </w:r>
      </w:hyperlink>
    </w:p>
    <w:p w14:paraId="39088CB1" w14:textId="02CE9E10" w:rsidR="00A96357" w:rsidRPr="000F38E8" w:rsidRDefault="00A96357" w:rsidP="00A96357">
      <w:pPr>
        <w:spacing w:line="240" w:lineRule="auto"/>
        <w:rPr>
          <w:rFonts w:ascii="Times New Roman" w:hAnsi="Times New Roman" w:cs="Times New Roman"/>
          <w:lang w:val="en-US"/>
        </w:rPr>
      </w:pPr>
      <w:r w:rsidRPr="00F92C8C">
        <w:rPr>
          <w:rFonts w:ascii="Times New Roman" w:hAnsi="Times New Roman" w:cs="Times New Roman"/>
          <w:lang w:val="es-AR"/>
        </w:rPr>
        <w:t xml:space="preserve">Bravo, B., Pérez, G., Lorenzo, G., Cabellos, B., de Aldama, C., &amp; Pozo, J. I. (2025). </w:t>
      </w:r>
      <w:r w:rsidRPr="00A96357">
        <w:rPr>
          <w:rFonts w:ascii="Times New Roman" w:hAnsi="Times New Roman" w:cs="Times New Roman"/>
          <w:lang w:val="es-AR"/>
        </w:rPr>
        <w:t xml:space="preserve">Investigación sobre las creencias de 375 docentes en Argentina. </w:t>
      </w:r>
      <w:hyperlink r:id="rId13" w:history="1">
        <w:r w:rsidR="00F92C8C" w:rsidRPr="000F38E8">
          <w:rPr>
            <w:rStyle w:val="Hipervnculo"/>
            <w:rFonts w:ascii="Times New Roman" w:hAnsi="Times New Roman" w:cs="Times New Roman"/>
            <w:lang w:val="en-US"/>
          </w:rPr>
          <w:t>https://doi.org/10.21556/edutec.2025.94.4209</w:t>
        </w:r>
      </w:hyperlink>
    </w:p>
    <w:p w14:paraId="14975588" w14:textId="7C329DA0" w:rsidR="0010072D" w:rsidRDefault="000F38E8" w:rsidP="00A96357">
      <w:pPr>
        <w:spacing w:line="240" w:lineRule="auto"/>
        <w:rPr>
          <w:rFonts w:ascii="Times New Roman" w:hAnsi="Times New Roman" w:cs="Times New Roman"/>
          <w:lang w:val="fr-FR"/>
        </w:rPr>
      </w:pPr>
      <w:r w:rsidRPr="000F38E8">
        <w:rPr>
          <w:rFonts w:ascii="Times New Roman" w:hAnsi="Times New Roman" w:cs="Times New Roman"/>
          <w:lang w:val="en-US"/>
        </w:rPr>
        <w:t>Cabellos B</w:t>
      </w:r>
      <w:r w:rsidR="0010072D">
        <w:rPr>
          <w:rFonts w:ascii="Times New Roman" w:hAnsi="Times New Roman" w:cs="Times New Roman"/>
          <w:lang w:val="en-US"/>
        </w:rPr>
        <w:t>.</w:t>
      </w:r>
      <w:r w:rsidRPr="000F38E8">
        <w:rPr>
          <w:rFonts w:ascii="Times New Roman" w:hAnsi="Times New Roman" w:cs="Times New Roman"/>
          <w:lang w:val="en-US"/>
        </w:rPr>
        <w:t>, de Aldama C</w:t>
      </w:r>
      <w:r w:rsidR="0010072D">
        <w:rPr>
          <w:rFonts w:ascii="Times New Roman" w:hAnsi="Times New Roman" w:cs="Times New Roman"/>
          <w:lang w:val="en-US"/>
        </w:rPr>
        <w:t>.</w:t>
      </w:r>
      <w:r w:rsidRPr="000F38E8">
        <w:rPr>
          <w:rFonts w:ascii="Times New Roman" w:hAnsi="Times New Roman" w:cs="Times New Roman"/>
          <w:lang w:val="en-US"/>
        </w:rPr>
        <w:t xml:space="preserve"> and Pozo J</w:t>
      </w:r>
      <w:r w:rsidR="0010072D">
        <w:rPr>
          <w:rFonts w:ascii="Times New Roman" w:hAnsi="Times New Roman" w:cs="Times New Roman"/>
          <w:lang w:val="en-US"/>
        </w:rPr>
        <w:t>.</w:t>
      </w:r>
      <w:r w:rsidRPr="000F38E8">
        <w:rPr>
          <w:rFonts w:ascii="Times New Roman" w:hAnsi="Times New Roman" w:cs="Times New Roman"/>
          <w:lang w:val="en-US"/>
        </w:rPr>
        <w:t xml:space="preserve"> (2024) University teachers’ beliefs about the use of generative artificial intelligence for teaching and learning. </w:t>
      </w:r>
      <w:r w:rsidRPr="000F38E8">
        <w:rPr>
          <w:rFonts w:ascii="Times New Roman" w:hAnsi="Times New Roman" w:cs="Times New Roman"/>
          <w:lang w:val="fr-FR"/>
        </w:rPr>
        <w:t xml:space="preserve">Front. </w:t>
      </w:r>
      <w:proofErr w:type="spellStart"/>
      <w:r w:rsidRPr="000F38E8">
        <w:rPr>
          <w:rFonts w:ascii="Times New Roman" w:hAnsi="Times New Roman" w:cs="Times New Roman"/>
          <w:lang w:val="fr-FR"/>
        </w:rPr>
        <w:t>Psychol</w:t>
      </w:r>
      <w:proofErr w:type="spellEnd"/>
      <w:r w:rsidRPr="000F38E8">
        <w:rPr>
          <w:rFonts w:ascii="Times New Roman" w:hAnsi="Times New Roman" w:cs="Times New Roman"/>
          <w:lang w:val="fr-FR"/>
        </w:rPr>
        <w:t xml:space="preserve">. </w:t>
      </w:r>
      <w:proofErr w:type="gramStart"/>
      <w:r w:rsidRPr="000F38E8">
        <w:rPr>
          <w:rFonts w:ascii="Times New Roman" w:hAnsi="Times New Roman" w:cs="Times New Roman"/>
          <w:lang w:val="fr-FR"/>
        </w:rPr>
        <w:t>15:</w:t>
      </w:r>
      <w:proofErr w:type="gramEnd"/>
      <w:r w:rsidRPr="000F38E8">
        <w:rPr>
          <w:rFonts w:ascii="Times New Roman" w:hAnsi="Times New Roman" w:cs="Times New Roman"/>
          <w:lang w:val="fr-FR"/>
        </w:rPr>
        <w:t>1468900.</w:t>
      </w:r>
      <w:r w:rsidR="0010072D">
        <w:rPr>
          <w:rFonts w:ascii="Times New Roman" w:hAnsi="Times New Roman" w:cs="Times New Roman"/>
          <w:lang w:val="fr-FR"/>
        </w:rPr>
        <w:t xml:space="preserve"> </w:t>
      </w:r>
      <w:hyperlink r:id="rId14" w:history="1">
        <w:r w:rsidR="0010072D" w:rsidRPr="00561BA0">
          <w:rPr>
            <w:rStyle w:val="Hipervnculo"/>
            <w:rFonts w:ascii="Times New Roman" w:hAnsi="Times New Roman" w:cs="Times New Roman"/>
            <w:lang w:val="fr-FR"/>
          </w:rPr>
          <w:t>https://www.frontiersin.org/journals/psychology/articles/10.3389/fpsyg.2024.1468900/full</w:t>
        </w:r>
      </w:hyperlink>
    </w:p>
    <w:p w14:paraId="261EB9B9" w14:textId="3A79DD29" w:rsidR="00A96357" w:rsidRPr="000F38E8" w:rsidRDefault="00A96357" w:rsidP="00A96357">
      <w:pPr>
        <w:spacing w:line="240" w:lineRule="auto"/>
        <w:rPr>
          <w:rFonts w:ascii="Times New Roman" w:hAnsi="Times New Roman" w:cs="Times New Roman"/>
          <w:lang w:val="fr-FR"/>
        </w:rPr>
      </w:pPr>
      <w:r w:rsidRPr="0010072D">
        <w:rPr>
          <w:rFonts w:ascii="Times New Roman" w:hAnsi="Times New Roman" w:cs="Times New Roman"/>
          <w:lang w:val="fr-FR"/>
        </w:rPr>
        <w:t xml:space="preserve">Gómez-Diago, G. (2022). </w:t>
      </w:r>
      <w:r w:rsidRPr="00A96357">
        <w:rPr>
          <w:rFonts w:ascii="Times New Roman" w:hAnsi="Times New Roman" w:cs="Times New Roman"/>
          <w:lang w:val="es-AR"/>
        </w:rPr>
        <w:t xml:space="preserve">Perspectivas para abordar la inteligencia artificial en la enseñanza de periodismo. </w:t>
      </w:r>
      <w:hyperlink r:id="rId15" w:history="1">
        <w:r w:rsidR="000F38E8" w:rsidRPr="00561BA0">
          <w:rPr>
            <w:rStyle w:val="Hipervnculo"/>
            <w:rFonts w:ascii="Times New Roman" w:hAnsi="Times New Roman" w:cs="Times New Roman"/>
            <w:lang w:val="fr-FR"/>
          </w:rPr>
          <w:t>https://nuevaepoca.revistalatinacs.org/index.php/revista/article/view/1682</w:t>
        </w:r>
      </w:hyperlink>
    </w:p>
    <w:p w14:paraId="1738C462" w14:textId="44278082" w:rsidR="00F92C8C" w:rsidRPr="000F38E8" w:rsidRDefault="00F92C8C" w:rsidP="00A96357">
      <w:pPr>
        <w:spacing w:line="240" w:lineRule="auto"/>
        <w:rPr>
          <w:rFonts w:ascii="Times New Roman" w:hAnsi="Times New Roman" w:cs="Times New Roman"/>
          <w:lang w:val="en-US"/>
        </w:rPr>
      </w:pPr>
      <w:r w:rsidRPr="00F92C8C">
        <w:rPr>
          <w:rFonts w:ascii="Times New Roman" w:hAnsi="Times New Roman" w:cs="Times New Roman"/>
          <w:lang w:val="es-AR"/>
        </w:rPr>
        <w:t xml:space="preserve">Matos Mejías, C., &amp; Carrasco Polaino, R. (2025). Implementación de la Inteligencia Artificial en los estudios de Periodismo de la Facultad de Ciencias de la Información de la Universidad Complutense de Madrid. </w:t>
      </w:r>
      <w:r w:rsidRPr="000F38E8">
        <w:rPr>
          <w:rFonts w:ascii="Times New Roman" w:hAnsi="Times New Roman" w:cs="Times New Roman"/>
          <w:lang w:val="en-US"/>
        </w:rPr>
        <w:t>European Public &amp; Social Innovation Review, 10, 1–18.</w:t>
      </w:r>
      <w:r w:rsidRPr="000F38E8">
        <w:rPr>
          <w:rFonts w:ascii="Times New Roman" w:hAnsi="Times New Roman" w:cs="Times New Roman"/>
          <w:lang w:val="en-US"/>
        </w:rPr>
        <w:t xml:space="preserve"> </w:t>
      </w:r>
      <w:hyperlink r:id="rId16" w:history="1">
        <w:r w:rsidRPr="000F38E8">
          <w:rPr>
            <w:rStyle w:val="Hipervnculo"/>
            <w:rFonts w:ascii="Times New Roman" w:hAnsi="Times New Roman" w:cs="Times New Roman"/>
            <w:lang w:val="en-US"/>
          </w:rPr>
          <w:t>https://doi.org/10.31637/epsir-2025-1136</w:t>
        </w:r>
      </w:hyperlink>
    </w:p>
    <w:p w14:paraId="5EC3F2D2" w14:textId="024DC8CC" w:rsidR="00A96357" w:rsidRPr="000F38E8" w:rsidRDefault="00A96357" w:rsidP="00A96357">
      <w:pPr>
        <w:spacing w:line="240" w:lineRule="auto"/>
        <w:rPr>
          <w:rFonts w:ascii="Times New Roman" w:hAnsi="Times New Roman" w:cs="Times New Roman"/>
          <w:lang w:val="fr-FR"/>
        </w:rPr>
      </w:pPr>
      <w:r w:rsidRPr="00A96357">
        <w:rPr>
          <w:rFonts w:ascii="Times New Roman" w:hAnsi="Times New Roman" w:cs="Times New Roman"/>
          <w:lang w:val="es-AR"/>
        </w:rPr>
        <w:t xml:space="preserve">Pérez Da Silva, J., &amp; equipo de investigación de la Universidad del País Vasco. Percepciones sobre el uso de IA en el periodismo vasco y su integración en los medios.  </w:t>
      </w:r>
      <w:hyperlink r:id="rId17" w:history="1">
        <w:r w:rsidR="00F92C8C" w:rsidRPr="000F38E8">
          <w:rPr>
            <w:rStyle w:val="Hipervnculo"/>
            <w:rFonts w:ascii="Times New Roman" w:hAnsi="Times New Roman" w:cs="Times New Roman"/>
            <w:lang w:val="fr-FR"/>
          </w:rPr>
          <w:t>https://nuevaepoca.revistalatinacs.org/index.php/revista/article/view/2517/5408</w:t>
        </w:r>
      </w:hyperlink>
    </w:p>
    <w:p w14:paraId="2E61A995" w14:textId="5888D40A" w:rsidR="00A96357" w:rsidRPr="00F92C8C" w:rsidRDefault="00A96357" w:rsidP="00A96357">
      <w:pPr>
        <w:spacing w:line="240" w:lineRule="auto"/>
        <w:rPr>
          <w:rFonts w:ascii="Times New Roman" w:hAnsi="Times New Roman" w:cs="Times New Roman"/>
          <w:lang w:val="en-US"/>
        </w:rPr>
      </w:pPr>
      <w:r w:rsidRPr="00A96357">
        <w:rPr>
          <w:rFonts w:ascii="Times New Roman" w:hAnsi="Times New Roman" w:cs="Times New Roman"/>
          <w:lang w:val="es-AR"/>
        </w:rPr>
        <w:t xml:space="preserve">Sivira Camacaro, M. A. (2024). La formación universitaria de periodistas en el contexto de la Inteligencia Artificial: una revisión sistematizada. </w:t>
      </w:r>
      <w:hyperlink r:id="rId18" w:history="1">
        <w:r w:rsidR="00F92C8C" w:rsidRPr="00F92C8C">
          <w:rPr>
            <w:rStyle w:val="Hipervnculo"/>
            <w:rFonts w:ascii="Times New Roman" w:hAnsi="Times New Roman" w:cs="Times New Roman"/>
            <w:lang w:val="en-US"/>
          </w:rPr>
          <w:t>https://revistascientificas.uspceu.com/doxacomunicacion/article/view/2225</w:t>
        </w:r>
      </w:hyperlink>
    </w:p>
    <w:p w14:paraId="7E83515B" w14:textId="143B5B3A" w:rsidR="001923DC" w:rsidRDefault="00F92C8C" w:rsidP="00F92C8C">
      <w:pPr>
        <w:spacing w:line="240" w:lineRule="auto"/>
        <w:rPr>
          <w:rFonts w:ascii="Times New Roman" w:hAnsi="Times New Roman" w:cs="Times New Roman"/>
          <w:lang w:val="en-US"/>
        </w:rPr>
      </w:pPr>
      <w:r w:rsidRPr="00F92C8C">
        <w:rPr>
          <w:rFonts w:ascii="Times New Roman" w:hAnsi="Times New Roman" w:cs="Times New Roman"/>
          <w:lang w:val="en-US"/>
        </w:rPr>
        <w:t>Yang, Y. (2025). Integrating AI into Journalism Education in China: Pathways for Curriculum Innovation and Ethical Adaptation. Journal of Education, Humanities and Social Sciences, 51, 160-174.</w:t>
      </w:r>
      <w:r w:rsidR="000F38E8">
        <w:rPr>
          <w:rFonts w:ascii="Times New Roman" w:hAnsi="Times New Roman" w:cs="Times New Roman"/>
          <w:lang w:val="en-US"/>
        </w:rPr>
        <w:t xml:space="preserve"> </w:t>
      </w:r>
      <w:hyperlink r:id="rId19" w:history="1">
        <w:r w:rsidRPr="00123295">
          <w:rPr>
            <w:rStyle w:val="Hipervnculo"/>
            <w:rFonts w:ascii="Times New Roman" w:hAnsi="Times New Roman" w:cs="Times New Roman"/>
            <w:lang w:val="en-US"/>
          </w:rPr>
          <w:t>https://doi.org/10.54097/67vkeh97</w:t>
        </w:r>
      </w:hyperlink>
    </w:p>
    <w:p w14:paraId="01526CF9" w14:textId="77777777" w:rsidR="00F92C8C" w:rsidRPr="00F92C8C" w:rsidRDefault="00F92C8C" w:rsidP="00F92C8C">
      <w:pPr>
        <w:spacing w:line="240" w:lineRule="auto"/>
        <w:rPr>
          <w:rFonts w:ascii="Times New Roman" w:hAnsi="Times New Roman" w:cs="Times New Roman"/>
          <w:lang w:val="en-US"/>
        </w:rPr>
      </w:pPr>
    </w:p>
    <w:sectPr w:rsidR="00F92C8C" w:rsidRPr="00F92C8C" w:rsidSect="00701F64">
      <w:headerReference w:type="default" r:id="rId20"/>
      <w:footerReference w:type="default" r:id="rId2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938B5" w14:textId="77777777" w:rsidR="00DA7FD4" w:rsidRPr="00BA642E" w:rsidRDefault="00DA7FD4" w:rsidP="00C802F5">
      <w:pPr>
        <w:spacing w:after="0" w:line="240" w:lineRule="auto"/>
      </w:pPr>
      <w:r w:rsidRPr="00BA642E">
        <w:separator/>
      </w:r>
    </w:p>
  </w:endnote>
  <w:endnote w:type="continuationSeparator" w:id="0">
    <w:p w14:paraId="0EA9E6BE" w14:textId="77777777" w:rsidR="00DA7FD4" w:rsidRPr="00BA642E" w:rsidRDefault="00DA7FD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E79F1" w14:textId="77777777" w:rsidR="00DA7FD4" w:rsidRPr="00BA642E" w:rsidRDefault="00DA7FD4" w:rsidP="00C802F5">
      <w:pPr>
        <w:spacing w:after="0" w:line="240" w:lineRule="auto"/>
      </w:pPr>
      <w:r w:rsidRPr="00BA642E">
        <w:separator/>
      </w:r>
    </w:p>
  </w:footnote>
  <w:footnote w:type="continuationSeparator" w:id="0">
    <w:p w14:paraId="44BFDEF3" w14:textId="77777777" w:rsidR="00DA7FD4" w:rsidRPr="00BA642E" w:rsidRDefault="00DA7FD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51203"/>
    <w:rsid w:val="000A7072"/>
    <w:rsid w:val="000C194D"/>
    <w:rsid w:val="000D4D7F"/>
    <w:rsid w:val="000F38E8"/>
    <w:rsid w:val="0010072D"/>
    <w:rsid w:val="00136AAF"/>
    <w:rsid w:val="001816D6"/>
    <w:rsid w:val="00185F5E"/>
    <w:rsid w:val="00191FE2"/>
    <w:rsid w:val="001923DC"/>
    <w:rsid w:val="00226ED3"/>
    <w:rsid w:val="002327C3"/>
    <w:rsid w:val="002C5062"/>
    <w:rsid w:val="002D491C"/>
    <w:rsid w:val="00312392"/>
    <w:rsid w:val="003F12CE"/>
    <w:rsid w:val="004040C0"/>
    <w:rsid w:val="00421C32"/>
    <w:rsid w:val="00437E9C"/>
    <w:rsid w:val="00497FE6"/>
    <w:rsid w:val="00550766"/>
    <w:rsid w:val="005915A9"/>
    <w:rsid w:val="005F3B2E"/>
    <w:rsid w:val="00701F64"/>
    <w:rsid w:val="007B5B5F"/>
    <w:rsid w:val="007D233B"/>
    <w:rsid w:val="0085070B"/>
    <w:rsid w:val="009F3376"/>
    <w:rsid w:val="00A17247"/>
    <w:rsid w:val="00A96357"/>
    <w:rsid w:val="00B62E20"/>
    <w:rsid w:val="00B97C8D"/>
    <w:rsid w:val="00BA642E"/>
    <w:rsid w:val="00BC236F"/>
    <w:rsid w:val="00C802F5"/>
    <w:rsid w:val="00C829C4"/>
    <w:rsid w:val="00C96B2C"/>
    <w:rsid w:val="00CC04C1"/>
    <w:rsid w:val="00D63F56"/>
    <w:rsid w:val="00D843EC"/>
    <w:rsid w:val="00DA7FD4"/>
    <w:rsid w:val="00E466E4"/>
    <w:rsid w:val="00EA14B1"/>
    <w:rsid w:val="00F7152E"/>
    <w:rsid w:val="00F92C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3-nfasis1">
    <w:name w:val="Grid Table 3 Accent 1"/>
    <w:basedOn w:val="Tablanormal"/>
    <w:uiPriority w:val="48"/>
    <w:rsid w:val="00B97C8D"/>
    <w:pPr>
      <w:spacing w:after="0" w:line="240" w:lineRule="auto"/>
    </w:pPr>
    <w:rPr>
      <w:kern w:val="0"/>
      <w:sz w:val="22"/>
      <w:szCs w:val="22"/>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Hipervnculovisitado">
    <w:name w:val="FollowedHyperlink"/>
    <w:basedOn w:val="Fuentedeprrafopredeter"/>
    <w:uiPriority w:val="99"/>
    <w:semiHidden/>
    <w:unhideWhenUsed/>
    <w:rsid w:val="00F92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doi.org/10.21556/edutec.2025.94.4209" TargetMode="External"/><Relationship Id="rId18" Type="http://schemas.openxmlformats.org/officeDocument/2006/relationships/hyperlink" Target="https://revistascientificas.uspceu.com/doxacomunicacion/article/view/2225"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diagramData" Target="diagrams/data1.xml"/><Relationship Id="rId12" Type="http://schemas.openxmlformats.org/officeDocument/2006/relationships/hyperlink" Target="https://researchonline.lse.ac.uk/id/eprint/129641/" TargetMode="External"/><Relationship Id="rId17" Type="http://schemas.openxmlformats.org/officeDocument/2006/relationships/hyperlink" Target="https://nuevaepoca.revistalatinacs.org/index.php/revista/article/view/2517/5408" TargetMode="External"/><Relationship Id="rId2" Type="http://schemas.openxmlformats.org/officeDocument/2006/relationships/settings" Target="settings.xml"/><Relationship Id="rId16" Type="http://schemas.openxmlformats.org/officeDocument/2006/relationships/hyperlink" Target="https://doi.org/10.31637/epsir-2025-1136"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lauracarlucci@gmail.com" TargetMode="External"/><Relationship Id="rId11" Type="http://schemas.microsoft.com/office/2007/relationships/diagramDrawing" Target="diagrams/drawing1.xml"/><Relationship Id="rId5" Type="http://schemas.openxmlformats.org/officeDocument/2006/relationships/endnotes" Target="endnotes.xml"/><Relationship Id="rId15" Type="http://schemas.openxmlformats.org/officeDocument/2006/relationships/hyperlink" Target="https://nuevaepoca.revistalatinacs.org/index.php/revista/article/view/1682" TargetMode="External"/><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hyperlink" Target="https://doi.org/10.54097/67vkeh97" TargetMode="External"/><Relationship Id="rId4" Type="http://schemas.openxmlformats.org/officeDocument/2006/relationships/footnotes" Target="footnotes.xml"/><Relationship Id="rId9" Type="http://schemas.openxmlformats.org/officeDocument/2006/relationships/diagramQuickStyle" Target="diagrams/quickStyle1.xml"/><Relationship Id="rId14" Type="http://schemas.openxmlformats.org/officeDocument/2006/relationships/hyperlink" Target="https://www.frontiersin.org/journals/psychology/articles/10.3389/fpsyg.2024.1468900/ful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CE3197-264F-4A6E-B1BB-7FC88F6214BF}" type="doc">
      <dgm:prSet loTypeId="urn:microsoft.com/office/officeart/2005/8/layout/vList5" loCatId="list" qsTypeId="urn:microsoft.com/office/officeart/2005/8/quickstyle/simple5" qsCatId="simple" csTypeId="urn:microsoft.com/office/officeart/2005/8/colors/colorful5" csCatId="colorful" phldr="1"/>
      <dgm:spPr/>
      <dgm:t>
        <a:bodyPr/>
        <a:lstStyle/>
        <a:p>
          <a:endParaRPr lang="es-AR"/>
        </a:p>
      </dgm:t>
    </dgm:pt>
    <dgm:pt modelId="{F939C0A8-2EF1-4841-BAC8-835D25D83021}">
      <dgm:prSet phldrT="[Texto]" custT="1"/>
      <dgm:spPr/>
      <dgm:t>
        <a:bodyPr/>
        <a:lstStyle/>
        <a:p>
          <a:pPr>
            <a:buNone/>
          </a:pPr>
          <a:r>
            <a:rPr lang="es-AR" sz="1100" b="1"/>
            <a:t>Sesgos cognitivos individuales</a:t>
          </a:r>
          <a:endParaRPr lang="es-AR" sz="1100"/>
        </a:p>
      </dgm:t>
    </dgm:pt>
    <dgm:pt modelId="{48AF544C-92E4-444C-A0F3-330177CE975B}" type="parTrans" cxnId="{98B42D2F-6800-4D95-A0F3-6B6FF7D01FCD}">
      <dgm:prSet/>
      <dgm:spPr/>
      <dgm:t>
        <a:bodyPr/>
        <a:lstStyle/>
        <a:p>
          <a:endParaRPr lang="es-AR" sz="1600"/>
        </a:p>
      </dgm:t>
    </dgm:pt>
    <dgm:pt modelId="{3813A081-0310-4919-861A-CBF2C9ABB160}" type="sibTrans" cxnId="{98B42D2F-6800-4D95-A0F3-6B6FF7D01FCD}">
      <dgm:prSet/>
      <dgm:spPr/>
      <dgm:t>
        <a:bodyPr/>
        <a:lstStyle/>
        <a:p>
          <a:endParaRPr lang="es-AR" sz="1600"/>
        </a:p>
      </dgm:t>
    </dgm:pt>
    <dgm:pt modelId="{9F989AAF-0467-4BA0-965B-763F74BA688D}">
      <dgm:prSet phldrT="[Texto]" custT="1"/>
      <dgm:spPr/>
      <dgm:t>
        <a:bodyPr/>
        <a:lstStyle/>
        <a:p>
          <a:pPr>
            <a:buNone/>
          </a:pPr>
          <a:r>
            <a:rPr lang="es-AR" sz="1100"/>
            <a:t>tecnofobia, tecnofilia y efecto halo algorítmico</a:t>
          </a:r>
        </a:p>
      </dgm:t>
    </dgm:pt>
    <dgm:pt modelId="{BE7ECA59-A607-4140-B93B-63028F7FA153}" type="parTrans" cxnId="{FBED1AC7-EC6F-449E-9D2A-C678A869A9A1}">
      <dgm:prSet/>
      <dgm:spPr/>
      <dgm:t>
        <a:bodyPr/>
        <a:lstStyle/>
        <a:p>
          <a:endParaRPr lang="es-AR" sz="1600"/>
        </a:p>
      </dgm:t>
    </dgm:pt>
    <dgm:pt modelId="{4A1B99D5-BF65-400D-B30A-2A6BF90252CE}" type="sibTrans" cxnId="{FBED1AC7-EC6F-449E-9D2A-C678A869A9A1}">
      <dgm:prSet/>
      <dgm:spPr/>
      <dgm:t>
        <a:bodyPr/>
        <a:lstStyle/>
        <a:p>
          <a:endParaRPr lang="es-AR" sz="1600"/>
        </a:p>
      </dgm:t>
    </dgm:pt>
    <dgm:pt modelId="{AC0D07EC-A23C-4ADF-98DE-2B29524F0314}">
      <dgm:prSet phldrT="[Texto]" custT="1"/>
      <dgm:spPr/>
      <dgm:t>
        <a:bodyPr/>
        <a:lstStyle/>
        <a:p>
          <a:pPr>
            <a:buNone/>
          </a:pPr>
          <a:r>
            <a:rPr lang="es-AR" sz="1100" b="1"/>
            <a:t>Sesgos profesionales-identitarios</a:t>
          </a:r>
          <a:endParaRPr lang="es-AR" sz="1100"/>
        </a:p>
      </dgm:t>
    </dgm:pt>
    <dgm:pt modelId="{AC0F5120-50D8-46CC-8C58-EA1A88F97000}" type="parTrans" cxnId="{51716D4A-9ADA-4714-80D5-93ECB087E4AF}">
      <dgm:prSet/>
      <dgm:spPr/>
      <dgm:t>
        <a:bodyPr/>
        <a:lstStyle/>
        <a:p>
          <a:endParaRPr lang="es-AR" sz="1600"/>
        </a:p>
      </dgm:t>
    </dgm:pt>
    <dgm:pt modelId="{748E56A5-2D0B-47E8-B943-84C162E9C9EE}" type="sibTrans" cxnId="{51716D4A-9ADA-4714-80D5-93ECB087E4AF}">
      <dgm:prSet/>
      <dgm:spPr/>
      <dgm:t>
        <a:bodyPr/>
        <a:lstStyle/>
        <a:p>
          <a:endParaRPr lang="es-AR" sz="1600"/>
        </a:p>
      </dgm:t>
    </dgm:pt>
    <dgm:pt modelId="{F73F8B13-A0BD-495E-BB42-2309BAB71BA5}">
      <dgm:prSet phldrT="[Texto]" custT="1"/>
      <dgm:spPr/>
      <dgm:t>
        <a:bodyPr/>
        <a:lstStyle/>
        <a:p>
          <a:pPr>
            <a:buNone/>
          </a:pPr>
          <a:r>
            <a:rPr lang="es-AR" sz="1100"/>
            <a:t>tensiones asociadas a la autoría y la identidad profesional</a:t>
          </a:r>
        </a:p>
      </dgm:t>
    </dgm:pt>
    <dgm:pt modelId="{AEAFD47F-B0E8-4FFB-B994-75936EA0EB2B}" type="parTrans" cxnId="{804989A8-9638-4B33-9DC8-EF144D70FA70}">
      <dgm:prSet/>
      <dgm:spPr/>
      <dgm:t>
        <a:bodyPr/>
        <a:lstStyle/>
        <a:p>
          <a:endParaRPr lang="es-AR" sz="1600"/>
        </a:p>
      </dgm:t>
    </dgm:pt>
    <dgm:pt modelId="{ED64408F-2DBA-4AD9-95EE-B36FADEDA7DA}" type="sibTrans" cxnId="{804989A8-9638-4B33-9DC8-EF144D70FA70}">
      <dgm:prSet/>
      <dgm:spPr/>
      <dgm:t>
        <a:bodyPr/>
        <a:lstStyle/>
        <a:p>
          <a:endParaRPr lang="es-AR" sz="1600"/>
        </a:p>
      </dgm:t>
    </dgm:pt>
    <dgm:pt modelId="{EBC7914A-67E5-45F0-AA51-1AF985D7EE7E}">
      <dgm:prSet phldrT="[Texto]" custT="1"/>
      <dgm:spPr/>
      <dgm:t>
        <a:bodyPr/>
        <a:lstStyle/>
        <a:p>
          <a:pPr>
            <a:buNone/>
          </a:pPr>
          <a:r>
            <a:rPr lang="es-AR" sz="1100" b="1"/>
            <a:t>Sesgos pedagógicos</a:t>
          </a:r>
          <a:endParaRPr lang="es-AR" sz="1100"/>
        </a:p>
      </dgm:t>
    </dgm:pt>
    <dgm:pt modelId="{374CD400-4B26-4A9E-893B-DE63471049F8}" type="parTrans" cxnId="{EB32D378-E08E-4BCD-8274-922A6A8C9239}">
      <dgm:prSet/>
      <dgm:spPr/>
      <dgm:t>
        <a:bodyPr/>
        <a:lstStyle/>
        <a:p>
          <a:endParaRPr lang="es-AR" sz="1600"/>
        </a:p>
      </dgm:t>
    </dgm:pt>
    <dgm:pt modelId="{974553DD-2E6B-42F7-956E-B73FED6D334F}" type="sibTrans" cxnId="{EB32D378-E08E-4BCD-8274-922A6A8C9239}">
      <dgm:prSet/>
      <dgm:spPr/>
      <dgm:t>
        <a:bodyPr/>
        <a:lstStyle/>
        <a:p>
          <a:endParaRPr lang="es-AR" sz="1600"/>
        </a:p>
      </dgm:t>
    </dgm:pt>
    <dgm:pt modelId="{DE7D9186-32D8-4486-A00A-66828DF85688}">
      <dgm:prSet phldrT="[Texto]" custT="1"/>
      <dgm:spPr/>
      <dgm:t>
        <a:bodyPr/>
        <a:lstStyle/>
        <a:p>
          <a:pPr>
            <a:buNone/>
          </a:pPr>
          <a:r>
            <a:rPr lang="es-AR" sz="1100"/>
            <a:t>prohibición total o adopción acrítica</a:t>
          </a:r>
        </a:p>
      </dgm:t>
    </dgm:pt>
    <dgm:pt modelId="{EB56DD02-A329-422B-9001-08628D13EBAA}" type="parTrans" cxnId="{476E9F97-64C4-43C5-AC20-3A10B9B42102}">
      <dgm:prSet/>
      <dgm:spPr/>
      <dgm:t>
        <a:bodyPr/>
        <a:lstStyle/>
        <a:p>
          <a:endParaRPr lang="es-AR" sz="1600"/>
        </a:p>
      </dgm:t>
    </dgm:pt>
    <dgm:pt modelId="{DB49B874-C2EC-45E4-B1F1-8FE981E5D08F}" type="sibTrans" cxnId="{476E9F97-64C4-43C5-AC20-3A10B9B42102}">
      <dgm:prSet/>
      <dgm:spPr/>
      <dgm:t>
        <a:bodyPr/>
        <a:lstStyle/>
        <a:p>
          <a:endParaRPr lang="es-AR" sz="1600"/>
        </a:p>
      </dgm:t>
    </dgm:pt>
    <dgm:pt modelId="{AA25109B-87E6-44A1-AC3F-F35B524A2DDA}">
      <dgm:prSet phldrT="[Texto]" custT="1"/>
      <dgm:spPr/>
      <dgm:t>
        <a:bodyPr/>
        <a:lstStyle/>
        <a:p>
          <a:pPr>
            <a:buNone/>
          </a:pPr>
          <a:r>
            <a:rPr lang="es-AR" sz="1100" b="1"/>
            <a:t>Sesgos institucionales</a:t>
          </a:r>
          <a:endParaRPr lang="es-AR" sz="1100"/>
        </a:p>
      </dgm:t>
    </dgm:pt>
    <dgm:pt modelId="{24E669AC-C177-47D0-80DB-9AC03CD6B44B}" type="parTrans" cxnId="{7197B4D8-A6B3-43A5-9253-BA5D2BB72C86}">
      <dgm:prSet/>
      <dgm:spPr/>
      <dgm:t>
        <a:bodyPr/>
        <a:lstStyle/>
        <a:p>
          <a:endParaRPr lang="es-AR" sz="1600"/>
        </a:p>
      </dgm:t>
    </dgm:pt>
    <dgm:pt modelId="{5B01C34D-074C-4981-9E57-9E6A821E3581}" type="sibTrans" cxnId="{7197B4D8-A6B3-43A5-9253-BA5D2BB72C86}">
      <dgm:prSet/>
      <dgm:spPr/>
      <dgm:t>
        <a:bodyPr/>
        <a:lstStyle/>
        <a:p>
          <a:endParaRPr lang="es-AR" sz="1600"/>
        </a:p>
      </dgm:t>
    </dgm:pt>
    <dgm:pt modelId="{0D1C99D9-FED5-4151-9D23-C67C34EE4625}">
      <dgm:prSet phldrT="[Texto]" custT="1"/>
      <dgm:spPr/>
      <dgm:t>
        <a:bodyPr/>
        <a:lstStyle/>
        <a:p>
          <a:pPr>
            <a:buNone/>
          </a:pPr>
          <a:r>
            <a:rPr lang="es-AR" sz="1100"/>
            <a:t>recursos, capacitación y políticas</a:t>
          </a:r>
        </a:p>
      </dgm:t>
    </dgm:pt>
    <dgm:pt modelId="{6A811B82-76CB-4DDB-B40F-0E77FDEF07B8}" type="parTrans" cxnId="{F9897265-F6E8-487E-ADB9-EE940B4D3586}">
      <dgm:prSet/>
      <dgm:spPr/>
      <dgm:t>
        <a:bodyPr/>
        <a:lstStyle/>
        <a:p>
          <a:endParaRPr lang="es-AR" sz="1600"/>
        </a:p>
      </dgm:t>
    </dgm:pt>
    <dgm:pt modelId="{ED627509-59C2-4538-895B-9AD4D8EB6D87}" type="sibTrans" cxnId="{F9897265-F6E8-487E-ADB9-EE940B4D3586}">
      <dgm:prSet/>
      <dgm:spPr/>
      <dgm:t>
        <a:bodyPr/>
        <a:lstStyle/>
        <a:p>
          <a:endParaRPr lang="es-AR" sz="1600"/>
        </a:p>
      </dgm:t>
    </dgm:pt>
    <dgm:pt modelId="{E15CD337-A9C9-4D16-A4F5-3714CA748FA0}" type="pres">
      <dgm:prSet presAssocID="{6FCE3197-264F-4A6E-B1BB-7FC88F6214BF}" presName="Name0" presStyleCnt="0">
        <dgm:presLayoutVars>
          <dgm:dir/>
          <dgm:animLvl val="lvl"/>
          <dgm:resizeHandles val="exact"/>
        </dgm:presLayoutVars>
      </dgm:prSet>
      <dgm:spPr/>
    </dgm:pt>
    <dgm:pt modelId="{9B978830-0279-426D-8D0E-235F79C429D8}" type="pres">
      <dgm:prSet presAssocID="{F939C0A8-2EF1-4841-BAC8-835D25D83021}" presName="linNode" presStyleCnt="0"/>
      <dgm:spPr/>
    </dgm:pt>
    <dgm:pt modelId="{5A040833-A555-46C8-BE6D-75CD861D515C}" type="pres">
      <dgm:prSet presAssocID="{F939C0A8-2EF1-4841-BAC8-835D25D83021}" presName="parentText" presStyleLbl="node1" presStyleIdx="0" presStyleCnt="4" custScaleX="58259">
        <dgm:presLayoutVars>
          <dgm:chMax val="1"/>
          <dgm:bulletEnabled val="1"/>
        </dgm:presLayoutVars>
      </dgm:prSet>
      <dgm:spPr/>
    </dgm:pt>
    <dgm:pt modelId="{8D89A6F7-5D71-4541-BEFB-B44A806E53C3}" type="pres">
      <dgm:prSet presAssocID="{F939C0A8-2EF1-4841-BAC8-835D25D83021}" presName="descendantText" presStyleLbl="alignAccFollowNode1" presStyleIdx="0" presStyleCnt="4" custScaleX="119658">
        <dgm:presLayoutVars>
          <dgm:bulletEnabled val="1"/>
        </dgm:presLayoutVars>
      </dgm:prSet>
      <dgm:spPr/>
    </dgm:pt>
    <dgm:pt modelId="{3C594E35-AE25-41B6-A229-B3BBF274AEB8}" type="pres">
      <dgm:prSet presAssocID="{3813A081-0310-4919-861A-CBF2C9ABB160}" presName="sp" presStyleCnt="0"/>
      <dgm:spPr/>
    </dgm:pt>
    <dgm:pt modelId="{280730F9-AF97-43D3-BFE5-541EEAFADE89}" type="pres">
      <dgm:prSet presAssocID="{AC0D07EC-A23C-4ADF-98DE-2B29524F0314}" presName="linNode" presStyleCnt="0"/>
      <dgm:spPr/>
    </dgm:pt>
    <dgm:pt modelId="{B9E27C56-ED31-47AC-B6DC-81A9B7948629}" type="pres">
      <dgm:prSet presAssocID="{AC0D07EC-A23C-4ADF-98DE-2B29524F0314}" presName="parentText" presStyleLbl="node1" presStyleIdx="1" presStyleCnt="4" custScaleX="58259">
        <dgm:presLayoutVars>
          <dgm:chMax val="1"/>
          <dgm:bulletEnabled val="1"/>
        </dgm:presLayoutVars>
      </dgm:prSet>
      <dgm:spPr/>
    </dgm:pt>
    <dgm:pt modelId="{21320F54-1866-466E-9336-8BDFFE264850}" type="pres">
      <dgm:prSet presAssocID="{AC0D07EC-A23C-4ADF-98DE-2B29524F0314}" presName="descendantText" presStyleLbl="alignAccFollowNode1" presStyleIdx="1" presStyleCnt="4" custScaleX="119658">
        <dgm:presLayoutVars>
          <dgm:bulletEnabled val="1"/>
        </dgm:presLayoutVars>
      </dgm:prSet>
      <dgm:spPr/>
    </dgm:pt>
    <dgm:pt modelId="{05EDA0AB-724C-417C-9321-16F52C191297}" type="pres">
      <dgm:prSet presAssocID="{748E56A5-2D0B-47E8-B943-84C162E9C9EE}" presName="sp" presStyleCnt="0"/>
      <dgm:spPr/>
    </dgm:pt>
    <dgm:pt modelId="{9F7F8FB4-4331-4BBF-B04B-2E710AE2A46C}" type="pres">
      <dgm:prSet presAssocID="{EBC7914A-67E5-45F0-AA51-1AF985D7EE7E}" presName="linNode" presStyleCnt="0"/>
      <dgm:spPr/>
    </dgm:pt>
    <dgm:pt modelId="{3B90DF29-279A-4268-B447-8E119B3CAE7E}" type="pres">
      <dgm:prSet presAssocID="{EBC7914A-67E5-45F0-AA51-1AF985D7EE7E}" presName="parentText" presStyleLbl="node1" presStyleIdx="2" presStyleCnt="4" custScaleX="58259">
        <dgm:presLayoutVars>
          <dgm:chMax val="1"/>
          <dgm:bulletEnabled val="1"/>
        </dgm:presLayoutVars>
      </dgm:prSet>
      <dgm:spPr/>
    </dgm:pt>
    <dgm:pt modelId="{2481E6CF-4FBC-4A55-9D4B-98022AD6BF6C}" type="pres">
      <dgm:prSet presAssocID="{EBC7914A-67E5-45F0-AA51-1AF985D7EE7E}" presName="descendantText" presStyleLbl="alignAccFollowNode1" presStyleIdx="2" presStyleCnt="4" custScaleX="119658">
        <dgm:presLayoutVars>
          <dgm:bulletEnabled val="1"/>
        </dgm:presLayoutVars>
      </dgm:prSet>
      <dgm:spPr/>
    </dgm:pt>
    <dgm:pt modelId="{C2EEB0C1-C5EF-4955-AFFA-991C339A96BD}" type="pres">
      <dgm:prSet presAssocID="{974553DD-2E6B-42F7-956E-B73FED6D334F}" presName="sp" presStyleCnt="0"/>
      <dgm:spPr/>
    </dgm:pt>
    <dgm:pt modelId="{D4BCA4FC-92C8-489C-85DE-B191417EECE1}" type="pres">
      <dgm:prSet presAssocID="{AA25109B-87E6-44A1-AC3F-F35B524A2DDA}" presName="linNode" presStyleCnt="0"/>
      <dgm:spPr/>
    </dgm:pt>
    <dgm:pt modelId="{D724B919-061E-4DE2-8268-70A6C1DDCECF}" type="pres">
      <dgm:prSet presAssocID="{AA25109B-87E6-44A1-AC3F-F35B524A2DDA}" presName="parentText" presStyleLbl="node1" presStyleIdx="3" presStyleCnt="4" custScaleX="58259">
        <dgm:presLayoutVars>
          <dgm:chMax val="1"/>
          <dgm:bulletEnabled val="1"/>
        </dgm:presLayoutVars>
      </dgm:prSet>
      <dgm:spPr/>
    </dgm:pt>
    <dgm:pt modelId="{554A1AB9-0C37-438B-8540-E9FB7713B7EA}" type="pres">
      <dgm:prSet presAssocID="{AA25109B-87E6-44A1-AC3F-F35B524A2DDA}" presName="descendantText" presStyleLbl="alignAccFollowNode1" presStyleIdx="3" presStyleCnt="4" custScaleX="120023">
        <dgm:presLayoutVars>
          <dgm:bulletEnabled val="1"/>
        </dgm:presLayoutVars>
      </dgm:prSet>
      <dgm:spPr/>
    </dgm:pt>
  </dgm:ptLst>
  <dgm:cxnLst>
    <dgm:cxn modelId="{8C4BC225-6197-4711-99AF-9AFE876CB216}" type="presOf" srcId="{0D1C99D9-FED5-4151-9D23-C67C34EE4625}" destId="{554A1AB9-0C37-438B-8540-E9FB7713B7EA}" srcOrd="0" destOrd="0" presId="urn:microsoft.com/office/officeart/2005/8/layout/vList5"/>
    <dgm:cxn modelId="{98B42D2F-6800-4D95-A0F3-6B6FF7D01FCD}" srcId="{6FCE3197-264F-4A6E-B1BB-7FC88F6214BF}" destId="{F939C0A8-2EF1-4841-BAC8-835D25D83021}" srcOrd="0" destOrd="0" parTransId="{48AF544C-92E4-444C-A0F3-330177CE975B}" sibTransId="{3813A081-0310-4919-861A-CBF2C9ABB160}"/>
    <dgm:cxn modelId="{F9897265-F6E8-487E-ADB9-EE940B4D3586}" srcId="{AA25109B-87E6-44A1-AC3F-F35B524A2DDA}" destId="{0D1C99D9-FED5-4151-9D23-C67C34EE4625}" srcOrd="0" destOrd="0" parTransId="{6A811B82-76CB-4DDB-B40F-0E77FDEF07B8}" sibTransId="{ED627509-59C2-4538-895B-9AD4D8EB6D87}"/>
    <dgm:cxn modelId="{51716D4A-9ADA-4714-80D5-93ECB087E4AF}" srcId="{6FCE3197-264F-4A6E-B1BB-7FC88F6214BF}" destId="{AC0D07EC-A23C-4ADF-98DE-2B29524F0314}" srcOrd="1" destOrd="0" parTransId="{AC0F5120-50D8-46CC-8C58-EA1A88F97000}" sibTransId="{748E56A5-2D0B-47E8-B943-84C162E9C9EE}"/>
    <dgm:cxn modelId="{0CD31E4E-86C5-4064-AFB8-35B79D5F34DC}" type="presOf" srcId="{AC0D07EC-A23C-4ADF-98DE-2B29524F0314}" destId="{B9E27C56-ED31-47AC-B6DC-81A9B7948629}" srcOrd="0" destOrd="0" presId="urn:microsoft.com/office/officeart/2005/8/layout/vList5"/>
    <dgm:cxn modelId="{EB32D378-E08E-4BCD-8274-922A6A8C9239}" srcId="{6FCE3197-264F-4A6E-B1BB-7FC88F6214BF}" destId="{EBC7914A-67E5-45F0-AA51-1AF985D7EE7E}" srcOrd="2" destOrd="0" parTransId="{374CD400-4B26-4A9E-893B-DE63471049F8}" sibTransId="{974553DD-2E6B-42F7-956E-B73FED6D334F}"/>
    <dgm:cxn modelId="{40FDD88D-C39E-44BC-88C1-BFB1B3904B94}" type="presOf" srcId="{F939C0A8-2EF1-4841-BAC8-835D25D83021}" destId="{5A040833-A555-46C8-BE6D-75CD861D515C}" srcOrd="0" destOrd="0" presId="urn:microsoft.com/office/officeart/2005/8/layout/vList5"/>
    <dgm:cxn modelId="{476E9F97-64C4-43C5-AC20-3A10B9B42102}" srcId="{EBC7914A-67E5-45F0-AA51-1AF985D7EE7E}" destId="{DE7D9186-32D8-4486-A00A-66828DF85688}" srcOrd="0" destOrd="0" parTransId="{EB56DD02-A329-422B-9001-08628D13EBAA}" sibTransId="{DB49B874-C2EC-45E4-B1F1-8FE981E5D08F}"/>
    <dgm:cxn modelId="{804989A8-9638-4B33-9DC8-EF144D70FA70}" srcId="{AC0D07EC-A23C-4ADF-98DE-2B29524F0314}" destId="{F73F8B13-A0BD-495E-BB42-2309BAB71BA5}" srcOrd="0" destOrd="0" parTransId="{AEAFD47F-B0E8-4FFB-B994-75936EA0EB2B}" sibTransId="{ED64408F-2DBA-4AD9-95EE-B36FADEDA7DA}"/>
    <dgm:cxn modelId="{85B563BE-8A31-47F6-8725-33106F3D50CB}" type="presOf" srcId="{F73F8B13-A0BD-495E-BB42-2309BAB71BA5}" destId="{21320F54-1866-466E-9336-8BDFFE264850}" srcOrd="0" destOrd="0" presId="urn:microsoft.com/office/officeart/2005/8/layout/vList5"/>
    <dgm:cxn modelId="{FBED1AC7-EC6F-449E-9D2A-C678A869A9A1}" srcId="{F939C0A8-2EF1-4841-BAC8-835D25D83021}" destId="{9F989AAF-0467-4BA0-965B-763F74BA688D}" srcOrd="0" destOrd="0" parTransId="{BE7ECA59-A607-4140-B93B-63028F7FA153}" sibTransId="{4A1B99D5-BF65-400D-B30A-2A6BF90252CE}"/>
    <dgm:cxn modelId="{6DC584CC-0991-4B58-B875-A8ABA1801918}" type="presOf" srcId="{AA25109B-87E6-44A1-AC3F-F35B524A2DDA}" destId="{D724B919-061E-4DE2-8268-70A6C1DDCECF}" srcOrd="0" destOrd="0" presId="urn:microsoft.com/office/officeart/2005/8/layout/vList5"/>
    <dgm:cxn modelId="{7197B4D8-A6B3-43A5-9253-BA5D2BB72C86}" srcId="{6FCE3197-264F-4A6E-B1BB-7FC88F6214BF}" destId="{AA25109B-87E6-44A1-AC3F-F35B524A2DDA}" srcOrd="3" destOrd="0" parTransId="{24E669AC-C177-47D0-80DB-9AC03CD6B44B}" sibTransId="{5B01C34D-074C-4981-9E57-9E6A821E3581}"/>
    <dgm:cxn modelId="{88429FE5-F439-4080-9B22-4AAB6F3EF390}" type="presOf" srcId="{DE7D9186-32D8-4486-A00A-66828DF85688}" destId="{2481E6CF-4FBC-4A55-9D4B-98022AD6BF6C}" srcOrd="0" destOrd="0" presId="urn:microsoft.com/office/officeart/2005/8/layout/vList5"/>
    <dgm:cxn modelId="{71F5C5E5-453E-4EB6-9E1B-E4C38EE52AE3}" type="presOf" srcId="{9F989AAF-0467-4BA0-965B-763F74BA688D}" destId="{8D89A6F7-5D71-4541-BEFB-B44A806E53C3}" srcOrd="0" destOrd="0" presId="urn:microsoft.com/office/officeart/2005/8/layout/vList5"/>
    <dgm:cxn modelId="{AB6E00ED-24A2-4B23-A8BF-4E1793678B44}" type="presOf" srcId="{6FCE3197-264F-4A6E-B1BB-7FC88F6214BF}" destId="{E15CD337-A9C9-4D16-A4F5-3714CA748FA0}" srcOrd="0" destOrd="0" presId="urn:microsoft.com/office/officeart/2005/8/layout/vList5"/>
    <dgm:cxn modelId="{B8A98CF2-F9D6-4C45-91B9-DBA3BBB3F1B6}" type="presOf" srcId="{EBC7914A-67E5-45F0-AA51-1AF985D7EE7E}" destId="{3B90DF29-279A-4268-B447-8E119B3CAE7E}" srcOrd="0" destOrd="0" presId="urn:microsoft.com/office/officeart/2005/8/layout/vList5"/>
    <dgm:cxn modelId="{9980C113-30F5-45F5-8F6F-C5FF988648CB}" type="presParOf" srcId="{E15CD337-A9C9-4D16-A4F5-3714CA748FA0}" destId="{9B978830-0279-426D-8D0E-235F79C429D8}" srcOrd="0" destOrd="0" presId="urn:microsoft.com/office/officeart/2005/8/layout/vList5"/>
    <dgm:cxn modelId="{9BA72A81-928E-4B13-BD06-BDBCE9402D3D}" type="presParOf" srcId="{9B978830-0279-426D-8D0E-235F79C429D8}" destId="{5A040833-A555-46C8-BE6D-75CD861D515C}" srcOrd="0" destOrd="0" presId="urn:microsoft.com/office/officeart/2005/8/layout/vList5"/>
    <dgm:cxn modelId="{8FFB6392-7C3E-4C92-A2F6-4536E75BE9BF}" type="presParOf" srcId="{9B978830-0279-426D-8D0E-235F79C429D8}" destId="{8D89A6F7-5D71-4541-BEFB-B44A806E53C3}" srcOrd="1" destOrd="0" presId="urn:microsoft.com/office/officeart/2005/8/layout/vList5"/>
    <dgm:cxn modelId="{A3C3ADC6-F385-4BA9-9FF9-5D037AB405B6}" type="presParOf" srcId="{E15CD337-A9C9-4D16-A4F5-3714CA748FA0}" destId="{3C594E35-AE25-41B6-A229-B3BBF274AEB8}" srcOrd="1" destOrd="0" presId="urn:microsoft.com/office/officeart/2005/8/layout/vList5"/>
    <dgm:cxn modelId="{E2D77A02-AD30-489C-88B1-F25C68FFBA1A}" type="presParOf" srcId="{E15CD337-A9C9-4D16-A4F5-3714CA748FA0}" destId="{280730F9-AF97-43D3-BFE5-541EEAFADE89}" srcOrd="2" destOrd="0" presId="urn:microsoft.com/office/officeart/2005/8/layout/vList5"/>
    <dgm:cxn modelId="{0C1F8543-041C-4C84-953C-5DD61A0D1255}" type="presParOf" srcId="{280730F9-AF97-43D3-BFE5-541EEAFADE89}" destId="{B9E27C56-ED31-47AC-B6DC-81A9B7948629}" srcOrd="0" destOrd="0" presId="urn:microsoft.com/office/officeart/2005/8/layout/vList5"/>
    <dgm:cxn modelId="{C523FA4F-E6F1-4EC2-8391-8A27DA3C196E}" type="presParOf" srcId="{280730F9-AF97-43D3-BFE5-541EEAFADE89}" destId="{21320F54-1866-466E-9336-8BDFFE264850}" srcOrd="1" destOrd="0" presId="urn:microsoft.com/office/officeart/2005/8/layout/vList5"/>
    <dgm:cxn modelId="{A50B71E4-EC7E-4341-8706-1D8615D105A6}" type="presParOf" srcId="{E15CD337-A9C9-4D16-A4F5-3714CA748FA0}" destId="{05EDA0AB-724C-417C-9321-16F52C191297}" srcOrd="3" destOrd="0" presId="urn:microsoft.com/office/officeart/2005/8/layout/vList5"/>
    <dgm:cxn modelId="{EB4ACE22-1446-4317-A628-409824E3B573}" type="presParOf" srcId="{E15CD337-A9C9-4D16-A4F5-3714CA748FA0}" destId="{9F7F8FB4-4331-4BBF-B04B-2E710AE2A46C}" srcOrd="4" destOrd="0" presId="urn:microsoft.com/office/officeart/2005/8/layout/vList5"/>
    <dgm:cxn modelId="{D6A1E12C-815A-44E6-A8B1-6A829B8ED418}" type="presParOf" srcId="{9F7F8FB4-4331-4BBF-B04B-2E710AE2A46C}" destId="{3B90DF29-279A-4268-B447-8E119B3CAE7E}" srcOrd="0" destOrd="0" presId="urn:microsoft.com/office/officeart/2005/8/layout/vList5"/>
    <dgm:cxn modelId="{0C4CB0A4-36F3-49C6-A18C-DC08066A667B}" type="presParOf" srcId="{9F7F8FB4-4331-4BBF-B04B-2E710AE2A46C}" destId="{2481E6CF-4FBC-4A55-9D4B-98022AD6BF6C}" srcOrd="1" destOrd="0" presId="urn:microsoft.com/office/officeart/2005/8/layout/vList5"/>
    <dgm:cxn modelId="{595C1E7F-3C47-4088-AF29-7EBE26900BCA}" type="presParOf" srcId="{E15CD337-A9C9-4D16-A4F5-3714CA748FA0}" destId="{C2EEB0C1-C5EF-4955-AFFA-991C339A96BD}" srcOrd="5" destOrd="0" presId="urn:microsoft.com/office/officeart/2005/8/layout/vList5"/>
    <dgm:cxn modelId="{2C117FAE-F862-4B1F-B9A0-A153D11722E4}" type="presParOf" srcId="{E15CD337-A9C9-4D16-A4F5-3714CA748FA0}" destId="{D4BCA4FC-92C8-489C-85DE-B191417EECE1}" srcOrd="6" destOrd="0" presId="urn:microsoft.com/office/officeart/2005/8/layout/vList5"/>
    <dgm:cxn modelId="{CF722CAD-98D1-4E29-B529-9DEFCE692C7C}" type="presParOf" srcId="{D4BCA4FC-92C8-489C-85DE-B191417EECE1}" destId="{D724B919-061E-4DE2-8268-70A6C1DDCECF}" srcOrd="0" destOrd="0" presId="urn:microsoft.com/office/officeart/2005/8/layout/vList5"/>
    <dgm:cxn modelId="{0C543058-3A74-4026-850E-CF04CF99B70D}" type="presParOf" srcId="{D4BCA4FC-92C8-489C-85DE-B191417EECE1}" destId="{554A1AB9-0C37-438B-8540-E9FB7713B7EA}" srcOrd="1" destOrd="0" presId="urn:microsoft.com/office/officeart/2005/8/layout/vList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89A6F7-5D71-4541-BEFB-B44A806E53C3}">
      <dsp:nvSpPr>
        <dsp:cNvPr id="0" name=""/>
        <dsp:cNvSpPr/>
      </dsp:nvSpPr>
      <dsp:spPr>
        <a:xfrm rot="5400000">
          <a:off x="3070632" y="-1830019"/>
          <a:ext cx="378723" cy="4135411"/>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None/>
          </a:pPr>
          <a:r>
            <a:rPr lang="es-AR" sz="1100" kern="1200"/>
            <a:t>tecnofobia, tecnofilia y efecto halo algorítmico</a:t>
          </a:r>
        </a:p>
      </dsp:txBody>
      <dsp:txXfrm rot="-5400000">
        <a:off x="1192288" y="66813"/>
        <a:ext cx="4116923" cy="341747"/>
      </dsp:txXfrm>
    </dsp:sp>
    <dsp:sp modelId="{5A040833-A555-46C8-BE6D-75CD861D515C}">
      <dsp:nvSpPr>
        <dsp:cNvPr id="0" name=""/>
        <dsp:cNvSpPr/>
      </dsp:nvSpPr>
      <dsp:spPr>
        <a:xfrm>
          <a:off x="59725" y="984"/>
          <a:ext cx="1132563" cy="473403"/>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AR" sz="1100" b="1" kern="1200"/>
            <a:t>Sesgos cognitivos individuales</a:t>
          </a:r>
          <a:endParaRPr lang="es-AR" sz="1100" kern="1200"/>
        </a:p>
      </dsp:txBody>
      <dsp:txXfrm>
        <a:off x="82835" y="24094"/>
        <a:ext cx="1086343" cy="427183"/>
      </dsp:txXfrm>
    </dsp:sp>
    <dsp:sp modelId="{21320F54-1866-466E-9336-8BDFFE264850}">
      <dsp:nvSpPr>
        <dsp:cNvPr id="0" name=""/>
        <dsp:cNvSpPr/>
      </dsp:nvSpPr>
      <dsp:spPr>
        <a:xfrm rot="5400000">
          <a:off x="3070632" y="-1332945"/>
          <a:ext cx="378723" cy="4135411"/>
        </a:xfrm>
        <a:prstGeom prst="round2SameRect">
          <a:avLst/>
        </a:prstGeom>
        <a:solidFill>
          <a:schemeClr val="accent5">
            <a:tint val="40000"/>
            <a:alpha val="90000"/>
            <a:hueOff val="-2246587"/>
            <a:satOff val="-7611"/>
            <a:lumOff val="-976"/>
            <a:alphaOff val="0"/>
          </a:schemeClr>
        </a:solidFill>
        <a:ln w="6350" cap="flat" cmpd="sng" algn="ctr">
          <a:solidFill>
            <a:schemeClr val="accent5">
              <a:tint val="40000"/>
              <a:alpha val="90000"/>
              <a:hueOff val="-2246587"/>
              <a:satOff val="-7611"/>
              <a:lumOff val="-97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None/>
          </a:pPr>
          <a:r>
            <a:rPr lang="es-AR" sz="1100" kern="1200"/>
            <a:t>tensiones asociadas a la autoría y la identidad profesional</a:t>
          </a:r>
        </a:p>
      </dsp:txBody>
      <dsp:txXfrm rot="-5400000">
        <a:off x="1192288" y="563887"/>
        <a:ext cx="4116923" cy="341747"/>
      </dsp:txXfrm>
    </dsp:sp>
    <dsp:sp modelId="{B9E27C56-ED31-47AC-B6DC-81A9B7948629}">
      <dsp:nvSpPr>
        <dsp:cNvPr id="0" name=""/>
        <dsp:cNvSpPr/>
      </dsp:nvSpPr>
      <dsp:spPr>
        <a:xfrm>
          <a:off x="59725" y="498058"/>
          <a:ext cx="1132563" cy="473403"/>
        </a:xfrm>
        <a:prstGeom prst="roundRect">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AR" sz="1100" b="1" kern="1200"/>
            <a:t>Sesgos profesionales-identitarios</a:t>
          </a:r>
          <a:endParaRPr lang="es-AR" sz="1100" kern="1200"/>
        </a:p>
      </dsp:txBody>
      <dsp:txXfrm>
        <a:off x="82835" y="521168"/>
        <a:ext cx="1086343" cy="427183"/>
      </dsp:txXfrm>
    </dsp:sp>
    <dsp:sp modelId="{2481E6CF-4FBC-4A55-9D4B-98022AD6BF6C}">
      <dsp:nvSpPr>
        <dsp:cNvPr id="0" name=""/>
        <dsp:cNvSpPr/>
      </dsp:nvSpPr>
      <dsp:spPr>
        <a:xfrm rot="5400000">
          <a:off x="3070632" y="-835870"/>
          <a:ext cx="378723" cy="4135411"/>
        </a:xfrm>
        <a:prstGeom prst="round2SameRect">
          <a:avLst/>
        </a:prstGeom>
        <a:solidFill>
          <a:schemeClr val="accent5">
            <a:tint val="40000"/>
            <a:alpha val="90000"/>
            <a:hueOff val="-4493175"/>
            <a:satOff val="-15221"/>
            <a:lumOff val="-1952"/>
            <a:alphaOff val="0"/>
          </a:schemeClr>
        </a:solidFill>
        <a:ln w="6350" cap="flat" cmpd="sng" algn="ctr">
          <a:solidFill>
            <a:schemeClr val="accent5">
              <a:tint val="40000"/>
              <a:alpha val="90000"/>
              <a:hueOff val="-4493175"/>
              <a:satOff val="-15221"/>
              <a:lumOff val="-195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None/>
          </a:pPr>
          <a:r>
            <a:rPr lang="es-AR" sz="1100" kern="1200"/>
            <a:t>prohibición total o adopción acrítica</a:t>
          </a:r>
        </a:p>
      </dsp:txBody>
      <dsp:txXfrm rot="-5400000">
        <a:off x="1192288" y="1060962"/>
        <a:ext cx="4116923" cy="341747"/>
      </dsp:txXfrm>
    </dsp:sp>
    <dsp:sp modelId="{3B90DF29-279A-4268-B447-8E119B3CAE7E}">
      <dsp:nvSpPr>
        <dsp:cNvPr id="0" name=""/>
        <dsp:cNvSpPr/>
      </dsp:nvSpPr>
      <dsp:spPr>
        <a:xfrm>
          <a:off x="59725" y="995132"/>
          <a:ext cx="1132563" cy="473403"/>
        </a:xfrm>
        <a:prstGeom prst="roundRect">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AR" sz="1100" b="1" kern="1200"/>
            <a:t>Sesgos pedagógicos</a:t>
          </a:r>
          <a:endParaRPr lang="es-AR" sz="1100" kern="1200"/>
        </a:p>
      </dsp:txBody>
      <dsp:txXfrm>
        <a:off x="82835" y="1018242"/>
        <a:ext cx="1086343" cy="427183"/>
      </dsp:txXfrm>
    </dsp:sp>
    <dsp:sp modelId="{554A1AB9-0C37-438B-8540-E9FB7713B7EA}">
      <dsp:nvSpPr>
        <dsp:cNvPr id="0" name=""/>
        <dsp:cNvSpPr/>
      </dsp:nvSpPr>
      <dsp:spPr>
        <a:xfrm rot="5400000">
          <a:off x="3076940" y="-345104"/>
          <a:ext cx="378723" cy="4148025"/>
        </a:xfrm>
        <a:prstGeom prst="round2SameRect">
          <a:avLst/>
        </a:prstGeom>
        <a:solidFill>
          <a:schemeClr val="accent5">
            <a:tint val="40000"/>
            <a:alpha val="90000"/>
            <a:hueOff val="-6739762"/>
            <a:satOff val="-22832"/>
            <a:lumOff val="-2928"/>
            <a:alphaOff val="0"/>
          </a:schemeClr>
        </a:solidFill>
        <a:ln w="6350" cap="flat" cmpd="sng" algn="ctr">
          <a:solidFill>
            <a:schemeClr val="accent5">
              <a:tint val="40000"/>
              <a:alpha val="90000"/>
              <a:hueOff val="-6739762"/>
              <a:satOff val="-22832"/>
              <a:lumOff val="-292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None/>
          </a:pPr>
          <a:r>
            <a:rPr lang="es-AR" sz="1100" kern="1200"/>
            <a:t>recursos, capacitación y políticas</a:t>
          </a:r>
        </a:p>
      </dsp:txBody>
      <dsp:txXfrm rot="-5400000">
        <a:off x="1192289" y="1558035"/>
        <a:ext cx="4129537" cy="341747"/>
      </dsp:txXfrm>
    </dsp:sp>
    <dsp:sp modelId="{D724B919-061E-4DE2-8268-70A6C1DDCECF}">
      <dsp:nvSpPr>
        <dsp:cNvPr id="0" name=""/>
        <dsp:cNvSpPr/>
      </dsp:nvSpPr>
      <dsp:spPr>
        <a:xfrm>
          <a:off x="59725" y="1492206"/>
          <a:ext cx="1132563" cy="473403"/>
        </a:xfrm>
        <a:prstGeom prst="roundRect">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AR" sz="1100" b="1" kern="1200"/>
            <a:t>Sesgos institucionales</a:t>
          </a:r>
          <a:endParaRPr lang="es-AR" sz="1100" kern="1200"/>
        </a:p>
      </dsp:txBody>
      <dsp:txXfrm>
        <a:off x="82835" y="1515316"/>
        <a:ext cx="1086343" cy="42718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17</Pages>
  <Words>7217</Words>
  <Characters>45828</Characters>
  <Application>Microsoft Office Word</Application>
  <DocSecurity>0</DocSecurity>
  <Lines>705</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ENTRAPTA 1</cp:lastModifiedBy>
  <cp:revision>12</cp:revision>
  <dcterms:created xsi:type="dcterms:W3CDTF">2026-03-14T03:50:00Z</dcterms:created>
  <dcterms:modified xsi:type="dcterms:W3CDTF">2026-06-28T22:46:00Z</dcterms:modified>
</cp:coreProperties>
</file>