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74C0" w14:textId="77777777" w:rsidR="00A91CF7" w:rsidRDefault="00A91CF7">
      <w:pPr>
        <w:spacing w:line="360" w:lineRule="auto"/>
        <w:jc w:val="center"/>
        <w:rPr>
          <w:rFonts w:ascii="Times New Roman" w:eastAsia="Times New Roman" w:hAnsi="Times New Roman" w:cs="Times New Roman"/>
        </w:rPr>
      </w:pPr>
    </w:p>
    <w:p w14:paraId="4E99B5F4" w14:textId="77777777" w:rsidR="00A91CF7"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b/>
          <w:bCs/>
        </w:rPr>
        <w:t>Trayectorias estudiantiles en la universidad y la escuela media, buscando construir continuidades</w:t>
      </w:r>
    </w:p>
    <w:p w14:paraId="79E62110" w14:textId="77777777" w:rsidR="00A91CF7" w:rsidRDefault="00000000">
      <w:pPr>
        <w:spacing w:after="0" w:line="360" w:lineRule="auto"/>
        <w:jc w:val="right"/>
        <w:rPr>
          <w:rFonts w:ascii="Times New Roman" w:eastAsia="Times New Roman" w:hAnsi="Times New Roman" w:cs="Times New Roman"/>
        </w:rPr>
      </w:pPr>
      <w:proofErr w:type="spellStart"/>
      <w:r>
        <w:rPr>
          <w:rFonts w:ascii="Times New Roman" w:eastAsia="Times New Roman" w:hAnsi="Times New Roman" w:cs="Times New Roman"/>
        </w:rPr>
        <w:t>Mathot</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Rebolé</w:t>
      </w:r>
      <w:proofErr w:type="spellEnd"/>
      <w:r>
        <w:rPr>
          <w:rFonts w:ascii="Times New Roman" w:eastAsia="Times New Roman" w:hAnsi="Times New Roman" w:cs="Times New Roman"/>
        </w:rPr>
        <w:t>, María Inés</w:t>
      </w:r>
    </w:p>
    <w:p w14:paraId="0C8F5156" w14:textId="77777777" w:rsidR="00A91CF7" w:rsidRDefault="00000000">
      <w:pPr>
        <w:spacing w:after="0" w:line="360" w:lineRule="auto"/>
        <w:jc w:val="right"/>
        <w:rPr>
          <w:rFonts w:ascii="Times New Roman" w:eastAsia="Times New Roman" w:hAnsi="Times New Roman" w:cs="Times New Roman"/>
        </w:rPr>
      </w:pPr>
      <w:r>
        <w:rPr>
          <w:rFonts w:ascii="Times New Roman" w:eastAsia="Times New Roman" w:hAnsi="Times New Roman" w:cs="Times New Roman"/>
        </w:rPr>
        <w:t>Facultad de Ciencias Económicas – Universidad Nacional de Misiones</w:t>
      </w:r>
    </w:p>
    <w:p w14:paraId="713000B8" w14:textId="77777777" w:rsidR="00A91CF7" w:rsidRDefault="00000000">
      <w:pPr>
        <w:spacing w:after="0" w:line="360" w:lineRule="auto"/>
        <w:jc w:val="right"/>
        <w:rPr>
          <w:rFonts w:ascii="Times New Roman" w:eastAsia="Times New Roman" w:hAnsi="Times New Roman" w:cs="Times New Roman"/>
        </w:rPr>
      </w:pPr>
      <w:r>
        <w:rPr>
          <w:rFonts w:ascii="Times New Roman" w:eastAsia="Times New Roman" w:hAnsi="Times New Roman" w:cs="Times New Roman"/>
        </w:rPr>
        <w:t>maria.mathot@fce.unam.edu.ar</w:t>
      </w:r>
    </w:p>
    <w:p w14:paraId="599880B0" w14:textId="77777777" w:rsidR="00A91CF7" w:rsidRDefault="00A91CF7">
      <w:pPr>
        <w:spacing w:line="360" w:lineRule="auto"/>
        <w:rPr>
          <w:rFonts w:ascii="Times New Roman" w:eastAsia="Times New Roman" w:hAnsi="Times New Roman" w:cs="Times New Roman"/>
        </w:rPr>
      </w:pPr>
    </w:p>
    <w:p w14:paraId="4A8DC4DE" w14:textId="77777777" w:rsidR="00A91CF7" w:rsidRDefault="00000000">
      <w:pPr>
        <w:spacing w:after="0" w:line="360" w:lineRule="auto"/>
        <w:jc w:val="right"/>
        <w:rPr>
          <w:rFonts w:ascii="Times New Roman" w:eastAsia="Times New Roman" w:hAnsi="Times New Roman" w:cs="Times New Roman"/>
        </w:rPr>
      </w:pPr>
      <w:r>
        <w:rPr>
          <w:rFonts w:ascii="Times New Roman" w:eastAsia="Times New Roman" w:hAnsi="Times New Roman" w:cs="Times New Roman"/>
        </w:rPr>
        <w:t xml:space="preserve">González, Viviana Angélica </w:t>
      </w:r>
    </w:p>
    <w:p w14:paraId="3BC645D3" w14:textId="77777777" w:rsidR="00A91CF7" w:rsidRDefault="00000000">
      <w:pPr>
        <w:spacing w:after="0" w:line="360" w:lineRule="auto"/>
        <w:jc w:val="right"/>
        <w:rPr>
          <w:rFonts w:ascii="Times New Roman" w:eastAsia="Times New Roman" w:hAnsi="Times New Roman" w:cs="Times New Roman"/>
        </w:rPr>
      </w:pPr>
      <w:r>
        <w:rPr>
          <w:rFonts w:ascii="Times New Roman" w:eastAsia="Times New Roman" w:hAnsi="Times New Roman" w:cs="Times New Roman"/>
        </w:rPr>
        <w:t xml:space="preserve">Facultad de Ciencias Económicas – Universidad Nacional de Misiones </w:t>
      </w:r>
      <w:hyperlink r:id="rId8">
        <w:r>
          <w:rPr>
            <w:rFonts w:ascii="Times New Roman" w:eastAsia="Times New Roman" w:hAnsi="Times New Roman" w:cs="Times New Roman"/>
            <w:color w:val="0563C1"/>
            <w:u w:val="single"/>
          </w:rPr>
          <w:t>viviana.gonzalez@unam.edu.ar</w:t>
        </w:r>
      </w:hyperlink>
    </w:p>
    <w:p w14:paraId="40718CF0" w14:textId="77777777" w:rsidR="00A91CF7" w:rsidRDefault="00000000">
      <w:pPr>
        <w:tabs>
          <w:tab w:val="center" w:pos="4252"/>
          <w:tab w:val="right" w:pos="8504"/>
        </w:tabs>
        <w:spacing w:after="0" w:line="36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5F38B27F" w14:textId="77777777" w:rsidR="00A91CF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r>
        <w:rPr>
          <w:rFonts w:ascii="Times New Roman" w:eastAsia="Times New Roman" w:hAnsi="Times New Roman" w:cs="Times New Roman"/>
        </w:rPr>
        <w:t xml:space="preserve">Trayectorias Académicas, Transición nivel medio-Universidad, Oficio del estudiante, Tutores Pares. </w:t>
      </w:r>
    </w:p>
    <w:p w14:paraId="1D248DC7" w14:textId="77777777" w:rsidR="00A91CF7" w:rsidRDefault="00000000">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p>
    <w:p w14:paraId="1E5FC464"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sistema universitario enfrenta el desafío de repensarse frente a las múltiples demandas del contexto social y </w:t>
      </w:r>
      <w:proofErr w:type="spellStart"/>
      <w:r>
        <w:rPr>
          <w:rFonts w:ascii="Times New Roman" w:eastAsia="Times New Roman" w:hAnsi="Times New Roman" w:cs="Times New Roman"/>
        </w:rPr>
        <w:t>economico</w:t>
      </w:r>
      <w:proofErr w:type="spellEnd"/>
      <w:r>
        <w:rPr>
          <w:rFonts w:ascii="Times New Roman" w:eastAsia="Times New Roman" w:hAnsi="Times New Roman" w:cs="Times New Roman"/>
        </w:rPr>
        <w:t xml:space="preserve">. En este marco, cobra especial relevancia reflexionar sobre la sostenibilidad y trazabilidad de las trayectorias académicas estudiantiles, planteando como un eje sustancial el fortalecimiento de las trayectorias en el proceso de transición entre estos dos niveles. Este planteo cobra relevancia cuando es vinculado con el fenómeno de la masividad estudiantil que caracteriza el inicio de cada ciclo académico y que revela una realidad preocupante: Según datos de la Secretaría de Políticas Universitarias de Argentina (SPU, 2021), alrededor del 40% de los estudiantes abandona su carrera durante el primer año, mientras que un porcentaje menor lo hace durante el segundo. Este período de ingreso constituye una etapa crítica en la que se ponen en juego diversas intervenciones institucionales orientadas a contener la deserción estudiantil. Desde el rol docente universitario, esto convoca a pensar estrategias concretas que permitan comprender, acompañar, sostener y, en la medida de lo posible, revertir esa tendencia. </w:t>
      </w:r>
    </w:p>
    <w:p w14:paraId="5AFDF38A"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Al concebir las trayectorias educativas como parte de un proyecto de vida que se inicia mucho antes del ingreso universitario, se vuelve viable proponer intervenciones que tiendan puentes efectivos entre el nivel secundario y el superior. El fortalecimiento de estos procesos de transición, mediante el diseño de espacios de diálogo, la socialización de experiencias y la construcción teórica, resulta clave. Asimismo, el afianzamiento de los contenidos curriculares requeridos en el nivel superior contribuye a que los estudiantes consoliden su posicionamiento institucional y ganen seguridad en sus capacidades.</w:t>
      </w:r>
    </w:p>
    <w:p w14:paraId="5B74CC59"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En el ámbito universitario, suele señalarse la existencia de una marcada brecha teórica y conceptual en las cohortes de ingresantes, lo que plantea el desafío de la Alfabetización Académica (Carlino, 2003). Dado que el nivel secundario y el superior responden a lógicas de aprendizaje intrínsecamente diferentes, este escenario no se transformará de manera espontánea. Al respecto, Carlino (2003) señala que “estas diferencias en la naturaleza atribuida al saber y en los usos que se exigen de este configuran culturas particulares que se traslucen en métodos y prototipos de pensar y escribir” (p. 410). Por lo tanto, resulta imperativo establecer mecanismos institucionales que doten al estudiante de un repertorio de estrategias pedagógicas que le permitan sostener su trayectoria y afrontar las nuevas exigencias académicas.</w:t>
      </w:r>
    </w:p>
    <w:p w14:paraId="2AD05CA8"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En este contexto, el presente equipo de investigación se propuso indagar en las estrategias académicas desarrolladas por estudiantes avanzados de las carreras de la Facultad de Ciencias Económicas (FCE) de la Universidad Nacional de Misiones (</w:t>
      </w:r>
      <w:proofErr w:type="spellStart"/>
      <w:r>
        <w:rPr>
          <w:rFonts w:ascii="Times New Roman" w:eastAsia="Times New Roman" w:hAnsi="Times New Roman" w:cs="Times New Roman"/>
        </w:rPr>
        <w:t>UNaM</w:t>
      </w:r>
      <w:proofErr w:type="spellEnd"/>
      <w:r>
        <w:rPr>
          <w:rFonts w:ascii="Times New Roman" w:eastAsia="Times New Roman" w:hAnsi="Times New Roman" w:cs="Times New Roman"/>
        </w:rPr>
        <w:t>). Para ello, se realizaron diez entrevistas en profundidad a alumnos de cuarto y quinto año de dicha unidad académica. Se partió de la premisa de que quienes alcanzaron estas instancias formativas pueden proporcionar saberes potencialmente significativos para los recorridos de los ingresantes. A partir de las narrativas y experiencias de los entrevistados, se reconstruyeron las estrategias incorporadas durante sus trayectorias, reconociendo el modo en que se suscita la aprehensión del "oficio del estudiante" (Coulon, 1995, 2017), proceso necesario que engloba tanto las técnicas de estudio como la superación de obstáculos institucionales para garantizar la permanencia.</w:t>
      </w:r>
    </w:p>
    <w:p w14:paraId="167F6935"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Como derivación de esta experiencia, desde el año 2025 el equipo implementa un proyecto de investigación y extensión universitaria orientado a trazar un puente entre el nivel secundario y el superior. Con este propósito, se estableció una articulación con el Instituto Nuestra Señora de Fátima (INSF), ubicado en la localidad de Gobernador Roca, provincia de Misiones. En dicha institución se desarrolla la "Expo CONTAR", un espacio situado, de simulación y articulación curricular destinado a estudiantes de </w:t>
      </w:r>
      <w:proofErr w:type="gramStart"/>
      <w:r>
        <w:rPr>
          <w:rFonts w:ascii="Times New Roman" w:eastAsia="Times New Roman" w:hAnsi="Times New Roman" w:cs="Times New Roman"/>
        </w:rPr>
        <w:t>4.°</w:t>
      </w:r>
      <w:proofErr w:type="gramEnd"/>
      <w:r>
        <w:rPr>
          <w:rFonts w:ascii="Times New Roman" w:eastAsia="Times New Roman" w:hAnsi="Times New Roman" w:cs="Times New Roman"/>
        </w:rPr>
        <w:t xml:space="preserve"> y </w:t>
      </w:r>
      <w:proofErr w:type="gramStart"/>
      <w:r>
        <w:rPr>
          <w:rFonts w:ascii="Times New Roman" w:eastAsia="Times New Roman" w:hAnsi="Times New Roman" w:cs="Times New Roman"/>
        </w:rPr>
        <w:t>5.°</w:t>
      </w:r>
      <w:proofErr w:type="gramEnd"/>
      <w:r>
        <w:rPr>
          <w:rFonts w:ascii="Times New Roman" w:eastAsia="Times New Roman" w:hAnsi="Times New Roman" w:cs="Times New Roman"/>
        </w:rPr>
        <w:t xml:space="preserve"> año del ciclo orientado en Administración Contable para la creación de emprendimientos y empresas.</w:t>
      </w:r>
    </w:p>
    <w:p w14:paraId="30F3D75E"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El proyecto integra las áreas curriculares del eje económico a través de un dispositivo de tutorías pares e interacción entre los universitarios avanzados y los jóvenes de nivel medio en etapa de definición vocacional. Esta articulación se configura como una estrategia orientada tanto a la consolidación de contenidos curriculares del nivel obligatorio como a la aproximación al ciclo básico introductorio de carreras como Contador Público y la Licenciatura en Administración. Metodológicamente, el dispositivo de acompañamiento se sostiene en la figura del tutor par, quien no solo transfiere conocimientos teórico-académicos afines a la orientación del INSF, sino que democratiza experiencias y estrategias construidas a lo largo de su carrera; saberes que los propios tutores hubieran deseado aprehender con anticipación y que se consideran herramientas sustanciales para robustecer las trayectorias y los procesos de orientación vocacional.</w:t>
      </w:r>
    </w:p>
    <w:p w14:paraId="159A0512" w14:textId="77777777" w:rsidR="00A91CF7" w:rsidRDefault="00000000">
      <w:pPr>
        <w:spacing w:line="36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50C147CC"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ingreso a la universidad pública en Argentina continúa constituyendo un motor fundamental de movilidad social y democratización educativa para numerosas familias. Un hito indispensable para comprender las trayectorias diversas y heterogéneas en el nivel superior se consolida a partir de la sanción de la Ley de Educación Superior (reformada por la Ley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27.204), la cual garantiza el acceso libre y gratuito a la educación de grado. Si bien esta legislación promueve un modelo democratizador basado en la igualdad de oportunidades, también reabre el debate conceptual en torno a la "masificación", </w:t>
      </w:r>
      <w:r>
        <w:rPr>
          <w:rFonts w:ascii="Times New Roman" w:eastAsia="Times New Roman" w:hAnsi="Times New Roman" w:cs="Times New Roman"/>
        </w:rPr>
        <w:lastRenderedPageBreak/>
        <w:t>fenómeno que Ezcurra (2019) define de manera crítica como “una masificación que incluye y desiguala”. Esta realidad se evidencia en que la gran mayoría de los ingresantes constituyen la primera generación de estudiantes universitarios en sus hogares. Dicho escenario implica desafíos significativos en términos de capital cultural y social, antecedentes que deben ser considerados sustanciales al diseñar políticas académicas que aborden de manera integral el ingreso, la permanencia y el egreso. Con este fin, las universidades nacionales han desarrollado numerosos dispositivos orientados a acompañar la transición entre niveles educativos durante los cursillos de ingreso y el primer año. Entre estas iniciativas se destacan los programas de articulación, los sistemas de tutorías, la formación docente, las políticas de becas y la implementación de carreras de pregrado o de ciclo corto con rápida salida laboral. Sin embargo, a pesar de estos esfuerzos institucionales, las estadísticas muestran con preocupación que cerca del 40% de los ingresantes abandona sus trayectos educativos de forma prematura.</w:t>
      </w:r>
    </w:p>
    <w:p w14:paraId="21EC4928"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En consonancia con este diagnóstico, diversos estudios advierten que los procesos de transición no revisten un carácter puramente académico, sino profundamente social (Tinto, 1975). Al respecto, Terigi (2007) conceptualiza las transiciones escolares como etapas breves de ruptura con las experiencias previas del alumno; quiebres institucionales que corren el riesgo de experimentarse de manera conflictiva si la distancia entre los niveles educativos es muy pronunciada y la institución no despliega mecanismos de soporte adecuados. Esta complejidad se intensifica debido a que los alumnos suelen ingresar a estos nuevos entornos sin haber adquirido los recursos simbólicos y materiales indispensables para adaptarse a las nuevas exigencias. Bajo este enfoque, resulta central distinguir entre las trayectorias teóricas y las reales (Terigi, 2007). Mientras que los planes de estudio configuran un sujeto de la educación ideal —capaz de cursar y aprobar las asignaturas tal como lo estipula la teoría—, en la práctica se observa que cada estudiante despliega un recorrido singular condicionado por variables personales y contextuales. Cuando estas trayectorias reales se interrumpen, el sistema institucional suele catalogarse bajo la lógica del "fracaso estudiantil". Sin embargo, para el estudiante puede significar un pasaje positivo de aprendizaje que cumplió con una expectativa o meta personal acotada. Muchos estudiantes actuales no asocian el éxito exclusivamente con la obtención </w:t>
      </w:r>
      <w:r>
        <w:rPr>
          <w:rFonts w:ascii="Times New Roman" w:eastAsia="Times New Roman" w:hAnsi="Times New Roman" w:cs="Times New Roman"/>
        </w:rPr>
        <w:lastRenderedPageBreak/>
        <w:t>de un diploma de grado; las metas educativas se han vuelto más diversas, amplias y subjetivas. Por lo tanto, el foco de este artículo vira hacia el acompañamiento en la construcción y afianzamiento del “oficio del estudiante” (Coulon, 1995, 2017) un proceso necesario que engloba tanto las estrategias de estudio como la capacidad de superar los obstáculos del entorno universitario mediante dispositivos que habiliten la interacción individual entre docentes y estudiantes de ambos niveles.</w:t>
      </w:r>
    </w:p>
    <w:p w14:paraId="00BF5A87"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Con el propósito de investigar e intervenir en estas dimensiones, el presente trabajo expone el recorrido de un proyecto situado en el año 2024 en la Facultad de Ciencias Económicas (FCE) de la Universidad Nacional de Misiones (</w:t>
      </w:r>
      <w:proofErr w:type="spellStart"/>
      <w:r>
        <w:rPr>
          <w:rFonts w:ascii="Times New Roman" w:eastAsia="Times New Roman" w:hAnsi="Times New Roman" w:cs="Times New Roman"/>
        </w:rPr>
        <w:t>UNaM</w:t>
      </w:r>
      <w:proofErr w:type="spellEnd"/>
      <w:r>
        <w:rPr>
          <w:rFonts w:ascii="Times New Roman" w:eastAsia="Times New Roman" w:hAnsi="Times New Roman" w:cs="Times New Roman"/>
        </w:rPr>
        <w:t xml:space="preserve">). En esa primera fase, se indagó en las estrategias de aprendizaje desarrolladas por estudiantes avanzados de cuarto y quinto año a través de diez entrevistas en profundidad. La elección de esta población partió de la premisa de que quienes lograron permanecer y avanzar en el sistema superior ya habrían consolidado el "oficio del estudiante", pudiendo proporcionar saberes potencialmente útiles para los ingresantes. Dando continuidad a esta línea, en el año 2025 el equipo extendió su campo de acción hacia el nivel medio a través de la extensión universitaria, articulando con el Instituto Nuestra Señora de Fátima (INSF). Ubicado en la localidad de Gobernador Roca, a unos 100 kilómetros de distancia de la sede de la FCE en Posadas, el INSF implementa como dispositivo pedagógico la "Expo CONTAR", un espacio situado de simulación para la creación de empresas que articula las áreas curriculares del ciclo de orientación en Administración Contable de dicha institución. Este equipo comenzó a interactuar con el INSF creando pequeños espacios de acción conjunta para fortalecer algunos contenidos de los estudiantes que </w:t>
      </w:r>
      <w:proofErr w:type="spellStart"/>
      <w:r>
        <w:rPr>
          <w:rFonts w:ascii="Times New Roman" w:eastAsia="Times New Roman" w:hAnsi="Times New Roman" w:cs="Times New Roman"/>
        </w:rPr>
        <w:t>debian</w:t>
      </w:r>
      <w:proofErr w:type="spellEnd"/>
      <w:r>
        <w:rPr>
          <w:rFonts w:ascii="Times New Roman" w:eastAsia="Times New Roman" w:hAnsi="Times New Roman" w:cs="Times New Roman"/>
        </w:rPr>
        <w:t xml:space="preserve"> cumplimentar con la “Expo CONTAR”.</w:t>
      </w:r>
    </w:p>
    <w:p w14:paraId="48009C19"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Actualmente, de cara al ciclo 2026 y como un esfuerzo conjunto de cátedras de las carreras de Contador Público y la Licenciatura en Administración de Empresas, se desarrolla un proyecto de extensión enfocado en la formación de tutores pares. El dispositivo metodológico se sostiene en la figura de estos universitarios avanzados, quienes llevan a cabo talleres con alumnos de 4° y 5° año del secundario INSF, para generar un espacio institucional intermedio. Esta articulación horizontal configura una </w:t>
      </w:r>
      <w:r>
        <w:rPr>
          <w:rFonts w:ascii="Times New Roman" w:eastAsia="Times New Roman" w:hAnsi="Times New Roman" w:cs="Times New Roman"/>
        </w:rPr>
        <w:lastRenderedPageBreak/>
        <w:t xml:space="preserve">estrategia de doble impacto: promueve la consolidación de contenidos curriculares del nivel obligatorio y la aproximación al ciclo básico introductorio de las ciencias económicas, al tiempo que genera un entorno donde los jóvenes en proceso de definición vocacional pueden canalizar dudas y ansiedades. El proyecto de extensión </w:t>
      </w:r>
      <w:proofErr w:type="spellStart"/>
      <w:r>
        <w:rPr>
          <w:rFonts w:ascii="Times New Roman" w:eastAsia="Times New Roman" w:hAnsi="Times New Roman" w:cs="Times New Roman"/>
        </w:rPr>
        <w:t>prevee</w:t>
      </w:r>
      <w:proofErr w:type="spellEnd"/>
      <w:r>
        <w:rPr>
          <w:rFonts w:ascii="Times New Roman" w:eastAsia="Times New Roman" w:hAnsi="Times New Roman" w:cs="Times New Roman"/>
        </w:rPr>
        <w:t xml:space="preserve"> que desde los tutores se reconozcan, fortalezcan y se generen, parte de los conocimientos y habilidades que necesitarán los estudiantes del nivel medio para poder ingresar y sostenerse en el nivel superior. Los tutores no sólo transfieren conocimientos teóricos, sino que democratizan aquellas experiencias y estrategias que construyeron a lo largo de los años y que desearían haber comprendido con anticipación. En definitiva, este puente interactivo se presenta como una herramienta sustancial para fortalecer las trayectorias reales y acompañar las transiciones desde una lógica de comunicación que la práctica docente tradicional muchas veces desconocen, por las dinámicas de trayectorias y sus diferencias en cuanto percepciones. </w:t>
      </w:r>
    </w:p>
    <w:p w14:paraId="5A71479E"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siguiente trabajo se estructura de la siguiente manera, </w:t>
      </w:r>
      <w:proofErr w:type="gramStart"/>
      <w:r>
        <w:rPr>
          <w:rFonts w:ascii="Times New Roman" w:eastAsia="Times New Roman" w:hAnsi="Times New Roman" w:cs="Times New Roman"/>
        </w:rPr>
        <w:t>primeramente</w:t>
      </w:r>
      <w:proofErr w:type="gramEnd"/>
      <w:r>
        <w:rPr>
          <w:rFonts w:ascii="Times New Roman" w:eastAsia="Times New Roman" w:hAnsi="Times New Roman" w:cs="Times New Roman"/>
        </w:rPr>
        <w:t xml:space="preserve"> se hará una breve descripción sobre el primer proceso de investigación ocurrido en el año 2024 y con cierre en el año 2025, para después tomar parte de esos resultados y explicitar la continuidad que se le busca dar desde las acciones de extensión con el INSF, propuestas de manera seminal en el 2025 y con formato de proyecto durante el año 2026. Es intención de las autoras buscar plasmar cómo es posible, a partir de la investigación, conformar vínculos con la comunidad que se transformen en encuentros de mutuo enriquecimiento. </w:t>
      </w:r>
    </w:p>
    <w:p w14:paraId="46D56A37" w14:textId="77777777" w:rsidR="00A91CF7" w:rsidRDefault="00000000">
      <w:pPr>
        <w:spacing w:before="240" w:after="240" w:line="360" w:lineRule="auto"/>
        <w:jc w:val="both"/>
        <w:rPr>
          <w:rFonts w:ascii="Times New Roman" w:eastAsia="Times New Roman" w:hAnsi="Times New Roman" w:cs="Times New Roman"/>
          <w:b/>
          <w:bCs/>
        </w:rPr>
      </w:pPr>
      <w:r>
        <w:rPr>
          <w:rFonts w:ascii="Times New Roman" w:eastAsia="Times New Roman" w:hAnsi="Times New Roman" w:cs="Times New Roman"/>
          <w:b/>
          <w:bCs/>
        </w:rPr>
        <w:t>El proceso de investigación</w:t>
      </w:r>
    </w:p>
    <w:p w14:paraId="04589674"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Para la construcción del proceso investigativo, se propuso un trabajo del tipo cualitativo descriptivo. Se hubo trabajado con estudiantes regulares (dos materias aprobadas en el último año) de cuarto y quinto año de la FCE, de las carreras de grado (Año académico 2024): Contador Público (CP), Licenciado en Administración de Empresas (LAE) y Licenciado en Economía (LE). La muestra fue del tipo teórica y por conveniencia. Para un primer contacto se armó un formulario autoadministrado, que recolectaba datos sociométricos, preguntas referentes a los criterios de inclusión y datos </w:t>
      </w:r>
      <w:r>
        <w:rPr>
          <w:rFonts w:ascii="Times New Roman" w:eastAsia="Times New Roman" w:hAnsi="Times New Roman" w:cs="Times New Roman"/>
        </w:rPr>
        <w:lastRenderedPageBreak/>
        <w:t xml:space="preserve">de contacto. Se asistió a materias de cuarto año de las carreras, las cuales permitieron que se solicitara a los estudiantes contestar el formulario. </w:t>
      </w:r>
    </w:p>
    <w:p w14:paraId="559084C8"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Con la base de datos resultante, se procedió a separar aquellos estudiantes que cumplían con la descripción de los criterios de inclusión: estar estudiando en la FCE una carrera de grado, que fuera la primera carrera en ser cursada, con una cantidad de materias esperada según el plan de estudios para cursar cuarto o quinto año y mayores de 18 años. La descripción de la muestra responde a la hipótesis de que estos serían estudiantes que habrían logrado adquirir el oficio del estudiante en trayectos educativos cercanos a los esperados por la institución y podrían dar cuenta de algunas estrategias de aprendizaje “exitosas” incorporadas durante su proceso formativo. Una vez hecha esta primera selección, se tomó contacto con los potenciales entrevistados y con aquellos que respondieron y aceptaron participar, se convino un encuentro. Debido a que cada carrera de grado tiene diferencias en su número de matrícula, siendo la más numerosa CP, seguida por la LAE y con menos estudiantes de LE, es que la muestra buscó mostrar esta diferencia en la cantidad de participantes. La muestra quedó conformada por 10 estudiantes, de entre los cuales 5 fueron de la carrera CP, 4 de LAE y 1 de LE. </w:t>
      </w:r>
    </w:p>
    <w:p w14:paraId="2442BFAE"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Como herramienta de recolección de datos se utilizaron entrevistas en profundidad, que se grabaron (previa aceptación de las personas), para luego ser </w:t>
      </w:r>
      <w:proofErr w:type="spellStart"/>
      <w:r>
        <w:rPr>
          <w:rFonts w:ascii="Times New Roman" w:eastAsia="Times New Roman" w:hAnsi="Times New Roman" w:cs="Times New Roman"/>
        </w:rPr>
        <w:t>desgrabadas</w:t>
      </w:r>
      <w:proofErr w:type="spellEnd"/>
      <w:r>
        <w:rPr>
          <w:rFonts w:ascii="Times New Roman" w:eastAsia="Times New Roman" w:hAnsi="Times New Roman" w:cs="Times New Roman"/>
        </w:rPr>
        <w:t>. Sobre los dichos de los y las estudiantes se realizó un análisis hermenéutico, sistematizando los contenidos para armar las categorías acerca de estrategias de aprendizaje. Este tema se trabaja en mayor profundidad en un artículo de investigadoras del proyecto (</w:t>
      </w:r>
      <w:proofErr w:type="spellStart"/>
      <w:r>
        <w:rPr>
          <w:rFonts w:ascii="Times New Roman" w:eastAsia="Times New Roman" w:hAnsi="Times New Roman" w:cs="Times New Roman"/>
        </w:rPr>
        <w:t>Mathot</w:t>
      </w:r>
      <w:proofErr w:type="spellEnd"/>
      <w:r>
        <w:rPr>
          <w:rFonts w:ascii="Times New Roman" w:eastAsia="Times New Roman" w:hAnsi="Times New Roman" w:cs="Times New Roman"/>
        </w:rPr>
        <w:t xml:space="preserve"> y Araujo, 2026), con lo cual aquí se retomará brevemente una descripción de la población y un resumen de las estrategias mencionadas por los estudiantes.</w:t>
      </w:r>
    </w:p>
    <w:p w14:paraId="472A2205" w14:textId="77777777" w:rsidR="003E4C50" w:rsidRDefault="003E4C50">
      <w:pPr>
        <w:spacing w:line="360" w:lineRule="auto"/>
        <w:ind w:firstLine="720"/>
        <w:jc w:val="both"/>
        <w:rPr>
          <w:rFonts w:ascii="Times New Roman" w:eastAsia="Times New Roman" w:hAnsi="Times New Roman" w:cs="Times New Roman"/>
        </w:rPr>
      </w:pPr>
    </w:p>
    <w:p w14:paraId="4CD30783" w14:textId="77777777" w:rsidR="003E4C50" w:rsidRDefault="003E4C50">
      <w:pPr>
        <w:spacing w:line="360" w:lineRule="auto"/>
        <w:ind w:firstLine="720"/>
        <w:jc w:val="both"/>
        <w:rPr>
          <w:rFonts w:ascii="Times New Roman" w:eastAsia="Times New Roman" w:hAnsi="Times New Roman" w:cs="Times New Roman"/>
        </w:rPr>
      </w:pPr>
    </w:p>
    <w:p w14:paraId="21DBDB0B" w14:textId="77777777" w:rsidR="003E4C50" w:rsidRDefault="003E4C50">
      <w:pPr>
        <w:spacing w:line="360" w:lineRule="auto"/>
        <w:ind w:firstLine="720"/>
        <w:jc w:val="both"/>
        <w:rPr>
          <w:rFonts w:ascii="Times New Roman" w:eastAsia="Times New Roman" w:hAnsi="Times New Roman" w:cs="Times New Roman"/>
        </w:rPr>
      </w:pPr>
    </w:p>
    <w:p w14:paraId="61203ED8" w14:textId="77777777" w:rsidR="003E4C50" w:rsidRDefault="003E4C50">
      <w:pPr>
        <w:spacing w:line="360" w:lineRule="auto"/>
        <w:ind w:firstLine="720"/>
        <w:jc w:val="both"/>
        <w:rPr>
          <w:rFonts w:ascii="Times New Roman" w:eastAsia="Times New Roman" w:hAnsi="Times New Roman" w:cs="Times New Roman"/>
        </w:rPr>
      </w:pPr>
    </w:p>
    <w:p w14:paraId="2FC03394" w14:textId="77777777" w:rsidR="00A91CF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Tabla 1: descripción de estudiantes entrevistados.</w:t>
      </w:r>
    </w:p>
    <w:sdt>
      <w:sdtPr>
        <w:tag w:val="goog_rdk_0"/>
        <w:id w:val="-702146379"/>
        <w:lock w:val="contentLocked"/>
      </w:sdtPr>
      <w:sdtContent>
        <w:tbl>
          <w:tblPr>
            <w:tblStyle w:val="a"/>
            <w:tblW w:w="85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0"/>
            <w:gridCol w:w="1701"/>
            <w:gridCol w:w="1701"/>
            <w:gridCol w:w="1701"/>
            <w:gridCol w:w="1701"/>
          </w:tblGrid>
          <w:tr w:rsidR="00A91CF7" w14:paraId="59E57F06" w14:textId="77777777">
            <w:tc>
              <w:tcPr>
                <w:tcW w:w="1700" w:type="dxa"/>
                <w:tcMar>
                  <w:top w:w="100" w:type="dxa"/>
                  <w:left w:w="100" w:type="dxa"/>
                  <w:bottom w:w="100" w:type="dxa"/>
                  <w:right w:w="100" w:type="dxa"/>
                </w:tcMar>
              </w:tcPr>
              <w:p w14:paraId="7B878589"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Denominación</w:t>
                </w:r>
              </w:p>
            </w:tc>
            <w:tc>
              <w:tcPr>
                <w:tcW w:w="1700" w:type="dxa"/>
                <w:tcMar>
                  <w:top w:w="100" w:type="dxa"/>
                  <w:left w:w="100" w:type="dxa"/>
                  <w:bottom w:w="100" w:type="dxa"/>
                  <w:right w:w="100" w:type="dxa"/>
                </w:tcMar>
              </w:tcPr>
              <w:p w14:paraId="191AD1A2"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Carrera</w:t>
                </w:r>
              </w:p>
            </w:tc>
            <w:tc>
              <w:tcPr>
                <w:tcW w:w="1700" w:type="dxa"/>
                <w:tcMar>
                  <w:top w:w="100" w:type="dxa"/>
                  <w:left w:w="100" w:type="dxa"/>
                  <w:bottom w:w="100" w:type="dxa"/>
                  <w:right w:w="100" w:type="dxa"/>
                </w:tcMar>
              </w:tcPr>
              <w:p w14:paraId="34E8E6E1"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Edad en años (al momento de la entrevista)</w:t>
                </w:r>
              </w:p>
            </w:tc>
            <w:tc>
              <w:tcPr>
                <w:tcW w:w="1700" w:type="dxa"/>
                <w:tcMar>
                  <w:top w:w="100" w:type="dxa"/>
                  <w:left w:w="100" w:type="dxa"/>
                  <w:bottom w:w="100" w:type="dxa"/>
                  <w:right w:w="100" w:type="dxa"/>
                </w:tcMar>
              </w:tcPr>
              <w:p w14:paraId="65EE13F6"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Sexo (en femenino o masculino)</w:t>
                </w:r>
              </w:p>
            </w:tc>
            <w:tc>
              <w:tcPr>
                <w:tcW w:w="1700" w:type="dxa"/>
                <w:tcMar>
                  <w:top w:w="100" w:type="dxa"/>
                  <w:left w:w="100" w:type="dxa"/>
                  <w:bottom w:w="100" w:type="dxa"/>
                  <w:right w:w="100" w:type="dxa"/>
                </w:tcMar>
              </w:tcPr>
              <w:p w14:paraId="7980B67B"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Año de ingreso a la carrera</w:t>
                </w:r>
              </w:p>
            </w:tc>
          </w:tr>
          <w:tr w:rsidR="00A91CF7" w14:paraId="2A72E3BA" w14:textId="77777777">
            <w:trPr>
              <w:trHeight w:val="440"/>
            </w:trPr>
            <w:tc>
              <w:tcPr>
                <w:tcW w:w="1700" w:type="dxa"/>
                <w:tcMar>
                  <w:top w:w="100" w:type="dxa"/>
                  <w:left w:w="100" w:type="dxa"/>
                  <w:bottom w:w="100" w:type="dxa"/>
                  <w:right w:w="100" w:type="dxa"/>
                </w:tcMar>
              </w:tcPr>
              <w:p w14:paraId="5446EA36"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CP 1</w:t>
                </w:r>
              </w:p>
            </w:tc>
            <w:tc>
              <w:tcPr>
                <w:tcW w:w="1700" w:type="dxa"/>
                <w:vMerge w:val="restart"/>
                <w:tcMar>
                  <w:top w:w="100" w:type="dxa"/>
                  <w:left w:w="100" w:type="dxa"/>
                  <w:bottom w:w="100" w:type="dxa"/>
                  <w:right w:w="100" w:type="dxa"/>
                </w:tcMar>
              </w:tcPr>
              <w:p w14:paraId="3F93FC13"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Contador público</w:t>
                </w:r>
              </w:p>
            </w:tc>
            <w:tc>
              <w:tcPr>
                <w:tcW w:w="1700" w:type="dxa"/>
                <w:tcMar>
                  <w:top w:w="100" w:type="dxa"/>
                  <w:left w:w="100" w:type="dxa"/>
                  <w:bottom w:w="100" w:type="dxa"/>
                  <w:right w:w="100" w:type="dxa"/>
                </w:tcMar>
              </w:tcPr>
              <w:p w14:paraId="2B3A324E"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23</w:t>
                </w:r>
              </w:p>
            </w:tc>
            <w:tc>
              <w:tcPr>
                <w:tcW w:w="1700" w:type="dxa"/>
                <w:tcMar>
                  <w:top w:w="100" w:type="dxa"/>
                  <w:left w:w="100" w:type="dxa"/>
                  <w:bottom w:w="100" w:type="dxa"/>
                  <w:right w:w="100" w:type="dxa"/>
                </w:tcMar>
              </w:tcPr>
              <w:p w14:paraId="72A8A629"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Femenino</w:t>
                </w:r>
              </w:p>
            </w:tc>
            <w:tc>
              <w:tcPr>
                <w:tcW w:w="1700" w:type="dxa"/>
                <w:tcMar>
                  <w:top w:w="100" w:type="dxa"/>
                  <w:left w:w="100" w:type="dxa"/>
                  <w:bottom w:w="100" w:type="dxa"/>
                  <w:right w:w="100" w:type="dxa"/>
                </w:tcMar>
              </w:tcPr>
              <w:p w14:paraId="4AFB6C34"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2020</w:t>
                </w:r>
              </w:p>
            </w:tc>
          </w:tr>
          <w:tr w:rsidR="00A91CF7" w14:paraId="280AD08F" w14:textId="77777777">
            <w:trPr>
              <w:trHeight w:val="440"/>
            </w:trPr>
            <w:tc>
              <w:tcPr>
                <w:tcW w:w="1700" w:type="dxa"/>
                <w:tcMar>
                  <w:top w:w="100" w:type="dxa"/>
                  <w:left w:w="100" w:type="dxa"/>
                  <w:bottom w:w="100" w:type="dxa"/>
                  <w:right w:w="100" w:type="dxa"/>
                </w:tcMar>
              </w:tcPr>
              <w:p w14:paraId="1497326F"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CP 2</w:t>
                </w:r>
              </w:p>
            </w:tc>
            <w:tc>
              <w:tcPr>
                <w:tcW w:w="1700" w:type="dxa"/>
                <w:vMerge/>
                <w:tcMar>
                  <w:top w:w="100" w:type="dxa"/>
                  <w:left w:w="100" w:type="dxa"/>
                  <w:bottom w:w="100" w:type="dxa"/>
                  <w:right w:w="100" w:type="dxa"/>
                </w:tcMar>
              </w:tcPr>
              <w:p w14:paraId="07769A54" w14:textId="77777777" w:rsidR="00A91CF7" w:rsidRDefault="00A91CF7">
                <w:pPr>
                  <w:widowControl w:val="0"/>
                  <w:pBdr>
                    <w:top w:val="nil"/>
                    <w:left w:val="nil"/>
                    <w:bottom w:val="nil"/>
                    <w:right w:val="nil"/>
                    <w:between w:val="nil"/>
                  </w:pBdr>
                  <w:spacing w:after="0" w:line="360" w:lineRule="auto"/>
                  <w:rPr>
                    <w:rFonts w:ascii="Times New Roman" w:eastAsia="Times New Roman" w:hAnsi="Times New Roman" w:cs="Times New Roman"/>
                  </w:rPr>
                </w:pPr>
              </w:p>
            </w:tc>
            <w:tc>
              <w:tcPr>
                <w:tcW w:w="1700" w:type="dxa"/>
                <w:tcMar>
                  <w:top w:w="100" w:type="dxa"/>
                  <w:left w:w="100" w:type="dxa"/>
                  <w:bottom w:w="100" w:type="dxa"/>
                  <w:right w:w="100" w:type="dxa"/>
                </w:tcMar>
              </w:tcPr>
              <w:p w14:paraId="6C0B3F5C"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23</w:t>
                </w:r>
              </w:p>
            </w:tc>
            <w:tc>
              <w:tcPr>
                <w:tcW w:w="1700" w:type="dxa"/>
                <w:tcMar>
                  <w:top w:w="100" w:type="dxa"/>
                  <w:left w:w="100" w:type="dxa"/>
                  <w:bottom w:w="100" w:type="dxa"/>
                  <w:right w:w="100" w:type="dxa"/>
                </w:tcMar>
              </w:tcPr>
              <w:p w14:paraId="068AAB21"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Femenino</w:t>
                </w:r>
              </w:p>
            </w:tc>
            <w:tc>
              <w:tcPr>
                <w:tcW w:w="1700" w:type="dxa"/>
                <w:tcMar>
                  <w:top w:w="100" w:type="dxa"/>
                  <w:left w:w="100" w:type="dxa"/>
                  <w:bottom w:w="100" w:type="dxa"/>
                  <w:right w:w="100" w:type="dxa"/>
                </w:tcMar>
              </w:tcPr>
              <w:p w14:paraId="10D3CA76"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2020</w:t>
                </w:r>
              </w:p>
            </w:tc>
          </w:tr>
          <w:tr w:rsidR="00A91CF7" w14:paraId="54560E04" w14:textId="77777777">
            <w:trPr>
              <w:trHeight w:val="440"/>
            </w:trPr>
            <w:tc>
              <w:tcPr>
                <w:tcW w:w="1700" w:type="dxa"/>
                <w:tcMar>
                  <w:top w:w="100" w:type="dxa"/>
                  <w:left w:w="100" w:type="dxa"/>
                  <w:bottom w:w="100" w:type="dxa"/>
                  <w:right w:w="100" w:type="dxa"/>
                </w:tcMar>
              </w:tcPr>
              <w:p w14:paraId="41EFC090"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CP 3</w:t>
                </w:r>
              </w:p>
            </w:tc>
            <w:tc>
              <w:tcPr>
                <w:tcW w:w="1700" w:type="dxa"/>
                <w:vMerge/>
                <w:tcMar>
                  <w:top w:w="100" w:type="dxa"/>
                  <w:left w:w="100" w:type="dxa"/>
                  <w:bottom w:w="100" w:type="dxa"/>
                  <w:right w:w="100" w:type="dxa"/>
                </w:tcMar>
              </w:tcPr>
              <w:p w14:paraId="25BB1A26" w14:textId="77777777" w:rsidR="00A91CF7" w:rsidRDefault="00A91CF7">
                <w:pPr>
                  <w:widowControl w:val="0"/>
                  <w:pBdr>
                    <w:top w:val="nil"/>
                    <w:left w:val="nil"/>
                    <w:bottom w:val="nil"/>
                    <w:right w:val="nil"/>
                    <w:between w:val="nil"/>
                  </w:pBdr>
                  <w:spacing w:after="0" w:line="360" w:lineRule="auto"/>
                  <w:rPr>
                    <w:rFonts w:ascii="Times New Roman" w:eastAsia="Times New Roman" w:hAnsi="Times New Roman" w:cs="Times New Roman"/>
                  </w:rPr>
                </w:pPr>
              </w:p>
            </w:tc>
            <w:tc>
              <w:tcPr>
                <w:tcW w:w="1700" w:type="dxa"/>
                <w:tcMar>
                  <w:top w:w="100" w:type="dxa"/>
                  <w:left w:w="100" w:type="dxa"/>
                  <w:bottom w:w="100" w:type="dxa"/>
                  <w:right w:w="100" w:type="dxa"/>
                </w:tcMar>
              </w:tcPr>
              <w:p w14:paraId="15E6E25F"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22</w:t>
                </w:r>
              </w:p>
            </w:tc>
            <w:tc>
              <w:tcPr>
                <w:tcW w:w="1700" w:type="dxa"/>
                <w:tcMar>
                  <w:top w:w="100" w:type="dxa"/>
                  <w:left w:w="100" w:type="dxa"/>
                  <w:bottom w:w="100" w:type="dxa"/>
                  <w:right w:w="100" w:type="dxa"/>
                </w:tcMar>
              </w:tcPr>
              <w:p w14:paraId="558723B0"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Femenino</w:t>
                </w:r>
              </w:p>
            </w:tc>
            <w:tc>
              <w:tcPr>
                <w:tcW w:w="1700" w:type="dxa"/>
                <w:tcMar>
                  <w:top w:w="100" w:type="dxa"/>
                  <w:left w:w="100" w:type="dxa"/>
                  <w:bottom w:w="100" w:type="dxa"/>
                  <w:right w:w="100" w:type="dxa"/>
                </w:tcMar>
              </w:tcPr>
              <w:p w14:paraId="3C70F439"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2021</w:t>
                </w:r>
              </w:p>
            </w:tc>
          </w:tr>
          <w:tr w:rsidR="00A91CF7" w14:paraId="68D26944" w14:textId="77777777">
            <w:trPr>
              <w:trHeight w:val="440"/>
            </w:trPr>
            <w:tc>
              <w:tcPr>
                <w:tcW w:w="1700" w:type="dxa"/>
                <w:tcMar>
                  <w:top w:w="100" w:type="dxa"/>
                  <w:left w:w="100" w:type="dxa"/>
                  <w:bottom w:w="100" w:type="dxa"/>
                  <w:right w:w="100" w:type="dxa"/>
                </w:tcMar>
              </w:tcPr>
              <w:p w14:paraId="04648B18"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CP 4</w:t>
                </w:r>
              </w:p>
            </w:tc>
            <w:tc>
              <w:tcPr>
                <w:tcW w:w="1700" w:type="dxa"/>
                <w:vMerge/>
                <w:tcMar>
                  <w:top w:w="100" w:type="dxa"/>
                  <w:left w:w="100" w:type="dxa"/>
                  <w:bottom w:w="100" w:type="dxa"/>
                  <w:right w:w="100" w:type="dxa"/>
                </w:tcMar>
              </w:tcPr>
              <w:p w14:paraId="2038D0D1" w14:textId="77777777" w:rsidR="00A91CF7" w:rsidRDefault="00A91CF7">
                <w:pPr>
                  <w:widowControl w:val="0"/>
                  <w:pBdr>
                    <w:top w:val="nil"/>
                    <w:left w:val="nil"/>
                    <w:bottom w:val="nil"/>
                    <w:right w:val="nil"/>
                    <w:between w:val="nil"/>
                  </w:pBdr>
                  <w:spacing w:after="0" w:line="360" w:lineRule="auto"/>
                  <w:rPr>
                    <w:rFonts w:ascii="Times New Roman" w:eastAsia="Times New Roman" w:hAnsi="Times New Roman" w:cs="Times New Roman"/>
                  </w:rPr>
                </w:pPr>
              </w:p>
            </w:tc>
            <w:tc>
              <w:tcPr>
                <w:tcW w:w="1700" w:type="dxa"/>
                <w:tcMar>
                  <w:top w:w="100" w:type="dxa"/>
                  <w:left w:w="100" w:type="dxa"/>
                  <w:bottom w:w="100" w:type="dxa"/>
                  <w:right w:w="100" w:type="dxa"/>
                </w:tcMar>
              </w:tcPr>
              <w:p w14:paraId="3EAFA523"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22</w:t>
                </w:r>
              </w:p>
            </w:tc>
            <w:tc>
              <w:tcPr>
                <w:tcW w:w="1700" w:type="dxa"/>
                <w:tcMar>
                  <w:top w:w="100" w:type="dxa"/>
                  <w:left w:w="100" w:type="dxa"/>
                  <w:bottom w:w="100" w:type="dxa"/>
                  <w:right w:w="100" w:type="dxa"/>
                </w:tcMar>
              </w:tcPr>
              <w:p w14:paraId="735F06EE"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Masculino</w:t>
                </w:r>
              </w:p>
            </w:tc>
            <w:tc>
              <w:tcPr>
                <w:tcW w:w="1700" w:type="dxa"/>
                <w:tcMar>
                  <w:top w:w="100" w:type="dxa"/>
                  <w:left w:w="100" w:type="dxa"/>
                  <w:bottom w:w="100" w:type="dxa"/>
                  <w:right w:w="100" w:type="dxa"/>
                </w:tcMar>
              </w:tcPr>
              <w:p w14:paraId="1F99C2C9"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2021</w:t>
                </w:r>
              </w:p>
            </w:tc>
          </w:tr>
          <w:tr w:rsidR="00A91CF7" w14:paraId="5AEB3C3C" w14:textId="77777777">
            <w:trPr>
              <w:trHeight w:val="440"/>
            </w:trPr>
            <w:tc>
              <w:tcPr>
                <w:tcW w:w="1700" w:type="dxa"/>
                <w:tcMar>
                  <w:top w:w="100" w:type="dxa"/>
                  <w:left w:w="100" w:type="dxa"/>
                  <w:bottom w:w="100" w:type="dxa"/>
                  <w:right w:w="100" w:type="dxa"/>
                </w:tcMar>
              </w:tcPr>
              <w:p w14:paraId="6B1D4425"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CP 5</w:t>
                </w:r>
              </w:p>
            </w:tc>
            <w:tc>
              <w:tcPr>
                <w:tcW w:w="1700" w:type="dxa"/>
                <w:vMerge/>
                <w:tcMar>
                  <w:top w:w="100" w:type="dxa"/>
                  <w:left w:w="100" w:type="dxa"/>
                  <w:bottom w:w="100" w:type="dxa"/>
                  <w:right w:w="100" w:type="dxa"/>
                </w:tcMar>
              </w:tcPr>
              <w:p w14:paraId="5CCC359A" w14:textId="77777777" w:rsidR="00A91CF7" w:rsidRDefault="00A91CF7">
                <w:pPr>
                  <w:widowControl w:val="0"/>
                  <w:pBdr>
                    <w:top w:val="nil"/>
                    <w:left w:val="nil"/>
                    <w:bottom w:val="nil"/>
                    <w:right w:val="nil"/>
                    <w:between w:val="nil"/>
                  </w:pBdr>
                  <w:spacing w:after="0" w:line="360" w:lineRule="auto"/>
                  <w:rPr>
                    <w:rFonts w:ascii="Times New Roman" w:eastAsia="Times New Roman" w:hAnsi="Times New Roman" w:cs="Times New Roman"/>
                  </w:rPr>
                </w:pPr>
              </w:p>
            </w:tc>
            <w:tc>
              <w:tcPr>
                <w:tcW w:w="1700" w:type="dxa"/>
                <w:tcMar>
                  <w:top w:w="100" w:type="dxa"/>
                  <w:left w:w="100" w:type="dxa"/>
                  <w:bottom w:w="100" w:type="dxa"/>
                  <w:right w:w="100" w:type="dxa"/>
                </w:tcMar>
              </w:tcPr>
              <w:p w14:paraId="21314005"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21</w:t>
                </w:r>
              </w:p>
            </w:tc>
            <w:tc>
              <w:tcPr>
                <w:tcW w:w="1700" w:type="dxa"/>
                <w:tcMar>
                  <w:top w:w="100" w:type="dxa"/>
                  <w:left w:w="100" w:type="dxa"/>
                  <w:bottom w:w="100" w:type="dxa"/>
                  <w:right w:w="100" w:type="dxa"/>
                </w:tcMar>
              </w:tcPr>
              <w:p w14:paraId="7971C8F1"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Femenino</w:t>
                </w:r>
              </w:p>
            </w:tc>
            <w:tc>
              <w:tcPr>
                <w:tcW w:w="1700" w:type="dxa"/>
                <w:tcMar>
                  <w:top w:w="100" w:type="dxa"/>
                  <w:left w:w="100" w:type="dxa"/>
                  <w:bottom w:w="100" w:type="dxa"/>
                  <w:right w:w="100" w:type="dxa"/>
                </w:tcMar>
              </w:tcPr>
              <w:p w14:paraId="1D36D08C"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2021</w:t>
                </w:r>
              </w:p>
            </w:tc>
          </w:tr>
          <w:tr w:rsidR="00A91CF7" w14:paraId="23DDDA31" w14:textId="77777777">
            <w:trPr>
              <w:trHeight w:val="440"/>
            </w:trPr>
            <w:tc>
              <w:tcPr>
                <w:tcW w:w="1700" w:type="dxa"/>
                <w:tcMar>
                  <w:top w:w="100" w:type="dxa"/>
                  <w:left w:w="100" w:type="dxa"/>
                  <w:bottom w:w="100" w:type="dxa"/>
                  <w:right w:w="100" w:type="dxa"/>
                </w:tcMar>
              </w:tcPr>
              <w:p w14:paraId="0D72BE8A"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LAE 1</w:t>
                </w:r>
              </w:p>
            </w:tc>
            <w:tc>
              <w:tcPr>
                <w:tcW w:w="1700" w:type="dxa"/>
                <w:vMerge w:val="restart"/>
                <w:tcMar>
                  <w:top w:w="100" w:type="dxa"/>
                  <w:left w:w="100" w:type="dxa"/>
                  <w:bottom w:w="100" w:type="dxa"/>
                  <w:right w:w="100" w:type="dxa"/>
                </w:tcMar>
              </w:tcPr>
              <w:p w14:paraId="06046776"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Licenciado en administración de empresas</w:t>
                </w:r>
              </w:p>
            </w:tc>
            <w:tc>
              <w:tcPr>
                <w:tcW w:w="1700" w:type="dxa"/>
                <w:tcMar>
                  <w:top w:w="100" w:type="dxa"/>
                  <w:left w:w="100" w:type="dxa"/>
                  <w:bottom w:w="100" w:type="dxa"/>
                  <w:right w:w="100" w:type="dxa"/>
                </w:tcMar>
              </w:tcPr>
              <w:p w14:paraId="7201DD9A"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22</w:t>
                </w:r>
              </w:p>
            </w:tc>
            <w:tc>
              <w:tcPr>
                <w:tcW w:w="1700" w:type="dxa"/>
                <w:tcMar>
                  <w:top w:w="100" w:type="dxa"/>
                  <w:left w:w="100" w:type="dxa"/>
                  <w:bottom w:w="100" w:type="dxa"/>
                  <w:right w:w="100" w:type="dxa"/>
                </w:tcMar>
              </w:tcPr>
              <w:p w14:paraId="4C9F3E94"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Masculino</w:t>
                </w:r>
              </w:p>
            </w:tc>
            <w:tc>
              <w:tcPr>
                <w:tcW w:w="1700" w:type="dxa"/>
                <w:tcMar>
                  <w:top w:w="100" w:type="dxa"/>
                  <w:left w:w="100" w:type="dxa"/>
                  <w:bottom w:w="100" w:type="dxa"/>
                  <w:right w:w="100" w:type="dxa"/>
                </w:tcMar>
              </w:tcPr>
              <w:p w14:paraId="14308152"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2021</w:t>
                </w:r>
              </w:p>
            </w:tc>
          </w:tr>
          <w:tr w:rsidR="00A91CF7" w14:paraId="0819988D" w14:textId="77777777">
            <w:trPr>
              <w:trHeight w:val="440"/>
            </w:trPr>
            <w:tc>
              <w:tcPr>
                <w:tcW w:w="1700" w:type="dxa"/>
                <w:tcMar>
                  <w:top w:w="100" w:type="dxa"/>
                  <w:left w:w="100" w:type="dxa"/>
                  <w:bottom w:w="100" w:type="dxa"/>
                  <w:right w:w="100" w:type="dxa"/>
                </w:tcMar>
              </w:tcPr>
              <w:p w14:paraId="11085482"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LAE 2</w:t>
                </w:r>
              </w:p>
            </w:tc>
            <w:tc>
              <w:tcPr>
                <w:tcW w:w="1700" w:type="dxa"/>
                <w:vMerge/>
                <w:tcMar>
                  <w:top w:w="100" w:type="dxa"/>
                  <w:left w:w="100" w:type="dxa"/>
                  <w:bottom w:w="100" w:type="dxa"/>
                  <w:right w:w="100" w:type="dxa"/>
                </w:tcMar>
              </w:tcPr>
              <w:p w14:paraId="079EB661" w14:textId="77777777" w:rsidR="00A91CF7" w:rsidRDefault="00A91CF7">
                <w:pPr>
                  <w:widowControl w:val="0"/>
                  <w:pBdr>
                    <w:top w:val="nil"/>
                    <w:left w:val="nil"/>
                    <w:bottom w:val="nil"/>
                    <w:right w:val="nil"/>
                    <w:between w:val="nil"/>
                  </w:pBdr>
                  <w:spacing w:after="0" w:line="360" w:lineRule="auto"/>
                  <w:rPr>
                    <w:rFonts w:ascii="Times New Roman" w:eastAsia="Times New Roman" w:hAnsi="Times New Roman" w:cs="Times New Roman"/>
                  </w:rPr>
                </w:pPr>
              </w:p>
            </w:tc>
            <w:tc>
              <w:tcPr>
                <w:tcW w:w="1700" w:type="dxa"/>
                <w:tcMar>
                  <w:top w:w="100" w:type="dxa"/>
                  <w:left w:w="100" w:type="dxa"/>
                  <w:bottom w:w="100" w:type="dxa"/>
                  <w:right w:w="100" w:type="dxa"/>
                </w:tcMar>
              </w:tcPr>
              <w:p w14:paraId="6EC74EB9"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21</w:t>
                </w:r>
              </w:p>
            </w:tc>
            <w:tc>
              <w:tcPr>
                <w:tcW w:w="1700" w:type="dxa"/>
                <w:tcMar>
                  <w:top w:w="100" w:type="dxa"/>
                  <w:left w:w="100" w:type="dxa"/>
                  <w:bottom w:w="100" w:type="dxa"/>
                  <w:right w:w="100" w:type="dxa"/>
                </w:tcMar>
              </w:tcPr>
              <w:p w14:paraId="6F2404D8"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Masculino</w:t>
                </w:r>
              </w:p>
            </w:tc>
            <w:tc>
              <w:tcPr>
                <w:tcW w:w="1700" w:type="dxa"/>
                <w:tcMar>
                  <w:top w:w="100" w:type="dxa"/>
                  <w:left w:w="100" w:type="dxa"/>
                  <w:bottom w:w="100" w:type="dxa"/>
                  <w:right w:w="100" w:type="dxa"/>
                </w:tcMar>
              </w:tcPr>
              <w:p w14:paraId="53DAB333"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2021</w:t>
                </w:r>
              </w:p>
            </w:tc>
          </w:tr>
          <w:tr w:rsidR="00A91CF7" w14:paraId="794395F7" w14:textId="77777777">
            <w:trPr>
              <w:trHeight w:val="440"/>
            </w:trPr>
            <w:tc>
              <w:tcPr>
                <w:tcW w:w="1700" w:type="dxa"/>
                <w:tcMar>
                  <w:top w:w="100" w:type="dxa"/>
                  <w:left w:w="100" w:type="dxa"/>
                  <w:bottom w:w="100" w:type="dxa"/>
                  <w:right w:w="100" w:type="dxa"/>
                </w:tcMar>
              </w:tcPr>
              <w:p w14:paraId="58FE17B6"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LAE 3</w:t>
                </w:r>
              </w:p>
            </w:tc>
            <w:tc>
              <w:tcPr>
                <w:tcW w:w="1700" w:type="dxa"/>
                <w:vMerge/>
                <w:tcMar>
                  <w:top w:w="100" w:type="dxa"/>
                  <w:left w:w="100" w:type="dxa"/>
                  <w:bottom w:w="100" w:type="dxa"/>
                  <w:right w:w="100" w:type="dxa"/>
                </w:tcMar>
              </w:tcPr>
              <w:p w14:paraId="26E08DB1" w14:textId="77777777" w:rsidR="00A91CF7" w:rsidRDefault="00A91CF7">
                <w:pPr>
                  <w:widowControl w:val="0"/>
                  <w:pBdr>
                    <w:top w:val="nil"/>
                    <w:left w:val="nil"/>
                    <w:bottom w:val="nil"/>
                    <w:right w:val="nil"/>
                    <w:between w:val="nil"/>
                  </w:pBdr>
                  <w:spacing w:after="0" w:line="360" w:lineRule="auto"/>
                  <w:rPr>
                    <w:rFonts w:ascii="Times New Roman" w:eastAsia="Times New Roman" w:hAnsi="Times New Roman" w:cs="Times New Roman"/>
                  </w:rPr>
                </w:pPr>
              </w:p>
            </w:tc>
            <w:tc>
              <w:tcPr>
                <w:tcW w:w="1700" w:type="dxa"/>
                <w:tcMar>
                  <w:top w:w="100" w:type="dxa"/>
                  <w:left w:w="100" w:type="dxa"/>
                  <w:bottom w:w="100" w:type="dxa"/>
                  <w:right w:w="100" w:type="dxa"/>
                </w:tcMar>
              </w:tcPr>
              <w:p w14:paraId="0FA87A59"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21</w:t>
                </w:r>
              </w:p>
            </w:tc>
            <w:tc>
              <w:tcPr>
                <w:tcW w:w="1700" w:type="dxa"/>
                <w:tcMar>
                  <w:top w:w="100" w:type="dxa"/>
                  <w:left w:w="100" w:type="dxa"/>
                  <w:bottom w:w="100" w:type="dxa"/>
                  <w:right w:w="100" w:type="dxa"/>
                </w:tcMar>
              </w:tcPr>
              <w:p w14:paraId="4D6A60E7"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Femenino</w:t>
                </w:r>
              </w:p>
            </w:tc>
            <w:tc>
              <w:tcPr>
                <w:tcW w:w="1700" w:type="dxa"/>
                <w:tcMar>
                  <w:top w:w="100" w:type="dxa"/>
                  <w:left w:w="100" w:type="dxa"/>
                  <w:bottom w:w="100" w:type="dxa"/>
                  <w:right w:w="100" w:type="dxa"/>
                </w:tcMar>
              </w:tcPr>
              <w:p w14:paraId="05145D15"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2021</w:t>
                </w:r>
              </w:p>
            </w:tc>
          </w:tr>
          <w:tr w:rsidR="00A91CF7" w14:paraId="500933DC" w14:textId="77777777">
            <w:trPr>
              <w:trHeight w:val="440"/>
            </w:trPr>
            <w:tc>
              <w:tcPr>
                <w:tcW w:w="1700" w:type="dxa"/>
                <w:tcMar>
                  <w:top w:w="100" w:type="dxa"/>
                  <w:left w:w="100" w:type="dxa"/>
                  <w:bottom w:w="100" w:type="dxa"/>
                  <w:right w:w="100" w:type="dxa"/>
                </w:tcMar>
              </w:tcPr>
              <w:p w14:paraId="30DD0C6F"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LAE 4</w:t>
                </w:r>
              </w:p>
            </w:tc>
            <w:tc>
              <w:tcPr>
                <w:tcW w:w="1700" w:type="dxa"/>
                <w:vMerge/>
                <w:tcMar>
                  <w:top w:w="100" w:type="dxa"/>
                  <w:left w:w="100" w:type="dxa"/>
                  <w:bottom w:w="100" w:type="dxa"/>
                  <w:right w:w="100" w:type="dxa"/>
                </w:tcMar>
              </w:tcPr>
              <w:p w14:paraId="2B32C0CA" w14:textId="77777777" w:rsidR="00A91CF7" w:rsidRDefault="00A91CF7">
                <w:pPr>
                  <w:widowControl w:val="0"/>
                  <w:pBdr>
                    <w:top w:val="nil"/>
                    <w:left w:val="nil"/>
                    <w:bottom w:val="nil"/>
                    <w:right w:val="nil"/>
                    <w:between w:val="nil"/>
                  </w:pBdr>
                  <w:spacing w:after="0" w:line="360" w:lineRule="auto"/>
                  <w:rPr>
                    <w:rFonts w:ascii="Times New Roman" w:eastAsia="Times New Roman" w:hAnsi="Times New Roman" w:cs="Times New Roman"/>
                  </w:rPr>
                </w:pPr>
              </w:p>
            </w:tc>
            <w:tc>
              <w:tcPr>
                <w:tcW w:w="1700" w:type="dxa"/>
                <w:tcMar>
                  <w:top w:w="100" w:type="dxa"/>
                  <w:left w:w="100" w:type="dxa"/>
                  <w:bottom w:w="100" w:type="dxa"/>
                  <w:right w:w="100" w:type="dxa"/>
                </w:tcMar>
              </w:tcPr>
              <w:p w14:paraId="551ABD47"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22</w:t>
                </w:r>
              </w:p>
            </w:tc>
            <w:tc>
              <w:tcPr>
                <w:tcW w:w="1700" w:type="dxa"/>
                <w:tcMar>
                  <w:top w:w="100" w:type="dxa"/>
                  <w:left w:w="100" w:type="dxa"/>
                  <w:bottom w:w="100" w:type="dxa"/>
                  <w:right w:w="100" w:type="dxa"/>
                </w:tcMar>
              </w:tcPr>
              <w:p w14:paraId="7DDC39F6"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Femenino</w:t>
                </w:r>
              </w:p>
            </w:tc>
            <w:tc>
              <w:tcPr>
                <w:tcW w:w="1700" w:type="dxa"/>
                <w:tcMar>
                  <w:top w:w="100" w:type="dxa"/>
                  <w:left w:w="100" w:type="dxa"/>
                  <w:bottom w:w="100" w:type="dxa"/>
                  <w:right w:w="100" w:type="dxa"/>
                </w:tcMar>
              </w:tcPr>
              <w:p w14:paraId="04A88529"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2020</w:t>
                </w:r>
              </w:p>
            </w:tc>
          </w:tr>
          <w:tr w:rsidR="00A91CF7" w14:paraId="70095825" w14:textId="77777777">
            <w:tc>
              <w:tcPr>
                <w:tcW w:w="1700" w:type="dxa"/>
                <w:tcMar>
                  <w:top w:w="100" w:type="dxa"/>
                  <w:left w:w="100" w:type="dxa"/>
                  <w:bottom w:w="100" w:type="dxa"/>
                  <w:right w:w="100" w:type="dxa"/>
                </w:tcMar>
              </w:tcPr>
              <w:p w14:paraId="0C176115"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LE 1</w:t>
                </w:r>
              </w:p>
            </w:tc>
            <w:tc>
              <w:tcPr>
                <w:tcW w:w="1700" w:type="dxa"/>
                <w:tcMar>
                  <w:top w:w="100" w:type="dxa"/>
                  <w:left w:w="100" w:type="dxa"/>
                  <w:bottom w:w="100" w:type="dxa"/>
                  <w:right w:w="100" w:type="dxa"/>
                </w:tcMar>
              </w:tcPr>
              <w:p w14:paraId="77F41427"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Licenciatura en economía</w:t>
                </w:r>
              </w:p>
            </w:tc>
            <w:tc>
              <w:tcPr>
                <w:tcW w:w="1700" w:type="dxa"/>
                <w:tcMar>
                  <w:top w:w="100" w:type="dxa"/>
                  <w:left w:w="100" w:type="dxa"/>
                  <w:bottom w:w="100" w:type="dxa"/>
                  <w:right w:w="100" w:type="dxa"/>
                </w:tcMar>
              </w:tcPr>
              <w:p w14:paraId="69B61ED7" w14:textId="77777777" w:rsidR="00A91CF7" w:rsidRDefault="00000000">
                <w:pPr>
                  <w:widowControl w:val="0"/>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23</w:t>
                </w:r>
              </w:p>
            </w:tc>
            <w:tc>
              <w:tcPr>
                <w:tcW w:w="1700" w:type="dxa"/>
                <w:tcMar>
                  <w:top w:w="100" w:type="dxa"/>
                  <w:left w:w="100" w:type="dxa"/>
                  <w:bottom w:w="100" w:type="dxa"/>
                  <w:right w:w="100" w:type="dxa"/>
                </w:tcMar>
              </w:tcPr>
              <w:p w14:paraId="0ACA15EB"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Masculino</w:t>
                </w:r>
              </w:p>
            </w:tc>
            <w:tc>
              <w:tcPr>
                <w:tcW w:w="1700" w:type="dxa"/>
                <w:tcMar>
                  <w:top w:w="100" w:type="dxa"/>
                  <w:left w:w="100" w:type="dxa"/>
                  <w:bottom w:w="100" w:type="dxa"/>
                  <w:right w:w="100" w:type="dxa"/>
                </w:tcMar>
              </w:tcPr>
              <w:p w14:paraId="05B79CDC" w14:textId="77777777" w:rsidR="00A91CF7" w:rsidRDefault="00000000">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2020</w:t>
                </w:r>
              </w:p>
            </w:tc>
          </w:tr>
        </w:tbl>
      </w:sdtContent>
    </w:sdt>
    <w:p w14:paraId="3187746F" w14:textId="77777777" w:rsidR="00A91CF7" w:rsidRDefault="00A91CF7">
      <w:pPr>
        <w:spacing w:line="360" w:lineRule="auto"/>
        <w:jc w:val="both"/>
        <w:rPr>
          <w:rFonts w:ascii="Times New Roman" w:eastAsia="Times New Roman" w:hAnsi="Times New Roman" w:cs="Times New Roman"/>
        </w:rPr>
      </w:pPr>
    </w:p>
    <w:p w14:paraId="348A9CDE"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De estos estudiantes las estrategias que mencionaron como útiles para aprender en sus trayectorias fueron armadas tres categorías que a su vez contenían sub categorías. Las categorías principales fueron: Aprendizaje Significativo, Proceso y Material de estudio (</w:t>
      </w:r>
      <w:proofErr w:type="spellStart"/>
      <w:r>
        <w:rPr>
          <w:rFonts w:ascii="Times New Roman" w:eastAsia="Times New Roman" w:hAnsi="Times New Roman" w:cs="Times New Roman"/>
        </w:rPr>
        <w:t>Mathot</w:t>
      </w:r>
      <w:proofErr w:type="spellEnd"/>
      <w:r>
        <w:rPr>
          <w:rFonts w:ascii="Times New Roman" w:eastAsia="Times New Roman" w:hAnsi="Times New Roman" w:cs="Times New Roman"/>
        </w:rPr>
        <w:t xml:space="preserve"> y Araujo, 2026).</w:t>
      </w:r>
    </w:p>
    <w:p w14:paraId="05CC8D44" w14:textId="77777777" w:rsidR="003E4C50" w:rsidRDefault="003E4C50">
      <w:pPr>
        <w:spacing w:line="360" w:lineRule="auto"/>
        <w:ind w:firstLine="720"/>
        <w:jc w:val="both"/>
        <w:rPr>
          <w:rFonts w:ascii="Times New Roman" w:eastAsia="Times New Roman" w:hAnsi="Times New Roman" w:cs="Times New Roman"/>
        </w:rPr>
      </w:pPr>
    </w:p>
    <w:p w14:paraId="44B0C29F" w14:textId="77777777" w:rsidR="00A91CF7" w:rsidRDefault="00000000">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Articulando la investigación con la extensión </w:t>
      </w:r>
    </w:p>
    <w:p w14:paraId="4C271CA9"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El análisis de las narrativas obtenidas a partir de las entrevistas en profundidad con estudiantes avanzados de la FCE permitió identificar y categorizar las estrategias que configuran la construcción del oficio del estudiante, de los entrevistados, en sus respectivas trayectorias. Los resultados no pretendieron ser exhaustivos, en tanto no se cree haber agotado todas las posibles estrategias de aprendizaje, pero aquellas que han surgido poseen una fuerza metodológica, ya que se vieron saturadas como categoría. Es decir, aparecen en las 10 entrevistas en la mayoría de los casos y en 8 de 10, en el caso menos frecuente.</w:t>
      </w:r>
    </w:p>
    <w:p w14:paraId="13836380"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primera categoría emergente corresponde al Aprendizaje Significativo, un concepto arraigado en la psicología cognitiva y postulado por Ausubel (2002), quien sostiene que, a diferencia de un aprendizaje mecánico y memorístico, este requiere de un sujeto activo capaz de establecer relaciones sustanciales entre sus conocimientos previos y el nuevo material. Este proceso demanda una implicación profunda de quien aprende para dotar de sentido a los conceptos y trasladarlos a una acción razonada. En las trayectorias de los estudiantes avanzados, este aprendizaje se operativiza a través de dos subcategorías clave: el establecimiento de relaciones entre la teoría y la práctica, y la decisión estratégica de estudiar con otros. </w:t>
      </w:r>
    </w:p>
    <w:p w14:paraId="328CF2C1"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segunda categoría identificada denomina el Proceso y engloba aquellas acciones orientadas al seguimiento sistemático de las asignaturas y a la toma de decisiones para la gestión del tiempo ante los exámenes. Esta dimensión se ramifica en cuatro subcategorías íntimamente interconectadas: la asistencia a clases, el seguimiento de la materia, el armado de planificaciones con sus respectivos repasos, y la decisión estratégica sobre qué y cuándo rendir. </w:t>
      </w:r>
    </w:p>
    <w:p w14:paraId="64499401"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Como tercera dimensión fundamental de las estrategias estudiantiles, emerge la categoría Material de estudio, definida como los soportes y recursos específicos seleccionados para el aprendizaje. Sus sub categorías constitutivas son el armado de </w:t>
      </w:r>
      <w:r>
        <w:rPr>
          <w:rFonts w:ascii="Times New Roman" w:eastAsia="Times New Roman" w:hAnsi="Times New Roman" w:cs="Times New Roman"/>
        </w:rPr>
        <w:lastRenderedPageBreak/>
        <w:t xml:space="preserve">apuntes propios, el uso de exámenes parciales anteriores y la consulta de diversas fuentes complementarias. </w:t>
      </w:r>
    </w:p>
    <w:p w14:paraId="75BFC58C"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Las prácticas y acciones desplegadas por los alumnos para ejercer su rol en el nivel superior dialogan de manera directa con los interrogantes planteados por Enrico (2019), quien indaga acerca de los mecanismos mediante los cuales el sujeto ejerce el oficio de estudiante universitario. Recuperando los aportes fundacionales de Alain Coulon, la autora explica que el tránsito hacia la adquisición de este oficio requiere atravesar exitosamente tres fases secuenciales: el tiempo de alienación, el tiempo de aprendizaje y el tiempo de afiliación. El tiempo de alienación constituye el primer contacto entre el ingresante y la cultura universitaria, caracterizado por un extrañamiento del espacio físico, del lenguaje técnico y de los puntos de referencia institucionales; una ruptura con el nivel medio que suele generar nostalgia y un choque con la nueva realidad. Parte de la identidad del sujeto se pone en juego, tanto para transformarse en un estudiante universitario y porque los roles que se ejercían en el nivel anterior ya no están disponibles.</w:t>
      </w:r>
    </w:p>
    <w:p w14:paraId="590A8E3C"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Sin embargo, las estrategias analizadas en las categorías previas demuestran cómo los estudiantes logran avanzar hacia la segunda etapa, denominada el tiempo de aprendizaje. En este período, el alumno se adapta de forma progresiva a las demandas institucionales y asume las reglas del juego académico. En este momento ocurren dos aprendizajes, el de los mecanismos propios de cómo moverse social y humanamente en la universidad, así como también lo que tiene que ver con el trabajo más académico propiamente dicho, en el cual se ponen en juego las estrategias de aprendizaje.</w:t>
      </w:r>
    </w:p>
    <w:p w14:paraId="04FF6FBD"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Finalmente, el éxito y la permanencia en las carreras se consolidan en el tercer tiempo, llamado de afiliación. El estudiante se incorpora completamente a la vida cotidiana de la institución universitaria. Ha comprendido e interiorizado el funcionamiento, la lógica y la cultura de la organización. Es por ello que hay una interpretación profunda de las lógicas internas y una apropiación de los lenguajes que le permiten ser parte del grupo. Es tal el grado de conocimiento de las reglas que incluso aparece la posibilidad de transgredirlas. </w:t>
      </w:r>
    </w:p>
    <w:p w14:paraId="566E5444"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En este punto comienzan a aparecer las conexiones entre lo construido desde el trabajo de investigación con la labor de extensión, que de alguna manera apuntan a las fases para convertirse en estudiantes del nivel superior. Se comentó que se formaron estudiantes avanzados de CP y LAE para que puedan oficiar como tutores de los estudiantes de 4° y 5° año del INSF, del nivel medio. Los puentes que tienen como fin buscar facilitar la continuidad de las trayectorias de aprendizaje, se proponen en esta interacción entre los tutores y los estudiantes del nivel medio, a través de formato taller, dos grandes líneas. La primera línea de trabajo es acompañar el desarrollo de parte de los contenidos para los trabajos de “Expo CONTAR”. La segunda línea, y en paralelo a la primera, es poder explicitar estrategias necesarias para ingresar y permanecer en la vida universitaria, tanto estrategias de aprendizaje (como las encontradas en el trabajo de investigación) como también emergentes que merecen atención porque son solicitadas por los estudiantes del nivel medio.</w:t>
      </w:r>
    </w:p>
    <w:p w14:paraId="61A38DCB"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Para el año 2025 el equipo de trabajo de la FCE ya había generado contacto con el INSF. Ese año se pudo acompañar en estrategias muy puntuales, como un taller de cálculo de Costos y de armado de análisis FODA, en formato virtual. Para fines de ese año se comenzó con la integración de los estudiantes de económicas, que actualmente son tutores. Se hizo contacto con algunos estudiantes de cursadas previas, hasta que finalmente cuatro estudiantes, dos de CP y dos de LAE, se sumaron al proyecto de extensión. Estos jóvenes, tres mujeres y un varón, pasaron por instancias de formación para el rol. Por sus recorridos académicos, se pudo evidenciar que los tutores habían adquirido el oficio del estudiante, necesario para mantenerse y avanzar en la vida universitaria, cosa que los hacía ideales para compartir experiencias con los escolares del nivel medio. A su vez la cercanía en edad, podría ser un elemento interesante, para que se produzca una identificación positiva, para tomar el testimonio como pares. </w:t>
      </w:r>
    </w:p>
    <w:p w14:paraId="5A837D76"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 manera paralela al planteamiento del taller, se tuvo una reunión con los docentes del nivel medio, para acordar acerca de los temas que era necesario reforzar en los escolares, según lo que se estaba trabajando en ese momento y los trabajos que debían resolver en el INFS, en relación al planteamiento de los emprendimientos simulados. </w:t>
      </w:r>
    </w:p>
    <w:p w14:paraId="0170F41C"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La agenda para la formación de tutores incluyó: a) el rol del tutor, b) herramientas pedagógicas y c) armado de taller y materiales.</w:t>
      </w:r>
    </w:p>
    <w:p w14:paraId="65517A49" w14:textId="77777777" w:rsidR="00A91CF7" w:rsidRDefault="00000000">
      <w:pPr>
        <w:numPr>
          <w:ilvl w:val="0"/>
          <w:numId w:val="1"/>
        </w:numPr>
        <w:spacing w:before="240" w:after="0" w:line="360" w:lineRule="auto"/>
        <w:jc w:val="both"/>
        <w:rPr>
          <w:rFonts w:ascii="Times New Roman" w:eastAsia="Times New Roman" w:hAnsi="Times New Roman" w:cs="Times New Roman"/>
        </w:rPr>
      </w:pPr>
      <w:r>
        <w:rPr>
          <w:rFonts w:ascii="Times New Roman" w:eastAsia="Times New Roman" w:hAnsi="Times New Roman" w:cs="Times New Roman"/>
        </w:rPr>
        <w:t>El rol del tutor y la ética del vínculo con jóvenes del nivel medio. Fue un encuentro virtual con los estudiantes avanzados de económicas. Aquí se trabajó el poder definir el rol de tutor, como acompañante de procesos, facilitador y no “</w:t>
      </w:r>
      <w:proofErr w:type="spellStart"/>
      <w:r>
        <w:rPr>
          <w:rFonts w:ascii="Times New Roman" w:eastAsia="Times New Roman" w:hAnsi="Times New Roman" w:cs="Times New Roman"/>
        </w:rPr>
        <w:t>resolvedor</w:t>
      </w:r>
      <w:proofErr w:type="spellEnd"/>
      <w:r>
        <w:rPr>
          <w:rFonts w:ascii="Times New Roman" w:eastAsia="Times New Roman" w:hAnsi="Times New Roman" w:cs="Times New Roman"/>
        </w:rPr>
        <w:t>”, ya que las capacidades deben ser apropiadas por los estudiantes de nivel medio. Luego se habló sobre la ética en el acompañamiento a jóvenes menores de edad. Se trabajaron posibles situaciones en las cuales ellos debieran marcar límites para que la proximidad no se dé a confusiones sentimentales o de otro tipo. Se armó entre los tutores en formación un código de ética, para que sirva de guía a la toma de decisiones. Además, se subrayó como recurso el acudir a los docentes responsables en busca de apoyo ante cualquier instancia que lo requiriera.</w:t>
      </w:r>
    </w:p>
    <w:p w14:paraId="01CD317E" w14:textId="77777777" w:rsidR="00A91CF7" w:rsidRDefault="00000000">
      <w:pPr>
        <w:numPr>
          <w:ilvl w:val="0"/>
          <w:numId w:val="1"/>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Herramientas pedagógicas y de andamiaje en educación. Este fue un nuevo encuentro virtual con los tutores. Se les compartió parte del material que los docentes del INSF usan para dictar temas, reflexionando acerca de sus lógicas. Luego se les dio una clase básica sobre psicología del aprendizaje, con autores como Piaget, Vigotsky y Ausubel, así como una introducción a las categorías encontradas en la investigación, de estrategias de aprendizaje en la FCE. En esta instancia una de las docentes es licenciada en Psicología, con lo cual dirigió el proceso.</w:t>
      </w:r>
    </w:p>
    <w:p w14:paraId="37F06E17" w14:textId="77777777" w:rsidR="00A91CF7" w:rsidRDefault="00000000">
      <w:pPr>
        <w:numPr>
          <w:ilvl w:val="0"/>
          <w:numId w:val="1"/>
        </w:numPr>
        <w:spacing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Armado de taller, fichas de trabajo y división de tareas. Este tercer punto constó de varios encuentros virtuales. Primeramente, un encuentro en el cual se presentó un posible esquema de taller, en el cual se definieron los contenidos que cada momento. Luego se convino acerca de las acciones específicas a cargo de los tutores: una dinámica sobre la vida universitaria, momento expositivo sobre “misión, visión y objetivos”, cerrando con una instancia de trabajo sobre ficha de resolución. Para el armado de ficha hubo un encuentro particular, con una docente LAE, que orientó los contenidos necesarios, la manera de presentarlos y teoría </w:t>
      </w:r>
      <w:r>
        <w:rPr>
          <w:rFonts w:ascii="Times New Roman" w:eastAsia="Times New Roman" w:hAnsi="Times New Roman" w:cs="Times New Roman"/>
        </w:rPr>
        <w:lastRenderedPageBreak/>
        <w:t>para la explicación. Posteriormente los tutores armaron las herramientas y se distribuyeron las tareas.</w:t>
      </w:r>
    </w:p>
    <w:p w14:paraId="1DBC2E7E" w14:textId="77777777" w:rsidR="00A91CF7"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No se buscó ser exhaustivo en cada uno de los puntos de los encuentros de formación, sino establecer las bases que den inicio al trabajo con estudiantes, para luego poder problematizar y profundizar los aprendizajes. </w:t>
      </w:r>
    </w:p>
    <w:p w14:paraId="575062DA" w14:textId="77777777" w:rsidR="00A91CF7"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r>
      <w:proofErr w:type="gramStart"/>
      <w:r>
        <w:rPr>
          <w:rFonts w:ascii="Times New Roman" w:eastAsia="Times New Roman" w:hAnsi="Times New Roman" w:cs="Times New Roman"/>
        </w:rPr>
        <w:t>Finalmente</w:t>
      </w:r>
      <w:proofErr w:type="gramEnd"/>
      <w:r>
        <w:rPr>
          <w:rFonts w:ascii="Times New Roman" w:eastAsia="Times New Roman" w:hAnsi="Times New Roman" w:cs="Times New Roman"/>
        </w:rPr>
        <w:t xml:space="preserve"> el taller, dirigido a los estudiantes de 4° y 5° año del INSF, fue de manera presencial en el INSF, en Gral Roca. Parte del equipo viajó hasta allí, los cuatro tutores, dos docentes y una no docente. El encuentro quedó estructurado de manera tal que: se hizo la presentación del equipo, se explicó la el trabajo conjunto entre instituciones con el fin de acompañamiento para la “Expo CONTAR”, se realizó una dinámica llamada “¿Qué me hubiera gustado saber al entrar a la universidad?”, hubo una instancia expositiva sobre definiciones de “misión, visión y objetivos” para pensar el armado de emprendimientos con fines económicos, y para cerrar se armaron de fichas en las cuales pudieron volcar estos conocimientos para sus trabajos escolares.</w:t>
      </w:r>
    </w:p>
    <w:p w14:paraId="41ED1F2F" w14:textId="77777777" w:rsidR="00A91CF7"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t>Todas estas instancias apuntaron a fortalecer contenidos propios del nivel secundario, que los estudiantes ya estaban trabajando con sus docentes, pero también acercando a la vida universitaria y compartiendo lenguaje y estrategias propios del nivel superior, en tanto oficio del estudiante.</w:t>
      </w:r>
    </w:p>
    <w:p w14:paraId="40D22DAF" w14:textId="77777777" w:rsidR="00A91CF7"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En la técnica “¿Qué me hubiera gustado saber al entrar a la universidad?” aparecieron temas propios del ingreso a la universidad, que ponen en juego la alienación que explica Coulon. La dinámica consistió en armar una bolsa de tela dentro de la cual aparecieron frases que los tutores habían mencionado como situaciones vividas por ellos. Algunos ejemplos son: “me hubiera gustado saber que no hace falta entender todo en la primera clase”, “la organización del tiempo es más importante”, “tener conocimiento sobre el funcionamiento del aula virtual, SIU </w:t>
      </w:r>
      <w:proofErr w:type="gramStart"/>
      <w:r>
        <w:rPr>
          <w:rFonts w:ascii="Times New Roman" w:eastAsia="Times New Roman" w:hAnsi="Times New Roman" w:cs="Times New Roman"/>
        </w:rPr>
        <w:t>Guaraní</w:t>
      </w:r>
      <w:proofErr w:type="gramEnd"/>
      <w:r>
        <w:rPr>
          <w:rFonts w:ascii="Times New Roman" w:eastAsia="Times New Roman" w:hAnsi="Times New Roman" w:cs="Times New Roman"/>
        </w:rPr>
        <w:t xml:space="preserve"> y las clases híbridas como herramientas centrales para acceder a contenidos y materiales” o “conocer que la facultad ofrece actividades académicas, de investigación, extensión y recreación que enriquecen la formación”. Sonaba la música, mientras los estudiantes se lanzaban la bolsa unos a </w:t>
      </w:r>
      <w:r>
        <w:rPr>
          <w:rFonts w:ascii="Times New Roman" w:eastAsia="Times New Roman" w:hAnsi="Times New Roman" w:cs="Times New Roman"/>
        </w:rPr>
        <w:lastRenderedPageBreak/>
        <w:t xml:space="preserve">otros. Cuando la música se detenía, la persona que tenía la bolsa en la mano sacaba de ella una frase y la leía en voz alta. Se abría el debate acerca del contenido, alentando a los estudiantes a dar su </w:t>
      </w:r>
      <w:proofErr w:type="gramStart"/>
      <w:r>
        <w:rPr>
          <w:rFonts w:ascii="Times New Roman" w:eastAsia="Times New Roman" w:hAnsi="Times New Roman" w:cs="Times New Roman"/>
        </w:rPr>
        <w:t>parecer</w:t>
      </w:r>
      <w:proofErr w:type="gramEnd"/>
      <w:r>
        <w:rPr>
          <w:rFonts w:ascii="Times New Roman" w:eastAsia="Times New Roman" w:hAnsi="Times New Roman" w:cs="Times New Roman"/>
        </w:rPr>
        <w:t xml:space="preserve"> así como expresar pensamientos previos y temores. En estas oraciones se ven reflejadas algunas problemáticas propias del momento de extrañamiento del nuevo espacio institucional, como el manejo de los espacios, las lógicas administrativas, los tiempos y la manera de estudiar. Los tutores pudieron compartir sus propias experiencias, explicando cómo se habían sentido y de qué manera pudieron superar algunas instancias. Los estudiantes se mostraron muy interesados en conocer detalles de la siguiente etapa, preguntando y repreguntando. De este momento emergieron dos temas a retomar en futuros encuentros, según lo solicitado por los jóvenes del nivel medio: que se les muestre cómo funciona el SIU </w:t>
      </w:r>
      <w:proofErr w:type="gramStart"/>
      <w:r>
        <w:rPr>
          <w:rFonts w:ascii="Times New Roman" w:eastAsia="Times New Roman" w:hAnsi="Times New Roman" w:cs="Times New Roman"/>
        </w:rPr>
        <w:t>Guaraní</w:t>
      </w:r>
      <w:proofErr w:type="gramEnd"/>
      <w:r>
        <w:rPr>
          <w:rFonts w:ascii="Times New Roman" w:eastAsia="Times New Roman" w:hAnsi="Times New Roman" w:cs="Times New Roman"/>
        </w:rPr>
        <w:t xml:space="preserve"> y la plataforma Moodle. </w:t>
      </w:r>
    </w:p>
    <w:p w14:paraId="5A2F63B8" w14:textId="77777777" w:rsidR="00A91CF7"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Seguidamente los tutores hicieron una exposición acerca de los conceptos que los estudiantes del nivel medio estaban trabajando, para poder responder a las consignas planteadas por los profesores de la escuela. Rápidamente la propuesta fue que los estudiantes se separaran en los grupos en los que están trabajando actualmente, para completar una ficha, ordenadora de ideas. Los tutores pudieron acompañar a los estudiantes en concretizar de manera escrita ideas que tenían sobre el armado de emprendimientos (para su cursada escolar). Cada tutor recorrió los grupos de trabajo, respondió dudas y dio sugerencias. Se explicó que este tipo de dispositivos se utiliza en la universidad, que la elección de la modalidad fue porque a ellos mismos les sirve plantearse así las problemáticas teórico-prácticas. La ficha proponía la concretización de propuestas respondiendo preguntas y luego el chequeo de esos contenidos buscando responder una nueva pregunta. Esta dinámica es muy utilizada en cátedras de la FCE, donde la producción se chequea poniéndola en cuestión nuevamente, ya que se para de la teoría a una situación puntual y luego esa situación se vuelve a problematizar. Si bien esta instancia no es propiamente la de aprendizaje que propone Coulon, si hay una aproximación a ella. Se comienzan a poner en práctica lógicas y </w:t>
      </w:r>
      <w:proofErr w:type="gramStart"/>
      <w:r>
        <w:rPr>
          <w:rFonts w:ascii="Times New Roman" w:eastAsia="Times New Roman" w:hAnsi="Times New Roman" w:cs="Times New Roman"/>
        </w:rPr>
        <w:t>lenguajes propias</w:t>
      </w:r>
      <w:proofErr w:type="gramEnd"/>
      <w:r>
        <w:rPr>
          <w:rFonts w:ascii="Times New Roman" w:eastAsia="Times New Roman" w:hAnsi="Times New Roman" w:cs="Times New Roman"/>
        </w:rPr>
        <w:t xml:space="preserve"> del siguiente nivel y los tutores mencionaron algunas de las estrategias de aprendizaje que los estudiantes de la FCE mencionaron como útiles, sobre todo las referentes al </w:t>
      </w:r>
      <w:r>
        <w:rPr>
          <w:rFonts w:ascii="Times New Roman" w:eastAsia="Times New Roman" w:hAnsi="Times New Roman" w:cs="Times New Roman"/>
        </w:rPr>
        <w:lastRenderedPageBreak/>
        <w:t xml:space="preserve">aprendizaje significativo. Además, el encuentro con estudiantes y docentes universitarios, puede ayudar a que el nivel superior sea un poco menos extraño.  </w:t>
      </w:r>
    </w:p>
    <w:p w14:paraId="67117F2E" w14:textId="77777777" w:rsidR="00A91CF7"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t>Para cerrar el encuentro, se dejaron a disposición de los estudiantes y los docentes del INSF los formularios, así como el compromiso de un siguiente encuentro.</w:t>
      </w:r>
    </w:p>
    <w:p w14:paraId="2548F2C9" w14:textId="77777777" w:rsidR="00A91CF7" w:rsidRDefault="00000000">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En relación a la planificación, </w:t>
      </w:r>
      <w:proofErr w:type="gramStart"/>
      <w:r>
        <w:rPr>
          <w:rFonts w:ascii="Times New Roman" w:eastAsia="Times New Roman" w:hAnsi="Times New Roman" w:cs="Times New Roman"/>
        </w:rPr>
        <w:t>habrán</w:t>
      </w:r>
      <w:proofErr w:type="gramEnd"/>
      <w:r>
        <w:rPr>
          <w:rFonts w:ascii="Times New Roman" w:eastAsia="Times New Roman" w:hAnsi="Times New Roman" w:cs="Times New Roman"/>
        </w:rPr>
        <w:t xml:space="preserve"> encuentros presenciales, con parte del equipo viajando al INSF, para trabajar temas relacionados a cuestiones de contenido académico y también sobre oficio del estudiante en sí mismo. Desde lo académico están previstos temas sobre cálculo de costos y plan de negocios. Desde el fortalecimiento al oficio del estudiante, trabajar plataformas SIU </w:t>
      </w:r>
      <w:proofErr w:type="gramStart"/>
      <w:r>
        <w:rPr>
          <w:rFonts w:ascii="Times New Roman" w:eastAsia="Times New Roman" w:hAnsi="Times New Roman" w:cs="Times New Roman"/>
        </w:rPr>
        <w:t>Guaraní</w:t>
      </w:r>
      <w:proofErr w:type="gramEnd"/>
      <w:r>
        <w:rPr>
          <w:rFonts w:ascii="Times New Roman" w:eastAsia="Times New Roman" w:hAnsi="Times New Roman" w:cs="Times New Roman"/>
        </w:rPr>
        <w:t xml:space="preserve"> y Moodle; y proponer un taller sobre las estrategias de aprendizaje, propiamente.</w:t>
      </w:r>
    </w:p>
    <w:p w14:paraId="7A96D225" w14:textId="77777777" w:rsidR="00A91CF7" w:rsidRDefault="00000000">
      <w:pPr>
        <w:spacing w:line="36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0708E070"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La presente investigación y su derivación en el proyecto de extensión con el INSF, nos permite decir que el desafío de la democratización de la educación superior en la Argentina no termina con el buscar garantizar el acceso formal de los ciudadanos. La masificación del nivel superior convive con una realidad preocupante, que en la búsqueda de incluir también se excluye. Esto se refleja en el porcentaje de abandono de cerca del 40%, durante el primer año de ingreso a las carreras. Esta cifra nos interpela a pensar el ingreso universitario no sólo como un trámite administrativo, si no como un proceso que pone en juego lo subjetivo y lo institucional, que se podría llamar inicio a la vida universitaria.</w:t>
      </w:r>
    </w:p>
    <w:p w14:paraId="7A96DA10"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Una de las categorías de este trabajo ha sido el concepto de oficio del estudiante, que es la construcción vincular que debe lograr el ingresante en este inicio a la vida universitaria. A través de entrevistas a estudiantes avanzados de CP y LAE, hemos visto que parte de la permanencia exitosa de la universidad depende de la capacidad de los estudiantes para transitar las fases desde la alienación (o extrañamiento) hasta lograr la afiliación intelectual e institucional con el nivel superior. Las estrategias de aprendizaje identificadas en los estudiantes avanzados (aprendizaje significativo, planificación del proceso y el manejo y creación del material de estudio), no son habilidades innatas, sino </w:t>
      </w:r>
      <w:r>
        <w:rPr>
          <w:rFonts w:ascii="Times New Roman" w:eastAsia="Times New Roman" w:hAnsi="Times New Roman" w:cs="Times New Roman"/>
        </w:rPr>
        <w:lastRenderedPageBreak/>
        <w:t>saberes que se construyen en interacción con la cultura académica, minadas de aciertos y errores. Es por esto que la figura de estudiantes avanzados como tutores de los futuros ingresantes, guarda un gran potencial. Al ser los tutores, estudiantes que ya han consolidado su propio oficio, actúan como mediadores que pueden traducir códigos, normas y lenguajes que para los futuros ingresantes pueden ser poco evidentes y que les genere ansiedad. El intercambio horizontal podría permitir que los escolares del nivel medio no solo reciban apoyo técnico para la “Expo CONTAR”, si no que comiencen a imaginarse a sí mismos como universitarios, reduciendo el impacto del choque cultural entre niveles.</w:t>
      </w:r>
    </w:p>
    <w:p w14:paraId="08388C8E" w14:textId="77777777" w:rsidR="00A91CF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También este trabajo busca mostrar a la articulación como posible política de cuidado de las trayectorias de aprendizaje, en el pasaje de niveles. La experiencia con el INSF muestra que es posible y necesario construir puentes que vayan más allá de la difusión de la oferta académica superior. Al ubicar la intervención en un espacio de simulación, como lo es la “Expo CONTAR”, la universidad se inserta en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el territorio de la escuela secundaria para por un lado fortalecer contenidos académicos de la escuela, pero también trabajar sobre la dudas y ansiedades vocacionales de los estudiantes. Este tipo de articulación permite reconocer que la trayectoria de formación es un trayecto único para cada sujeto, influenciado tanto por su biografía personal y también por la capacidad de la institución para brindar condiciones de alojamiento. La universidad debe asumir el compromiso de enseñar explícitamente acerca de la vida universitaria (como el uso de SIU </w:t>
      </w:r>
      <w:proofErr w:type="gramStart"/>
      <w:r>
        <w:rPr>
          <w:rFonts w:ascii="Times New Roman" w:eastAsia="Times New Roman" w:hAnsi="Times New Roman" w:cs="Times New Roman"/>
        </w:rPr>
        <w:t>Guaraní</w:t>
      </w:r>
      <w:proofErr w:type="gramEnd"/>
      <w:r>
        <w:rPr>
          <w:rFonts w:ascii="Times New Roman" w:eastAsia="Times New Roman" w:hAnsi="Times New Roman" w:cs="Times New Roman"/>
        </w:rPr>
        <w:t xml:space="preserve">, plataforma Moodle, contención de los estudiantes) para que </w:t>
      </w:r>
      <w:proofErr w:type="gramStart"/>
      <w:r>
        <w:rPr>
          <w:rFonts w:ascii="Times New Roman" w:eastAsia="Times New Roman" w:hAnsi="Times New Roman" w:cs="Times New Roman"/>
        </w:rPr>
        <w:t>la falta de estos saberes no se conviertan</w:t>
      </w:r>
      <w:proofErr w:type="gramEnd"/>
      <w:r>
        <w:rPr>
          <w:rFonts w:ascii="Times New Roman" w:eastAsia="Times New Roman" w:hAnsi="Times New Roman" w:cs="Times New Roman"/>
        </w:rPr>
        <w:t xml:space="preserve"> en barreras a la permanencia en la educación superior.</w:t>
      </w:r>
    </w:p>
    <w:p w14:paraId="7C74D70F" w14:textId="77777777" w:rsidR="00A91CF7" w:rsidRDefault="00000000">
      <w:pPr>
        <w:spacing w:before="240" w:after="24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Para finalizar, además se puede decir que el contacto directo entre el nivel medio y el superior no beneficia solamente a los futuros ingresantes, si no que tiene la potencialidad de transformar también a la universidad. Lleva a docentes y no docentes a revisar sus propias prácticas, reconocer las situaciones en el aula de la escuela y pensar estrategias en las que se reconozca la diversidad del estudiantado que busca realizar una carrera. Es preciso que puedan pensarse las trayectorias educativas como continuidades, que no se inician en la universidad, si no que vienen acompañando el proyecto de vida de </w:t>
      </w:r>
      <w:r>
        <w:rPr>
          <w:rFonts w:ascii="Times New Roman" w:eastAsia="Times New Roman" w:hAnsi="Times New Roman" w:cs="Times New Roman"/>
        </w:rPr>
        <w:lastRenderedPageBreak/>
        <w:t>los estudiantes y sus familias. El desafío que busca plantear este trabajo es el de poner en marcha y a prueba espacios que generen puentes, acompañando las transiciones de niveles, para que cada estudiante construya un espacio universitario en el cual habitar y proyectarse, en comunidad.</w:t>
      </w:r>
    </w:p>
    <w:p w14:paraId="296B527C" w14:textId="77777777" w:rsidR="00A91CF7" w:rsidRDefault="00A91CF7">
      <w:pPr>
        <w:spacing w:line="360" w:lineRule="auto"/>
        <w:jc w:val="both"/>
        <w:rPr>
          <w:rFonts w:ascii="Times New Roman" w:eastAsia="Times New Roman" w:hAnsi="Times New Roman" w:cs="Times New Roman"/>
        </w:rPr>
      </w:pPr>
    </w:p>
    <w:p w14:paraId="15483897" w14:textId="77777777" w:rsidR="00A91CF7" w:rsidRDefault="00A91CF7">
      <w:pPr>
        <w:spacing w:line="360" w:lineRule="auto"/>
        <w:jc w:val="both"/>
        <w:rPr>
          <w:rFonts w:ascii="Times New Roman" w:eastAsia="Times New Roman" w:hAnsi="Times New Roman" w:cs="Times New Roman"/>
        </w:rPr>
      </w:pPr>
    </w:p>
    <w:p w14:paraId="0EAFAEA8" w14:textId="77777777" w:rsidR="00A91CF7" w:rsidRDefault="00000000">
      <w:pPr>
        <w:spacing w:line="360" w:lineRule="auto"/>
        <w:rPr>
          <w:rFonts w:ascii="Times New Roman" w:eastAsia="Times New Roman" w:hAnsi="Times New Roman" w:cs="Times New Roman"/>
          <w:b/>
          <w:bCs/>
        </w:rPr>
      </w:pPr>
      <w:r>
        <w:rPr>
          <w:rFonts w:ascii="Times New Roman" w:eastAsia="Times New Roman" w:hAnsi="Times New Roman" w:cs="Times New Roman"/>
          <w:b/>
          <w:bCs/>
        </w:rPr>
        <w:t>Referencias Bibliográficas (APA 7)</w:t>
      </w:r>
    </w:p>
    <w:p w14:paraId="04CC268C" w14:textId="77777777" w:rsidR="00A91CF7" w:rsidRDefault="00000000">
      <w:pPr>
        <w:shd w:val="clear" w:color="auto" w:fill="FFFFFF"/>
        <w:spacing w:before="240" w:after="240" w:line="240" w:lineRule="auto"/>
        <w:ind w:left="708" w:hanging="708"/>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Ausubel, D. P. (2002). </w:t>
      </w:r>
      <w:r>
        <w:rPr>
          <w:rFonts w:ascii="Times New Roman" w:eastAsia="Times New Roman" w:hAnsi="Times New Roman" w:cs="Times New Roman"/>
          <w:i/>
          <w:iCs/>
          <w:color w:val="222222"/>
          <w:highlight w:val="white"/>
        </w:rPr>
        <w:t>Adquisición y retención del conocimiento: Una perspectiva cognitiva</w:t>
      </w:r>
      <w:r>
        <w:rPr>
          <w:rFonts w:ascii="Times New Roman" w:eastAsia="Times New Roman" w:hAnsi="Times New Roman" w:cs="Times New Roman"/>
          <w:color w:val="222222"/>
          <w:highlight w:val="white"/>
        </w:rPr>
        <w:t>. Barcelona: Paidós.</w:t>
      </w:r>
    </w:p>
    <w:p w14:paraId="26EF6F39" w14:textId="77777777" w:rsidR="00A91CF7" w:rsidRDefault="00000000">
      <w:pPr>
        <w:shd w:val="clear" w:color="auto" w:fill="FFFFFF"/>
        <w:spacing w:after="240" w:line="240" w:lineRule="auto"/>
        <w:ind w:left="708" w:hanging="708"/>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Carlino, P. (2003). Alfabetización académica: un cambio necesario, algunas alternativas posibles. </w:t>
      </w:r>
      <w:r>
        <w:rPr>
          <w:rFonts w:ascii="Times New Roman" w:eastAsia="Times New Roman" w:hAnsi="Times New Roman" w:cs="Times New Roman"/>
          <w:i/>
          <w:iCs/>
          <w:color w:val="222222"/>
          <w:highlight w:val="white"/>
        </w:rPr>
        <w:t>Educere</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iCs/>
          <w:color w:val="222222"/>
          <w:highlight w:val="white"/>
        </w:rPr>
        <w:t>6</w:t>
      </w:r>
      <w:r>
        <w:rPr>
          <w:rFonts w:ascii="Times New Roman" w:eastAsia="Times New Roman" w:hAnsi="Times New Roman" w:cs="Times New Roman"/>
          <w:color w:val="222222"/>
          <w:highlight w:val="white"/>
        </w:rPr>
        <w:t>(20), 409-420.</w:t>
      </w:r>
      <w:hyperlink r:id="rId9">
        <w:r>
          <w:rPr>
            <w:rFonts w:ascii="Times New Roman" w:eastAsia="Times New Roman" w:hAnsi="Times New Roman" w:cs="Times New Roman"/>
            <w:color w:val="222222"/>
            <w:highlight w:val="white"/>
          </w:rPr>
          <w:t xml:space="preserve"> </w:t>
        </w:r>
      </w:hyperlink>
      <w:hyperlink r:id="rId10">
        <w:r>
          <w:rPr>
            <w:rFonts w:ascii="Times New Roman" w:eastAsia="Times New Roman" w:hAnsi="Times New Roman" w:cs="Times New Roman"/>
            <w:color w:val="1155CC"/>
            <w:highlight w:val="white"/>
            <w:u w:val="single"/>
          </w:rPr>
          <w:t>http://www.redalyc.org/pdf/356/35662008.pdf</w:t>
        </w:r>
      </w:hyperlink>
      <w:r>
        <w:rPr>
          <w:rFonts w:ascii="Times New Roman" w:eastAsia="Times New Roman" w:hAnsi="Times New Roman" w:cs="Times New Roman"/>
          <w:color w:val="222222"/>
          <w:highlight w:val="white"/>
        </w:rPr>
        <w:t xml:space="preserve"> </w:t>
      </w:r>
    </w:p>
    <w:p w14:paraId="4A8AB78C" w14:textId="77777777" w:rsidR="00A91CF7" w:rsidRDefault="00000000">
      <w:pPr>
        <w:shd w:val="clear" w:color="auto" w:fill="FFFFFF"/>
        <w:spacing w:after="240" w:line="240" w:lineRule="auto"/>
        <w:ind w:left="708" w:hanging="708"/>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Coulon, A. (1995). Etnometodología y educación. Buenos Aires: Paidós. </w:t>
      </w:r>
    </w:p>
    <w:p w14:paraId="46B04788" w14:textId="77777777" w:rsidR="00A91CF7" w:rsidRDefault="00000000">
      <w:pPr>
        <w:shd w:val="clear" w:color="auto" w:fill="FFFFFF"/>
        <w:spacing w:after="240" w:line="240" w:lineRule="auto"/>
        <w:ind w:left="708" w:hanging="708"/>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Coulon, A. (2005). Le </w:t>
      </w:r>
      <w:proofErr w:type="spellStart"/>
      <w:r>
        <w:rPr>
          <w:rFonts w:ascii="Times New Roman" w:eastAsia="Times New Roman" w:hAnsi="Times New Roman" w:cs="Times New Roman"/>
          <w:color w:val="222222"/>
          <w:highlight w:val="white"/>
        </w:rPr>
        <w:t>Métier</w:t>
      </w:r>
      <w:proofErr w:type="spell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d'Étudiant</w:t>
      </w:r>
      <w:proofErr w:type="spell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L'entrée</w:t>
      </w:r>
      <w:proofErr w:type="spell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dans</w:t>
      </w:r>
      <w:proofErr w:type="spellEnd"/>
      <w:r>
        <w:rPr>
          <w:rFonts w:ascii="Times New Roman" w:eastAsia="Times New Roman" w:hAnsi="Times New Roman" w:cs="Times New Roman"/>
          <w:color w:val="222222"/>
          <w:highlight w:val="white"/>
        </w:rPr>
        <w:t xml:space="preserve"> </w:t>
      </w:r>
      <w:proofErr w:type="gramStart"/>
      <w:r>
        <w:rPr>
          <w:rFonts w:ascii="Times New Roman" w:eastAsia="Times New Roman" w:hAnsi="Times New Roman" w:cs="Times New Roman"/>
          <w:color w:val="222222"/>
          <w:highlight w:val="white"/>
        </w:rPr>
        <w:t>la vie</w:t>
      </w:r>
      <w:proofErr w:type="gram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universitaire</w:t>
      </w:r>
      <w:proofErr w:type="spellEnd"/>
      <w:r>
        <w:rPr>
          <w:rFonts w:ascii="Times New Roman" w:eastAsia="Times New Roman" w:hAnsi="Times New Roman" w:cs="Times New Roman"/>
          <w:color w:val="222222"/>
          <w:highlight w:val="white"/>
        </w:rPr>
        <w:t xml:space="preserve">. Paris: </w:t>
      </w:r>
      <w:proofErr w:type="spellStart"/>
      <w:r>
        <w:rPr>
          <w:rFonts w:ascii="Times New Roman" w:eastAsia="Times New Roman" w:hAnsi="Times New Roman" w:cs="Times New Roman"/>
          <w:color w:val="222222"/>
          <w:highlight w:val="white"/>
        </w:rPr>
        <w:t>Economica</w:t>
      </w:r>
      <w:proofErr w:type="spellEnd"/>
      <w:r>
        <w:rPr>
          <w:rFonts w:ascii="Times New Roman" w:eastAsia="Times New Roman" w:hAnsi="Times New Roman" w:cs="Times New Roman"/>
          <w:color w:val="222222"/>
          <w:highlight w:val="white"/>
        </w:rPr>
        <w:t xml:space="preserve">. </w:t>
      </w:r>
    </w:p>
    <w:p w14:paraId="73B505CB" w14:textId="77777777" w:rsidR="00A91CF7" w:rsidRDefault="00000000">
      <w:pPr>
        <w:shd w:val="clear" w:color="auto" w:fill="FFFFFF"/>
        <w:spacing w:after="240" w:line="240" w:lineRule="auto"/>
        <w:ind w:left="708" w:hanging="708"/>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Coulon, A. (2017). </w:t>
      </w:r>
      <w:r>
        <w:rPr>
          <w:rFonts w:ascii="Times New Roman" w:eastAsia="Times New Roman" w:hAnsi="Times New Roman" w:cs="Times New Roman"/>
          <w:i/>
          <w:iCs/>
          <w:color w:val="222222"/>
          <w:highlight w:val="white"/>
        </w:rPr>
        <w:t xml:space="preserve">O </w:t>
      </w:r>
      <w:proofErr w:type="spellStart"/>
      <w:r>
        <w:rPr>
          <w:rFonts w:ascii="Times New Roman" w:eastAsia="Times New Roman" w:hAnsi="Times New Roman" w:cs="Times New Roman"/>
          <w:i/>
          <w:iCs/>
          <w:color w:val="222222"/>
          <w:highlight w:val="white"/>
        </w:rPr>
        <w:t>ofício</w:t>
      </w:r>
      <w:proofErr w:type="spellEnd"/>
      <w:r>
        <w:rPr>
          <w:rFonts w:ascii="Times New Roman" w:eastAsia="Times New Roman" w:hAnsi="Times New Roman" w:cs="Times New Roman"/>
          <w:i/>
          <w:iCs/>
          <w:color w:val="222222"/>
          <w:highlight w:val="white"/>
        </w:rPr>
        <w:t xml:space="preserve"> de </w:t>
      </w:r>
      <w:proofErr w:type="spellStart"/>
      <w:r>
        <w:rPr>
          <w:rFonts w:ascii="Times New Roman" w:eastAsia="Times New Roman" w:hAnsi="Times New Roman" w:cs="Times New Roman"/>
          <w:i/>
          <w:iCs/>
          <w:color w:val="222222"/>
          <w:highlight w:val="white"/>
        </w:rPr>
        <w:t>estudante</w:t>
      </w:r>
      <w:proofErr w:type="spellEnd"/>
      <w:r>
        <w:rPr>
          <w:rFonts w:ascii="Times New Roman" w:eastAsia="Times New Roman" w:hAnsi="Times New Roman" w:cs="Times New Roman"/>
          <w:i/>
          <w:iCs/>
          <w:color w:val="222222"/>
          <w:highlight w:val="white"/>
        </w:rPr>
        <w:t xml:space="preserve">: A entrada </w:t>
      </w:r>
      <w:proofErr w:type="spellStart"/>
      <w:r>
        <w:rPr>
          <w:rFonts w:ascii="Times New Roman" w:eastAsia="Times New Roman" w:hAnsi="Times New Roman" w:cs="Times New Roman"/>
          <w:i/>
          <w:iCs/>
          <w:color w:val="222222"/>
          <w:highlight w:val="white"/>
        </w:rPr>
        <w:t>na</w:t>
      </w:r>
      <w:proofErr w:type="spellEnd"/>
      <w:r>
        <w:rPr>
          <w:rFonts w:ascii="Times New Roman" w:eastAsia="Times New Roman" w:hAnsi="Times New Roman" w:cs="Times New Roman"/>
          <w:i/>
          <w:iCs/>
          <w:color w:val="222222"/>
          <w:highlight w:val="white"/>
        </w:rPr>
        <w:t xml:space="preserve"> vida </w:t>
      </w:r>
      <w:proofErr w:type="spellStart"/>
      <w:r>
        <w:rPr>
          <w:rFonts w:ascii="Times New Roman" w:eastAsia="Times New Roman" w:hAnsi="Times New Roman" w:cs="Times New Roman"/>
          <w:i/>
          <w:iCs/>
          <w:color w:val="222222"/>
          <w:highlight w:val="white"/>
        </w:rPr>
        <w:t>universitária</w:t>
      </w:r>
      <w:proofErr w:type="spellEnd"/>
      <w:r>
        <w:rPr>
          <w:rFonts w:ascii="Times New Roman" w:eastAsia="Times New Roman" w:hAnsi="Times New Roman" w:cs="Times New Roman"/>
          <w:color w:val="222222"/>
          <w:highlight w:val="white"/>
        </w:rPr>
        <w:t xml:space="preserve">. </w:t>
      </w:r>
      <w:proofErr w:type="spellStart"/>
      <w:r>
        <w:rPr>
          <w:rFonts w:ascii="Times New Roman" w:eastAsia="Times New Roman" w:hAnsi="Times New Roman" w:cs="Times New Roman"/>
          <w:color w:val="222222"/>
          <w:highlight w:val="white"/>
        </w:rPr>
        <w:t>Educação</w:t>
      </w:r>
      <w:proofErr w:type="spellEnd"/>
      <w:r>
        <w:rPr>
          <w:rFonts w:ascii="Times New Roman" w:eastAsia="Times New Roman" w:hAnsi="Times New Roman" w:cs="Times New Roman"/>
          <w:color w:val="222222"/>
          <w:highlight w:val="white"/>
        </w:rPr>
        <w:t xml:space="preserve"> e Pesquisa, 43(4), 1239–1250.</w:t>
      </w:r>
      <w:r>
        <w:rPr>
          <w:rFonts w:ascii="Times New Roman" w:eastAsia="Times New Roman" w:hAnsi="Times New Roman" w:cs="Times New Roman"/>
          <w:color w:val="1155CC"/>
          <w:highlight w:val="white"/>
        </w:rPr>
        <w:t xml:space="preserve"> </w:t>
      </w:r>
      <w:hyperlink r:id="rId11">
        <w:r>
          <w:rPr>
            <w:rFonts w:ascii="Times New Roman" w:eastAsia="Times New Roman" w:hAnsi="Times New Roman" w:cs="Times New Roman"/>
            <w:color w:val="1155CC"/>
            <w:highlight w:val="white"/>
            <w:u w:val="single"/>
          </w:rPr>
          <w:t>https://www.scielo.br/j/ep/a/Y8zKhQs4W7NYgbCtzYRP4Tb/abstract/?lang=pt</w:t>
        </w:r>
      </w:hyperlink>
      <w:r>
        <w:rPr>
          <w:rFonts w:ascii="Times New Roman" w:eastAsia="Times New Roman" w:hAnsi="Times New Roman" w:cs="Times New Roman"/>
          <w:color w:val="222222"/>
          <w:highlight w:val="white"/>
        </w:rPr>
        <w:t xml:space="preserve"> </w:t>
      </w:r>
    </w:p>
    <w:p w14:paraId="02AC3157" w14:textId="77777777" w:rsidR="00A91CF7" w:rsidRDefault="00000000">
      <w:pPr>
        <w:shd w:val="clear" w:color="auto" w:fill="FFFFFF"/>
        <w:spacing w:after="240" w:line="240" w:lineRule="auto"/>
        <w:ind w:left="708" w:hanging="708"/>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Enrico, R. C. (2019). La construcción del oficio de estudiante universitario en ingresantes a la Facultad de Ciencias Químicas en dos universidades de Córdoba. </w:t>
      </w:r>
      <w:r>
        <w:rPr>
          <w:rFonts w:ascii="Times New Roman" w:eastAsia="Times New Roman" w:hAnsi="Times New Roman" w:cs="Times New Roman"/>
          <w:i/>
          <w:iCs/>
          <w:color w:val="222222"/>
          <w:highlight w:val="white"/>
        </w:rPr>
        <w:t>Diálogos Pedagógicos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iCs/>
          <w:color w:val="222222"/>
          <w:highlight w:val="white"/>
        </w:rPr>
        <w:t>17</w:t>
      </w:r>
      <w:r>
        <w:rPr>
          <w:rFonts w:ascii="Times New Roman" w:eastAsia="Times New Roman" w:hAnsi="Times New Roman" w:cs="Times New Roman"/>
          <w:color w:val="222222"/>
          <w:highlight w:val="white"/>
        </w:rPr>
        <w:t>(34), 18-36.</w:t>
      </w:r>
    </w:p>
    <w:p w14:paraId="22ED7BFF" w14:textId="77777777" w:rsidR="00A91CF7" w:rsidRDefault="00000000">
      <w:pPr>
        <w:spacing w:line="240" w:lineRule="auto"/>
        <w:ind w:left="708" w:hanging="708"/>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Ezcurra, A. M. (2019). Educación superior: una masificación que incluye y desiguala. En A. M. Ezcurra (Coord.), </w:t>
      </w:r>
      <w:r>
        <w:rPr>
          <w:rFonts w:ascii="Times New Roman" w:eastAsia="Times New Roman" w:hAnsi="Times New Roman" w:cs="Times New Roman"/>
          <w:i/>
          <w:iCs/>
          <w:highlight w:val="white"/>
        </w:rPr>
        <w:t>Derecho a la educación. Expansión y desigualdad: tendencias y políticas en Argentina y América Latina</w:t>
      </w:r>
      <w:r>
        <w:rPr>
          <w:rFonts w:ascii="Times New Roman" w:eastAsia="Times New Roman" w:hAnsi="Times New Roman" w:cs="Times New Roman"/>
          <w:highlight w:val="white"/>
        </w:rPr>
        <w:t xml:space="preserve"> (pp. 21-51). Universidad Nacional de Tres de Febrero.</w:t>
      </w:r>
      <w:hyperlink r:id="rId12">
        <w:r>
          <w:rPr>
            <w:rFonts w:ascii="Times New Roman" w:eastAsia="Times New Roman" w:hAnsi="Times New Roman" w:cs="Times New Roman"/>
            <w:highlight w:val="white"/>
          </w:rPr>
          <w:t xml:space="preserve"> </w:t>
        </w:r>
      </w:hyperlink>
      <w:hyperlink r:id="rId13">
        <w:r>
          <w:rPr>
            <w:rFonts w:ascii="Times New Roman" w:eastAsia="Times New Roman" w:hAnsi="Times New Roman" w:cs="Times New Roman"/>
            <w:color w:val="1155CC"/>
            <w:highlight w:val="white"/>
            <w:u w:val="single"/>
          </w:rPr>
          <w:t>https://www.researchgate.net/profile/Jorge-Gorostiaga-2/publication/336009175</w:t>
        </w:r>
      </w:hyperlink>
      <w:r>
        <w:rPr>
          <w:rFonts w:ascii="Times New Roman" w:eastAsia="Times New Roman" w:hAnsi="Times New Roman" w:cs="Times New Roman"/>
          <w:highlight w:val="white"/>
        </w:rPr>
        <w:t xml:space="preserve"> </w:t>
      </w:r>
    </w:p>
    <w:p w14:paraId="0BBAB19F" w14:textId="77777777" w:rsidR="00A91CF7" w:rsidRDefault="00000000">
      <w:pPr>
        <w:spacing w:before="240" w:after="240" w:line="240" w:lineRule="auto"/>
        <w:ind w:left="708" w:hanging="708"/>
        <w:jc w:val="both"/>
        <w:rPr>
          <w:rFonts w:ascii="Times New Roman" w:eastAsia="Times New Roman" w:hAnsi="Times New Roman" w:cs="Times New Roman"/>
        </w:rPr>
      </w:pPr>
      <w:proofErr w:type="spellStart"/>
      <w:r>
        <w:rPr>
          <w:rFonts w:ascii="Times New Roman" w:eastAsia="Times New Roman" w:hAnsi="Times New Roman" w:cs="Times New Roman"/>
        </w:rPr>
        <w:t>Mathot</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Rebolé</w:t>
      </w:r>
      <w:proofErr w:type="spellEnd"/>
      <w:r>
        <w:rPr>
          <w:rFonts w:ascii="Times New Roman" w:eastAsia="Times New Roman" w:hAnsi="Times New Roman" w:cs="Times New Roman"/>
        </w:rPr>
        <w:t xml:space="preserve">, M. y Araujo, A. (2026). Estrategias de aprendizaje y dificultades de los estudiantes del ciclo profesional, durante sus trayectorias académicas en la FCE. Aceptado para publicación en junio 2026 en la revista </w:t>
      </w:r>
      <w:r>
        <w:rPr>
          <w:rFonts w:ascii="Times New Roman" w:eastAsia="Times New Roman" w:hAnsi="Times New Roman" w:cs="Times New Roman"/>
          <w:i/>
          <w:iCs/>
          <w:highlight w:val="white"/>
        </w:rPr>
        <w:t xml:space="preserve">del prudente Saber y el máximo posible de Sabor </w:t>
      </w:r>
      <w:r>
        <w:rPr>
          <w:rFonts w:ascii="Times New Roman" w:eastAsia="Times New Roman" w:hAnsi="Times New Roman" w:cs="Times New Roman"/>
        </w:rPr>
        <w:t>(DPS) de la Universidad Nacional de Entre Ríos.</w:t>
      </w:r>
    </w:p>
    <w:p w14:paraId="143CCBEC" w14:textId="77777777" w:rsidR="00A91CF7" w:rsidRDefault="00000000">
      <w:pPr>
        <w:shd w:val="clear" w:color="auto" w:fill="FFFFFF"/>
        <w:spacing w:after="240" w:line="240" w:lineRule="auto"/>
        <w:ind w:left="708" w:hanging="708"/>
        <w:jc w:val="both"/>
        <w:rPr>
          <w:rFonts w:ascii="Times New Roman" w:eastAsia="Times New Roman" w:hAnsi="Times New Roman" w:cs="Times New Roman"/>
          <w:color w:val="0563C1"/>
          <w:highlight w:val="white"/>
          <w:u w:val="single"/>
        </w:rPr>
      </w:pPr>
      <w:r>
        <w:rPr>
          <w:rFonts w:ascii="Times New Roman" w:eastAsia="Times New Roman" w:hAnsi="Times New Roman" w:cs="Times New Roman"/>
          <w:color w:val="222222"/>
          <w:highlight w:val="white"/>
        </w:rPr>
        <w:t xml:space="preserve">SPU </w:t>
      </w:r>
      <w:proofErr w:type="gramStart"/>
      <w:r>
        <w:rPr>
          <w:rFonts w:ascii="Times New Roman" w:eastAsia="Times New Roman" w:hAnsi="Times New Roman" w:cs="Times New Roman"/>
          <w:color w:val="222222"/>
          <w:highlight w:val="white"/>
        </w:rPr>
        <w:t>Argentinos</w:t>
      </w:r>
      <w:proofErr w:type="gramEnd"/>
      <w:r>
        <w:rPr>
          <w:rFonts w:ascii="Times New Roman" w:eastAsia="Times New Roman" w:hAnsi="Times New Roman" w:cs="Times New Roman"/>
          <w:color w:val="222222"/>
          <w:highlight w:val="white"/>
        </w:rPr>
        <w:t xml:space="preserve"> por la Educación. (2021). </w:t>
      </w:r>
      <w:r>
        <w:rPr>
          <w:rFonts w:ascii="Times New Roman" w:eastAsia="Times New Roman" w:hAnsi="Times New Roman" w:cs="Times New Roman"/>
          <w:i/>
          <w:iCs/>
          <w:color w:val="222222"/>
          <w:highlight w:val="white"/>
        </w:rPr>
        <w:t>Retornos de la educación: ¿Vale la pena estudiar? Observatorio/Brief técnico. Argentinos por la Educación</w:t>
      </w:r>
      <w:r>
        <w:rPr>
          <w:rFonts w:ascii="Times New Roman" w:eastAsia="Times New Roman" w:hAnsi="Times New Roman" w:cs="Times New Roman"/>
          <w:color w:val="222222"/>
          <w:highlight w:val="white"/>
        </w:rPr>
        <w:t>.</w:t>
      </w:r>
      <w:hyperlink r:id="rId14">
        <w:r>
          <w:rPr>
            <w:rFonts w:ascii="Times New Roman" w:eastAsia="Times New Roman" w:hAnsi="Times New Roman" w:cs="Times New Roman"/>
            <w:color w:val="222222"/>
            <w:highlight w:val="white"/>
          </w:rPr>
          <w:t xml:space="preserve"> </w:t>
        </w:r>
      </w:hyperlink>
      <w:hyperlink r:id="rId15">
        <w:r>
          <w:rPr>
            <w:rFonts w:ascii="Times New Roman" w:eastAsia="Times New Roman" w:hAnsi="Times New Roman" w:cs="Times New Roman"/>
            <w:color w:val="0563C1"/>
            <w:highlight w:val="white"/>
            <w:u w:val="single"/>
          </w:rPr>
          <w:t>https://argentinosporlaeducacion.org/wp-content/uploads/2022/02/retornos-de-la-educacion-vale-la-pena-estudiar.pdf</w:t>
        </w:r>
      </w:hyperlink>
      <w:hyperlink r:id="rId16">
        <w:r>
          <w:rPr>
            <w:rFonts w:ascii="Times New Roman" w:eastAsia="Times New Roman" w:hAnsi="Times New Roman" w:cs="Times New Roman"/>
            <w:color w:val="222222"/>
            <w:highlight w:val="white"/>
          </w:rPr>
          <w:t xml:space="preserve"> </w:t>
        </w:r>
      </w:hyperlink>
      <w:hyperlink r:id="rId17">
        <w:r>
          <w:rPr>
            <w:rFonts w:ascii="Times New Roman" w:eastAsia="Times New Roman" w:hAnsi="Times New Roman" w:cs="Times New Roman"/>
            <w:color w:val="0563C1"/>
            <w:highlight w:val="white"/>
            <w:u w:val="single"/>
          </w:rPr>
          <w:t>Argentinos por la Educación</w:t>
        </w:r>
      </w:hyperlink>
    </w:p>
    <w:p w14:paraId="7B67E82F" w14:textId="77777777" w:rsidR="00A91CF7" w:rsidRDefault="00000000">
      <w:pPr>
        <w:shd w:val="clear" w:color="auto" w:fill="FFFFFF"/>
        <w:spacing w:before="240" w:after="240" w:line="240" w:lineRule="auto"/>
        <w:ind w:left="708" w:hanging="708"/>
        <w:jc w:val="both"/>
        <w:rPr>
          <w:rFonts w:ascii="Times New Roman" w:eastAsia="Times New Roman" w:hAnsi="Times New Roman" w:cs="Times New Roman"/>
        </w:rPr>
      </w:pPr>
      <w:r>
        <w:rPr>
          <w:rFonts w:ascii="Times New Roman" w:eastAsia="Times New Roman" w:hAnsi="Times New Roman" w:cs="Times New Roman"/>
        </w:rPr>
        <w:t xml:space="preserve">Terigi, F. (2007, 28-30 de mayo). </w:t>
      </w:r>
      <w:r>
        <w:rPr>
          <w:rFonts w:ascii="Times New Roman" w:eastAsia="Times New Roman" w:hAnsi="Times New Roman" w:cs="Times New Roman"/>
          <w:i/>
          <w:iCs/>
        </w:rPr>
        <w:t>Los desafíos que plantean las trayectorias escolares</w:t>
      </w:r>
      <w:r>
        <w:rPr>
          <w:rFonts w:ascii="Times New Roman" w:eastAsia="Times New Roman" w:hAnsi="Times New Roman" w:cs="Times New Roman"/>
        </w:rPr>
        <w:t xml:space="preserve"> [Ponencia]. III Foro Latinoamericano de Educación: Jóvenes y docentes. La escuela secundaria en el mundo de hoy, Buenos Aires, Argentina.</w:t>
      </w:r>
      <w:hyperlink r:id="rId18">
        <w:r>
          <w:rPr>
            <w:rFonts w:ascii="Times New Roman" w:eastAsia="Times New Roman" w:hAnsi="Times New Roman" w:cs="Times New Roman"/>
          </w:rPr>
          <w:t xml:space="preserve"> </w:t>
        </w:r>
      </w:hyperlink>
      <w:hyperlink r:id="rId19">
        <w:r>
          <w:rPr>
            <w:rFonts w:ascii="Times New Roman" w:eastAsia="Times New Roman" w:hAnsi="Times New Roman" w:cs="Times New Roman"/>
            <w:color w:val="1155CC"/>
            <w:u w:val="single"/>
          </w:rPr>
          <w:t>https://periferiaactiva.wordpress.com/wp-content/uploads/2018/03/teriggi-los-desafios-que-plantean-las-trayectorias-escolares.pdf</w:t>
        </w:r>
      </w:hyperlink>
      <w:r>
        <w:rPr>
          <w:rFonts w:ascii="Times New Roman" w:eastAsia="Times New Roman" w:hAnsi="Times New Roman" w:cs="Times New Roman"/>
        </w:rPr>
        <w:t xml:space="preserve"> </w:t>
      </w:r>
    </w:p>
    <w:p w14:paraId="5C434FE7" w14:textId="77777777" w:rsidR="00A91CF7" w:rsidRDefault="00000000">
      <w:pPr>
        <w:spacing w:before="240" w:after="240" w:line="240" w:lineRule="auto"/>
        <w:ind w:left="708" w:hanging="708"/>
        <w:jc w:val="both"/>
        <w:rPr>
          <w:rFonts w:ascii="Times New Roman" w:eastAsia="Times New Roman" w:hAnsi="Times New Roman" w:cs="Times New Roman"/>
        </w:rPr>
      </w:pPr>
      <w:r>
        <w:rPr>
          <w:rFonts w:ascii="Times New Roman" w:eastAsia="Times New Roman" w:hAnsi="Times New Roman" w:cs="Times New Roman"/>
        </w:rPr>
        <w:t xml:space="preserve">Tinto, V. (1975). </w:t>
      </w:r>
      <w:proofErr w:type="spellStart"/>
      <w:r>
        <w:rPr>
          <w:rFonts w:ascii="Times New Roman" w:eastAsia="Times New Roman" w:hAnsi="Times New Roman" w:cs="Times New Roman"/>
        </w:rPr>
        <w:t>Dropout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from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higher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theoretical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synthesis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research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iCs/>
        </w:rPr>
        <w:t>Review</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of</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Educational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Research</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45</w:t>
      </w:r>
      <w:r>
        <w:rPr>
          <w:rFonts w:ascii="Times New Roman" w:eastAsia="Times New Roman" w:hAnsi="Times New Roman" w:cs="Times New Roman"/>
        </w:rPr>
        <w:t>(1), 89-125.</w:t>
      </w:r>
      <w:hyperlink r:id="rId20">
        <w:r>
          <w:rPr>
            <w:rFonts w:ascii="Times New Roman" w:eastAsia="Times New Roman" w:hAnsi="Times New Roman" w:cs="Times New Roman"/>
          </w:rPr>
          <w:t xml:space="preserve"> </w:t>
        </w:r>
      </w:hyperlink>
      <w:hyperlink r:id="rId21">
        <w:r>
          <w:rPr>
            <w:rFonts w:ascii="Times New Roman" w:eastAsia="Times New Roman" w:hAnsi="Times New Roman" w:cs="Times New Roman"/>
            <w:color w:val="1155CC"/>
            <w:u w:val="single"/>
          </w:rPr>
          <w:t>https://journals.sagepub.com/doi/10.3102/00346543045001089</w:t>
        </w:r>
      </w:hyperlink>
      <w:r>
        <w:rPr>
          <w:rFonts w:ascii="Times New Roman" w:eastAsia="Times New Roman" w:hAnsi="Times New Roman" w:cs="Times New Roman"/>
        </w:rPr>
        <w:t xml:space="preserve"> </w:t>
      </w:r>
    </w:p>
    <w:p w14:paraId="1D5D4270" w14:textId="77777777" w:rsidR="00A91CF7" w:rsidRDefault="00A91CF7">
      <w:pPr>
        <w:spacing w:line="360" w:lineRule="auto"/>
        <w:jc w:val="center"/>
        <w:rPr>
          <w:rFonts w:ascii="Times New Roman" w:eastAsia="Times New Roman" w:hAnsi="Times New Roman" w:cs="Times New Roman"/>
        </w:rPr>
      </w:pPr>
    </w:p>
    <w:sectPr w:rsidR="00A91CF7">
      <w:headerReference w:type="default" r:id="rId22"/>
      <w:footerReference w:type="default" r:id="rId23"/>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021E" w14:textId="77777777" w:rsidR="00870670" w:rsidRDefault="00870670">
      <w:pPr>
        <w:spacing w:after="0" w:line="240" w:lineRule="auto"/>
      </w:pPr>
      <w:r>
        <w:separator/>
      </w:r>
    </w:p>
  </w:endnote>
  <w:endnote w:type="continuationSeparator" w:id="0">
    <w:p w14:paraId="7585E767" w14:textId="77777777" w:rsidR="00870670" w:rsidRDefault="00870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0DE8A71-2FC8-4BD9-832E-A682392D2186}"/>
    <w:embedItalic r:id="rId2" w:fontKey="{CAEF89EE-42A2-4FD6-99A4-C353BDE70E2B}"/>
  </w:font>
  <w:font w:name="Cambria">
    <w:panose1 w:val="02040503050406030204"/>
    <w:charset w:val="00"/>
    <w:family w:val="roman"/>
    <w:pitch w:val="variable"/>
    <w:sig w:usb0="E00006FF" w:usb1="420024FF" w:usb2="02000000" w:usb3="00000000" w:csb0="0000019F" w:csb1="00000000"/>
    <w:embedRegular r:id="rId3" w:fontKey="{9DB3BA52-D2C9-41A5-AFE1-CEBA958B3D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2657" w14:textId="77777777" w:rsidR="00A91CF7"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290EE10F" wp14:editId="3ADCB89E">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373DCEAB" w14:textId="77777777" w:rsidR="00A91CF7" w:rsidRDefault="00A91CF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4588D" w14:textId="77777777" w:rsidR="00870670" w:rsidRDefault="00870670">
      <w:pPr>
        <w:spacing w:after="0" w:line="240" w:lineRule="auto"/>
      </w:pPr>
      <w:r>
        <w:separator/>
      </w:r>
    </w:p>
  </w:footnote>
  <w:footnote w:type="continuationSeparator" w:id="0">
    <w:p w14:paraId="62F28CE9" w14:textId="77777777" w:rsidR="00870670" w:rsidRDefault="00870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D87F" w14:textId="77777777" w:rsidR="00A91CF7"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3C3AF1E8" wp14:editId="3C5F24AD">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048CC"/>
    <w:multiLevelType w:val="multilevel"/>
    <w:tmpl w:val="A35A55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709916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CF7"/>
    <w:rsid w:val="003E4C50"/>
    <w:rsid w:val="00870670"/>
    <w:rsid w:val="008A49EB"/>
    <w:rsid w:val="00A91CF7"/>
    <w:rsid w:val="00BF77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7A246"/>
  <w15:docId w15:val="{1265179B-293D-4535-A368-F9BBDD90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viana.gonzalez@unam.edu.ar" TargetMode="External"/><Relationship Id="rId13" Type="http://schemas.openxmlformats.org/officeDocument/2006/relationships/hyperlink" Target="https://www.google.com/search?q=https://www.researchgate.net/profile/Jorge-Gorostiaga-2/publication/336009175" TargetMode="External"/><Relationship Id="rId18" Type="http://schemas.openxmlformats.org/officeDocument/2006/relationships/hyperlink" Target="https://periferiaactiva.wordpress.com/wp-content/uploads/2018/03/teriggi-los-desafios-que-plantean-las-trayectorias-escolares.pdf" TargetMode="External"/><Relationship Id="rId3" Type="http://schemas.openxmlformats.org/officeDocument/2006/relationships/styles" Target="styles.xml"/><Relationship Id="rId21" Type="http://schemas.openxmlformats.org/officeDocument/2006/relationships/hyperlink" Target="https://journals.sagepub.com/doi/10.3102/00346543045001089" TargetMode="External"/><Relationship Id="rId7" Type="http://schemas.openxmlformats.org/officeDocument/2006/relationships/endnotes" Target="endnotes.xml"/><Relationship Id="rId12" Type="http://schemas.openxmlformats.org/officeDocument/2006/relationships/hyperlink" Target="https://www.google.com/search?q=https://www.researchgate.net/profile/Jorge-Gorostiaga-2/publication/336009175" TargetMode="External"/><Relationship Id="rId17" Type="http://schemas.openxmlformats.org/officeDocument/2006/relationships/hyperlink" Target="https://argentinosporlaeducacion.org/wp-content/uploads/2022/02/retornos-de-la-educacion-vale-la-pena-estudiar.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rgentinosporlaeducacion.org/wp-content/uploads/2022/02/retornos-de-la-educacion-vale-la-pena-estudiar.pdf" TargetMode="External"/><Relationship Id="rId20" Type="http://schemas.openxmlformats.org/officeDocument/2006/relationships/hyperlink" Target="https://journals.sagepub.com/doi/10.3102/003465430450010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lo.br/j/ep/a/Y8zKhQs4W7NYgbCtzYRP4Tb/abstract/?lang=p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rgentinosporlaeducacion.org/wp-content/uploads/2022/02/retornos-de-la-educacion-vale-la-pena-estudiar.pdf?utm_source=chatgpt.com" TargetMode="External"/><Relationship Id="rId23" Type="http://schemas.openxmlformats.org/officeDocument/2006/relationships/footer" Target="footer1.xml"/><Relationship Id="rId10" Type="http://schemas.openxmlformats.org/officeDocument/2006/relationships/hyperlink" Target="https://www.google.com/search?q=http://www.redalyc.org/pdf/356/35662008.pdf" TargetMode="External"/><Relationship Id="rId19" Type="http://schemas.openxmlformats.org/officeDocument/2006/relationships/hyperlink" Target="https://periferiaactiva.wordpress.com/wp-content/uploads/2018/03/teriggi-los-desafios-que-plantean-las-trayectorias-escolares.pdf" TargetMode="External"/><Relationship Id="rId4" Type="http://schemas.openxmlformats.org/officeDocument/2006/relationships/settings" Target="settings.xml"/><Relationship Id="rId9" Type="http://schemas.openxmlformats.org/officeDocument/2006/relationships/hyperlink" Target="https://www.google.com/search?q=http://www.redalyc.org/pdf/356/35662008.pdf" TargetMode="External"/><Relationship Id="rId14" Type="http://schemas.openxmlformats.org/officeDocument/2006/relationships/hyperlink" Target="https://argentinosporlaeducacion.org/wp-content/uploads/2022/02/retornos-de-la-educacion-vale-la-pena-estudiar.pdf?utm_source=chatgpt.com"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3j5xDShdqWKqpOigw90KjqujYg==">CgMxLjAaHwoBMBIaChgICVIUChJ0YWJsZS53NDZ3eWJnMHkxOGc4AHIhMWhVZmk1aThDWjRtUzY2RDNUbTVjNUxYcjNQODM0U0Qt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5964</Words>
  <Characters>32805</Characters>
  <Application>Microsoft Office Word</Application>
  <DocSecurity>0</DocSecurity>
  <Lines>273</Lines>
  <Paragraphs>77</Paragraphs>
  <ScaleCrop>false</ScaleCrop>
  <Company/>
  <LinksUpToDate>false</LinksUpToDate>
  <CharactersWithSpaces>38692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Nina</cp:lastModifiedBy>
  <cp:revision>3</cp:revision>
  <dcterms:created xsi:type="dcterms:W3CDTF">2026-07-01T00:43:00Z</dcterms:created>
  <dcterms:modified xsi:type="dcterms:W3CDTF">2026-07-01T00:45:00Z</dcterms:modified>
</cp:coreProperties>
</file>