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Docencia universitaria y plataformas: qué permanece tras la virtualización intensiva</w:t>
      </w:r>
    </w:p>
    <w:p w:rsidR="00000000" w:rsidDel="00000000" w:rsidP="00000000" w:rsidRDefault="00000000" w:rsidRPr="00000000" w14:paraId="0000000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Zavala Saucedo, María Victoria</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del Este, Escuela de Posgrado</w:t>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hyperlink r:id="rId7">
        <w:r w:rsidDel="00000000" w:rsidR="00000000" w:rsidRPr="00000000">
          <w:rPr>
            <w:rFonts w:ascii="Times New Roman" w:cs="Times New Roman" w:eastAsia="Times New Roman" w:hAnsi="Times New Roman"/>
            <w:color w:val="0000ee"/>
            <w:u w:val="single"/>
            <w:rtl w:val="0"/>
          </w:rPr>
          <w:t xml:space="preserve">maria.zavala@posgradoune.edu.py</w:t>
        </w:r>
      </w:hyperlink>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Backes Dos Santos, Karen Natali</w:t>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del Este, Escuela de Posgrado</w:t>
      </w:r>
    </w:p>
    <w:p w:rsidR="00000000" w:rsidDel="00000000" w:rsidP="00000000" w:rsidRDefault="00000000" w:rsidRPr="00000000" w14:paraId="0000000A">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karen.backes@fpune.edu.py</w:t>
      </w:r>
    </w:p>
    <w:p w:rsidR="00000000" w:rsidDel="00000000" w:rsidP="00000000" w:rsidRDefault="00000000" w:rsidRPr="00000000" w14:paraId="0000000B">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tabs>
          <w:tab w:val="center" w:leader="none" w:pos="4252"/>
          <w:tab w:val="right" w:leader="none" w:pos="8504"/>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González Valdéz, Cristian Omar</w:t>
      </w:r>
    </w:p>
    <w:p w:rsidR="00000000" w:rsidDel="00000000" w:rsidP="00000000" w:rsidRDefault="00000000" w:rsidRPr="00000000" w14:paraId="0000000D">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del Este, Escuela de Posgrado</w:t>
      </w:r>
    </w:p>
    <w:p w:rsidR="00000000" w:rsidDel="00000000" w:rsidP="00000000" w:rsidRDefault="00000000" w:rsidRPr="00000000" w14:paraId="0000000E">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cristian_gonzalez@une.edu.py</w:t>
      </w:r>
    </w:p>
    <w:p w:rsidR="00000000" w:rsidDel="00000000" w:rsidP="00000000" w:rsidRDefault="00000000" w:rsidRPr="00000000" w14:paraId="0000000F">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Resumen: </w:t>
      </w:r>
      <w:r w:rsidDel="00000000" w:rsidR="00000000" w:rsidRPr="00000000">
        <w:rPr>
          <w:rFonts w:ascii="Times New Roman" w:cs="Times New Roman" w:eastAsia="Times New Roman" w:hAnsi="Times New Roman"/>
          <w:rtl w:val="0"/>
        </w:rPr>
        <w:t xml:space="preserve">La pandemia de COVID-19 produjo una transformación abrupta en las prácticas de enseñanza universitaria al trasladar gran parte de los procesos formativos hacia entornos virtuales y promover el uso intensivo de plataformas digitales como principal medio de interacción pedagógica. Este proceso implicó una reconfiguración de las dinámicas de comunicación académica, la organización de las actividades de aprendizaje y las formas de construcción del conocimiento en la educación superior. Durante este periodo, las plataformas virtuales se consolidaron como el espacio central para la mediación docente, la interacción entre estudiantes y el desarrollo de actividades académicas sincrónicas y asincrónicas. En el escenario post-pandémico, muchas instituciones han retomado la presencialidad como modalidad predominante, manteniendo el uso de plataformas digitales principalmente como herramientas complementarias de apoyo a la docencia. En Paraguay, este contexto se encuentra además regulado por la Resolución Consejo Nacional de Educación Superior N.º 09/2024, que establece pautas para la utilización de recursos digitales en la enseñanza presencial, configurando un escenario caracterizado por un uso regulado de las tecnologías digitales. Este cambio plantea interrogantes acerca de cómo se han transformado las prácticas pedagógicas universitarias y qué elementos desarrollados durante la virtualización intensiva continúan influyendo en los procesos de enseñanza y aprendizaje. En este marco, el presente trabajo tiene como objetivo analizar comparativamente las dimensiones pedagógicas del modelo </w:t>
      </w:r>
      <w:r w:rsidDel="00000000" w:rsidR="00000000" w:rsidRPr="00000000">
        <w:rPr>
          <w:rFonts w:ascii="Times New Roman" w:cs="Times New Roman" w:eastAsia="Times New Roman" w:hAnsi="Times New Roman"/>
          <w:i w:val="1"/>
          <w:iCs w:val="1"/>
          <w:rtl w:val="0"/>
        </w:rPr>
        <w:t xml:space="preserve">Community of Inquiry</w:t>
      </w:r>
      <w:r w:rsidDel="00000000" w:rsidR="00000000" w:rsidRPr="00000000">
        <w:rPr>
          <w:rFonts w:ascii="Times New Roman" w:cs="Times New Roman" w:eastAsia="Times New Roman" w:hAnsi="Times New Roman"/>
          <w:rtl w:val="0"/>
        </w:rPr>
        <w:t xml:space="preserve">, presencia docente, presencia social y presencia cognitiva,  en contextos de enseñanza universitaria caracterizados por distintos niveles de integración de plataformas virtuales: el uso intensivo durante el periodo pandémico (2020–2021) y el uso regulado o reducido en el periodo </w:t>
      </w:r>
      <w:r w:rsidDel="00000000" w:rsidR="00000000" w:rsidRPr="00000000">
        <w:rPr>
          <w:rFonts w:ascii="Times New Roman" w:cs="Times New Roman" w:eastAsia="Times New Roman" w:hAnsi="Times New Roman"/>
          <w:rtl w:val="0"/>
        </w:rPr>
        <w:t xml:space="preserve">pospandémico</w:t>
      </w:r>
      <w:r w:rsidDel="00000000" w:rsidR="00000000" w:rsidRPr="00000000">
        <w:rPr>
          <w:rFonts w:ascii="Times New Roman" w:cs="Times New Roman" w:eastAsia="Times New Roman" w:hAnsi="Times New Roman"/>
          <w:rtl w:val="0"/>
        </w:rPr>
        <w:t xml:space="preserve"> (2026). Metodológicamente, el estudio adopta un enfoque cuantitativo comparativo basado en la aplicación del cuestionario </w:t>
      </w:r>
      <w:r w:rsidDel="00000000" w:rsidR="00000000" w:rsidRPr="00000000">
        <w:rPr>
          <w:rFonts w:ascii="Times New Roman" w:cs="Times New Roman" w:eastAsia="Times New Roman" w:hAnsi="Times New Roman"/>
          <w:i w:val="1"/>
          <w:iCs w:val="1"/>
          <w:rtl w:val="0"/>
        </w:rPr>
        <w:t xml:space="preserve">Community of Inquiry</w:t>
      </w:r>
      <w:r w:rsidDel="00000000" w:rsidR="00000000" w:rsidRPr="00000000">
        <w:rPr>
          <w:rFonts w:ascii="Times New Roman" w:cs="Times New Roman" w:eastAsia="Times New Roman" w:hAnsi="Times New Roman"/>
          <w:rtl w:val="0"/>
        </w:rPr>
        <w:t xml:space="preserve"> en su versión validada en español, complementado con ítems que registran la modalidad y la frecuencia actual de uso de herramientas digitales. La investigación se desarrolla con estudiantes de una facultad de la Universidad Nacional del Este (Ciudad del Este, Paraguay), comparando datos recolectados durante la virtualización intensiva con una nueva medición realizada en el contexto post-pandémico. Los resultados evidenciaron diferencias entre periodos: la presencia social se redujo en el escenario pospandemia, especialmente en indicadores de interacción y sentido de comunidad; la presencia docente mostró mayor estabilidad, asociada a la organización del curso, claridad de consignas y retroalimentación; mientras que la presencia cognitiva presentó variaciones moderadas, vinculadas a mayor autonomía en prácticas de estudio y exploración de recursos digitales. Asimismo, se identificaron diferencias entre carreras y niveles de uso que permiten discutir desigualdades en la participación en experiencias formativas mediadas por tecnología. En términos didácticos, los hallazgos muestran que algunas prácticas desarrolladas durante la virtualización intensiva, como el acceso permanente a materiales digitales, la organización del curso en plataformas y la comunicación asincrónica, continúan siendo valoradas como apoyos para el aprendizaje en contextos presenciales. En conjunto, el estudio aporta evidencia situada para reflexionar sobre qué componentes de la virtualidad conviene sostener con sentido pedagógico en la pospandemia y ofrece orientaciones para el desarrollo de modelos híbridos sostenibles en educación superior.</w:t>
      </w:r>
    </w:p>
    <w:p w:rsidR="00000000" w:rsidDel="00000000" w:rsidP="00000000" w:rsidRDefault="00000000" w:rsidRPr="00000000" w14:paraId="00000011">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Tecnología educacional, Enseñanza superior, Aprendizaje en línea. </w:t>
      </w:r>
      <w:r w:rsidDel="00000000" w:rsidR="00000000" w:rsidRPr="00000000">
        <w:rPr>
          <w:rtl w:val="0"/>
        </w:rPr>
      </w:r>
    </w:p>
    <w:p w:rsidR="00000000" w:rsidDel="00000000" w:rsidP="00000000" w:rsidRDefault="00000000" w:rsidRPr="00000000" w14:paraId="00000012">
      <w:pPr>
        <w:spacing w:line="240" w:lineRule="auto"/>
        <w:rPr>
          <w:rFonts w:ascii="Times New Roman" w:cs="Times New Roman" w:eastAsia="Times New Roman" w:hAnsi="Times New Roman"/>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13">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p>
    <w:p w:rsidR="00000000" w:rsidDel="00000000" w:rsidP="00000000" w:rsidRDefault="00000000" w:rsidRPr="00000000" w14:paraId="00000014">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pandemia de COVID-19 representó un punto de quiebre sin precedentes para el funcionamiento de los sistemas de educación superior a escala global. De acuerdo con UNESCO-IESALC (2020, citado en Acuña Ortigoza y Sánchez Acuña, 2020), hacia marzo de 2020 un total de 166 países habían dispuesto el cierre de sus sistemas educativos, lo que afectó al 87% de la población estudiantil mundial (cerca de 1.520 millones de estudiantes) y dejó sin actividad presencial a aproximadamente 63 millones de docentes. Estimaciones posteriores de la propia UNESCO, difundidas a través de la iniciativa Impacto Académico de las Naciones Unidas, confirman la magnitud de este fenómeno al situar en más de 1.500 millones los estudiantes afectados en 165 países (Naciones Unidas, s.f.). </w:t>
      </w:r>
    </w:p>
    <w:p w:rsidR="00000000" w:rsidDel="00000000" w:rsidP="00000000" w:rsidRDefault="00000000" w:rsidRPr="00000000" w14:paraId="00000015">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paralización obligó a las universidades a trasladar de manera abrupta sus procesos formativos hacia entornos virtuales, sin que mediara una planificación pedagógica previa ni una preparación técnica adecuada del profesorado, configurando lo que distintos autores han caracterizado como una transición de emergencia más que una verdadera transformación digital de la docencia.</w:t>
      </w:r>
    </w:p>
    <w:p w:rsidR="00000000" w:rsidDel="00000000" w:rsidP="00000000" w:rsidRDefault="00000000" w:rsidRPr="00000000" w14:paraId="0000001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ese contexto, las plataformas virtuales se consolidaron rápidamente como el espacio central de la mediación pedagógica universitaria. La comunicación entre docentes y estudiantes, la organización de las actividades de aprendizaje y la construcción colaborativa del conocimiento pasaron a depender casi exclusivamente de entornos digitales, que debieron sostener simultáneamente las dinámicas sincrónicas y asincrónicas que antes se distribuían entre el aula física y sus complementos tecnológicos. Como señala Díaz (2020), la emergencia sanitaria desestabilizó la forma más clásica de mediación pedagógica en el nivel superior (la explicación del docente en vivo, simultánea y en espacios físicos cerrados), evidenciando que los modos tradicionales de comunicación del conocimiento solo eran compatibles con un sistema de realidad analógico y tangible. Esta intensificación del uso de plataformas no solo modificó la infraestructura material de la enseñanza, sino que </w:t>
      </w:r>
      <w:r w:rsidDel="00000000" w:rsidR="00000000" w:rsidRPr="00000000">
        <w:rPr>
          <w:rFonts w:ascii="Times New Roman" w:cs="Times New Roman" w:eastAsia="Times New Roman" w:hAnsi="Times New Roman"/>
          <w:rtl w:val="0"/>
        </w:rPr>
        <w:t xml:space="preserve">reconfiguró</w:t>
      </w:r>
      <w:r w:rsidDel="00000000" w:rsidR="00000000" w:rsidRPr="00000000">
        <w:rPr>
          <w:rFonts w:ascii="Times New Roman" w:cs="Times New Roman" w:eastAsia="Times New Roman" w:hAnsi="Times New Roman"/>
          <w:rtl w:val="0"/>
        </w:rPr>
        <w:t xml:space="preserve"> las formas de presencia e interacción entre los actores del proceso educativo..</w:t>
      </w:r>
    </w:p>
    <w:p w:rsidR="00000000" w:rsidDel="00000000" w:rsidP="00000000" w:rsidRDefault="00000000" w:rsidRPr="00000000" w14:paraId="00000017">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escenario </w:t>
      </w:r>
      <w:r w:rsidDel="00000000" w:rsidR="00000000" w:rsidRPr="00000000">
        <w:rPr>
          <w:rFonts w:ascii="Times New Roman" w:cs="Times New Roman" w:eastAsia="Times New Roman" w:hAnsi="Times New Roman"/>
          <w:rtl w:val="0"/>
        </w:rPr>
        <w:t xml:space="preserve">pospandémico</w:t>
      </w:r>
      <w:r w:rsidDel="00000000" w:rsidR="00000000" w:rsidRPr="00000000">
        <w:rPr>
          <w:rFonts w:ascii="Times New Roman" w:cs="Times New Roman" w:eastAsia="Times New Roman" w:hAnsi="Times New Roman"/>
          <w:rtl w:val="0"/>
        </w:rPr>
        <w:t xml:space="preserve">, sin embargo, buena parte de las instituciones de educación superior han retomado la presencialidad como modalidad predominante, relegando a las plataformas digitales a un rol complementario de apoyo a la docencia. Diversos estudios señalan que, aunque la virtualización inicial fue una respuesta reactiva a la emergencia sanitaria, varias instituciones han optado por sostener modelos híbridos como estrategia de mediano y largo plazo, antes que regresar a esquemas exclusivamente presenciales (Carbonell, 2021). Este tránsito plantea, no obstante, el interrogante de qué elementos de la virtualización intensiva han logrado instalarse de manera duradera en la cultura pedagógica universitaria y cuáles han sido progresivamente abandonados al recuperarse la presencialidad.</w:t>
      </w:r>
    </w:p>
    <w:p w:rsidR="00000000" w:rsidDel="00000000" w:rsidP="00000000" w:rsidRDefault="00000000" w:rsidRPr="00000000" w14:paraId="00000018">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retorno a la presencialidad no implicó, sin embargo, una ruptura total con las prácticas pedagógicas construidas durante la virtualización intensiva. Las investigaciones desarrolladas en el periodo </w:t>
      </w:r>
      <w:r w:rsidDel="00000000" w:rsidR="00000000" w:rsidRPr="00000000">
        <w:rPr>
          <w:rFonts w:ascii="Times New Roman" w:cs="Times New Roman" w:eastAsia="Times New Roman" w:hAnsi="Times New Roman"/>
          <w:rtl w:val="0"/>
        </w:rPr>
        <w:t xml:space="preserve">pospandémico</w:t>
      </w:r>
      <w:r w:rsidDel="00000000" w:rsidR="00000000" w:rsidRPr="00000000">
        <w:rPr>
          <w:rFonts w:ascii="Times New Roman" w:cs="Times New Roman" w:eastAsia="Times New Roman" w:hAnsi="Times New Roman"/>
          <w:rtl w:val="0"/>
        </w:rPr>
        <w:t xml:space="preserve"> muestran que las plataformas digitales persistieron en la experiencia universitaria, aunque con una función reconfigurada: de ser el espacio central de la enseñanza pasaron a operar como herramientas de apoyo organizativo, comunicacional y evaluativo. </w:t>
      </w:r>
    </w:p>
    <w:p w:rsidR="00000000" w:rsidDel="00000000" w:rsidP="00000000" w:rsidRDefault="00000000" w:rsidRPr="00000000" w14:paraId="00000019">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marco, Lago Martínez et al. (2024) documentaron, en el contexto de la Universidad de Buenos Aires, cómo docentes y estudiantes resignificaron sus prácticas educativas al retornar a las aulas físicas, identificando continuidades y rupturas en los vínculos socioafectivos y pedagógicos mediados por plataformas durante el aislamiento. Sus hallazgos evidencian que la aceleración del proceso de digitalización durante la pandemia generó una reestructuración duradera de las prácticas educativas, cuyas huellas permanecen activas en el escenario </w:t>
      </w:r>
      <w:r w:rsidDel="00000000" w:rsidR="00000000" w:rsidRPr="00000000">
        <w:rPr>
          <w:rFonts w:ascii="Times New Roman" w:cs="Times New Roman" w:eastAsia="Times New Roman" w:hAnsi="Times New Roman"/>
          <w:rtl w:val="0"/>
        </w:rPr>
        <w:t xml:space="preserve">pospandémico</w:t>
      </w:r>
      <w:r w:rsidDel="00000000" w:rsidR="00000000" w:rsidRPr="00000000">
        <w:rPr>
          <w:rFonts w:ascii="Times New Roman" w:cs="Times New Roman" w:eastAsia="Times New Roman" w:hAnsi="Times New Roman"/>
          <w:rtl w:val="0"/>
        </w:rPr>
        <w:t xml:space="preserve"> aun cuando la presencialidad se haya retomado como modalidad predominante. </w:t>
      </w:r>
    </w:p>
    <w:p w:rsidR="00000000" w:rsidDel="00000000" w:rsidP="00000000" w:rsidRDefault="00000000" w:rsidRPr="00000000" w14:paraId="0000001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una dirección complementaria, Crespo Cabuto et al. (2024) analizaron el uso de tecnologías digitales por parte del profesorado universitario en la pospandemia desde la perspectiva de los estudiantes, señalando que la integración de estas herramientas adquirió nuevas formas asociadas a la organización del curso, la retroalimentación y el seguimiento del aprendizaje, más que a la sustitución del aula presencial.</w:t>
      </w:r>
    </w:p>
    <w:p w:rsidR="00000000" w:rsidDel="00000000" w:rsidP="00000000" w:rsidRDefault="00000000" w:rsidRPr="00000000" w14:paraId="0000001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Estos antecedentes permiten plantear que la pospandemia no representa simplemente una vuelta a la normalidad prepandémica, sino un escenario pedagógico inédito en el que coexisten elementos heredados de la virtualización intensiva con las dinámicas propias de la presencialidad.</w:t>
      </w:r>
    </w:p>
    <w:p w:rsidR="00000000" w:rsidDel="00000000" w:rsidP="00000000" w:rsidRDefault="00000000" w:rsidRPr="00000000" w14:paraId="0000001C">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Paraguay, este reacomodamiento no ha sido espontáneo, sino que se encuentra enmarcado normativamente. La Resolución Consejo Nacional de Educación Superior (CONES) N.º 09/2024, autoriza y regula el uso de tecnologías digitales como herramienta de apoyo al proceso de enseñanza-aprendizaje en la modalidad presencial, retomando la experiencia acumulada durante la emergencia sanitaria con plataformas de videoconferencia y entornos virtuales institucionales (CONES, 2024). Esta resolución consolida jurídicamente un escenario de uso regulado de las tecnologías digitales, diferenciado tanto del uso intensivo del periodo pandémico como de un eventual abandono total de los recursos virtuales, y constituye el marco institucional dentro del cual se inscribe el presente estudio.</w:t>
      </w:r>
    </w:p>
    <w:p w:rsidR="00000000" w:rsidDel="00000000" w:rsidP="00000000" w:rsidRDefault="00000000" w:rsidRPr="00000000" w14:paraId="0000001D">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Frente a este doble movimiento (de la virtualización intensiva al uso regulado), resulta pertinente recurrir a un marco teórico capaz de captar las dimensiones pedagógicas que atraviesan ambos escenarios. El modelo </w:t>
      </w:r>
      <w:r w:rsidDel="00000000" w:rsidR="00000000" w:rsidRPr="00000000">
        <w:rPr>
          <w:rFonts w:ascii="Times New Roman" w:cs="Times New Roman" w:eastAsia="Times New Roman" w:hAnsi="Times New Roman"/>
          <w:i w:val="1"/>
          <w:iCs w:val="1"/>
          <w:rtl w:val="0"/>
        </w:rPr>
        <w:t xml:space="preserve">Community of Inquiry</w:t>
      </w:r>
      <w:r w:rsidDel="00000000" w:rsidR="00000000" w:rsidRPr="00000000">
        <w:rPr>
          <w:rFonts w:ascii="Times New Roman" w:cs="Times New Roman" w:eastAsia="Times New Roman" w:hAnsi="Times New Roman"/>
          <w:rtl w:val="0"/>
        </w:rPr>
        <w:t xml:space="preserve"> (CoI) ofrece este marco, al concebir la enseñanza-aprendizaje como un proceso de indagación sostenido por tres dimensiones interdependientes: la presencia docente, referida al diseño, la guía y la dirección de los procesos cognitivos y sociales por parte del profesorado; la presencia social, entendida como la capacidad de los participantes de identificarse con una comunidad de aprendizaje y desarrollar vínculos interpersonales; y la presencia cognitiva, vinculada a la construcción de significado a través de la reflexión y la discusión sostenida (Ballesteros, Gil-Jaurena y Morentin Encina, 2019).</w:t>
      </w:r>
    </w:p>
    <w:p w:rsidR="00000000" w:rsidDel="00000000" w:rsidP="00000000" w:rsidRDefault="00000000" w:rsidRPr="00000000" w14:paraId="0000001E">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versión en español de este instrumento, validada con adecuados niveles de fiabilidad y validez de constructo, permite su aplicación comparada en contextos de habla hispana como el que aquí se analiza.</w:t>
      </w:r>
    </w:p>
    <w:p w:rsidR="00000000" w:rsidDel="00000000" w:rsidP="00000000" w:rsidRDefault="00000000" w:rsidRPr="00000000" w14:paraId="0000001F">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estudios previos que han abordado las dimensiones del modelo </w:t>
      </w:r>
      <w:r w:rsidDel="00000000" w:rsidR="00000000" w:rsidRPr="00000000">
        <w:rPr>
          <w:rFonts w:ascii="Times New Roman" w:cs="Times New Roman" w:eastAsia="Times New Roman" w:hAnsi="Times New Roman"/>
          <w:i w:val="1"/>
          <w:iCs w:val="1"/>
          <w:rtl w:val="0"/>
        </w:rPr>
        <w:t xml:space="preserve">Community of Inquiry</w:t>
      </w:r>
      <w:r w:rsidDel="00000000" w:rsidR="00000000" w:rsidRPr="00000000">
        <w:rPr>
          <w:rFonts w:ascii="Times New Roman" w:cs="Times New Roman" w:eastAsia="Times New Roman" w:hAnsi="Times New Roman"/>
          <w:rtl w:val="0"/>
        </w:rPr>
        <w:t xml:space="preserve"> en contextos de enseñanza virtual aportan evidencia relevante para comprender los cambios pedagógicos operados entre el periodo pandémico y el escenario </w:t>
      </w:r>
      <w:r w:rsidDel="00000000" w:rsidR="00000000" w:rsidRPr="00000000">
        <w:rPr>
          <w:rFonts w:ascii="Times New Roman" w:cs="Times New Roman" w:eastAsia="Times New Roman" w:hAnsi="Times New Roman"/>
          <w:rtl w:val="0"/>
        </w:rPr>
        <w:t xml:space="preserve">pospandémico</w:t>
      </w:r>
      <w:r w:rsidDel="00000000" w:rsidR="00000000" w:rsidRPr="00000000">
        <w:rPr>
          <w:rFonts w:ascii="Times New Roman" w:cs="Times New Roman" w:eastAsia="Times New Roman" w:hAnsi="Times New Roman"/>
          <w:rtl w:val="0"/>
        </w:rPr>
        <w:t xml:space="preserve">. Padilla et al. (2015) analizaron las interacciones cognitivas, docentes y afectivas en comunidades de aprendizaje en línea, documentando la interdependencia entre estas dimensiones y la importancia de sostener condiciones institucionales que favorezcan su desarrollo simultáneo. </w:t>
      </w:r>
    </w:p>
    <w:p w:rsidR="00000000" w:rsidDel="00000000" w:rsidP="00000000" w:rsidRDefault="00000000" w:rsidRPr="00000000" w14:paraId="0000002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su parte, Gutiérrez Porlán et al. (2017) estudiaron la presencia social en un ambiente colaborativo virtual orientado a la indagación, mostrando que la cohesión social en entornos digitales depende de condiciones específicas de diseño pedagógico y que no emerge de manera espontánea del solo hecho de compartir una plataforma. Este hallazgo resulta especialmente pertinente para el presente estudio, en tanto que la reducción del uso intensivo de plataformas en el escenario </w:t>
      </w:r>
      <w:r w:rsidDel="00000000" w:rsidR="00000000" w:rsidRPr="00000000">
        <w:rPr>
          <w:rFonts w:ascii="Times New Roman" w:cs="Times New Roman" w:eastAsia="Times New Roman" w:hAnsi="Times New Roman"/>
          <w:rtl w:val="0"/>
        </w:rPr>
        <w:t xml:space="preserve">pospandémico</w:t>
      </w:r>
      <w:r w:rsidDel="00000000" w:rsidR="00000000" w:rsidRPr="00000000">
        <w:rPr>
          <w:rFonts w:ascii="Times New Roman" w:cs="Times New Roman" w:eastAsia="Times New Roman" w:hAnsi="Times New Roman"/>
          <w:rtl w:val="0"/>
        </w:rPr>
        <w:t xml:space="preserve"> podría traducirse en una disminución de los indicadores de presencia social, aun cuando las herramientas digitales continúen disponibles para los estudiantes. </w:t>
      </w:r>
    </w:p>
    <w:p w:rsidR="00000000" w:rsidDel="00000000" w:rsidP="00000000" w:rsidRDefault="00000000" w:rsidRPr="00000000" w14:paraId="00000021">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Heredia Escorza et al. (2025), en una revisión sistemática sobre estrategias de enseñanza en la educación virtual pospandemia, señalaron que la personalización del aprendizaje y el fortalecimiento de la autonomía estudiantil emergen como componentes que se consolidan en este nuevo escenario, lo que podría vincularse a variaciones en la presencia cognitiva percibida por los estudiantes.</w:t>
      </w:r>
    </w:p>
    <w:p w:rsidR="00000000" w:rsidDel="00000000" w:rsidP="00000000" w:rsidRDefault="00000000" w:rsidRPr="00000000" w14:paraId="00000022">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 aspecto que la literatura ha comenzado a evidenciar con mayor claridad es la transformación de las dinámicas de interacción social en el tránsito de la virtualidad a la presencialidad. Espinosa Guerrero et al. (2024), en un estudio con 372 estudiantes universitarios en México que habían experimentado ambas modalidades, encontraron una preferencia marcada por las clases presenciales, justificada precisamente por la mayor riqueza y estimulación de la interacción social que estas permiten. Este resultado sugiere que, si bien las plataformas virtuales sostuvieron la comunicación entre pares durante la pandemia, los propios estudiantes perciben ese espacio de interacción como cualitativamente distinto e inferior al que ofrece el encuentro presencial.</w:t>
      </w:r>
    </w:p>
    <w:p w:rsidR="00000000" w:rsidDel="00000000" w:rsidP="00000000" w:rsidRDefault="00000000" w:rsidRPr="00000000" w14:paraId="00000023">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 anterior abre un interrogante relevante para el presente estudio: si los estudiantes retoman la presencialidad como modalidad de interacción preferida, ¿en qué medida las plataformas virtuales continúan siendo percibidas como espacios de comunidad académica en el escenario actual? Esta pregunta cobra especial relevancia al considerar que, como señalan Acuña Ortigoza y Sánchez Acuña (2020), las desigualdades en el acceso y el uso de tecnologías digitales no desaparecen con el retorno a la presencialidad, sino que se reconfiguran en formas que pueden influir de manera diferenciada en la experiencia formativa de los estudiantes según su contexto y trayectoria previa. </w:t>
      </w:r>
    </w:p>
    <w:p w:rsidR="00000000" w:rsidDel="00000000" w:rsidP="00000000" w:rsidRDefault="00000000" w:rsidRPr="00000000" w14:paraId="00000024">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Estos antecedentes sugieren que la transición entre modalidades no produce efectos uniformes sobre las tres dimensiones del modelo CoI, sino que cada una de ellas responde de manera diferenciada a los cambios en el nivel de integración de plataformas virtuales. </w:t>
      </w:r>
    </w:p>
    <w:p w:rsidR="00000000" w:rsidDel="00000000" w:rsidP="00000000" w:rsidRDefault="00000000" w:rsidRPr="00000000" w14:paraId="00000025">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literatura previa ha comenzado a explorar estas dimensiones en distintos momentos de la virtualización universitaria, aunque de forma mayormente fragmentaria: por un lado, estudios centrados en el periodo de virtualización intensiva han documentado el papel de las interacciones cognitivas, docentes y afectivas en comunidades de aprendizaje en línea (Padilla, Ortiz y López, 2015); por otro, los trabajos más recientes sobre el escenario </w:t>
      </w:r>
      <w:r w:rsidDel="00000000" w:rsidR="00000000" w:rsidRPr="00000000">
        <w:rPr>
          <w:rFonts w:ascii="Times New Roman" w:cs="Times New Roman" w:eastAsia="Times New Roman" w:hAnsi="Times New Roman"/>
          <w:rtl w:val="0"/>
        </w:rPr>
        <w:t xml:space="preserve">pospandémico</w:t>
      </w:r>
      <w:r w:rsidDel="00000000" w:rsidR="00000000" w:rsidRPr="00000000">
        <w:rPr>
          <w:rFonts w:ascii="Times New Roman" w:cs="Times New Roman" w:eastAsia="Times New Roman" w:hAnsi="Times New Roman"/>
          <w:rtl w:val="0"/>
        </w:rPr>
        <w:t xml:space="preserve"> tienden a concentrarse en el rendimiento académico o en la sostenibilidad institucional de los modelos híbridos, sin profundizar específicamente en cómo se han modificado la presencia docente, social y cognitiva entre un periodo y otro. Esta fragmentación deja un vacío metodológico que el presente </w:t>
      </w:r>
      <w:r w:rsidDel="00000000" w:rsidR="00000000" w:rsidRPr="00000000">
        <w:rPr>
          <w:rFonts w:ascii="Times New Roman" w:cs="Times New Roman" w:eastAsia="Times New Roman" w:hAnsi="Times New Roman"/>
          <w:rtl w:val="0"/>
        </w:rPr>
        <w:t xml:space="preserve">estudio busca atender mediante una comparación directa, con el mismo instrumento, en las mismas carreras.</w:t>
      </w:r>
    </w:p>
    <w:p w:rsidR="00000000" w:rsidDel="00000000" w:rsidP="00000000" w:rsidRDefault="00000000" w:rsidRPr="00000000" w14:paraId="0000002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esta brecha se suma una dimensión de desigualdad poco explorada en el contexto paraguayo. Los estudios sobre virtualización educativa en América Latina han documentado de manera consistente que el acceso y la participación en experiencias formativas mediadas por tecnología no son homogéneos, sino que están condicionados por factores como la carrera de pertenencia, los recursos materiales disponibles y las competencias digitales previas de los estudiantes (García Rendón y Bak, 2022). Estas asimetrías, lejos de haberse resuelto con el retorno a la presencialidad, podrían reproducirse de forma distinta en un escenario de uso regulado de plataformas, lo que añade una justificación adicional para examinar el fenómeno con atención a las diferencias entre carreras.</w:t>
      </w:r>
    </w:p>
    <w:p w:rsidR="00000000" w:rsidDel="00000000" w:rsidP="00000000" w:rsidRDefault="00000000" w:rsidRPr="00000000" w14:paraId="00000027">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marco, cabe preguntarse cómo se han transformado las prácticas pedagógicas universitarias al pasar de un escenario de virtualización intensiva a uno de presencialidad con uso regulado de tecnologías, y qué elementos desarrollados durante la pandemia continúan influyendo en los procesos de enseñanza y aprendizaje. </w:t>
      </w:r>
    </w:p>
    <w:p w:rsidR="00000000" w:rsidDel="00000000" w:rsidP="00000000" w:rsidRDefault="00000000" w:rsidRPr="00000000" w14:paraId="00000028">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dar respuesta a estas interrogantes, el presente trabajo tiene como objetivo analizar comparativamente las dimensiones del modelo </w:t>
      </w:r>
      <w:r w:rsidDel="00000000" w:rsidR="00000000" w:rsidRPr="00000000">
        <w:rPr>
          <w:rFonts w:ascii="Times New Roman" w:cs="Times New Roman" w:eastAsia="Times New Roman" w:hAnsi="Times New Roman"/>
          <w:i w:val="1"/>
          <w:iCs w:val="1"/>
          <w:rtl w:val="0"/>
        </w:rPr>
        <w:t xml:space="preserve">Community of Inquiry</w:t>
      </w:r>
      <w:r w:rsidDel="00000000" w:rsidR="00000000" w:rsidRPr="00000000">
        <w:rPr>
          <w:rFonts w:ascii="Times New Roman" w:cs="Times New Roman" w:eastAsia="Times New Roman" w:hAnsi="Times New Roman"/>
          <w:rtl w:val="0"/>
        </w:rPr>
        <w:t xml:space="preserve"> (presencia docente, presencia social y presencia cognitiva) en contextos de enseñanza universitaria caracterizados por distintos niveles de integración de plataformas virtuales: el uso intensivo durante el periodo pandémico (2020-2021) y el uso regulado en el periodo </w:t>
      </w:r>
      <w:r w:rsidDel="00000000" w:rsidR="00000000" w:rsidRPr="00000000">
        <w:rPr>
          <w:rFonts w:ascii="Times New Roman" w:cs="Times New Roman" w:eastAsia="Times New Roman" w:hAnsi="Times New Roman"/>
          <w:rtl w:val="0"/>
        </w:rPr>
        <w:t xml:space="preserve">pospandémico</w:t>
      </w:r>
      <w:r w:rsidDel="00000000" w:rsidR="00000000" w:rsidRPr="00000000">
        <w:rPr>
          <w:rFonts w:ascii="Times New Roman" w:cs="Times New Roman" w:eastAsia="Times New Roman" w:hAnsi="Times New Roman"/>
          <w:rtl w:val="0"/>
        </w:rPr>
        <w:t xml:space="preserve"> (2026).</w:t>
      </w:r>
    </w:p>
    <w:p w:rsidR="00000000" w:rsidDel="00000000" w:rsidP="00000000" w:rsidRDefault="00000000" w:rsidRPr="00000000" w14:paraId="00000029">
      <w:pPr>
        <w:spacing w:line="240" w:lineRule="auto"/>
        <w:rPr>
          <w:rFonts w:ascii="Times New Roman" w:cs="Times New Roman" w:eastAsia="Times New Roman" w:hAnsi="Times New Roman"/>
          <w:highlight w:val="yellow"/>
        </w:rPr>
      </w:pPr>
      <w:r w:rsidDel="00000000" w:rsidR="00000000" w:rsidRPr="00000000">
        <w:br w:type="page"/>
      </w:r>
      <w:r w:rsidDel="00000000" w:rsidR="00000000" w:rsidRPr="00000000">
        <w:rPr>
          <w:rtl w:val="0"/>
        </w:rPr>
      </w:r>
    </w:p>
    <w:p w:rsidR="00000000" w:rsidDel="00000000" w:rsidP="00000000" w:rsidRDefault="00000000" w:rsidRPr="00000000" w14:paraId="0000002A">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Metodología</w:t>
      </w:r>
    </w:p>
    <w:p w:rsidR="00000000" w:rsidDel="00000000" w:rsidP="00000000" w:rsidRDefault="00000000" w:rsidRPr="00000000" w14:paraId="0000002B">
      <w:pPr>
        <w:spacing w:after="240" w:before="24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Enfoque y diseño de la investigación</w:t>
      </w:r>
    </w:p>
    <w:p w:rsidR="00000000" w:rsidDel="00000000" w:rsidP="00000000" w:rsidRDefault="00000000" w:rsidRPr="00000000" w14:paraId="0000002C">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estudio adopta un enfoque cuantitativo comparativo, orientado a contrastar las dimensiones pedagógicas del modelo </w:t>
      </w:r>
      <w:r w:rsidDel="00000000" w:rsidR="00000000" w:rsidRPr="00000000">
        <w:rPr>
          <w:rFonts w:ascii="Times New Roman" w:cs="Times New Roman" w:eastAsia="Times New Roman" w:hAnsi="Times New Roman"/>
          <w:i w:val="1"/>
          <w:iCs w:val="1"/>
          <w:rtl w:val="0"/>
        </w:rPr>
        <w:t xml:space="preserve">Community of Inquiry</w:t>
      </w:r>
      <w:r w:rsidDel="00000000" w:rsidR="00000000" w:rsidRPr="00000000">
        <w:rPr>
          <w:rFonts w:ascii="Times New Roman" w:cs="Times New Roman" w:eastAsia="Times New Roman" w:hAnsi="Times New Roman"/>
          <w:rtl w:val="0"/>
        </w:rPr>
        <w:t xml:space="preserve"> (presencia docente, presencia social y presencia cognitiva) entre dos momentos de la enseñanza universitaria caracterizados por distintos niveles de integración de plataformas virtuales.</w:t>
      </w:r>
    </w:p>
    <w:p w:rsidR="00000000" w:rsidDel="00000000" w:rsidP="00000000" w:rsidRDefault="00000000" w:rsidRPr="00000000" w14:paraId="0000002D">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diseño corresponde a un estudio transversal comparativo de dos cortes independientes (2020-2021 y 2026), si bien ambas mediciones se realizaron en la misma institución y sobre poblaciones definidas de manera equivalente (estudiantes de Análisis de Sistemas y de Licenciatura en Turismo), no se implementó ningún mecanismo de control, identificación o seguimiento que garantizara que los respondientes de 2026 fueran los mismos estudiantes que respondieron en 2020-2021. En consecuencia, ambas muestras deben entenderse como independientes entre sí, recolectadas en momentos distintos sobre cohortes distintas de estudiantes, y no como mediciones repetidas sobre un mismo grupo. </w:t>
      </w:r>
    </w:p>
    <w:p w:rsidR="00000000" w:rsidDel="00000000" w:rsidP="00000000" w:rsidRDefault="00000000" w:rsidRPr="00000000" w14:paraId="0000002E">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Población y muestra</w:t>
      </w:r>
      <w:r w:rsidDel="00000000" w:rsidR="00000000" w:rsidRPr="00000000">
        <w:rPr>
          <w:rtl w:val="0"/>
        </w:rPr>
      </w:r>
    </w:p>
    <w:p w:rsidR="00000000" w:rsidDel="00000000" w:rsidP="00000000" w:rsidRDefault="00000000" w:rsidRPr="00000000" w14:paraId="0000002F">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población de estudio estuvo integrada por los estudiantes matriculados en las carreras de Análisis de Sistemas y Licenciatura en Turismo de la Facultad Politécnica de la Universidad Nacional del Este (Ciudad del Este, Paraguay), considerando dos periodos de referencia, el periodo de virtualización intensiva (2020-2021) y el periodo </w:t>
      </w:r>
      <w:r w:rsidDel="00000000" w:rsidR="00000000" w:rsidRPr="00000000">
        <w:rPr>
          <w:rFonts w:ascii="Times New Roman" w:cs="Times New Roman" w:eastAsia="Times New Roman" w:hAnsi="Times New Roman"/>
          <w:rtl w:val="0"/>
        </w:rPr>
        <w:t xml:space="preserve">pospandémico</w:t>
      </w:r>
      <w:r w:rsidDel="00000000" w:rsidR="00000000" w:rsidRPr="00000000">
        <w:rPr>
          <w:rFonts w:ascii="Times New Roman" w:cs="Times New Roman" w:eastAsia="Times New Roman" w:hAnsi="Times New Roman"/>
          <w:rtl w:val="0"/>
        </w:rPr>
        <w:t xml:space="preserve"> (2026).</w:t>
      </w:r>
    </w:p>
    <w:p w:rsidR="00000000" w:rsidDel="00000000" w:rsidP="00000000" w:rsidRDefault="00000000" w:rsidRPr="00000000" w14:paraId="0000003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muestra del periodo pandémico (virtualización intensiva) estuvo conformada por 150 estudiantes, mientras que la muestra del periodo </w:t>
      </w:r>
      <w:r w:rsidDel="00000000" w:rsidR="00000000" w:rsidRPr="00000000">
        <w:rPr>
          <w:rFonts w:ascii="Times New Roman" w:cs="Times New Roman" w:eastAsia="Times New Roman" w:hAnsi="Times New Roman"/>
          <w:rtl w:val="0"/>
        </w:rPr>
        <w:t xml:space="preserve">pospandémico</w:t>
      </w:r>
      <w:r w:rsidDel="00000000" w:rsidR="00000000" w:rsidRPr="00000000">
        <w:rPr>
          <w:rFonts w:ascii="Times New Roman" w:cs="Times New Roman" w:eastAsia="Times New Roman" w:hAnsi="Times New Roman"/>
          <w:rtl w:val="0"/>
        </w:rPr>
        <w:t xml:space="preserve"> estuvo conformada por 60 estudiantes. Ambas muestras presentan composiciones sociodemográficas distintas:</w:t>
      </w:r>
    </w:p>
    <w:p w:rsidR="00000000" w:rsidDel="00000000" w:rsidP="00000000" w:rsidRDefault="00000000" w:rsidRPr="00000000" w14:paraId="00000031">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periodo pandémico predominaron las mujeres (54,67 %, n = 82) sobre los varones (45,33 %, n = 68), en una distribución relativamente equilibrada. En el periodo </w:t>
      </w:r>
      <w:r w:rsidDel="00000000" w:rsidR="00000000" w:rsidRPr="00000000">
        <w:rPr>
          <w:rFonts w:ascii="Times New Roman" w:cs="Times New Roman" w:eastAsia="Times New Roman" w:hAnsi="Times New Roman"/>
          <w:rtl w:val="0"/>
        </w:rPr>
        <w:t xml:space="preserve">pospandémico</w:t>
      </w:r>
      <w:r w:rsidDel="00000000" w:rsidR="00000000" w:rsidRPr="00000000">
        <w:rPr>
          <w:rFonts w:ascii="Times New Roman" w:cs="Times New Roman" w:eastAsia="Times New Roman" w:hAnsi="Times New Roman"/>
          <w:rtl w:val="0"/>
        </w:rPr>
        <w:t xml:space="preserve"> la composición se invirtió y se acentuó, con un 66,67 % de varones (n = 40) frente a un 33,33 % de mujeres (n = 20).</w:t>
      </w:r>
    </w:p>
    <w:p w:rsidR="00000000" w:rsidDel="00000000" w:rsidP="00000000" w:rsidRDefault="00000000" w:rsidRPr="00000000" w14:paraId="00000032">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pandemia, la muestra estuvo casi paritaria entre Análisis de Sistemas (53,33 %, n = 80) y Turismo (46,67 %, n = 70). En la pospandemia, esa paridad desapareció: Análisis de Sistemas concentró el 85 % (n = 51) y Turismo quedó reducido al 15 % (n = 9).</w:t>
      </w:r>
    </w:p>
    <w:p w:rsidR="00000000" w:rsidDel="00000000" w:rsidP="00000000" w:rsidRDefault="00000000" w:rsidRPr="00000000" w14:paraId="0000003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Instrumento de recolección de datos</w:t>
      </w:r>
      <w:r w:rsidDel="00000000" w:rsidR="00000000" w:rsidRPr="00000000">
        <w:rPr>
          <w:rtl w:val="0"/>
        </w:rPr>
      </w:r>
    </w:p>
    <w:p w:rsidR="00000000" w:rsidDel="00000000" w:rsidP="00000000" w:rsidRDefault="00000000" w:rsidRPr="00000000" w14:paraId="00000034">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la medición de las dimensiones pedagógicas del modelo </w:t>
      </w:r>
      <w:r w:rsidDel="00000000" w:rsidR="00000000" w:rsidRPr="00000000">
        <w:rPr>
          <w:rFonts w:ascii="Times New Roman" w:cs="Times New Roman" w:eastAsia="Times New Roman" w:hAnsi="Times New Roman"/>
          <w:i w:val="1"/>
          <w:iCs w:val="1"/>
          <w:rtl w:val="0"/>
        </w:rPr>
        <w:t xml:space="preserve">Community of Inquiry</w:t>
      </w:r>
      <w:r w:rsidDel="00000000" w:rsidR="00000000" w:rsidRPr="00000000">
        <w:rPr>
          <w:rFonts w:ascii="Times New Roman" w:cs="Times New Roman" w:eastAsia="Times New Roman" w:hAnsi="Times New Roman"/>
          <w:rtl w:val="0"/>
        </w:rPr>
        <w:t xml:space="preserve"> se utilizó el cuestionario CoI en su versión adaptada y validada al castellano por Ballesteros Velázquez et al. (2019), desarrollada en el marco de un proyecto de innovación docente del Grupo CO-Lab de la Universidad Nacional de Educación a Distancia (UNED) de España. El cuestionario original fue diseñado por Arbaugh et al. (2008) en inglés, con 34 ítems distribuidos en tres dimensiones interdependientes: presencia docente, presencia social y presencia cognitiva.</w:t>
      </w:r>
    </w:p>
    <w:p w:rsidR="00000000" w:rsidDel="00000000" w:rsidP="00000000" w:rsidRDefault="00000000" w:rsidRPr="00000000" w14:paraId="00000035">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versión en castellano utilizada en este estudio mantiene la estructura original de 34 ítems valorados mediante una escala tipo Likert de 1 a 5 puntos, donde 1 corresponde a “Nada de acuerdo” y 5 a 2 “</w:t>
      </w:r>
      <w:r w:rsidDel="00000000" w:rsidR="00000000" w:rsidRPr="00000000">
        <w:rPr>
          <w:rFonts w:ascii="Times New Roman" w:cs="Times New Roman" w:eastAsia="Times New Roman" w:hAnsi="Times New Roman"/>
          <w:rtl w:val="0"/>
        </w:rPr>
        <w:t xml:space="preserve">Totalmente de acuerdo</w:t>
      </w:r>
      <w:r w:rsidDel="00000000" w:rsidR="00000000" w:rsidRPr="00000000">
        <w:rPr>
          <w:rFonts w:ascii="Times New Roman" w:cs="Times New Roman" w:eastAsia="Times New Roman" w:hAnsi="Times New Roman"/>
          <w:rtl w:val="0"/>
        </w:rPr>
        <w:t xml:space="preserve">” (Ballesteros Velázquez et al., 2019, p. 10). La distribución de ítems por dimensión es la siguiente: 13 ítems corresponden a la dimensión de presencia docente (ítems 1 al 13), 9 ítems a la dimensión de presencia social (ítems 14 al 22) y 12 ítems a la dimensión de presencia cognitiva (ítems 23 al 34) (Ballesteros Velázquez et al., 2019).</w:t>
      </w:r>
    </w:p>
    <w:p w:rsidR="00000000" w:rsidDel="00000000" w:rsidP="00000000" w:rsidRDefault="00000000" w:rsidRPr="00000000" w14:paraId="0000003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validación del instrumento en el contexto español arrojó resultados satisfactorios tanto en validez de constructo, verificada mediante análisis factorial exploratorio con rotación oblicua, que confirmó la estructura trifactorial teórica y explicó el 72,22 % de la varianza total,  como en fiabilidad medida por consistencia interna, con valores del alfa de Cronbach de 0,921 para la presencia docente, 0,926 para la presencia social y 0,938 para la presencia cognitiva (Ballesteros Velázquez et al., 2019).</w:t>
      </w:r>
    </w:p>
    <w:p w:rsidR="00000000" w:rsidDel="00000000" w:rsidP="00000000" w:rsidRDefault="00000000" w:rsidRPr="00000000" w14:paraId="00000037">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tres dimensiones del modelo se definen del siguiente modo (Ballesteros Velázquez et al., 2019):</w:t>
      </w:r>
    </w:p>
    <w:p w:rsidR="00000000" w:rsidDel="00000000" w:rsidP="00000000" w:rsidRDefault="00000000" w:rsidRPr="00000000" w14:paraId="00000038">
      <w:pPr>
        <w:numPr>
          <w:ilvl w:val="0"/>
          <w:numId w:val="1"/>
        </w:numPr>
        <w:spacing w:after="0" w:afterAutospacing="0" w:before="240"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La presencia cognitiva se refiere al grado en que los participantes son capaces de construir significado y conocimiento a través de la comunicación continua, la reflexión y la discusión, abarcando aspectos como el interés y la curiosidad que generan los contenidos, la búsqueda de información y la aplicación de lo aprendido a otros ámbitos.</w:t>
      </w:r>
    </w:p>
    <w:p w:rsidR="00000000" w:rsidDel="00000000" w:rsidP="00000000" w:rsidRDefault="00000000" w:rsidRPr="00000000" w14:paraId="00000039">
      <w:pPr>
        <w:numPr>
          <w:ilvl w:val="0"/>
          <w:numId w:val="1"/>
        </w:numPr>
        <w:spacing w:after="0" w:afterAutospacing="0" w:before="0" w:beforeAutospacing="0"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La presencia social se define como la habilidad de los participantes de identificarse con la comunidad, comunicarse en un entorno confiable y desarrollar relaciones interpersonales, presentándose como personas reales. Recoge aspectos como la cohesión social, el clima de confianza en el entorno digital y la comunicación abierta.</w:t>
      </w:r>
    </w:p>
    <w:p w:rsidR="00000000" w:rsidDel="00000000" w:rsidP="00000000" w:rsidRDefault="00000000" w:rsidRPr="00000000" w14:paraId="0000003A">
      <w:pPr>
        <w:numPr>
          <w:ilvl w:val="0"/>
          <w:numId w:val="1"/>
        </w:numPr>
        <w:spacing w:after="240" w:before="0" w:beforeAutospacing="0"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La presencia docente se refiere al diseño, guía y dirección, por parte del profesorado, de los procesos cognitivos y sociales con el propósito de lograr resultados de aprendizaje significativos, incluyendo aspectos como la organización del curso, la facilitación del aprendizaje y la retroalimentación.</w:t>
      </w:r>
    </w:p>
    <w:p w:rsidR="00000000" w:rsidDel="00000000" w:rsidP="00000000" w:rsidRDefault="00000000" w:rsidRPr="00000000" w14:paraId="0000003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el periodo </w:t>
      </w:r>
      <w:r w:rsidDel="00000000" w:rsidR="00000000" w:rsidRPr="00000000">
        <w:rPr>
          <w:rFonts w:ascii="Times New Roman" w:cs="Times New Roman" w:eastAsia="Times New Roman" w:hAnsi="Times New Roman"/>
          <w:rtl w:val="0"/>
        </w:rPr>
        <w:t xml:space="preserve">pospandémico</w:t>
      </w:r>
      <w:r w:rsidDel="00000000" w:rsidR="00000000" w:rsidRPr="00000000">
        <w:rPr>
          <w:rFonts w:ascii="Times New Roman" w:cs="Times New Roman" w:eastAsia="Times New Roman" w:hAnsi="Times New Roman"/>
          <w:rtl w:val="0"/>
        </w:rPr>
        <w:t xml:space="preserve"> (2026), el instrumento incorpora un ítem adicional dentro de la dimensión de presencia social (DS-10), no presente en la versión aplicada durante el periodo pandémico (2020-2021), así como un bloque complementario de ítems orientados a registrar la modalidad y frecuencia actual de uso de herramientas digitales. A fin de garantizar la comparabilidad entre ambas mediciones, el análisis comparativo de la presencia social se realizó exclusivamente con los nueve ítems comunes a ambas versiones (DS-1 a DS-9).</w:t>
      </w:r>
    </w:p>
    <w:p w:rsidR="00000000" w:rsidDel="00000000" w:rsidP="00000000" w:rsidRDefault="00000000" w:rsidRPr="00000000" w14:paraId="0000003C">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Tabla 1. </w:t>
      </w:r>
    </w:p>
    <w:p w:rsidR="00000000" w:rsidDel="00000000" w:rsidP="00000000" w:rsidRDefault="00000000" w:rsidRPr="00000000" w14:paraId="0000003D">
      <w:pPr>
        <w:spacing w:after="240" w:before="240"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Correspondencia entre ítems del cuestionario CoI y dimensiones del modelo.</w:t>
      </w:r>
    </w:p>
    <w:tbl>
      <w:tblPr>
        <w:tblStyle w:val="Table1"/>
        <w:tblW w:w="85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065"/>
        <w:gridCol w:w="1050"/>
        <w:gridCol w:w="5010"/>
        <w:tblGridChange w:id="0">
          <w:tblGrid>
            <w:gridCol w:w="1380"/>
            <w:gridCol w:w="1065"/>
            <w:gridCol w:w="1050"/>
            <w:gridCol w:w="5010"/>
          </w:tblGrid>
        </w:tblGridChange>
      </w:tblGrid>
      <w:tr>
        <w:trPr>
          <w:cantSplit w:val="0"/>
          <w:tblHeader w:val="0"/>
        </w:trPr>
        <w:tc>
          <w:tcPr>
            <w:tcBorders>
              <w:top w:color="000000" w:space="0" w:sz="5" w:val="single"/>
              <w:left w:color="000000" w:space="0" w:sz="0" w:val="nil"/>
              <w:bottom w:color="000000" w:space="0" w:sz="5"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E">
            <w:pPr>
              <w:spacing w:after="0" w:before="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Dimensión</w:t>
            </w:r>
          </w:p>
        </w:tc>
        <w:tc>
          <w:tcPr>
            <w:tcBorders>
              <w:top w:color="000000" w:space="0" w:sz="5" w:val="single"/>
              <w:left w:color="000000" w:space="0" w:sz="0" w:val="nil"/>
              <w:bottom w:color="000000" w:space="0" w:sz="5"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F">
            <w:pPr>
              <w:spacing w:after="0" w:before="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de ítems</w:t>
            </w:r>
          </w:p>
        </w:tc>
        <w:tc>
          <w:tcPr>
            <w:tcBorders>
              <w:top w:color="000000" w:space="0" w:sz="5" w:val="single"/>
              <w:left w:color="000000" w:space="0" w:sz="0" w:val="nil"/>
              <w:bottom w:color="000000" w:space="0" w:sz="5"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0">
            <w:pPr>
              <w:spacing w:after="0" w:before="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Ítems</w:t>
            </w:r>
          </w:p>
        </w:tc>
        <w:tc>
          <w:tcPr>
            <w:tcBorders>
              <w:top w:color="000000" w:space="0" w:sz="5" w:val="single"/>
              <w:left w:color="000000" w:space="0" w:sz="0" w:val="nil"/>
              <w:bottom w:color="000000" w:space="0" w:sz="5"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1">
            <w:pPr>
              <w:spacing w:after="0" w:before="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Aspectos que evalúa</w:t>
            </w:r>
          </w:p>
        </w:tc>
      </w:tr>
      <w:tr>
        <w:trPr>
          <w:cantSplit w:val="0"/>
          <w:trHeight w:val="132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2">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Presencia docente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3">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4">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al 13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5">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Claridad de contenidos y objetivos; instrucciones para actividades; comunicación de plazos; facilitación de debates; orientación del aprendizaje; retroalimentación y feedback</w:t>
            </w:r>
          </w:p>
        </w:tc>
      </w:tr>
      <w:tr>
        <w:trPr>
          <w:cantSplit w:val="0"/>
          <w:trHeight w:val="159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6">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Presencia social</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7">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(versión comparativa) / 10 (versión 2026)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8">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 al 22 (comunes) / + ítem DS-10 en 2026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9">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Sentido de pertenencia al grupo; conocimiento entre compañeros/as; comodidad en la interacción digital; clima de confianza; participación y espíritu colaborativo</w:t>
            </w:r>
          </w:p>
        </w:tc>
      </w:tr>
      <w:tr>
        <w:trPr>
          <w:cantSplit w:val="0"/>
          <w:tblHeader w:val="0"/>
        </w:trPr>
        <w:tc>
          <w:tcPr>
            <w:tcBorders>
              <w:top w:color="000000" w:space="0" w:sz="0" w:val="nil"/>
              <w:left w:color="000000" w:space="0" w:sz="0" w:val="nil"/>
              <w:bottom w:color="000000" w:space="0" w:sz="5"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A">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Presencia cognitiva</w:t>
            </w:r>
          </w:p>
        </w:tc>
        <w:tc>
          <w:tcPr>
            <w:tcBorders>
              <w:top w:color="000000" w:space="0" w:sz="0" w:val="nil"/>
              <w:left w:color="000000" w:space="0" w:sz="0" w:val="nil"/>
              <w:bottom w:color="000000" w:space="0" w:sz="5"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B">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5"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C">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 al 34</w:t>
            </w:r>
          </w:p>
        </w:tc>
        <w:tc>
          <w:tcPr>
            <w:tcBorders>
              <w:top w:color="000000" w:space="0" w:sz="0" w:val="nil"/>
              <w:left w:color="000000" w:space="0" w:sz="0" w:val="nil"/>
              <w:bottom w:color="000000" w:space="0" w:sz="5"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D">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Interés y curiosidad por los contenidos; exploración de fuentes; integración de información; construcción de soluciones; reflexión y aplicación del conocimiento</w:t>
            </w:r>
          </w:p>
        </w:tc>
      </w:tr>
    </w:tbl>
    <w:p w:rsidR="00000000" w:rsidDel="00000000" w:rsidP="00000000" w:rsidRDefault="00000000" w:rsidRPr="00000000" w14:paraId="0000004E">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Nota. Estructura basada en Ballesteros Velázquez et al. (2019, pp. 13 y 24-26). La versión aplicada en el periodo </w:t>
      </w:r>
      <w:r w:rsidDel="00000000" w:rsidR="00000000" w:rsidRPr="00000000">
        <w:rPr>
          <w:rFonts w:ascii="Times New Roman" w:cs="Times New Roman" w:eastAsia="Times New Roman" w:hAnsi="Times New Roman"/>
          <w:rtl w:val="0"/>
        </w:rPr>
        <w:t xml:space="preserve">pospandémico</w:t>
      </w:r>
      <w:r w:rsidDel="00000000" w:rsidR="00000000" w:rsidRPr="00000000">
        <w:rPr>
          <w:rFonts w:ascii="Times New Roman" w:cs="Times New Roman" w:eastAsia="Times New Roman" w:hAnsi="Times New Roman"/>
          <w:rtl w:val="0"/>
        </w:rPr>
        <w:t xml:space="preserve"> (2026) incorporó un ítem adicional en la dimensión de presencia social (DS-10), por lo que el análisis comparativo entre periodos se realizó únicamente con los ítems comunes (DS-1 a DS-9).</w:t>
      </w:r>
    </w:p>
    <w:p w:rsidR="00000000" w:rsidDel="00000000" w:rsidP="00000000" w:rsidRDefault="00000000" w:rsidRPr="00000000" w14:paraId="0000004F">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Procedimiento de recolección de datos</w:t>
      </w:r>
      <w:r w:rsidDel="00000000" w:rsidR="00000000" w:rsidRPr="00000000">
        <w:rPr>
          <w:rtl w:val="0"/>
        </w:rPr>
      </w:r>
    </w:p>
    <w:p w:rsidR="00000000" w:rsidDel="00000000" w:rsidP="00000000" w:rsidRDefault="00000000" w:rsidRPr="00000000" w14:paraId="0000005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ambos periodos se siguió el mismo procedimiento de aplicación. Previa solicitud y obtención de la autorización institucional correspondiente, el equipo de investigación visitó a los estudiantes durante el desarrollo regular de las clases, oportunidad en la que se les facilitó el código de acceso a un cuestionario autoadministrado, diseñado y alojado en la plataforma LimeSurvey.</w:t>
      </w:r>
    </w:p>
    <w:p w:rsidR="00000000" w:rsidDel="00000000" w:rsidP="00000000" w:rsidRDefault="00000000" w:rsidRPr="00000000" w14:paraId="00000051">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Una diferencia relevante entre ambos periodos radica en el contexto institucional en el que se desarrolló la recolección de datos. Mientras que la aplicación del instrumento en el periodo de virtualización intensiva (2020-2021) se realizó durante el desarrollo ordinario de clases, la recolección correspondiente al periodo </w:t>
      </w:r>
      <w:r w:rsidDel="00000000" w:rsidR="00000000" w:rsidRPr="00000000">
        <w:rPr>
          <w:rFonts w:ascii="Times New Roman" w:cs="Times New Roman" w:eastAsia="Times New Roman" w:hAnsi="Times New Roman"/>
          <w:rtl w:val="0"/>
        </w:rPr>
        <w:t xml:space="preserve">pospandémico</w:t>
      </w:r>
      <w:r w:rsidDel="00000000" w:rsidR="00000000" w:rsidRPr="00000000">
        <w:rPr>
          <w:rFonts w:ascii="Times New Roman" w:cs="Times New Roman" w:eastAsia="Times New Roman" w:hAnsi="Times New Roman"/>
          <w:rtl w:val="0"/>
        </w:rPr>
        <w:t xml:space="preserve"> (2026) coincidió con el periodo de exámenes finales de la institución. Esta coincidencia tuvo dos efectos sobre la disponibilidad de estudiantes para responder el instrumento: por un lado, debido a los criterios de exoneración vigentes, no todos los estudiantes matriculados debían rendir examen, lo que redujo la cantidad de estudiantes presentes en el periodo de recolección; por otro, entre quienes sí debían rendir, no todos permanecieron en la institución durante toda la jornada, lo que acotó aún más la ventana de tiempo disponible para la aplicación del cuestionario. Estos factores contribuyen a explicar, al menos en parte, la menor cantidad de respuestas obtenidas en el periodo </w:t>
      </w:r>
      <w:r w:rsidDel="00000000" w:rsidR="00000000" w:rsidRPr="00000000">
        <w:rPr>
          <w:rFonts w:ascii="Times New Roman" w:cs="Times New Roman" w:eastAsia="Times New Roman" w:hAnsi="Times New Roman"/>
          <w:rtl w:val="0"/>
        </w:rPr>
        <w:t xml:space="preserve">pospandémico</w:t>
      </w:r>
      <w:r w:rsidDel="00000000" w:rsidR="00000000" w:rsidRPr="00000000">
        <w:rPr>
          <w:rFonts w:ascii="Times New Roman" w:cs="Times New Roman" w:eastAsia="Times New Roman" w:hAnsi="Times New Roman"/>
          <w:rtl w:val="0"/>
        </w:rPr>
        <w:t xml:space="preserve"> (n = 60) en comparación con el periodo pandémico (n = 150).</w:t>
      </w:r>
    </w:p>
    <w:p w:rsidR="00000000" w:rsidDel="00000000" w:rsidP="00000000" w:rsidRDefault="00000000" w:rsidRPr="00000000" w14:paraId="00000052">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Cabe aclarar que los resultados correspondientes al periodo </w:t>
      </w:r>
      <w:r w:rsidDel="00000000" w:rsidR="00000000" w:rsidRPr="00000000">
        <w:rPr>
          <w:rFonts w:ascii="Times New Roman" w:cs="Times New Roman" w:eastAsia="Times New Roman" w:hAnsi="Times New Roman"/>
          <w:rtl w:val="0"/>
        </w:rPr>
        <w:t xml:space="preserve">pospandémico</w:t>
      </w:r>
      <w:r w:rsidDel="00000000" w:rsidR="00000000" w:rsidRPr="00000000">
        <w:rPr>
          <w:rFonts w:ascii="Times New Roman" w:cs="Times New Roman" w:eastAsia="Times New Roman" w:hAnsi="Times New Roman"/>
          <w:rtl w:val="0"/>
        </w:rPr>
        <w:t xml:space="preserve"> que se presentan en este trabajo constituyen un informe de avance, en el marco de un proceso de recolección de datos que continuará desarrollándose con el objetivo de alcanzar un tamaño de muestra más equiparable al del periodo pandémico.</w:t>
      </w:r>
    </w:p>
    <w:p w:rsidR="00000000" w:rsidDel="00000000" w:rsidP="00000000" w:rsidRDefault="00000000" w:rsidRPr="00000000" w14:paraId="0000005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Técnicas de análisis de datos</w:t>
      </w:r>
      <w:r w:rsidDel="00000000" w:rsidR="00000000" w:rsidRPr="00000000">
        <w:rPr>
          <w:rtl w:val="0"/>
        </w:rPr>
      </w:r>
    </w:p>
    <w:p w:rsidR="00000000" w:rsidDel="00000000" w:rsidP="00000000" w:rsidRDefault="00000000" w:rsidRPr="00000000" w14:paraId="00000054">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los puntajes de cada dimensión del modelo CoI (presencia docente, presencia social y presencia cognitiva) se calcularon medidas de tendencia central y dispersión, específicamente la media aritmética y la desviación estándar, tanto para el periodo pandémico como para el periodo </w:t>
      </w:r>
      <w:r w:rsidDel="00000000" w:rsidR="00000000" w:rsidRPr="00000000">
        <w:rPr>
          <w:rFonts w:ascii="Times New Roman" w:cs="Times New Roman" w:eastAsia="Times New Roman" w:hAnsi="Times New Roman"/>
          <w:rtl w:val="0"/>
        </w:rPr>
        <w:t xml:space="preserve">pospandémico</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5">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la comparación de los puntajes promedio de presencia docente, presencia social y presencia cognitiva entre ambos periodos se aplicó la prueba t de Welch para muestras independientes, apropiada dada la diferencia en el tamaño de ambas muestras (n = 150 y n = 60) y la posible heterogeneidad de varianzas entre grupos. La pertinencia de esta prueba se verificó mediante el contraste de igualdad de varianzas de Brown-Forsythe, que evidenció heterogeneidad de varianzas en presencia docente y presencia cognitiva, justificando así el uso de Welch en lugar de una </w:t>
      </w:r>
      <w:r w:rsidDel="00000000" w:rsidR="00000000" w:rsidRPr="00000000">
        <w:rPr>
          <w:rFonts w:ascii="Times New Roman" w:cs="Times New Roman" w:eastAsia="Times New Roman" w:hAnsi="Times New Roman"/>
          <w:rtl w:val="0"/>
        </w:rPr>
        <w:t xml:space="preserve">prueba t estándar</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6">
      <w:pPr>
        <w:spacing w:after="240" w:before="24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Limitaciones metodológicas</w:t>
      </w:r>
    </w:p>
    <w:p w:rsidR="00000000" w:rsidDel="00000000" w:rsidP="00000000" w:rsidRDefault="00000000" w:rsidRPr="00000000" w14:paraId="0000005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Corresponde señalar dos limitaciones que afectan directamente la interpretación de los resultados comparativos:</w:t>
      </w:r>
    </w:p>
    <w:p w:rsidR="00000000" w:rsidDel="00000000" w:rsidP="00000000" w:rsidRDefault="00000000" w:rsidRPr="00000000" w14:paraId="00000058">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primer lugar, ambas mediciones constituyen cortes transversales independientes y no un diseño de panel, esto implica que las diferencias observadas entre periodos no pueden atribuirse a un cambio dentro de un mismo grupo de estudiantes, sino a una comparación entre cohortes distintas.</w:t>
      </w:r>
    </w:p>
    <w:p w:rsidR="00000000" w:rsidDel="00000000" w:rsidP="00000000" w:rsidRDefault="00000000" w:rsidRPr="00000000" w14:paraId="00000059">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segundo lugar, los datos correspondientes al periodo </w:t>
      </w:r>
      <w:r w:rsidDel="00000000" w:rsidR="00000000" w:rsidRPr="00000000">
        <w:rPr>
          <w:rFonts w:ascii="Times New Roman" w:cs="Times New Roman" w:eastAsia="Times New Roman" w:hAnsi="Times New Roman"/>
          <w:rtl w:val="0"/>
        </w:rPr>
        <w:t xml:space="preserve">pospandémico</w:t>
      </w:r>
      <w:r w:rsidDel="00000000" w:rsidR="00000000" w:rsidRPr="00000000">
        <w:rPr>
          <w:rFonts w:ascii="Times New Roman" w:cs="Times New Roman" w:eastAsia="Times New Roman" w:hAnsi="Times New Roman"/>
          <w:rtl w:val="0"/>
        </w:rPr>
        <w:t xml:space="preserve"> (2026) presentados en este trabajo son preliminares y forman parte de un informe de avance, el proceso de recolección continúa en curso, con el propósito de alcanzar una muestra de tamaño más comparable a la del periodo pandémico (n = 150), por lo que los resultados aquí reportados para 2026 deben interpretarse como una primera aproximación, susceptible de ajuste en etapas posteriores del estudio. </w:t>
      </w:r>
    </w:p>
    <w:p w:rsidR="00000000" w:rsidDel="00000000" w:rsidP="00000000" w:rsidRDefault="00000000" w:rsidRPr="00000000" w14:paraId="0000005A">
      <w:pPr>
        <w:spacing w:line="240" w:lineRule="auto"/>
        <w:rPr>
          <w:rFonts w:ascii="Times New Roman" w:cs="Times New Roman" w:eastAsia="Times New Roman" w:hAnsi="Times New Roman"/>
          <w:b w:val="1"/>
          <w:bCs w:val="1"/>
          <w:highlight w:val="yellow"/>
        </w:rPr>
      </w:pPr>
      <w:r w:rsidDel="00000000" w:rsidR="00000000" w:rsidRPr="00000000">
        <w:rPr>
          <w:rFonts w:ascii="Times New Roman" w:cs="Times New Roman" w:eastAsia="Times New Roman" w:hAnsi="Times New Roman"/>
          <w:b w:val="1"/>
          <w:bCs w:val="1"/>
          <w:rtl w:val="0"/>
        </w:rPr>
        <w:t xml:space="preserve">Resultados </w:t>
      </w:r>
      <w:r w:rsidDel="00000000" w:rsidR="00000000" w:rsidRPr="00000000">
        <w:rPr>
          <w:rtl w:val="0"/>
        </w:rPr>
      </w:r>
    </w:p>
    <w:p w:rsidR="00000000" w:rsidDel="00000000" w:rsidP="00000000" w:rsidRDefault="00000000" w:rsidRPr="00000000" w14:paraId="0000005B">
      <w:pPr>
        <w:spacing w:line="240" w:lineRule="auto"/>
        <w:jc w:val="both"/>
        <w:rPr>
          <w:rFonts w:ascii="Times New Roman" w:cs="Times New Roman" w:eastAsia="Times New Roman" w:hAnsi="Times New Roman"/>
          <w:b w:val="1"/>
          <w:bCs w:val="1"/>
          <w:highlight w:val="yellow"/>
        </w:rPr>
      </w:pPr>
      <w:r w:rsidDel="00000000" w:rsidR="00000000" w:rsidRPr="00000000">
        <w:rPr>
          <w:rFonts w:ascii="Times New Roman" w:cs="Times New Roman" w:eastAsia="Times New Roman" w:hAnsi="Times New Roman"/>
          <w:rtl w:val="0"/>
        </w:rPr>
        <w:t xml:space="preserve">El análisis comparativo se realizó a partir de los puntajes promedio de las tres dimensiones del modelo </w:t>
      </w:r>
      <w:r w:rsidDel="00000000" w:rsidR="00000000" w:rsidRPr="00000000">
        <w:rPr>
          <w:rFonts w:ascii="Times New Roman" w:cs="Times New Roman" w:eastAsia="Times New Roman" w:hAnsi="Times New Roman"/>
          <w:i w:val="1"/>
          <w:iCs w:val="1"/>
          <w:rtl w:val="0"/>
        </w:rPr>
        <w:t xml:space="preserve">Community of Inquiry</w:t>
      </w:r>
      <w:r w:rsidDel="00000000" w:rsidR="00000000" w:rsidRPr="00000000">
        <w:rPr>
          <w:rFonts w:ascii="Times New Roman" w:cs="Times New Roman" w:eastAsia="Times New Roman" w:hAnsi="Times New Roman"/>
          <w:rtl w:val="0"/>
        </w:rPr>
        <w:t xml:space="preserve">, considerando dos cortes independientes: el periodo de virtualización intensiva (2020-2021, n = 150) y el periodo </w:t>
      </w:r>
      <w:r w:rsidDel="00000000" w:rsidR="00000000" w:rsidRPr="00000000">
        <w:rPr>
          <w:rFonts w:ascii="Times New Roman" w:cs="Times New Roman" w:eastAsia="Times New Roman" w:hAnsi="Times New Roman"/>
          <w:rtl w:val="0"/>
        </w:rPr>
        <w:t xml:space="preserve">pospandémico</w:t>
      </w:r>
      <w:r w:rsidDel="00000000" w:rsidR="00000000" w:rsidRPr="00000000">
        <w:rPr>
          <w:rFonts w:ascii="Times New Roman" w:cs="Times New Roman" w:eastAsia="Times New Roman" w:hAnsi="Times New Roman"/>
          <w:rtl w:val="0"/>
        </w:rPr>
        <w:t xml:space="preserve"> (2026, n = 60). Para garantizar la comparabilidad entre ambos instrumentos. La comparación estadística se realizó mediante la prueba t de Welch para muestras independientes, cuya pertinencia fue verificada previamente mediante el contraste de igualdad de varianzas de Brown-Forsythe. Dado que el orden del contraste fue pandemia–pospandemia, los valores negativos de t indican medias superiores en el grupo pospandemia, mientras que los valores positivos indican medias superiores en el grupo pandemia.</w:t>
      </w:r>
      <w:r w:rsidDel="00000000" w:rsidR="00000000" w:rsidRPr="00000000">
        <w:rPr>
          <w:rFonts w:ascii="Times New Roman" w:cs="Times New Roman" w:eastAsia="Times New Roman" w:hAnsi="Times New Roman"/>
          <w:b w:val="1"/>
          <w:bCs w:val="1"/>
          <w:highlight w:val="yellow"/>
          <w:rtl w:val="0"/>
        </w:rPr>
        <w:t xml:space="preserve"> </w:t>
      </w:r>
    </w:p>
    <w:p w:rsidR="00000000" w:rsidDel="00000000" w:rsidP="00000000" w:rsidRDefault="00000000" w:rsidRPr="00000000" w14:paraId="0000005C">
      <w:pPr>
        <w:spacing w:line="240" w:lineRule="auto"/>
        <w:rPr>
          <w:rFonts w:ascii="Times New Roman" w:cs="Times New Roman" w:eastAsia="Times New Roman" w:hAnsi="Times New Roman"/>
          <w:b w:val="1"/>
          <w:bCs w:val="1"/>
          <w:highlight w:val="yellow"/>
        </w:rPr>
      </w:pPr>
      <w:r w:rsidDel="00000000" w:rsidR="00000000" w:rsidRPr="00000000">
        <w:rPr>
          <w:rFonts w:ascii="Times New Roman" w:cs="Times New Roman" w:eastAsia="Times New Roman" w:hAnsi="Times New Roman"/>
          <w:b w:val="1"/>
          <w:bCs w:val="1"/>
          <w:rtl w:val="0"/>
        </w:rPr>
        <w:t xml:space="preserve">Presencia docente </w:t>
      </w:r>
      <w:r w:rsidDel="00000000" w:rsidR="00000000" w:rsidRPr="00000000">
        <w:rPr>
          <w:rtl w:val="0"/>
        </w:rPr>
      </w:r>
    </w:p>
    <w:p w:rsidR="00000000" w:rsidDel="00000000" w:rsidP="00000000" w:rsidRDefault="00000000" w:rsidRPr="00000000" w14:paraId="0000005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dimensión de presencia docente, el periodo pandémico registró una media de 3,46 y una desviación estándar (DE) = 0,91, mientras que el periodo </w:t>
      </w:r>
      <w:r w:rsidDel="00000000" w:rsidR="00000000" w:rsidRPr="00000000">
        <w:rPr>
          <w:rFonts w:ascii="Times New Roman" w:cs="Times New Roman" w:eastAsia="Times New Roman" w:hAnsi="Times New Roman"/>
          <w:rtl w:val="0"/>
        </w:rPr>
        <w:t xml:space="preserve">pospandémico</w:t>
      </w:r>
      <w:r w:rsidDel="00000000" w:rsidR="00000000" w:rsidRPr="00000000">
        <w:rPr>
          <w:rFonts w:ascii="Times New Roman" w:cs="Times New Roman" w:eastAsia="Times New Roman" w:hAnsi="Times New Roman"/>
          <w:rtl w:val="0"/>
        </w:rPr>
        <w:t xml:space="preserve"> alcanzó una media de 3,85 (</w:t>
      </w:r>
      <w:r w:rsidDel="00000000" w:rsidR="00000000" w:rsidRPr="00000000">
        <w:rPr>
          <w:rFonts w:ascii="Times New Roman" w:cs="Times New Roman" w:eastAsia="Times New Roman" w:hAnsi="Times New Roman"/>
          <w:rtl w:val="0"/>
        </w:rPr>
        <w:t xml:space="preserve">DE</w:t>
      </w:r>
      <w:r w:rsidDel="00000000" w:rsidR="00000000" w:rsidRPr="00000000">
        <w:rPr>
          <w:rFonts w:ascii="Times New Roman" w:cs="Times New Roman" w:eastAsia="Times New Roman" w:hAnsi="Times New Roman"/>
          <w:rtl w:val="0"/>
        </w:rPr>
        <w:t xml:space="preserve"> = 0,66). La diferencia entre ambos periodos fue de +0,39 a favor de la pospandemia.</w:t>
      </w:r>
    </w:p>
    <w:p w:rsidR="00000000" w:rsidDel="00000000" w:rsidP="00000000" w:rsidRDefault="00000000" w:rsidRPr="00000000" w14:paraId="0000005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contraste de Brown-Forsythe evidenció heterogeneidad de varianzas entre los grupos, F(1, 208) = 10,08, p &lt; 0,01, lo que justifica el uso de la prueba t de Welch. La comparación entre periodos arrojó una diferencia estadísticamente significativa, t(147,63) = -3,42, p &lt; 0,01, con una media superior en el periodo </w:t>
      </w:r>
      <w:r w:rsidDel="00000000" w:rsidR="00000000" w:rsidRPr="00000000">
        <w:rPr>
          <w:rFonts w:ascii="Times New Roman" w:cs="Times New Roman" w:eastAsia="Times New Roman" w:hAnsi="Times New Roman"/>
          <w:rtl w:val="0"/>
        </w:rPr>
        <w:t xml:space="preserve">pospandémico</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resultado indica que la valoración de la presencia docente mejoró después del periodo de virtualización intensiva. En el escenario </w:t>
      </w:r>
      <w:r w:rsidDel="00000000" w:rsidR="00000000" w:rsidRPr="00000000">
        <w:rPr>
          <w:rFonts w:ascii="Times New Roman" w:cs="Times New Roman" w:eastAsia="Times New Roman" w:hAnsi="Times New Roman"/>
          <w:rtl w:val="0"/>
        </w:rPr>
        <w:t xml:space="preserve">pospandémico</w:t>
      </w:r>
      <w:r w:rsidDel="00000000" w:rsidR="00000000" w:rsidRPr="00000000">
        <w:rPr>
          <w:rFonts w:ascii="Times New Roman" w:cs="Times New Roman" w:eastAsia="Times New Roman" w:hAnsi="Times New Roman"/>
          <w:rtl w:val="0"/>
        </w:rPr>
        <w:t xml:space="preserve">, la mediación docente a través de plataformas parece haberse reconfigurado hacia funciones más específicas y mejor valoradas por los estudiantes: la organización del curso, la claridad de las consignas, la comunicación de plazos y la retroalimentación. La plataforma dejó de operar como sustituto integral del aula presencial y pasó a consolidarse como soporte de gestión pedagógica y acompañamiento académico en un contexto predominantemente presencial.</w:t>
      </w:r>
    </w:p>
    <w:p w:rsidR="00000000" w:rsidDel="00000000" w:rsidP="00000000" w:rsidRDefault="00000000" w:rsidRPr="00000000" w14:paraId="0000006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Presencia social </w:t>
      </w:r>
    </w:p>
    <w:p w:rsidR="00000000" w:rsidDel="00000000" w:rsidP="00000000" w:rsidRDefault="00000000" w:rsidRPr="00000000" w14:paraId="00000062">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dimensión de presencia social, el periodo pandémico registró una media de 3,27 (DE = 1,08), mientras que el periodo </w:t>
      </w:r>
      <w:r w:rsidDel="00000000" w:rsidR="00000000" w:rsidRPr="00000000">
        <w:rPr>
          <w:rFonts w:ascii="Times New Roman" w:cs="Times New Roman" w:eastAsia="Times New Roman" w:hAnsi="Times New Roman"/>
          <w:rtl w:val="0"/>
        </w:rPr>
        <w:t xml:space="preserve">pospandémico</w:t>
      </w:r>
      <w:r w:rsidDel="00000000" w:rsidR="00000000" w:rsidRPr="00000000">
        <w:rPr>
          <w:rFonts w:ascii="Times New Roman" w:cs="Times New Roman" w:eastAsia="Times New Roman" w:hAnsi="Times New Roman"/>
          <w:rtl w:val="0"/>
        </w:rPr>
        <w:t xml:space="preserve"> presentó una media de 2,96 (DE = 0,97). La diferencia entre ambos periodos fue de -0,31, con valores más altos durante la pandemia.</w:t>
      </w:r>
    </w:p>
    <w:p w:rsidR="00000000" w:rsidDel="00000000" w:rsidP="00000000" w:rsidRDefault="00000000" w:rsidRPr="00000000" w14:paraId="00000063">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contraste de Brown-Forsythe no evidenció heterogeneidad de varianzas entre los grupos, F(1, 208) = 1,27, p = 0,26. No obstante, se mantuvo el uso de la prueba t de Welch de manera uniforme para las tres dimensiones, dado que esta prueba ofrece resultados equivalentes a la t de Student cuando las varianzas son homogéneas y resultados más robustos cuando no lo son, por lo que su aplicación por defecto es metodológicamente recomendable en comparaciones entre grupos de tamaños desiguales. </w:t>
      </w:r>
    </w:p>
    <w:p w:rsidR="00000000" w:rsidDel="00000000" w:rsidP="00000000" w:rsidRDefault="00000000" w:rsidRPr="00000000" w14:paraId="00000064">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comparación arrojó t(118,33) = 1,92, p = 0,06, resultado que no alcanza significación estadística al nivel convencional de p &lt; 0,05. En consecuencia, no es posible afirmar con la confianza estadística requerida que la diferencia observada en esta dimensión sea producto de algo más que variación muestral.</w:t>
      </w:r>
    </w:p>
    <w:p w:rsidR="00000000" w:rsidDel="00000000" w:rsidP="00000000" w:rsidRDefault="00000000" w:rsidRPr="00000000" w14:paraId="00000065">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 todo, el signo positivo del estadístico indica que la media fue mayor durante el periodo pandémico, lo cual es coherente con el rol central que adquirieron las plataformas virtuales durante la emergencia sanitaria para sostener la comunicación entre pares, el sentido de comunidad y las dinámicas colaborativas. En el periodo </w:t>
      </w:r>
      <w:r w:rsidDel="00000000" w:rsidR="00000000" w:rsidRPr="00000000">
        <w:rPr>
          <w:rFonts w:ascii="Times New Roman" w:cs="Times New Roman" w:eastAsia="Times New Roman" w:hAnsi="Times New Roman"/>
          <w:rtl w:val="0"/>
        </w:rPr>
        <w:t xml:space="preserve">pospandémico</w:t>
      </w:r>
      <w:r w:rsidDel="00000000" w:rsidR="00000000" w:rsidRPr="00000000">
        <w:rPr>
          <w:rFonts w:ascii="Times New Roman" w:cs="Times New Roman" w:eastAsia="Times New Roman" w:hAnsi="Times New Roman"/>
          <w:rtl w:val="0"/>
        </w:rPr>
        <w:t xml:space="preserve">, la presencia social es la dimensión más débil del modelo, lo que sugiere que el retorno a la presencialidad no recuperó automáticamente (en el espacio digital) los vínculos de interacción y comunidad académica que se sostuvieron durante la virtualización intensiva.</w:t>
      </w:r>
    </w:p>
    <w:p w:rsidR="00000000" w:rsidDel="00000000" w:rsidP="00000000" w:rsidRDefault="00000000" w:rsidRPr="00000000" w14:paraId="00000066">
      <w:pPr>
        <w:spacing w:after="240" w:before="24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Presencia cognitiva </w:t>
      </w:r>
    </w:p>
    <w:p w:rsidR="00000000" w:rsidDel="00000000" w:rsidP="00000000" w:rsidRDefault="00000000" w:rsidRPr="00000000" w14:paraId="00000067">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dimensión de presencia cognitiva, el periodo pandémico registró una media de 3,47 (DE = 0,94), mientras que el periodo </w:t>
      </w:r>
      <w:r w:rsidDel="00000000" w:rsidR="00000000" w:rsidRPr="00000000">
        <w:rPr>
          <w:rFonts w:ascii="Times New Roman" w:cs="Times New Roman" w:eastAsia="Times New Roman" w:hAnsi="Times New Roman"/>
          <w:rtl w:val="0"/>
        </w:rPr>
        <w:t xml:space="preserve">pospandémico</w:t>
      </w:r>
      <w:r w:rsidDel="00000000" w:rsidR="00000000" w:rsidRPr="00000000">
        <w:rPr>
          <w:rFonts w:ascii="Times New Roman" w:cs="Times New Roman" w:eastAsia="Times New Roman" w:hAnsi="Times New Roman"/>
          <w:rtl w:val="0"/>
        </w:rPr>
        <w:t xml:space="preserve"> presentó una media de 3,68 (DE = 0,47). La diferencia entre ambos periodos fue de +0,21 a favor de la pospandemia.</w:t>
      </w:r>
    </w:p>
    <w:p w:rsidR="00000000" w:rsidDel="00000000" w:rsidP="00000000" w:rsidRDefault="00000000" w:rsidRPr="00000000" w14:paraId="00000068">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contraste de Brown-Forsythe evidenció heterogeneidad de varianzas entre los grupos, F(1, 208) = 41,71, p &lt; 0,01, lo que refuerza la pertinencia de la prueba t de Welch. La comparación entre periodos arrojó una diferencia estadísticamente significativa, t(198,75) = -2,13, p = 0,03, con una media superior en el periodo </w:t>
      </w:r>
      <w:r w:rsidDel="00000000" w:rsidR="00000000" w:rsidRPr="00000000">
        <w:rPr>
          <w:rFonts w:ascii="Times New Roman" w:cs="Times New Roman" w:eastAsia="Times New Roman" w:hAnsi="Times New Roman"/>
          <w:rtl w:val="0"/>
        </w:rPr>
        <w:t xml:space="preserve">pospandémico</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69">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resultado muestra que, aun cuando las plataformas virtuales dejaron de ser el eje central de la enseñanza, los estudiantes perciben en el periodo </w:t>
      </w:r>
      <w:r w:rsidDel="00000000" w:rsidR="00000000" w:rsidRPr="00000000">
        <w:rPr>
          <w:rFonts w:ascii="Times New Roman" w:cs="Times New Roman" w:eastAsia="Times New Roman" w:hAnsi="Times New Roman"/>
          <w:rtl w:val="0"/>
        </w:rPr>
        <w:t xml:space="preserve">pospandémico</w:t>
      </w:r>
      <w:r w:rsidDel="00000000" w:rsidR="00000000" w:rsidRPr="00000000">
        <w:rPr>
          <w:rFonts w:ascii="Times New Roman" w:cs="Times New Roman" w:eastAsia="Times New Roman" w:hAnsi="Times New Roman"/>
          <w:rtl w:val="0"/>
        </w:rPr>
        <w:t xml:space="preserve"> un mayor aporte cognitivo de estos entornos para explorar contenidos, integrar información, resolver actividades y aplicar conocimientos. La reducción de la dispersión (DE = 0,47 frente a DE = 0,94 en pandemia) sugiere además que esta valoración es más homogénea entre los estudiantes en 2026, a diferencia del periodo pandémico donde las percepciones fueron más variables, posiblemente asociadas a las condiciones desiguales en las que distintos estudiantes vivieron la virtualización de emergencia.</w:t>
      </w:r>
    </w:p>
    <w:p w:rsidR="00000000" w:rsidDel="00000000" w:rsidP="00000000" w:rsidRDefault="00000000" w:rsidRPr="00000000" w14:paraId="0000006A">
      <w:pPr>
        <w:spacing w:line="240" w:lineRule="auto"/>
        <w:jc w:val="both"/>
        <w:rPr>
          <w:rFonts w:ascii="Times New Roman" w:cs="Times New Roman" w:eastAsia="Times New Roman" w:hAnsi="Times New Roman"/>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6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Resultados descriptivos e inferenciales de las tres dimensiones analizadas</w:t>
      </w:r>
      <w:r w:rsidDel="00000000" w:rsidR="00000000" w:rsidRPr="00000000">
        <w:rPr>
          <w:rtl w:val="0"/>
        </w:rPr>
      </w:r>
    </w:p>
    <w:p w:rsidR="00000000" w:rsidDel="00000000" w:rsidP="00000000" w:rsidRDefault="00000000" w:rsidRPr="00000000" w14:paraId="0000006C">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Tabla 2. </w:t>
      </w:r>
    </w:p>
    <w:p w:rsidR="00000000" w:rsidDel="00000000" w:rsidP="00000000" w:rsidRDefault="00000000" w:rsidRPr="00000000" w14:paraId="0000006D">
      <w:pPr>
        <w:spacing w:after="240" w:before="24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i w:val="1"/>
          <w:iCs w:val="1"/>
          <w:rtl w:val="0"/>
        </w:rPr>
        <w:t xml:space="preserve">Comparación entre periodo de virtualización intensiva y el actual.</w:t>
      </w:r>
      <w:r w:rsidDel="00000000" w:rsidR="00000000" w:rsidRPr="00000000">
        <w:rPr>
          <w:rtl w:val="0"/>
        </w:rPr>
      </w:r>
    </w:p>
    <w:sdt>
      <w:sdtPr>
        <w:lock w:val="contentLocked"/>
        <w:id w:val="792859452"/>
        <w:tag w:val="goog_rdk_0"/>
      </w:sdtPr>
      <w:sdtContent>
        <w:tbl>
          <w:tblPr>
            <w:tblStyle w:val="Table2"/>
            <w:tblW w:w="9214.0" w:type="dxa"/>
            <w:jc w:val="left"/>
            <w:tblBorders>
              <w:top w:color="000000" w:space="0" w:sz="4" w:val="single"/>
              <w:bottom w:color="000000" w:space="0" w:sz="4" w:val="single"/>
            </w:tblBorders>
            <w:tblLayout w:type="fixed"/>
            <w:tblLook w:val="04A0"/>
          </w:tblPr>
          <w:tblGrid>
            <w:gridCol w:w="1227"/>
            <w:gridCol w:w="1072"/>
            <w:gridCol w:w="1072"/>
            <w:gridCol w:w="1361"/>
            <w:gridCol w:w="1361"/>
            <w:gridCol w:w="1105"/>
            <w:gridCol w:w="2016"/>
            <w:tblGridChange w:id="0">
              <w:tblGrid>
                <w:gridCol w:w="1227"/>
                <w:gridCol w:w="1072"/>
                <w:gridCol w:w="1072"/>
                <w:gridCol w:w="1361"/>
                <w:gridCol w:w="1361"/>
                <w:gridCol w:w="1105"/>
                <w:gridCol w:w="2016"/>
              </w:tblGrid>
            </w:tblGridChange>
          </w:tblGrid>
          <w:tr>
            <w:trPr>
              <w:cantSplit w:val="0"/>
              <w:tblHeader w:val="0"/>
            </w:trPr>
            <w:tc>
              <w:tcPr/>
              <w:p w:rsidR="00000000" w:rsidDel="00000000" w:rsidP="00000000" w:rsidRDefault="00000000" w:rsidRPr="00000000" w14:paraId="0000006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Dimensión CoI</w:t>
                </w:r>
              </w:p>
            </w:tc>
            <w:tc>
              <w:tcPr/>
              <w:p w:rsidR="00000000" w:rsidDel="00000000" w:rsidP="00000000" w:rsidRDefault="00000000" w:rsidRPr="00000000" w14:paraId="0000006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Pandemia M</w:t>
                </w:r>
              </w:p>
            </w:tc>
            <w:tc>
              <w:tcPr/>
              <w:p w:rsidR="00000000" w:rsidDel="00000000" w:rsidP="00000000" w:rsidRDefault="00000000" w:rsidRPr="00000000" w14:paraId="0000007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Pandemia DE</w:t>
                </w:r>
              </w:p>
            </w:tc>
            <w:tc>
              <w:tcPr/>
              <w:p w:rsidR="00000000" w:rsidDel="00000000" w:rsidP="00000000" w:rsidRDefault="00000000" w:rsidRPr="00000000" w14:paraId="0000007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Pospandemia M</w:t>
                </w:r>
              </w:p>
            </w:tc>
            <w:tc>
              <w:tcPr/>
              <w:p w:rsidR="00000000" w:rsidDel="00000000" w:rsidP="00000000" w:rsidRDefault="00000000" w:rsidRPr="00000000" w14:paraId="0000007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Pospandemia DE</w:t>
                </w:r>
              </w:p>
            </w:tc>
            <w:tc>
              <w:tcPr/>
              <w:p w:rsidR="00000000" w:rsidDel="00000000" w:rsidP="00000000" w:rsidRDefault="00000000" w:rsidRPr="00000000" w14:paraId="0000007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Diferencia</w:t>
                </w:r>
              </w:p>
            </w:tc>
            <w:tc>
              <w:tcPr/>
              <w:p w:rsidR="00000000" w:rsidDel="00000000" w:rsidP="00000000" w:rsidRDefault="00000000" w:rsidRPr="00000000" w14:paraId="0000007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Interpretación</w:t>
                </w:r>
              </w:p>
            </w:tc>
          </w:tr>
          <w:tr>
            <w:trPr>
              <w:cantSplit w:val="0"/>
              <w:tblHeader w:val="0"/>
            </w:trPr>
            <w:tc>
              <w:tcPr>
                <w:shd w:fill="auto" w:val="clear"/>
              </w:tcPr>
              <w:p w:rsidR="00000000" w:rsidDel="00000000" w:rsidP="00000000" w:rsidRDefault="00000000" w:rsidRPr="00000000" w14:paraId="0000007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Presencia docente</w:t>
                </w:r>
              </w:p>
            </w:tc>
            <w:tc>
              <w:tcPr>
                <w:shd w:fill="auto" w:val="clear"/>
              </w:tcPr>
              <w:p w:rsidR="00000000" w:rsidDel="00000000" w:rsidP="00000000" w:rsidRDefault="00000000" w:rsidRPr="00000000" w14:paraId="00000076">
                <w:pPr>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3,46</w:t>
                </w:r>
              </w:p>
            </w:tc>
            <w:tc>
              <w:tcPr>
                <w:shd w:fill="auto" w:val="clear"/>
              </w:tcPr>
              <w:p w:rsidR="00000000" w:rsidDel="00000000" w:rsidP="00000000" w:rsidRDefault="00000000" w:rsidRPr="00000000" w14:paraId="00000077">
                <w:pPr>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0,91</w:t>
                </w:r>
              </w:p>
            </w:tc>
            <w:tc>
              <w:tcPr>
                <w:shd w:fill="auto" w:val="clear"/>
              </w:tcPr>
              <w:p w:rsidR="00000000" w:rsidDel="00000000" w:rsidP="00000000" w:rsidRDefault="00000000" w:rsidRPr="00000000" w14:paraId="00000078">
                <w:pPr>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3,85</w:t>
                </w:r>
              </w:p>
            </w:tc>
            <w:tc>
              <w:tcPr>
                <w:shd w:fill="auto" w:val="clear"/>
              </w:tcPr>
              <w:p w:rsidR="00000000" w:rsidDel="00000000" w:rsidP="00000000" w:rsidRDefault="00000000" w:rsidRPr="00000000" w14:paraId="00000079">
                <w:pPr>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0,66</w:t>
                </w:r>
              </w:p>
            </w:tc>
            <w:tc>
              <w:tcPr>
                <w:shd w:fill="auto" w:val="clear"/>
              </w:tcPr>
              <w:p w:rsidR="00000000" w:rsidDel="00000000" w:rsidP="00000000" w:rsidRDefault="00000000" w:rsidRPr="00000000" w14:paraId="0000007A">
                <w:pPr>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+0,39</w:t>
                </w:r>
              </w:p>
            </w:tc>
            <w:tc>
              <w:tcPr>
                <w:shd w:fill="auto" w:val="clear"/>
              </w:tcPr>
              <w:p w:rsidR="00000000" w:rsidDel="00000000" w:rsidP="00000000" w:rsidRDefault="00000000" w:rsidRPr="00000000" w14:paraId="0000007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Aumenta en pospandemia</w:t>
                </w:r>
              </w:p>
            </w:tc>
          </w:tr>
          <w:tr>
            <w:trPr>
              <w:cantSplit w:val="0"/>
              <w:tblHeader w:val="0"/>
            </w:trPr>
            <w:tc>
              <w:tcPr>
                <w:shd w:fill="auto" w:val="clear"/>
              </w:tcPr>
              <w:p w:rsidR="00000000" w:rsidDel="00000000" w:rsidP="00000000" w:rsidRDefault="00000000" w:rsidRPr="00000000" w14:paraId="0000007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Presencia social</w:t>
                </w:r>
              </w:p>
            </w:tc>
            <w:tc>
              <w:tcPr>
                <w:shd w:fill="auto" w:val="clear"/>
              </w:tcPr>
              <w:p w:rsidR="00000000" w:rsidDel="00000000" w:rsidP="00000000" w:rsidRDefault="00000000" w:rsidRPr="00000000" w14:paraId="0000007D">
                <w:pPr>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3,27</w:t>
                </w:r>
              </w:p>
            </w:tc>
            <w:tc>
              <w:tcPr>
                <w:shd w:fill="auto" w:val="clear"/>
              </w:tcPr>
              <w:p w:rsidR="00000000" w:rsidDel="00000000" w:rsidP="00000000" w:rsidRDefault="00000000" w:rsidRPr="00000000" w14:paraId="0000007E">
                <w:pPr>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1,08</w:t>
                </w:r>
              </w:p>
            </w:tc>
            <w:tc>
              <w:tcPr>
                <w:shd w:fill="auto" w:val="clear"/>
              </w:tcPr>
              <w:p w:rsidR="00000000" w:rsidDel="00000000" w:rsidP="00000000" w:rsidRDefault="00000000" w:rsidRPr="00000000" w14:paraId="0000007F">
                <w:pPr>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2,96</w:t>
                </w:r>
              </w:p>
            </w:tc>
            <w:tc>
              <w:tcPr>
                <w:shd w:fill="auto" w:val="clear"/>
              </w:tcPr>
              <w:p w:rsidR="00000000" w:rsidDel="00000000" w:rsidP="00000000" w:rsidRDefault="00000000" w:rsidRPr="00000000" w14:paraId="00000080">
                <w:pPr>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0,97</w:t>
                </w:r>
              </w:p>
            </w:tc>
            <w:tc>
              <w:tcPr>
                <w:shd w:fill="auto" w:val="clear"/>
              </w:tcPr>
              <w:p w:rsidR="00000000" w:rsidDel="00000000" w:rsidP="00000000" w:rsidRDefault="00000000" w:rsidRPr="00000000" w14:paraId="00000081">
                <w:pPr>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-0,31</w:t>
                </w:r>
              </w:p>
            </w:tc>
            <w:tc>
              <w:tcPr>
                <w:shd w:fill="auto" w:val="clear"/>
              </w:tcPr>
              <w:p w:rsidR="00000000" w:rsidDel="00000000" w:rsidP="00000000" w:rsidRDefault="00000000" w:rsidRPr="00000000" w14:paraId="0000008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Disminuye en pospandemia</w:t>
                </w:r>
              </w:p>
            </w:tc>
          </w:tr>
          <w:tr>
            <w:trPr>
              <w:cantSplit w:val="0"/>
              <w:tblHeader w:val="0"/>
            </w:trPr>
            <w:tc>
              <w:tcPr>
                <w:shd w:fill="auto" w:val="clear"/>
              </w:tcPr>
              <w:p w:rsidR="00000000" w:rsidDel="00000000" w:rsidP="00000000" w:rsidRDefault="00000000" w:rsidRPr="00000000" w14:paraId="0000008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Presencia cognitiva</w:t>
                </w:r>
              </w:p>
            </w:tc>
            <w:tc>
              <w:tcPr>
                <w:shd w:fill="auto" w:val="clear"/>
              </w:tcPr>
              <w:p w:rsidR="00000000" w:rsidDel="00000000" w:rsidP="00000000" w:rsidRDefault="00000000" w:rsidRPr="00000000" w14:paraId="00000084">
                <w:pPr>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3,47</w:t>
                </w:r>
              </w:p>
            </w:tc>
            <w:tc>
              <w:tcPr>
                <w:shd w:fill="auto" w:val="clear"/>
              </w:tcPr>
              <w:p w:rsidR="00000000" w:rsidDel="00000000" w:rsidP="00000000" w:rsidRDefault="00000000" w:rsidRPr="00000000" w14:paraId="00000085">
                <w:pPr>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0,94</w:t>
                </w:r>
              </w:p>
            </w:tc>
            <w:tc>
              <w:tcPr>
                <w:shd w:fill="auto" w:val="clear"/>
              </w:tcPr>
              <w:p w:rsidR="00000000" w:rsidDel="00000000" w:rsidP="00000000" w:rsidRDefault="00000000" w:rsidRPr="00000000" w14:paraId="00000086">
                <w:pPr>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3,68</w:t>
                </w:r>
              </w:p>
            </w:tc>
            <w:tc>
              <w:tcPr>
                <w:shd w:fill="auto" w:val="clear"/>
              </w:tcPr>
              <w:p w:rsidR="00000000" w:rsidDel="00000000" w:rsidP="00000000" w:rsidRDefault="00000000" w:rsidRPr="00000000" w14:paraId="00000087">
                <w:pPr>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0,47</w:t>
                </w:r>
              </w:p>
            </w:tc>
            <w:tc>
              <w:tcPr>
                <w:shd w:fill="auto" w:val="clear"/>
              </w:tcPr>
              <w:p w:rsidR="00000000" w:rsidDel="00000000" w:rsidP="00000000" w:rsidRDefault="00000000" w:rsidRPr="00000000" w14:paraId="00000088">
                <w:pPr>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+0,21</w:t>
                </w:r>
              </w:p>
            </w:tc>
            <w:tc>
              <w:tcPr>
                <w:shd w:fill="auto" w:val="clear"/>
              </w:tcPr>
              <w:p w:rsidR="00000000" w:rsidDel="00000000" w:rsidP="00000000" w:rsidRDefault="00000000" w:rsidRPr="00000000" w14:paraId="0000008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Aumenta levemente</w:t>
                </w:r>
              </w:p>
            </w:tc>
          </w:tr>
          <w:tr>
            <w:trPr>
              <w:cantSplit w:val="0"/>
              <w:tblHeader w:val="0"/>
            </w:trPr>
            <w:tc>
              <w:tcPr>
                <w:shd w:fill="auto" w:val="clear"/>
              </w:tcPr>
              <w:p w:rsidR="00000000" w:rsidDel="00000000" w:rsidP="00000000" w:rsidRDefault="00000000" w:rsidRPr="00000000" w14:paraId="0000008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CoI total común</w:t>
                </w:r>
              </w:p>
            </w:tc>
            <w:tc>
              <w:tcPr>
                <w:shd w:fill="auto" w:val="clear"/>
              </w:tcPr>
              <w:p w:rsidR="00000000" w:rsidDel="00000000" w:rsidP="00000000" w:rsidRDefault="00000000" w:rsidRPr="00000000" w14:paraId="0000008B">
                <w:pPr>
                  <w:jc w:val="righ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3,41</w:t>
                </w:r>
              </w:p>
            </w:tc>
            <w:tc>
              <w:tcPr>
                <w:shd w:fill="auto" w:val="clear"/>
              </w:tcPr>
              <w:p w:rsidR="00000000" w:rsidDel="00000000" w:rsidP="00000000" w:rsidRDefault="00000000" w:rsidRPr="00000000" w14:paraId="0000008C">
                <w:pPr>
                  <w:jc w:val="righ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0,88</w:t>
                </w:r>
              </w:p>
            </w:tc>
            <w:tc>
              <w:tcPr>
                <w:shd w:fill="auto" w:val="clear"/>
              </w:tcPr>
              <w:p w:rsidR="00000000" w:rsidDel="00000000" w:rsidP="00000000" w:rsidRDefault="00000000" w:rsidRPr="00000000" w14:paraId="0000008D">
                <w:pPr>
                  <w:jc w:val="righ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3,55</w:t>
                </w:r>
              </w:p>
            </w:tc>
            <w:tc>
              <w:tcPr>
                <w:shd w:fill="auto" w:val="clear"/>
              </w:tcPr>
              <w:p w:rsidR="00000000" w:rsidDel="00000000" w:rsidP="00000000" w:rsidRDefault="00000000" w:rsidRPr="00000000" w14:paraId="0000008E">
                <w:pPr>
                  <w:jc w:val="righ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0,58</w:t>
                </w:r>
              </w:p>
            </w:tc>
            <w:tc>
              <w:tcPr>
                <w:shd w:fill="auto" w:val="clear"/>
              </w:tcPr>
              <w:p w:rsidR="00000000" w:rsidDel="00000000" w:rsidP="00000000" w:rsidRDefault="00000000" w:rsidRPr="00000000" w14:paraId="0000008F">
                <w:pPr>
                  <w:jc w:val="righ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+0,14</w:t>
                </w:r>
              </w:p>
            </w:tc>
            <w:tc>
              <w:tcPr>
                <w:shd w:fill="auto" w:val="clear"/>
              </w:tcPr>
              <w:p w:rsidR="00000000" w:rsidDel="00000000" w:rsidP="00000000" w:rsidRDefault="00000000" w:rsidRPr="00000000" w14:paraId="00000090">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Cambio global leve</w:t>
                </w:r>
              </w:p>
            </w:tc>
          </w:tr>
        </w:tbl>
      </w:sdtContent>
    </w:sdt>
    <w:p w:rsidR="00000000" w:rsidDel="00000000" w:rsidP="00000000" w:rsidRDefault="00000000" w:rsidRPr="00000000" w14:paraId="0000009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Nota: Elaboración propia a partir de los datos recolectados mediante cuestionario. Contraste t de Welch para muestras independientes (pandemia n = 150, pospandemia n = 60). Orden del contraste: pandemia–pospandemia.</w:t>
      </w:r>
    </w:p>
    <w:p w:rsidR="00000000" w:rsidDel="00000000" w:rsidP="00000000" w:rsidRDefault="00000000" w:rsidRPr="00000000" w14:paraId="0000009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transición de la virtualización intensiva al escenario </w:t>
      </w:r>
      <w:r w:rsidDel="00000000" w:rsidR="00000000" w:rsidRPr="00000000">
        <w:rPr>
          <w:rFonts w:ascii="Times New Roman" w:cs="Times New Roman" w:eastAsia="Times New Roman" w:hAnsi="Times New Roman"/>
          <w:rtl w:val="0"/>
        </w:rPr>
        <w:t xml:space="preserve">pospandémico</w:t>
      </w:r>
      <w:r w:rsidDel="00000000" w:rsidR="00000000" w:rsidRPr="00000000">
        <w:rPr>
          <w:rFonts w:ascii="Times New Roman" w:cs="Times New Roman" w:eastAsia="Times New Roman" w:hAnsi="Times New Roman"/>
          <w:rtl w:val="0"/>
        </w:rPr>
        <w:t xml:space="preserve"> no produjo una disminución homogénea de la experiencia mediada por plataformas, sino una reconfiguración interna de sus dimensiones pedagógicas: la presencia docente y la presencia cognitiva aumentaron de forma estadísticamente significativa, mientras que la presencia social (la única dimensión que mostró valores más altos durante la pandemia) no alcanzó una diferencia significativa, aunque sí una tendencia en esa dirección.</w:t>
      </w:r>
    </w:p>
    <w:p w:rsidR="00000000" w:rsidDel="00000000" w:rsidP="00000000" w:rsidRDefault="00000000" w:rsidRPr="00000000" w14:paraId="0000009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Cabe recordar que estos resultados corresponden a un informe de avance con una muestra pospandémica de n = 60, y que las muestras de ambos periodos no son sociodemográficamente equivalentes, lo que invita a interpretar estos hallazgos con la cautela que corresponde a una etapa preliminar del estudio.</w:t>
      </w:r>
    </w:p>
    <w:p w:rsidR="00000000" w:rsidDel="00000000" w:rsidP="00000000" w:rsidRDefault="00000000" w:rsidRPr="00000000" w14:paraId="0000009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7">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Discusión</w:t>
      </w:r>
    </w:p>
    <w:p w:rsidR="00000000" w:rsidDel="00000000" w:rsidP="00000000" w:rsidRDefault="00000000" w:rsidRPr="00000000" w14:paraId="0000009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resultados obtenidos en este estudio permiten reflexionar sobre la reconfiguración de las dimensiones pedagógicas del modelo </w:t>
      </w:r>
      <w:r w:rsidDel="00000000" w:rsidR="00000000" w:rsidRPr="00000000">
        <w:rPr>
          <w:rFonts w:ascii="Times New Roman" w:cs="Times New Roman" w:eastAsia="Times New Roman" w:hAnsi="Times New Roman"/>
          <w:i w:val="1"/>
          <w:iCs w:val="1"/>
          <w:rtl w:val="0"/>
        </w:rPr>
        <w:t xml:space="preserve">Community of Inquiry</w:t>
      </w:r>
      <w:r w:rsidDel="00000000" w:rsidR="00000000" w:rsidRPr="00000000">
        <w:rPr>
          <w:rFonts w:ascii="Times New Roman" w:cs="Times New Roman" w:eastAsia="Times New Roman" w:hAnsi="Times New Roman"/>
          <w:rtl w:val="0"/>
        </w:rPr>
        <w:t xml:space="preserve"> en el tránsito entre dos contextos de integración tecnológica cualitativamente distintos: la virtualización intensiva del periodo pandémico (2020-2021) y el uso regulado de plataformas en el escenario </w:t>
      </w:r>
      <w:r w:rsidDel="00000000" w:rsidR="00000000" w:rsidRPr="00000000">
        <w:rPr>
          <w:rFonts w:ascii="Times New Roman" w:cs="Times New Roman" w:eastAsia="Times New Roman" w:hAnsi="Times New Roman"/>
          <w:rtl w:val="0"/>
        </w:rPr>
        <w:t xml:space="preserve">pospandémico</w:t>
      </w:r>
      <w:r w:rsidDel="00000000" w:rsidR="00000000" w:rsidRPr="00000000">
        <w:rPr>
          <w:rFonts w:ascii="Times New Roman" w:cs="Times New Roman" w:eastAsia="Times New Roman" w:hAnsi="Times New Roman"/>
          <w:rtl w:val="0"/>
        </w:rPr>
        <w:t xml:space="preserve"> (2026). A continuación, se discuten los hallazgos por dimensión, en diálogo con los antecedentes teóricos y empíricos presentados en la introducción.</w:t>
      </w:r>
      <w:r w:rsidDel="00000000" w:rsidR="00000000" w:rsidRPr="00000000">
        <w:rPr>
          <w:rtl w:val="0"/>
        </w:rPr>
      </w:r>
    </w:p>
    <w:p w:rsidR="00000000" w:rsidDel="00000000" w:rsidP="00000000" w:rsidRDefault="00000000" w:rsidRPr="00000000" w14:paraId="00000099">
      <w:pPr>
        <w:pStyle w:val="Heading4"/>
        <w:keepNext w:val="0"/>
        <w:keepLines w:val="0"/>
        <w:spacing w:before="240" w:line="240" w:lineRule="auto"/>
        <w:rPr>
          <w:rFonts w:ascii="Times New Roman" w:cs="Times New Roman" w:eastAsia="Times New Roman" w:hAnsi="Times New Roman"/>
          <w:b w:val="1"/>
          <w:bCs w:val="1"/>
          <w:i w:val="0"/>
          <w:iCs w:val="0"/>
          <w:color w:val="000000"/>
          <w:sz w:val="22"/>
          <w:szCs w:val="22"/>
        </w:rPr>
      </w:pPr>
      <w:bookmarkStart w:colFirst="0" w:colLast="0" w:name="_heading=h.99brbjdqsx6m" w:id="0"/>
      <w:bookmarkEnd w:id="0"/>
      <w:r w:rsidDel="00000000" w:rsidR="00000000" w:rsidRPr="00000000">
        <w:rPr>
          <w:rFonts w:ascii="Times New Roman" w:cs="Times New Roman" w:eastAsia="Times New Roman" w:hAnsi="Times New Roman"/>
          <w:b w:val="1"/>
          <w:bCs w:val="1"/>
          <w:i w:val="0"/>
          <w:iCs w:val="0"/>
          <w:color w:val="000000"/>
          <w:rtl w:val="0"/>
        </w:rPr>
        <w:t xml:space="preserve">Presencia docente: consolidación de una mediación más focalizada</w:t>
      </w:r>
      <w:r w:rsidDel="00000000" w:rsidR="00000000" w:rsidRPr="00000000">
        <w:rPr>
          <w:rtl w:val="0"/>
        </w:rPr>
      </w:r>
    </w:p>
    <w:p w:rsidR="00000000" w:rsidDel="00000000" w:rsidP="00000000" w:rsidRDefault="00000000" w:rsidRPr="00000000" w14:paraId="0000009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resultados evidencian que la presencia docente fue significativamente mayor en el periodo </w:t>
      </w:r>
      <w:r w:rsidDel="00000000" w:rsidR="00000000" w:rsidRPr="00000000">
        <w:rPr>
          <w:rFonts w:ascii="Times New Roman" w:cs="Times New Roman" w:eastAsia="Times New Roman" w:hAnsi="Times New Roman"/>
          <w:rtl w:val="0"/>
        </w:rPr>
        <w:t xml:space="preserve">pospandémico</w:t>
      </w:r>
      <w:r w:rsidDel="00000000" w:rsidR="00000000" w:rsidRPr="00000000">
        <w:rPr>
          <w:rFonts w:ascii="Times New Roman" w:cs="Times New Roman" w:eastAsia="Times New Roman" w:hAnsi="Times New Roman"/>
          <w:rtl w:val="0"/>
        </w:rPr>
        <w:t xml:space="preserve"> que durante la virtualización intensiva, con una diferencia estadísticamente significativa. Este hallazgo resulta en principio contraintuitivo, ya que cabría esperar que la presencia docente hubiera sido más alta durante la pandemia, cuando las plataformas concentraban prácticamente la totalidad de la mediación pedagógica. Sin embargo, este resultado adquiere coherencia a la luz de lo documentado por Crespo Cabuto et al. (2024), quienes señalan que, en el escenario posterior a la pandemia, la integración de tecnologías digitales por parte del profesorado universitario adoptó funciones más específicas y mejor delimitadas, asociadas a la organización del curso, la comunicación de plazos, la claridad de consignas y la retroalimentación, que son precisamente los aspectos mejor valorados en la dimensión de presencia docente del modelo CoI.</w:t>
      </w:r>
    </w:p>
    <w:p w:rsidR="00000000" w:rsidDel="00000000" w:rsidP="00000000" w:rsidRDefault="00000000" w:rsidRPr="00000000" w14:paraId="0000009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Una interpretación posible es que, durante la pandemia, la plataforma funcionó como sustituto integral del aula presencial, lo cual impuso al docente la necesidad de gestionar simultáneamente múltiples funciones para las que no siempre contaba con preparación ni condiciones adecuadas. En línea con lo documentado por Lago Martínez et al. (2024) en el contexto de la Universidad de Buenos Aires, la virtualización forzosa implicó una reorganización abrupta de las prácticas educativas que en muchos casos generó incertidumbre, sobrecarga y heterogeneidad en la calidad de la mediación docente. </w:t>
      </w:r>
    </w:p>
    <w:p w:rsidR="00000000" w:rsidDel="00000000" w:rsidP="00000000" w:rsidRDefault="00000000" w:rsidRPr="00000000" w14:paraId="0000009C">
      <w:pPr>
        <w:spacing w:after="240" w:before="24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En cambio, actualmente, la plataforma opera en un rol complementario y acotado dentro de un contexto predominantemente presencial, lo que parecería haber contribuido a que los docentes pudieran desempeñar con mayor eficacia las funciones organizativas y de acompañamiento que la plataforma sostiene. Este resultado sugiere que la mejora en la presencia docente no responde a un mayor uso de plataformas, sino a un uso más intencional, planificado y funcionalmente específico de las mismas.</w:t>
      </w:r>
      <w:r w:rsidDel="00000000" w:rsidR="00000000" w:rsidRPr="00000000">
        <w:rPr>
          <w:rtl w:val="0"/>
        </w:rPr>
      </w:r>
    </w:p>
    <w:p w:rsidR="00000000" w:rsidDel="00000000" w:rsidP="00000000" w:rsidRDefault="00000000" w:rsidRPr="00000000" w14:paraId="0000009D">
      <w:pPr>
        <w:pStyle w:val="Heading4"/>
        <w:keepNext w:val="0"/>
        <w:keepLines w:val="0"/>
        <w:spacing w:before="240" w:line="240" w:lineRule="auto"/>
        <w:rPr>
          <w:rFonts w:ascii="Times New Roman" w:cs="Times New Roman" w:eastAsia="Times New Roman" w:hAnsi="Times New Roman"/>
          <w:b w:val="1"/>
          <w:bCs w:val="1"/>
          <w:i w:val="0"/>
          <w:iCs w:val="0"/>
          <w:color w:val="000000"/>
          <w:sz w:val="22"/>
          <w:szCs w:val="22"/>
        </w:rPr>
      </w:pPr>
      <w:bookmarkStart w:colFirst="0" w:colLast="0" w:name="_heading=h.3nbu0axt6utu" w:id="1"/>
      <w:bookmarkEnd w:id="1"/>
      <w:r w:rsidDel="00000000" w:rsidR="00000000" w:rsidRPr="00000000">
        <w:rPr>
          <w:rFonts w:ascii="Times New Roman" w:cs="Times New Roman" w:eastAsia="Times New Roman" w:hAnsi="Times New Roman"/>
          <w:b w:val="1"/>
          <w:bCs w:val="1"/>
          <w:i w:val="0"/>
          <w:iCs w:val="0"/>
          <w:color w:val="000000"/>
          <w:rtl w:val="0"/>
        </w:rPr>
        <w:t xml:space="preserve">Presencia social: la comunidad académica en línea como dimensión vulnerable</w:t>
      </w:r>
      <w:r w:rsidDel="00000000" w:rsidR="00000000" w:rsidRPr="00000000">
        <w:rPr>
          <w:rtl w:val="0"/>
        </w:rPr>
      </w:r>
    </w:p>
    <w:p w:rsidR="00000000" w:rsidDel="00000000" w:rsidP="00000000" w:rsidRDefault="00000000" w:rsidRPr="00000000" w14:paraId="0000009E">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presencia social fue la única dimensión que mostró valores más altos durante la virtualización intensiva que en el escenario actual, aunque la diferencia no alcanzó significación estadística al nivel convencional. A pesar de no ser estadísticamente concluyente, este resultado es pedagógicamente relevante y merece una lectura cuidadosa, especialmente si se considera que esta dimensión es la más débil del modelo CoI en el contexto </w:t>
      </w:r>
      <w:r w:rsidDel="00000000" w:rsidR="00000000" w:rsidRPr="00000000">
        <w:rPr>
          <w:rFonts w:ascii="Times New Roman" w:cs="Times New Roman" w:eastAsia="Times New Roman" w:hAnsi="Times New Roman"/>
          <w:rtl w:val="0"/>
        </w:rPr>
        <w:t xml:space="preserve">pospandémico</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9F">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resultado es coherente con lo reportado por Espinosa Guerrero et al. (2024), quienes documentaron que estudiantes universitarios que habían transitado por ambas modalidades expresaban una preferencia marcada por las clases presenciales, precisamente porque permiten una interacción social más rica y estimulante. Paradójicamente, este mismo argumento ayuda a explicar por qué la presencia social fue mayor durante la emergencia sanitaria cuando la plataforma era el único espacio disponible para la interacción entre pares y la construcción de comunidad académica, concentrando en el entorno digital una intensidad comunicativa que no tenía canales alternativos.</w:t>
      </w:r>
    </w:p>
    <w:p w:rsidR="00000000" w:rsidDel="00000000" w:rsidP="00000000" w:rsidRDefault="00000000" w:rsidRPr="00000000" w14:paraId="000000A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retornar la presencialidad, esa interacción migra hacia el aula física y la plataforma pierde su función como espacio de socialización, manteniéndose principalmente como repositorio de materiales y gestor de actividades.</w:t>
      </w:r>
    </w:p>
    <w:p w:rsidR="00000000" w:rsidDel="00000000" w:rsidP="00000000" w:rsidRDefault="00000000" w:rsidRPr="00000000" w14:paraId="000000A1">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esta línea, Gutiérrez Porlán et al. (2017) ya habían advertido que la presencia social en entornos virtuales no emerge de manera espontánea por el solo hecho de compartir una plataforma, sino que depende de condiciones específicas de diseño pedagógico que promuevan la interacción, la cohesión grupal y el sentido de pertenencia. </w:t>
      </w:r>
    </w:p>
    <w:p w:rsidR="00000000" w:rsidDel="00000000" w:rsidP="00000000" w:rsidRDefault="00000000" w:rsidRPr="00000000" w14:paraId="000000A2">
      <w:pPr>
        <w:spacing w:after="240" w:before="24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La reducción observada en el escenario actual parece indicar que, al desaparecer la urgencia de sostener toda la experiencia social en el entorno digital, las estrategias orientadas a construir comunidad académica en línea pierden protagonismo en el diseño del curso. Esto constituye una señal de alerta relevante para la gestión pedagógica de los modelos híbridos, la disponibilidad de una plataforma activa no garantiza por sí misma la continuidad de los vínculos colaborativos.</w:t>
      </w:r>
      <w:r w:rsidDel="00000000" w:rsidR="00000000" w:rsidRPr="00000000">
        <w:rPr>
          <w:rtl w:val="0"/>
        </w:rPr>
      </w:r>
    </w:p>
    <w:p w:rsidR="00000000" w:rsidDel="00000000" w:rsidP="00000000" w:rsidRDefault="00000000" w:rsidRPr="00000000" w14:paraId="000000A3">
      <w:pPr>
        <w:pStyle w:val="Heading4"/>
        <w:keepNext w:val="0"/>
        <w:keepLines w:val="0"/>
        <w:spacing w:before="240" w:line="240" w:lineRule="auto"/>
        <w:rPr>
          <w:rFonts w:ascii="Times New Roman" w:cs="Times New Roman" w:eastAsia="Times New Roman" w:hAnsi="Times New Roman"/>
          <w:b w:val="1"/>
          <w:bCs w:val="1"/>
          <w:i w:val="0"/>
          <w:iCs w:val="0"/>
          <w:color w:val="000000"/>
          <w:sz w:val="22"/>
          <w:szCs w:val="22"/>
        </w:rPr>
      </w:pPr>
      <w:bookmarkStart w:colFirst="0" w:colLast="0" w:name="_heading=h.wqt2saug7ni5" w:id="2"/>
      <w:bookmarkEnd w:id="2"/>
      <w:r w:rsidDel="00000000" w:rsidR="00000000" w:rsidRPr="00000000">
        <w:rPr>
          <w:rFonts w:ascii="Times New Roman" w:cs="Times New Roman" w:eastAsia="Times New Roman" w:hAnsi="Times New Roman"/>
          <w:b w:val="1"/>
          <w:bCs w:val="1"/>
          <w:i w:val="0"/>
          <w:iCs w:val="0"/>
          <w:color w:val="000000"/>
          <w:rtl w:val="0"/>
        </w:rPr>
        <w:t xml:space="preserve">Presencia cognitiva: consolidación del aprendizaje autónomo apoyado digitalmente</w:t>
      </w:r>
      <w:r w:rsidDel="00000000" w:rsidR="00000000" w:rsidRPr="00000000">
        <w:rPr>
          <w:rtl w:val="0"/>
        </w:rPr>
      </w:r>
    </w:p>
    <w:p w:rsidR="00000000" w:rsidDel="00000000" w:rsidP="00000000" w:rsidRDefault="00000000" w:rsidRPr="00000000" w14:paraId="000000A4">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presencia cognitiva presentó una variación positiva significativa en los periodos analizados, Además de la diferencia en las medias, resulta especialmente relevante la notable reducción de la dispersión entre periodos, la desviación estándar disminuye de 0,94 a 0,47, lo que indica que en la pospandemia no solo aumenta la valoración promedio de la presencia cognitiva, sino que esa valoración es considerablemente más homogénea entre los estudiantes.</w:t>
      </w:r>
    </w:p>
    <w:p w:rsidR="00000000" w:rsidDel="00000000" w:rsidP="00000000" w:rsidRDefault="00000000" w:rsidRPr="00000000" w14:paraId="000000A5">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Estos datos pueden interpretarse a partir de lo señalado por Heredia Escorza et al. (2025), quienes, en una revisión sistemática sobre estrategias de enseñanza en la educación virtual del periodo actual, identificaron la autonomía en el aprendizaje y la personalización como componentes que se consolidan en este escenario. En efecto, cuando la plataforma deja de ser el espacio central de la enseñanza y adopta un rol de apoyo, los estudiantes parecen relacionarse con ella de manera más autónoma y selectiva, la utilizan para acceder a materiales, organizar actividades, integrar información y resolver tareas académicas, funciones que corresponden precisamente a los indicadores de presencia cognitiva mejor valorados en el instrumento CoI. </w:t>
      </w:r>
    </w:p>
    <w:p w:rsidR="00000000" w:rsidDel="00000000" w:rsidP="00000000" w:rsidRDefault="00000000" w:rsidRPr="00000000" w14:paraId="000000A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interpretación es coherente con los hallazgos de Padilla et al. (2015), quienes documentaron que la presencia cognitiva en comunidades de aprendizaje en línea se fortalece cuando los estudiantes pueden explorar contenidos, integrar diversas fuentes de información y aplicar lo aprendido a situaciones concretas.</w:t>
      </w:r>
    </w:p>
    <w:p w:rsidR="00000000" w:rsidDel="00000000" w:rsidP="00000000" w:rsidRDefault="00000000" w:rsidRPr="00000000" w14:paraId="000000A7">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reducción de la dispersión también invita a una lectura vinculada a las desigualdades documentadas durante la emergencia sanitaria. Durante la virtualización intensiva, las condiciones heterogéneas de acceso, conectividad y competencias digitales de los estudiantes, señaladas por Acuña Ortigoza y Sánchez Acuña (2020) como variables que condicionaron profundamente las experiencias formativas, generaron trayectorias cognitivas muy distintas dentro de una misma cohorte. </w:t>
      </w:r>
    </w:p>
    <w:p w:rsidR="00000000" w:rsidDel="00000000" w:rsidP="00000000" w:rsidRDefault="00000000" w:rsidRPr="00000000" w14:paraId="000000A8">
      <w:pPr>
        <w:spacing w:after="240" w:before="24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El retorno a la presencialidad como modalidad central parecería haber reducido esas asimetrías en la experiencia cognitiva mediada digitalmente, al menos en lo que respecta a la percepción que los propios estudiantes tienen de su proceso de construcción de conocimiento.</w:t>
      </w:r>
      <w:r w:rsidDel="00000000" w:rsidR="00000000" w:rsidRPr="00000000">
        <w:rPr>
          <w:rtl w:val="0"/>
        </w:rPr>
      </w:r>
    </w:p>
    <w:p w:rsidR="00000000" w:rsidDel="00000000" w:rsidP="00000000" w:rsidRDefault="00000000" w:rsidRPr="00000000" w14:paraId="000000A9">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Conclusiones</w:t>
      </w:r>
    </w:p>
    <w:p w:rsidR="00000000" w:rsidDel="00000000" w:rsidP="00000000" w:rsidRDefault="00000000" w:rsidRPr="00000000" w14:paraId="000000A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resultados obtenidos, si bien corresponden a un informe de avance con una muestra de carácter preliminar, permiten formular un conjunto de conclusiones con sustento empírico y relevancia pedagógica para el contexto de estudio.</w:t>
      </w:r>
    </w:p>
    <w:p w:rsidR="00000000" w:rsidDel="00000000" w:rsidP="00000000" w:rsidRDefault="00000000" w:rsidRPr="00000000" w14:paraId="000000A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mediación docente a través de plataformas virtuales no se debilitó con el retorno a la presencialidad, sino que se reestructuró hacia funciones más específicas, mejor valoradas por los estudiantes. La plataforma digital dejó de operar como sustituto del aula y comenzó a funcionar como soporte de gestión pedagógica complementario a la enseñanza presencial. </w:t>
      </w:r>
    </w:p>
    <w:p w:rsidR="00000000" w:rsidDel="00000000" w:rsidP="00000000" w:rsidRDefault="00000000" w:rsidRPr="00000000" w14:paraId="000000A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debilitamiento de la presencia social muestra que la persistencia de los entornos digitales no garantiza por sí misma la continuidad de las dinámicas colaborativas construidas durante la virtualización intensiva, siendo la dimensión del modelo CoI que más requiere de intervención pedagógica intencional en los modelos híbridos emergentes.</w:t>
      </w:r>
    </w:p>
    <w:p w:rsidR="00000000" w:rsidDel="00000000" w:rsidP="00000000" w:rsidRDefault="00000000" w:rsidRPr="00000000" w14:paraId="000000A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resultados de la dimensión presencia cognitiva permiten concluir que, cuando las plataformas operan con funciones específicas y bien delimitadas, su aporte al proceso de construcción de conocimiento es percibido como más efectivo que cuando deben sostener la totalidad de la experiencia educativa. La presencia cognitiva parece beneficiarse de un uso regulado y autónomo de la plataforma, en el que el estudiante accede a los recursos digitales con propósitos definidos, sin la sobrecarga de tener que sostener simultáneamente toda su vida académica en el entorno virtual.</w:t>
      </w:r>
    </w:p>
    <w:p w:rsidR="00000000" w:rsidDel="00000000" w:rsidP="00000000" w:rsidRDefault="00000000" w:rsidRPr="00000000" w14:paraId="000000A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tres dimensiones del modelo CoI describen una adaptación antes que una regresión, es decir los resultados no representan un retroceso en la integración pedagógica de las plataformas digitales, sino un reacomodamiento de sus funciones y de los equilibrios entre sus dimensiones. Presencia docente y presencia cognitiva se fortalecen cuando la plataforma adopta un rol complementario; presencia social tiende a debilitarse cuando el encuentro físico recupera centralidad. Esta asimetría es el hallazgo más relevante del estudio y el que ofrece orientaciones más concretas para el diseño pedagógico en el escenario </w:t>
      </w:r>
      <w:r w:rsidDel="00000000" w:rsidR="00000000" w:rsidRPr="00000000">
        <w:rPr>
          <w:rFonts w:ascii="Times New Roman" w:cs="Times New Roman" w:eastAsia="Times New Roman" w:hAnsi="Times New Roman"/>
          <w:rtl w:val="0"/>
        </w:rPr>
        <w:t xml:space="preserve">pospandémico</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A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términos de implicancias para la política institucional, los resultados respaldan la pertinencia de marcos normativos como la Resolución CONES N.° 09/2024, que regula el uso de tecnologías digitales como apoyo a la enseñanza presencial en Paraguay, al tiempo que señalan que su implementación requiere ir acompañada de estrategias pedagógicas específicas orientadas a sostener la presencia social en los entornos digitales. </w:t>
      </w:r>
    </w:p>
    <w:p w:rsidR="00000000" w:rsidDel="00000000" w:rsidP="00000000" w:rsidRDefault="00000000" w:rsidRPr="00000000" w14:paraId="000000B0">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1">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 </w:t>
      </w:r>
    </w:p>
    <w:p w:rsidR="00000000" w:rsidDel="00000000" w:rsidP="00000000" w:rsidRDefault="00000000" w:rsidRPr="00000000" w14:paraId="000000B2">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Acuña Ortigoza, M., y Sánchez Acuña, C. G. (2020). Educación superior pospandemia. Las asimetrías de la brecha tecnológica. Revista Venezolana de Gerencia, 25(92), 1282-1287. </w:t>
      </w:r>
      <w:hyperlink r:id="rId8">
        <w:r w:rsidDel="00000000" w:rsidR="00000000" w:rsidRPr="00000000">
          <w:rPr>
            <w:rFonts w:ascii="Times New Roman" w:cs="Times New Roman" w:eastAsia="Times New Roman" w:hAnsi="Times New Roman"/>
            <w:color w:val="1155cc"/>
            <w:u w:val="single"/>
            <w:rtl w:val="0"/>
          </w:rPr>
          <w:t xml:space="preserve">https://www.redalyc.org/journal/290/29065286039/html/</w:t>
        </w:r>
      </w:hyperlink>
      <w:r w:rsidDel="00000000" w:rsidR="00000000" w:rsidRPr="00000000">
        <w:rPr>
          <w:rtl w:val="0"/>
        </w:rPr>
      </w:r>
    </w:p>
    <w:p w:rsidR="00000000" w:rsidDel="00000000" w:rsidP="00000000" w:rsidRDefault="00000000" w:rsidRPr="00000000" w14:paraId="000000B3">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Arbaugh, J. B., Cleveland-Innes, M., Diaz, S. R., Garrison, D. R., Ice, P., Richardson, J. C., y Swan, K. P. (2008). Developing a community of inquiry instrument: Testing a measure of the Community of Inquiry framework using a multi-institutional sample. The Internet and Higher Education, 11(3-4), 133-136. </w:t>
      </w:r>
      <w:hyperlink r:id="rId9">
        <w:r w:rsidDel="00000000" w:rsidR="00000000" w:rsidRPr="00000000">
          <w:rPr>
            <w:rFonts w:ascii="Times New Roman" w:cs="Times New Roman" w:eastAsia="Times New Roman" w:hAnsi="Times New Roman"/>
            <w:color w:val="1155cc"/>
            <w:u w:val="single"/>
            <w:rtl w:val="0"/>
          </w:rPr>
          <w:t xml:space="preserve">https://doi.org/10.1016/j.iheduc.2008.06.003</w:t>
        </w:r>
      </w:hyperlink>
      <w:r w:rsidDel="00000000" w:rsidR="00000000" w:rsidRPr="00000000">
        <w:rPr>
          <w:rtl w:val="0"/>
        </w:rPr>
      </w:r>
    </w:p>
    <w:p w:rsidR="00000000" w:rsidDel="00000000" w:rsidP="00000000" w:rsidRDefault="00000000" w:rsidRPr="00000000" w14:paraId="000000B4">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Ballesteros Velázquez, B., Gil-Jaurena, I., y Morentin Encina, J. (2019). Validación de la versión en castellano del cuestionario 'Community of Inquiry'. RED. Revista de Educación a Distancia, 19(59), 1-26. </w:t>
      </w:r>
      <w:hyperlink r:id="rId10">
        <w:r w:rsidDel="00000000" w:rsidR="00000000" w:rsidRPr="00000000">
          <w:rPr>
            <w:rFonts w:ascii="Times New Roman" w:cs="Times New Roman" w:eastAsia="Times New Roman" w:hAnsi="Times New Roman"/>
            <w:color w:val="1155cc"/>
            <w:u w:val="single"/>
            <w:rtl w:val="0"/>
          </w:rPr>
          <w:t xml:space="preserve">https://doi.org/10.6018/red/59/04</w:t>
        </w:r>
      </w:hyperlink>
      <w:r w:rsidDel="00000000" w:rsidR="00000000" w:rsidRPr="00000000">
        <w:rPr>
          <w:rtl w:val="0"/>
        </w:rPr>
      </w:r>
    </w:p>
    <w:p w:rsidR="00000000" w:rsidDel="00000000" w:rsidP="00000000" w:rsidRDefault="00000000" w:rsidRPr="00000000" w14:paraId="000000B5">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Carbonell García, C. E., Rodríguez Román, R., Sosa Aparicio, L. A., y Alva Olivos, M. A. (2021). De la educación a distancia en pandemia a la modalidad híbrida en pospandemia. Revista Venezolana de Gerencia, 26(96), 1154-1171. </w:t>
      </w:r>
      <w:hyperlink r:id="rId11">
        <w:r w:rsidDel="00000000" w:rsidR="00000000" w:rsidRPr="00000000">
          <w:rPr>
            <w:rFonts w:ascii="Times New Roman" w:cs="Times New Roman" w:eastAsia="Times New Roman" w:hAnsi="Times New Roman"/>
            <w:color w:val="1155cc"/>
            <w:u w:val="single"/>
            <w:rtl w:val="0"/>
          </w:rPr>
          <w:t xml:space="preserve">https://doi.org/10.52080/rvgluz.26.96.10</w:t>
        </w:r>
      </w:hyperlink>
      <w:r w:rsidDel="00000000" w:rsidR="00000000" w:rsidRPr="00000000">
        <w:rPr>
          <w:rtl w:val="0"/>
        </w:rPr>
      </w:r>
    </w:p>
    <w:p w:rsidR="00000000" w:rsidDel="00000000" w:rsidP="00000000" w:rsidRDefault="00000000" w:rsidRPr="00000000" w14:paraId="000000B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Consejo Nacional de Educación Superior [CONES]. (2024, 3 de enero). Resolución CONES N.° 09/2024. Por la cual se autoriza el uso de tecnologías como apoyo para el proceso de enseñanza-aprendizaje en la modalidad presencial. </w:t>
      </w:r>
      <w:hyperlink r:id="rId12">
        <w:r w:rsidDel="00000000" w:rsidR="00000000" w:rsidRPr="00000000">
          <w:rPr>
            <w:rFonts w:ascii="Times New Roman" w:cs="Times New Roman" w:eastAsia="Times New Roman" w:hAnsi="Times New Roman"/>
            <w:color w:val="1155cc"/>
            <w:u w:val="single"/>
            <w:rtl w:val="0"/>
          </w:rPr>
          <w:t xml:space="preserve">https://cones.gov.py/wp-content/uploads/2024/12/RESOLUCION-CONES-N%C2%B0-09-2024-REGLAMENTO-QUE-AUTORIZA-EL-USO-DE-TECNOLOGIAS-COMO-APOYO-PARA-EL-PROC-DE-ENS-APRENDIZ-EN-MOD-PRESENCIAL.pdf</w:t>
        </w:r>
      </w:hyperlink>
      <w:r w:rsidDel="00000000" w:rsidR="00000000" w:rsidRPr="00000000">
        <w:rPr>
          <w:rtl w:val="0"/>
        </w:rPr>
      </w:r>
    </w:p>
    <w:p w:rsidR="00000000" w:rsidDel="00000000" w:rsidP="00000000" w:rsidRDefault="00000000" w:rsidRPr="00000000" w14:paraId="000000B7">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Crespo Cabuto, I. A., Flores Guerrero, K., y Ávila Bañuelos, R. (2024). TICCAD utilizadas por el profesorado universitario en pospandemia: perspectiva del estudiantado. Apertura, 16(1). </w:t>
      </w:r>
      <w:hyperlink r:id="rId13">
        <w:r w:rsidDel="00000000" w:rsidR="00000000" w:rsidRPr="00000000">
          <w:rPr>
            <w:rFonts w:ascii="Times New Roman" w:cs="Times New Roman" w:eastAsia="Times New Roman" w:hAnsi="Times New Roman"/>
            <w:color w:val="1155cc"/>
            <w:u w:val="single"/>
            <w:rtl w:val="0"/>
          </w:rPr>
          <w:t xml:space="preserve">https://doi.org/10.32870/ap.v16n1.2482</w:t>
        </w:r>
      </w:hyperlink>
      <w:r w:rsidDel="00000000" w:rsidR="00000000" w:rsidRPr="00000000">
        <w:rPr>
          <w:rtl w:val="0"/>
        </w:rPr>
      </w:r>
    </w:p>
    <w:p w:rsidR="00000000" w:rsidDel="00000000" w:rsidP="00000000" w:rsidRDefault="00000000" w:rsidRPr="00000000" w14:paraId="000000B8">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Díaz, A. G. (2020). Tiempos de pandemia y enseñanza universitaria: recrear las propuestas metodológicas entre el hogar y las plataformas de medios conectivos. Revista Innovaciones Educativas, 22(especial), 50-63. </w:t>
      </w:r>
      <w:hyperlink r:id="rId14">
        <w:r w:rsidDel="00000000" w:rsidR="00000000" w:rsidRPr="00000000">
          <w:rPr>
            <w:rFonts w:ascii="Times New Roman" w:cs="Times New Roman" w:eastAsia="Times New Roman" w:hAnsi="Times New Roman"/>
            <w:color w:val="1155cc"/>
            <w:u w:val="single"/>
            <w:rtl w:val="0"/>
          </w:rPr>
          <w:t xml:space="preserve">https://doi.org/10.22458/ie.v22iespecial.3216</w:t>
        </w:r>
      </w:hyperlink>
      <w:r w:rsidDel="00000000" w:rsidR="00000000" w:rsidRPr="00000000">
        <w:rPr>
          <w:rtl w:val="0"/>
        </w:rPr>
      </w:r>
    </w:p>
    <w:p w:rsidR="00000000" w:rsidDel="00000000" w:rsidP="00000000" w:rsidRDefault="00000000" w:rsidRPr="00000000" w14:paraId="000000B9">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Espinosa Guerrero, J., Álvarez Guerrero, G., y Cisneros Pérez, A. (2024). Interacción social en el aula universitaria: de la virtualidad a la presencialidad. Ciencia Latina. Revista Científica Multidisciplinar, 8(2). </w:t>
      </w:r>
      <w:hyperlink r:id="rId15">
        <w:r w:rsidDel="00000000" w:rsidR="00000000" w:rsidRPr="00000000">
          <w:rPr>
            <w:rFonts w:ascii="Times New Roman" w:cs="Times New Roman" w:eastAsia="Times New Roman" w:hAnsi="Times New Roman"/>
            <w:color w:val="1155cc"/>
            <w:u w:val="single"/>
            <w:rtl w:val="0"/>
          </w:rPr>
          <w:t xml:space="preserve">https://doi.org/10.37811/cl_rcm.v8i2.10126</w:t>
        </w:r>
      </w:hyperlink>
      <w:r w:rsidDel="00000000" w:rsidR="00000000" w:rsidRPr="00000000">
        <w:rPr>
          <w:rtl w:val="0"/>
        </w:rPr>
      </w:r>
    </w:p>
    <w:p w:rsidR="00000000" w:rsidDel="00000000" w:rsidP="00000000" w:rsidRDefault="00000000" w:rsidRPr="00000000" w14:paraId="000000B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García Rendón Arteaga, C. M. G., y Bak, Á. J. (2022). La educación superior en tiempos de pandemia y pospandemia por covid-19: la desigualdad generada por la brecha digital. Con Texto Humano, 1(1), 7-16. </w:t>
      </w:r>
      <w:hyperlink r:id="rId16">
        <w:r w:rsidDel="00000000" w:rsidR="00000000" w:rsidRPr="00000000">
          <w:rPr>
            <w:rFonts w:ascii="Times New Roman" w:cs="Times New Roman" w:eastAsia="Times New Roman" w:hAnsi="Times New Roman"/>
            <w:color w:val="1155cc"/>
            <w:u w:val="single"/>
            <w:rtl w:val="0"/>
          </w:rPr>
          <w:t xml:space="preserve">https://doi.org/10.36677/contextohumano.v1i1.20419</w:t>
        </w:r>
      </w:hyperlink>
      <w:r w:rsidDel="00000000" w:rsidR="00000000" w:rsidRPr="00000000">
        <w:rPr>
          <w:rtl w:val="0"/>
        </w:rPr>
      </w:r>
    </w:p>
    <w:p w:rsidR="00000000" w:rsidDel="00000000" w:rsidP="00000000" w:rsidRDefault="00000000" w:rsidRPr="00000000" w14:paraId="000000B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Gutiérrez Porlán, I., Serrano Sánchez, J. L., y Román García, M. (2017). Presencia social en un ambiente colaborativo virtual de aprendizaje: análisis de una comunidad orientada a la indagación. Revista Mexicana de Investigación Educativa, 22(75), 1169-1190. </w:t>
      </w:r>
      <w:hyperlink r:id="rId17">
        <w:r w:rsidDel="00000000" w:rsidR="00000000" w:rsidRPr="00000000">
          <w:rPr>
            <w:rFonts w:ascii="Times New Roman" w:cs="Times New Roman" w:eastAsia="Times New Roman" w:hAnsi="Times New Roman"/>
            <w:color w:val="1155cc"/>
            <w:u w:val="single"/>
            <w:rtl w:val="0"/>
          </w:rPr>
          <w:t xml:space="preserve">https://www.scielo.org.mx/scielo.php?pid=S1405-66662017000401169</w:t>
        </w:r>
      </w:hyperlink>
      <w:r w:rsidDel="00000000" w:rsidR="00000000" w:rsidRPr="00000000">
        <w:rPr>
          <w:rtl w:val="0"/>
        </w:rPr>
      </w:r>
    </w:p>
    <w:p w:rsidR="00000000" w:rsidDel="00000000" w:rsidP="00000000" w:rsidRDefault="00000000" w:rsidRPr="00000000" w14:paraId="000000BC">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Heredia Escorza, Y., Lozano Rodríguez, A., y Gómez Zermeño, M. G. (2025). Estrategias de enseñanza en una educación virtual pospandemia. Investigación y Postgrado, 40(1), 443-462. </w:t>
      </w:r>
      <w:hyperlink r:id="rId18">
        <w:r w:rsidDel="00000000" w:rsidR="00000000" w:rsidRPr="00000000">
          <w:rPr>
            <w:rFonts w:ascii="Times New Roman" w:cs="Times New Roman" w:eastAsia="Times New Roman" w:hAnsi="Times New Roman"/>
            <w:color w:val="1155cc"/>
            <w:u w:val="single"/>
            <w:rtl w:val="0"/>
          </w:rPr>
          <w:t xml:space="preserve">https://ve.scielo.org/scielo.php?pid=S2665-02662025000100443</w:t>
        </w:r>
      </w:hyperlink>
      <w:r w:rsidDel="00000000" w:rsidR="00000000" w:rsidRPr="00000000">
        <w:rPr>
          <w:rtl w:val="0"/>
        </w:rPr>
      </w:r>
    </w:p>
    <w:p w:rsidR="00000000" w:rsidDel="00000000" w:rsidP="00000000" w:rsidRDefault="00000000" w:rsidRPr="00000000" w14:paraId="000000BD">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Instituto Internacional de la UNESCO para la Educación Superior en América Latina y el Caribe [IESALC-UNESCO]. (2020). COVID-19 y educación superior: De los efectos inmediatos al día después. Análisis de impactos, respuestas políticas y recomendaciones. </w:t>
      </w:r>
      <w:hyperlink r:id="rId19">
        <w:r w:rsidDel="00000000" w:rsidR="00000000" w:rsidRPr="00000000">
          <w:rPr>
            <w:rFonts w:ascii="Times New Roman" w:cs="Times New Roman" w:eastAsia="Times New Roman" w:hAnsi="Times New Roman"/>
            <w:color w:val="1155cc"/>
            <w:u w:val="single"/>
            <w:rtl w:val="0"/>
          </w:rPr>
          <w:t xml:space="preserve">https://es.unesco.org/covid19/globaleducationcoalition</w:t>
        </w:r>
      </w:hyperlink>
      <w:r w:rsidDel="00000000" w:rsidR="00000000" w:rsidRPr="00000000">
        <w:rPr>
          <w:rtl w:val="0"/>
        </w:rPr>
      </w:r>
    </w:p>
    <w:p w:rsidR="00000000" w:rsidDel="00000000" w:rsidP="00000000" w:rsidRDefault="00000000" w:rsidRPr="00000000" w14:paraId="000000BE">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Lago Martínez, S., Gala, R., y Samaniego, F. (2024). Educación virtual: narrativas de docentes y estudiantes de la Universidad de Buenos Aires post pandemia. Cuadernos de Investigación Educativa, 15(2), e206. </w:t>
      </w:r>
      <w:hyperlink r:id="rId20">
        <w:r w:rsidDel="00000000" w:rsidR="00000000" w:rsidRPr="00000000">
          <w:rPr>
            <w:rFonts w:ascii="Times New Roman" w:cs="Times New Roman" w:eastAsia="Times New Roman" w:hAnsi="Times New Roman"/>
            <w:color w:val="1155cc"/>
            <w:u w:val="single"/>
            <w:rtl w:val="0"/>
          </w:rPr>
          <w:t xml:space="preserve">https://doi.org/10.18861/cied.2024.15.2</w:t>
        </w:r>
      </w:hyperlink>
      <w:r w:rsidDel="00000000" w:rsidR="00000000" w:rsidRPr="00000000">
        <w:rPr>
          <w:rtl w:val="0"/>
        </w:rPr>
      </w:r>
    </w:p>
    <w:p w:rsidR="00000000" w:rsidDel="00000000" w:rsidP="00000000" w:rsidRDefault="00000000" w:rsidRPr="00000000" w14:paraId="000000BF">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Naciones Unidas. (s.f.). COVID-19 y educación superior: Educación y ciencia como vacuna contra la pandemia. Impacto Académico de las Naciones Unidas. </w:t>
      </w:r>
      <w:hyperlink r:id="rId21">
        <w:r w:rsidDel="00000000" w:rsidR="00000000" w:rsidRPr="00000000">
          <w:rPr>
            <w:rFonts w:ascii="Times New Roman" w:cs="Times New Roman" w:eastAsia="Times New Roman" w:hAnsi="Times New Roman"/>
            <w:color w:val="1155cc"/>
            <w:u w:val="single"/>
            <w:rtl w:val="0"/>
          </w:rPr>
          <w:t xml:space="preserve">https://www.un.org/es/impacto-acad%C3%A9mico/covid-19-y-educaci%C3%B3n-superior-educaci%C3%B3n-y-ciencia-como-vacuna-contra-la-pandemia</w:t>
        </w:r>
      </w:hyperlink>
      <w:r w:rsidDel="00000000" w:rsidR="00000000" w:rsidRPr="00000000">
        <w:rPr>
          <w:rtl w:val="0"/>
        </w:rPr>
      </w:r>
    </w:p>
    <w:p w:rsidR="00000000" w:rsidDel="00000000" w:rsidP="00000000" w:rsidRDefault="00000000" w:rsidRPr="00000000" w14:paraId="000000C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Padilla, S., Ortiz, L., y López, C. (2015). Comunidades de aprendizaje en línea. Análisis de las interacciones cognitivas, docentes y afectivas. Apertura, 7(1), 108-127. </w:t>
      </w:r>
      <w:hyperlink r:id="rId22">
        <w:r w:rsidDel="00000000" w:rsidR="00000000" w:rsidRPr="00000000">
          <w:rPr>
            <w:rFonts w:ascii="Times New Roman" w:cs="Times New Roman" w:eastAsia="Times New Roman" w:hAnsi="Times New Roman"/>
            <w:color w:val="1155cc"/>
            <w:u w:val="single"/>
            <w:rtl w:val="0"/>
          </w:rPr>
          <w:t xml:space="preserve">http://www.udgvirtual.udg.mx/apertura/index.php/apertura/article/view/632</w:t>
        </w:r>
      </w:hyperlink>
      <w:r w:rsidDel="00000000" w:rsidR="00000000" w:rsidRPr="00000000">
        <w:rPr>
          <w:rtl w:val="0"/>
        </w:rPr>
      </w:r>
    </w:p>
    <w:p w:rsidR="00000000" w:rsidDel="00000000" w:rsidP="00000000" w:rsidRDefault="00000000" w:rsidRPr="00000000" w14:paraId="000000C1">
      <w:pPr>
        <w:spacing w:line="240" w:lineRule="auto"/>
        <w:jc w:val="both"/>
        <w:rPr>
          <w:rFonts w:ascii="Times New Roman" w:cs="Times New Roman" w:eastAsia="Times New Roman" w:hAnsi="Times New Roman"/>
        </w:rPr>
      </w:pPr>
      <w:r w:rsidDel="00000000" w:rsidR="00000000" w:rsidRPr="00000000">
        <w:rPr>
          <w:rtl w:val="0"/>
        </w:rPr>
      </w:r>
    </w:p>
    <w:sectPr>
      <w:headerReference r:id="rId23" w:type="default"/>
      <w:footerReference r:id="rId24"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blPr>
  </w:style>
  <w:style w:type="table" w:styleId="Table2">
    <w:basedOn w:val="TableNormal"/>
    <w:pPr>
      <w:spacing w:after="0" w:line="240" w:lineRule="auto"/>
    </w:pPr>
    <w:rPr>
      <w:color w:val="000000"/>
    </w:rPr>
    <w:tblPr>
      <w:tblStyleRowBandSize w:val="1"/>
      <w:tblStyleColBandSize w:val="1"/>
      <w:tblCellMar>
        <w:top w:w="0.0" w:type="dxa"/>
        <w:left w:w="108.0" w:type="dxa"/>
        <w:bottom w:w="0.0" w:type="dxa"/>
        <w:right w:w="108.0" w:type="dxa"/>
      </w:tblCellMar>
    </w:tblPr>
    <w:tblStylePr w:type="band1Horz">
      <w:tcPr>
        <w:shd w:fill="cccccc" w:val="clear"/>
      </w:tcPr>
    </w:tblStylePr>
    <w:tblStylePr w:type="band1Vert">
      <w:tcPr>
        <w:shd w:fill="cccccc" w:val="clear"/>
      </w:tcPr>
    </w:tblStylePr>
    <w:tblStylePr w:type="firstCol">
      <w:rPr>
        <w:b w:val="1"/>
        <w:bCs w:val="1"/>
      </w:rPr>
    </w:tblStylePr>
    <w:tblStylePr w:type="firstRow">
      <w:rPr>
        <w:b w:val="1"/>
        <w:bCs w:val="1"/>
      </w:rPr>
      <w:tcPr>
        <w:tcBorders>
          <w:bottom w:color="000000" w:space="0" w:sz="4" w:val="single"/>
        </w:tcBorders>
      </w:tcPr>
    </w:tblStylePr>
    <w:tblStylePr w:type="lastCol">
      <w:rPr>
        <w:b w:val="1"/>
        <w:bCs w:val="1"/>
      </w:rPr>
    </w:tblStylePr>
    <w:tblStylePr w:type="lastRow">
      <w:rPr>
        <w:b w:val="1"/>
        <w:bCs w:val="1"/>
      </w:rPr>
      <w:tcPr>
        <w:tcBorders>
          <w:top w:color="000000" w:space="0" w:sz="4" w:val="single"/>
        </w:tcBorders>
      </w:tcPr>
    </w:tblStylePr>
  </w:style>
</w:styles>
</file>

<file path=word/_rels/document.xml.rels><?xml version="1.0" encoding="UTF-8" standalone="yes"?><Relationships xmlns="http://schemas.openxmlformats.org/package/2006/relationships"><Relationship Id="rId20" Type="http://schemas.openxmlformats.org/officeDocument/2006/relationships/hyperlink" Target="https://doi.org/10.18861/cied.2024.15.2" TargetMode="External"/><Relationship Id="rId11" Type="http://schemas.openxmlformats.org/officeDocument/2006/relationships/hyperlink" Target="https://doi.org/10.52080/rvgluz.26.96.10" TargetMode="External"/><Relationship Id="rId22" Type="http://schemas.openxmlformats.org/officeDocument/2006/relationships/hyperlink" Target="http://www.udgvirtual.udg.mx/apertura/index.php/apertura/article/view/632" TargetMode="External"/><Relationship Id="rId10" Type="http://schemas.openxmlformats.org/officeDocument/2006/relationships/hyperlink" Target="https://doi.org/10.6018/red/59/04" TargetMode="External"/><Relationship Id="rId21" Type="http://schemas.openxmlformats.org/officeDocument/2006/relationships/hyperlink" Target="https://www.un.org/es/impacto-acad%C3%A9mico/covid-19-y-educaci%C3%B3n-superior-educaci%C3%B3n-y-ciencia-como-vacuna-contra-la-pandemia" TargetMode="External"/><Relationship Id="rId13" Type="http://schemas.openxmlformats.org/officeDocument/2006/relationships/hyperlink" Target="https://doi.org/10.32870/ap.v16n1.2482" TargetMode="External"/><Relationship Id="rId24" Type="http://schemas.openxmlformats.org/officeDocument/2006/relationships/footer" Target="footer1.xml"/><Relationship Id="rId12" Type="http://schemas.openxmlformats.org/officeDocument/2006/relationships/hyperlink" Target="https://cones.gov.py/wp-content/uploads/2024/12/RESOLUCION-CONES-N%C2%B0-09-2024-REGLAMENTO-QUE-AUTORIZA-EL-USO-DE-TECNOLOGIAS-COMO-APOYO-PARA-EL-PROC-DE-ENS-APRENDIZ-EN-MOD-PRESENCIAL.pdf" TargetMode="External"/><Relationship Id="rId23"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i.org/10.1016/j.iheduc.2008.06.003" TargetMode="External"/><Relationship Id="rId15" Type="http://schemas.openxmlformats.org/officeDocument/2006/relationships/hyperlink" Target="https://doi.org/10.37811/cl_rcm.v8i2.10126" TargetMode="External"/><Relationship Id="rId14" Type="http://schemas.openxmlformats.org/officeDocument/2006/relationships/hyperlink" Target="https://doi.org/10.22458/ie.v22iespecial.3216" TargetMode="External"/><Relationship Id="rId17" Type="http://schemas.openxmlformats.org/officeDocument/2006/relationships/hyperlink" Target="https://www.scielo.org.mx/scielo.php?pid=S1405-66662017000401169" TargetMode="External"/><Relationship Id="rId16" Type="http://schemas.openxmlformats.org/officeDocument/2006/relationships/hyperlink" Target="https://doi.org/10.36677/contextohumano.v1i1.20419" TargetMode="External"/><Relationship Id="rId5" Type="http://schemas.openxmlformats.org/officeDocument/2006/relationships/styles" Target="styles.xml"/><Relationship Id="rId19" Type="http://schemas.openxmlformats.org/officeDocument/2006/relationships/hyperlink" Target="https://es.unesco.org/covid19/globaleducationcoalition" TargetMode="External"/><Relationship Id="rId6" Type="http://schemas.openxmlformats.org/officeDocument/2006/relationships/customXml" Target="../customXML/item1.xml"/><Relationship Id="rId18" Type="http://schemas.openxmlformats.org/officeDocument/2006/relationships/hyperlink" Target="https://ve.scielo.org/scielo.php?pid=S2665-02662025000100443" TargetMode="External"/><Relationship Id="rId7" Type="http://schemas.openxmlformats.org/officeDocument/2006/relationships/hyperlink" Target="mailto:maria.zavala@posgradoune.edu.py" TargetMode="External"/><Relationship Id="rId8" Type="http://schemas.openxmlformats.org/officeDocument/2006/relationships/hyperlink" Target="https://www.redalyc.org/journal/290/29065286039/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EDuSwnTf6pxNMesOm28hWfeQVg==">CgMxLjAaHwoBMBIaChgICVIUChJ0YWJsZS5xM2U5OGp2dmplcXMyDmguOTlicmJqZHFzeDZtMg5oLjNuYnUwYXh0NnV0dTIOaC53cXQyc2F1ZzduaTU4AHIhMTdaRkhIMEw1dS0yLU5meHhaWkhYTTN3ODJfd2RXNHJW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