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BA5A" w14:textId="77777777" w:rsidR="00AB7852" w:rsidRDefault="00AB7852">
      <w:pPr>
        <w:jc w:val="center"/>
        <w:rPr>
          <w:rFonts w:ascii="Times New Roman" w:eastAsia="Times New Roman" w:hAnsi="Times New Roman" w:cs="Times New Roman"/>
        </w:rPr>
      </w:pPr>
    </w:p>
    <w:p w14:paraId="17CEBA5B" w14:textId="77777777" w:rsidR="00AB7852" w:rsidRDefault="007A6A8C">
      <w:pPr>
        <w:jc w:val="center"/>
        <w:rPr>
          <w:rFonts w:ascii="Times New Roman" w:eastAsia="Times New Roman" w:hAnsi="Times New Roman" w:cs="Times New Roman"/>
          <w:b/>
          <w:bCs/>
        </w:rPr>
      </w:pPr>
      <w:r>
        <w:rPr>
          <w:rFonts w:ascii="Times New Roman" w:eastAsia="Times New Roman" w:hAnsi="Times New Roman" w:cs="Times New Roman"/>
          <w:b/>
          <w:bCs/>
        </w:rPr>
        <w:t>Enseñar en tiempos adversos. La pedagogía universitaria como política institucional de democratización</w:t>
      </w:r>
    </w:p>
    <w:p w14:paraId="17CEBA5C" w14:textId="77777777" w:rsidR="00AB7852" w:rsidRDefault="00AB7852">
      <w:pPr>
        <w:jc w:val="center"/>
        <w:rPr>
          <w:rFonts w:ascii="Times New Roman" w:eastAsia="Times New Roman" w:hAnsi="Times New Roman" w:cs="Times New Roman"/>
        </w:rPr>
      </w:pPr>
    </w:p>
    <w:p w14:paraId="17CEBA5D" w14:textId="77777777" w:rsidR="00AB7852" w:rsidRDefault="007A6A8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Molinari, Andrea</w:t>
      </w:r>
    </w:p>
    <w:p w14:paraId="17CEBA5E" w14:textId="77777777" w:rsidR="00AB7852" w:rsidRDefault="007A6A8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UPE/UBA</w:t>
      </w:r>
    </w:p>
    <w:p w14:paraId="17CEBA5F" w14:textId="77777777" w:rsidR="00AB7852" w:rsidRDefault="007A6A8C">
      <w:pPr>
        <w:spacing w:after="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1155CC"/>
            <w:u w:val="single"/>
          </w:rPr>
          <w:t>amolinari@upe.edu.ar</w:t>
        </w:r>
      </w:hyperlink>
    </w:p>
    <w:p w14:paraId="17CEBA60" w14:textId="77777777" w:rsidR="00AB7852" w:rsidRDefault="00AB7852">
      <w:pPr>
        <w:spacing w:after="0" w:line="240" w:lineRule="auto"/>
        <w:jc w:val="right"/>
        <w:rPr>
          <w:rFonts w:ascii="Times New Roman" w:eastAsia="Times New Roman" w:hAnsi="Times New Roman" w:cs="Times New Roman"/>
        </w:rPr>
      </w:pPr>
    </w:p>
    <w:p w14:paraId="17CEBA61" w14:textId="77777777" w:rsidR="00AB7852" w:rsidRDefault="007A6A8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Abrego, Lisandro</w:t>
      </w:r>
    </w:p>
    <w:p w14:paraId="17CEBA62" w14:textId="77777777" w:rsidR="00AB7852" w:rsidRDefault="007A6A8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UPE</w:t>
      </w:r>
    </w:p>
    <w:p w14:paraId="17CEBA63" w14:textId="77777777" w:rsidR="00AB7852" w:rsidRDefault="007A6A8C">
      <w:pPr>
        <w:spacing w:after="0" w:line="240" w:lineRule="auto"/>
        <w:jc w:val="right"/>
        <w:rPr>
          <w:rFonts w:ascii="Times New Roman" w:eastAsia="Times New Roman" w:hAnsi="Times New Roman" w:cs="Times New Roman"/>
        </w:rPr>
      </w:pPr>
      <w:hyperlink r:id="rId9">
        <w:r>
          <w:rPr>
            <w:rFonts w:ascii="Times New Roman" w:eastAsia="Times New Roman" w:hAnsi="Times New Roman" w:cs="Times New Roman"/>
            <w:color w:val="1155CC"/>
            <w:u w:val="single"/>
          </w:rPr>
          <w:t>labrego@upe.edu.ar</w:t>
        </w:r>
      </w:hyperlink>
    </w:p>
    <w:p w14:paraId="17CEBA64" w14:textId="77777777" w:rsidR="00AB7852" w:rsidRDefault="00AB7852">
      <w:pPr>
        <w:spacing w:after="0" w:line="240" w:lineRule="auto"/>
        <w:jc w:val="right"/>
        <w:rPr>
          <w:rFonts w:ascii="Times New Roman" w:eastAsia="Times New Roman" w:hAnsi="Times New Roman" w:cs="Times New Roman"/>
        </w:rPr>
      </w:pPr>
    </w:p>
    <w:p w14:paraId="17CEBA65" w14:textId="77777777" w:rsidR="00AB7852" w:rsidRDefault="007A6A8C">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Cordero </w:t>
      </w:r>
      <w:proofErr w:type="spellStart"/>
      <w:r>
        <w:rPr>
          <w:rFonts w:ascii="Times New Roman" w:eastAsia="Times New Roman" w:hAnsi="Times New Roman" w:cs="Times New Roman"/>
        </w:rPr>
        <w:t>Racig</w:t>
      </w:r>
      <w:proofErr w:type="spellEnd"/>
      <w:r>
        <w:rPr>
          <w:rFonts w:ascii="Times New Roman" w:eastAsia="Times New Roman" w:hAnsi="Times New Roman" w:cs="Times New Roman"/>
        </w:rPr>
        <w:t>, Mauricio</w:t>
      </w:r>
    </w:p>
    <w:p w14:paraId="17CEBA66" w14:textId="77777777" w:rsidR="00AB7852" w:rsidRDefault="007A6A8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UPE/UBA</w:t>
      </w:r>
    </w:p>
    <w:p w14:paraId="17CEBA67" w14:textId="77777777" w:rsidR="00AB7852" w:rsidRDefault="007A6A8C">
      <w:pPr>
        <w:spacing w:after="0" w:line="240" w:lineRule="auto"/>
        <w:jc w:val="right"/>
        <w:rPr>
          <w:rFonts w:ascii="Times New Roman" w:eastAsia="Times New Roman" w:hAnsi="Times New Roman" w:cs="Times New Roman"/>
        </w:rPr>
      </w:pPr>
      <w:hyperlink r:id="rId10">
        <w:r>
          <w:rPr>
            <w:rFonts w:ascii="Times New Roman" w:eastAsia="Times New Roman" w:hAnsi="Times New Roman" w:cs="Times New Roman"/>
            <w:color w:val="1155CC"/>
            <w:u w:val="single"/>
          </w:rPr>
          <w:t>mcordero@upe.edu.ar</w:t>
        </w:r>
      </w:hyperlink>
    </w:p>
    <w:p w14:paraId="17CEBA68" w14:textId="77777777" w:rsidR="00AB7852" w:rsidRDefault="00AB7852">
      <w:pPr>
        <w:rPr>
          <w:rFonts w:ascii="Times New Roman" w:eastAsia="Times New Roman" w:hAnsi="Times New Roman" w:cs="Times New Roman"/>
          <w:b/>
          <w:bCs/>
        </w:rPr>
      </w:pPr>
    </w:p>
    <w:p w14:paraId="17CEBA69" w14:textId="77777777" w:rsidR="00AB7852" w:rsidRDefault="007A6A8C" w:rsidP="00255AA1">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r>
        <w:rPr>
          <w:rFonts w:ascii="Times New Roman" w:eastAsia="Times New Roman" w:hAnsi="Times New Roman" w:cs="Times New Roman"/>
        </w:rPr>
        <w:t>La expansión del sistema universitario argentino en las últimas décadas, marcada por la masificación de la matrícula y la diversificación del perfil estudiantil, instaló con renovada urgencia la pregunta por las condiciones pedagógicas que hacen posible no solo el acceso sino también la permanencia y el egreso, interrogante que adquiere particular relevancia en el conurbano bonaerense, territorio que concentra y expresa de manera intensa las desigualdades sociales y educativas del país. Este interrogante co</w:t>
      </w:r>
      <w:r>
        <w:rPr>
          <w:rFonts w:ascii="Times New Roman" w:eastAsia="Times New Roman" w:hAnsi="Times New Roman" w:cs="Times New Roman"/>
        </w:rPr>
        <w:t>bra una dimensión adicional en el contexto actual en tanto Argentina atraviesa un proceso de desfinanciamiento sistemático de la educación superior pública que erosiona las condiciones materiales y simbólicas en las que docentes y estudiantes sostienen su trabajo cotidiano. En este marco, la enseñanza universitaria emerge como una dimensión insuficientemente problematizada en las políticas institucionales, en tanto los dispositivos de acompañamiento a las trayectorias estudiantiles han privilegiado históric</w:t>
      </w:r>
      <w:r>
        <w:rPr>
          <w:rFonts w:ascii="Times New Roman" w:eastAsia="Times New Roman" w:hAnsi="Times New Roman" w:cs="Times New Roman"/>
        </w:rPr>
        <w:t xml:space="preserve">amente mecanismos de tipo económico y tutorial, relegando a un lugar secundario la revisión sistemática de las prácticas pedagógicas y didácticas como variable estructurante de las desigualdades educativas. Tomando como base una línea de investigación de la Universidad Provincial de Ezeiza, la presente ponencia se propone desarrollar una reflexión teórico-pedagógica organizada en torno a tres núcleos conceptuales. El primero refiere a la tensión entre políticas formalizadas y prácticas efectivas, indagando </w:t>
      </w:r>
      <w:r>
        <w:rPr>
          <w:rFonts w:ascii="Times New Roman" w:eastAsia="Times New Roman" w:hAnsi="Times New Roman" w:cs="Times New Roman"/>
        </w:rPr>
        <w:t>en qué medida las respuestas institucionales a las demandas pedagógicas logran trascender la dimensión normativa para incidir de manera real en las condiciones de enseñanza y aprendizaje. El segundo núcleo pone el foco en el lugar de la enseñanza en los tramos académicos críticos, particularmente en el Ciclo Propedéutico y en el último tramo de las carreras, espacios en los que las demandas pedagógicas adquieren características singulares vinculadas tanto a los procesos de afiliación institucional como a la</w:t>
      </w:r>
      <w:r>
        <w:rPr>
          <w:rFonts w:ascii="Times New Roman" w:eastAsia="Times New Roman" w:hAnsi="Times New Roman" w:cs="Times New Roman"/>
        </w:rPr>
        <w:t xml:space="preserve"> transición hacia el campo profesional. El tercer núcleo aborda la noción de desarrollo profesional docente en contextos específicos, problematizando la </w:t>
      </w:r>
      <w:r>
        <w:rPr>
          <w:rFonts w:ascii="Times New Roman" w:eastAsia="Times New Roman" w:hAnsi="Times New Roman" w:cs="Times New Roman"/>
        </w:rPr>
        <w:lastRenderedPageBreak/>
        <w:t>distancia entre concepciones que lo reducen a acciones de capacitación aisladas y aquellas que lo comprenden como una estrategia sistemática, continua y situada, capaz de interpelar las prácticas de enseñanza en función de las particularidades territoriales, institucionales y estudiantiles de cada universidad. Los tres núcleos se articulan en torno a una pr</w:t>
      </w:r>
      <w:r>
        <w:rPr>
          <w:rFonts w:ascii="Times New Roman" w:eastAsia="Times New Roman" w:hAnsi="Times New Roman" w:cs="Times New Roman"/>
        </w:rPr>
        <w:t xml:space="preserve">eocupación común: la persistente tradición universitaria de valorar el dominio disciplinar por encima del saber pedagógico y didáctico, lo que se expresa en sistemas de evaluación y promoción docente que subvaloran la enseñanza como función central de la universidad y dificultan la consolidación de una cultura institucional de reflexión e innovación pedagógica. La reflexión se nutre de evidencia empírica producida a partir de encuestas a docentes, entrevistas semiestructuradas y análisis documental, aunque </w:t>
      </w:r>
      <w:r>
        <w:rPr>
          <w:rFonts w:ascii="Times New Roman" w:eastAsia="Times New Roman" w:hAnsi="Times New Roman" w:cs="Times New Roman"/>
        </w:rPr>
        <w:t>su propósito central es contribuir al debate teórico sobre el papel de la pedagogía universitaria como política institucional orientada a garantizar la democratización de la educación superior en sus dimensiones de acceso, permanencia y egreso.</w:t>
      </w:r>
    </w:p>
    <w:p w14:paraId="17CEBA6A" w14:textId="6E36CD0A" w:rsidR="00AB7852" w:rsidRDefault="007A6A8C" w:rsidP="00255AA1">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Palabras clave</w:t>
      </w:r>
      <w:r w:rsidR="003D7154">
        <w:rPr>
          <w:rFonts w:ascii="Times New Roman" w:eastAsia="Times New Roman" w:hAnsi="Times New Roman" w:cs="Times New Roman"/>
          <w:b/>
          <w:bCs/>
        </w:rPr>
        <w:t xml:space="preserve">: </w:t>
      </w:r>
      <w:r w:rsidR="003D7154">
        <w:rPr>
          <w:rFonts w:ascii="Times New Roman" w:eastAsia="Times New Roman" w:hAnsi="Times New Roman" w:cs="Times New Roman"/>
        </w:rPr>
        <w:t xml:space="preserve">Enseñanza universitaria, </w:t>
      </w:r>
      <w:r w:rsidR="00130B8C">
        <w:rPr>
          <w:rFonts w:ascii="Times New Roman" w:eastAsia="Times New Roman" w:hAnsi="Times New Roman" w:cs="Times New Roman"/>
        </w:rPr>
        <w:t>d</w:t>
      </w:r>
      <w:r w:rsidR="003D7154">
        <w:rPr>
          <w:rFonts w:ascii="Times New Roman" w:eastAsia="Times New Roman" w:hAnsi="Times New Roman" w:cs="Times New Roman"/>
        </w:rPr>
        <w:t xml:space="preserve">esarrollo profesional docente, </w:t>
      </w:r>
      <w:r w:rsidR="00130B8C">
        <w:rPr>
          <w:rFonts w:ascii="Times New Roman" w:eastAsia="Times New Roman" w:hAnsi="Times New Roman" w:cs="Times New Roman"/>
        </w:rPr>
        <w:t>t</w:t>
      </w:r>
      <w:r w:rsidR="003D7154">
        <w:rPr>
          <w:rFonts w:ascii="Times New Roman" w:eastAsia="Times New Roman" w:hAnsi="Times New Roman" w:cs="Times New Roman"/>
        </w:rPr>
        <w:t xml:space="preserve">rayectorias académicas, </w:t>
      </w:r>
      <w:r w:rsidR="00130B8C">
        <w:rPr>
          <w:rFonts w:ascii="Times New Roman" w:eastAsia="Times New Roman" w:hAnsi="Times New Roman" w:cs="Times New Roman"/>
        </w:rPr>
        <w:t>p</w:t>
      </w:r>
      <w:r w:rsidR="003D7154">
        <w:rPr>
          <w:rFonts w:ascii="Times New Roman" w:eastAsia="Times New Roman" w:hAnsi="Times New Roman" w:cs="Times New Roman"/>
        </w:rPr>
        <w:t>edagogía universitaria, tramos críticos</w:t>
      </w:r>
    </w:p>
    <w:p w14:paraId="17CEBA6C" w14:textId="6F930311" w:rsidR="00AB7852" w:rsidRDefault="007A6A8C" w:rsidP="00255AA1">
      <w:pPr>
        <w:spacing w:line="240" w:lineRule="auto"/>
        <w:rPr>
          <w:rFonts w:ascii="Times New Roman" w:eastAsia="Times New Roman" w:hAnsi="Times New Roman" w:cs="Times New Roman"/>
        </w:rPr>
      </w:pPr>
      <w:r>
        <w:rPr>
          <w:rFonts w:ascii="Times New Roman" w:eastAsia="Times New Roman" w:hAnsi="Times New Roman" w:cs="Times New Roman"/>
          <w:b/>
          <w:bCs/>
        </w:rPr>
        <w:t>Introducción</w:t>
      </w:r>
    </w:p>
    <w:p w14:paraId="17CEBA6D"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sistema universitario argentino atravesó en las últimas décadas un proceso de expansión sostenida que modificó de manera significativa tanto las características de la población que accede a la educación superior como los problemas asociados a la permanencia y la graduación. Aunque este proceso reconoce </w:t>
      </w:r>
      <w:proofErr w:type="gramStart"/>
      <w:r>
        <w:rPr>
          <w:rFonts w:ascii="Times New Roman" w:eastAsia="Times New Roman" w:hAnsi="Times New Roman" w:cs="Times New Roman"/>
        </w:rPr>
        <w:t>antecedentes previos</w:t>
      </w:r>
      <w:proofErr w:type="gramEnd"/>
      <w:r>
        <w:rPr>
          <w:rFonts w:ascii="Times New Roman" w:eastAsia="Times New Roman" w:hAnsi="Times New Roman" w:cs="Times New Roman"/>
        </w:rPr>
        <w:t>, recién a mediados del siglo XX, con la eliminación de los exámenes de ingreso y de los aranceles, se produce un crecimiento sustantivo de la matrícula. Entre 1947 y 1960 este crecimiento se triplica, dando lugar a un proceso que puede caracterizarse como de masificación (</w:t>
      </w:r>
      <w:proofErr w:type="spellStart"/>
      <w:r>
        <w:rPr>
          <w:rFonts w:ascii="Times New Roman" w:eastAsia="Times New Roman" w:hAnsi="Times New Roman" w:cs="Times New Roman"/>
        </w:rPr>
        <w:t>Chiroleu</w:t>
      </w:r>
      <w:proofErr w:type="spellEnd"/>
      <w:r>
        <w:rPr>
          <w:rFonts w:ascii="Times New Roman" w:eastAsia="Times New Roman" w:hAnsi="Times New Roman" w:cs="Times New Roman"/>
        </w:rPr>
        <w:t xml:space="preserve">, 2018). Sin embargo, hacia 1968 el sistema universitario estaba compuesto por apenas nueve instituciones, todas de gestión estatal, </w:t>
      </w:r>
      <w:r>
        <w:rPr>
          <w:rFonts w:ascii="Times New Roman" w:eastAsia="Times New Roman" w:hAnsi="Times New Roman" w:cs="Times New Roman"/>
        </w:rPr>
        <w:t>con una matrícula que, pese a su crecimiento, continuaba siendo predominantemente de los sectores medios y altos.</w:t>
      </w:r>
    </w:p>
    <w:p w14:paraId="17CEBA6E"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Durante las décadas siguientes se expandió tanto el sector estatal como el privado, este último a partir de las autorizaciones otorgadas en distintos períodos de interrupción democrática. Con matices, la dinámica predominante de esta etapa estuvo asociada al crecimiento de la matrícula, de las instituciones y de la oferta académica. En palabras de </w:t>
      </w:r>
      <w:proofErr w:type="spellStart"/>
      <w:r>
        <w:rPr>
          <w:rFonts w:ascii="Times New Roman" w:eastAsia="Times New Roman" w:hAnsi="Times New Roman" w:cs="Times New Roman"/>
        </w:rPr>
        <w:t>Chiroleu</w:t>
      </w:r>
      <w:proofErr w:type="spellEnd"/>
      <w:r>
        <w:rPr>
          <w:rFonts w:ascii="Times New Roman" w:eastAsia="Times New Roman" w:hAnsi="Times New Roman" w:cs="Times New Roman"/>
        </w:rPr>
        <w:t xml:space="preserve"> (2018), entre la Reforma Universitaria de 1918 y el retorno de la democracia en 1983 prevaleció una concepción de la democratización centrada en la ampliación de las bases sociales de la universidad mediante la eliminación de barreras de acceso. Bajo este supuesto, la "igualación en el punto de partida" y el mérito individual aparecían como condiciones suficientes para producir dicha ampliación.</w:t>
      </w:r>
    </w:p>
    <w:p w14:paraId="17CEBA6F" w14:textId="0603B605"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A partir de 1983 se abre una nueva etapa de expansión. Entre ese año y 2022 la cantidad de estudiantes universitarios creció 7,5 veces, mientras que la población total del país lo hizo apenas 1,5 veces. En 2005 el sistema reunía 1.339.740 estudiantes en instituciones públicas y privadas; en 2022 esa cifra alcanzó los 2.540.854 (</w:t>
      </w:r>
      <w:r>
        <w:rPr>
          <w:rFonts w:ascii="Times New Roman" w:eastAsia="Times New Roman" w:hAnsi="Times New Roman" w:cs="Times New Roman"/>
        </w:rPr>
        <w:t xml:space="preserve">UNAHUR, 2022). Considerando un período más amplio, la matrícula universitaria aumentó más de siete </w:t>
      </w:r>
      <w:r>
        <w:rPr>
          <w:rFonts w:ascii="Times New Roman" w:eastAsia="Times New Roman" w:hAnsi="Times New Roman" w:cs="Times New Roman"/>
        </w:rPr>
        <w:lastRenderedPageBreak/>
        <w:t>veces entre 1980 y 2022, con una tasa media de crecimiento anual del 5,2% (García Fanelli, 2025; Ministerio de Capital Humano, 2025).</w:t>
      </w:r>
    </w:p>
    <w:p w14:paraId="17CEBA70"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La expansión también se expresó en la creación de nuevas instituciones. De las 65 universidades nacionales existentes en la actualidad, 29 fueron creadas durante este período. Catorce de ellas se localizaron en el conurbano bonaerense, en territorios caracterizados por una elevada densidad poblacional y por la presencia de sectores históricamente desfavorecidos. Este proceso incidió sobre la composición social de la matrícula e incorporó grupos tradicionalmente subrepresentados en la educación superior (Abr</w:t>
      </w:r>
      <w:r>
        <w:rPr>
          <w:rFonts w:ascii="Times New Roman" w:eastAsia="Times New Roman" w:hAnsi="Times New Roman" w:cs="Times New Roman"/>
        </w:rPr>
        <w:t xml:space="preserve">ego, 2024; </w:t>
      </w:r>
      <w:proofErr w:type="spellStart"/>
      <w:r>
        <w:rPr>
          <w:rFonts w:ascii="Times New Roman" w:eastAsia="Times New Roman" w:hAnsi="Times New Roman" w:cs="Times New Roman"/>
        </w:rPr>
        <w:t>Chiroleu</w:t>
      </w:r>
      <w:proofErr w:type="spellEnd"/>
      <w:r>
        <w:rPr>
          <w:rFonts w:ascii="Times New Roman" w:eastAsia="Times New Roman" w:hAnsi="Times New Roman" w:cs="Times New Roman"/>
        </w:rPr>
        <w:t xml:space="preserve">, 2018; Pogré, 2014). La tasa neta de escolarización universitaria del quintil de menores ingresos pasó del 19% en 2004 al 31% en 2022 y, ese mismo año, el 73% de los nuevos inscriptos en universidades nacionales correspondía a estudiantes cuyos padres no habían accedido a estudios universitarios (García Fanelli, 2025; Ministerio de Capital Humano, 2025). </w:t>
      </w:r>
    </w:p>
    <w:p w14:paraId="17CEBA71"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Sin embargo, persisten elevadas tasas de abandono y una importante brecha entre ingreso y egreso. El decil de menores ingresos representa el 7,9% de la matrícula de primer año, pero apenas el 1,1% en quinto año. Asimismo, Argentina registra 64 graduados por cada diez mil habitantes, una cifra considerablemente inferior a la de países como Chile, España y Portugal (García Fanelli, 2025; Ministerio de Capital Humano, 2025).</w:t>
      </w:r>
    </w:p>
    <w:p w14:paraId="17CEBA72"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transformaciones no se limitaron al plano cuantitativo. Junto con la expansión institucional surgieron formas alternativas de organización académica que se diferenciaron de la estructura tradicional basada en facultades y cátedras (Paredes, 2017). En este contexto, </w:t>
      </w:r>
      <w:proofErr w:type="spellStart"/>
      <w:r>
        <w:rPr>
          <w:rFonts w:ascii="Times New Roman" w:eastAsia="Times New Roman" w:hAnsi="Times New Roman" w:cs="Times New Roman"/>
        </w:rPr>
        <w:t>Chiroleu</w:t>
      </w:r>
      <w:proofErr w:type="spellEnd"/>
      <w:r>
        <w:rPr>
          <w:rFonts w:ascii="Times New Roman" w:eastAsia="Times New Roman" w:hAnsi="Times New Roman" w:cs="Times New Roman"/>
        </w:rPr>
        <w:t xml:space="preserve"> (2018) plantea que la expansión más reciente incorpora un elemento novedoso al considerarse las necesidades de grupos sociales específicos y de los territorios en los que se emplazan las instituciones. Desde esta perspectiva, la preocupación por la democratización deja de concentrarse exclusivamente en el acceso y comienza a incluir las condiciones de permanencia y egreso de los estudiantes </w:t>
      </w:r>
    </w:p>
    <w:p w14:paraId="17CEBA73" w14:textId="18BFD0BD"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marco, diversos autores </w:t>
      </w:r>
      <w:r w:rsidR="00660D0D" w:rsidRPr="00660D0D">
        <w:rPr>
          <w:rFonts w:ascii="Times New Roman" w:eastAsia="Times New Roman" w:hAnsi="Times New Roman" w:cs="Times New Roman"/>
        </w:rPr>
        <w:t>(</w:t>
      </w:r>
      <w:proofErr w:type="spellStart"/>
      <w:r w:rsidR="00660D0D" w:rsidRPr="00660D0D">
        <w:rPr>
          <w:rFonts w:ascii="Times New Roman" w:eastAsia="Times New Roman" w:hAnsi="Times New Roman" w:cs="Times New Roman"/>
        </w:rPr>
        <w:t>Cambours</w:t>
      </w:r>
      <w:proofErr w:type="spellEnd"/>
      <w:r w:rsidR="00660D0D" w:rsidRPr="00660D0D">
        <w:rPr>
          <w:rFonts w:ascii="Times New Roman" w:eastAsia="Times New Roman" w:hAnsi="Times New Roman" w:cs="Times New Roman"/>
        </w:rPr>
        <w:t xml:space="preserve"> de Donini &amp; Gorostiaga, 2019;</w:t>
      </w:r>
      <w:r w:rsidR="00D21EAD">
        <w:rPr>
          <w:rFonts w:ascii="Times New Roman" w:eastAsia="Times New Roman" w:hAnsi="Times New Roman" w:cs="Times New Roman"/>
        </w:rPr>
        <w:t xml:space="preserve"> </w:t>
      </w:r>
      <w:proofErr w:type="spellStart"/>
      <w:r w:rsidR="00660D0D" w:rsidRPr="00660D0D">
        <w:rPr>
          <w:rFonts w:ascii="Times New Roman" w:eastAsia="Times New Roman" w:hAnsi="Times New Roman" w:cs="Times New Roman"/>
        </w:rPr>
        <w:t>Chiroleu</w:t>
      </w:r>
      <w:proofErr w:type="spellEnd"/>
      <w:r w:rsidR="00660D0D" w:rsidRPr="00660D0D">
        <w:rPr>
          <w:rFonts w:ascii="Times New Roman" w:eastAsia="Times New Roman" w:hAnsi="Times New Roman" w:cs="Times New Roman"/>
        </w:rPr>
        <w:t xml:space="preserve">, 2018; </w:t>
      </w:r>
      <w:r w:rsidR="00D21EAD" w:rsidRPr="00660D0D">
        <w:rPr>
          <w:rFonts w:ascii="Times New Roman" w:eastAsia="Times New Roman" w:hAnsi="Times New Roman" w:cs="Times New Roman"/>
        </w:rPr>
        <w:t xml:space="preserve">Ezcurra, 2011, 2019; </w:t>
      </w:r>
      <w:r w:rsidR="00660D0D" w:rsidRPr="00660D0D">
        <w:rPr>
          <w:rFonts w:ascii="Times New Roman" w:eastAsia="Times New Roman" w:hAnsi="Times New Roman" w:cs="Times New Roman"/>
        </w:rPr>
        <w:t>Fernández Lamarra et al., 2016; García, 2025; Pierella, 2014; Tedesco et al., 2017, entre otros)</w:t>
      </w:r>
      <w:r w:rsidR="00D21EAD">
        <w:rPr>
          <w:rFonts w:ascii="Times New Roman" w:eastAsia="Times New Roman" w:hAnsi="Times New Roman" w:cs="Times New Roman"/>
        </w:rPr>
        <w:t xml:space="preserve"> </w:t>
      </w:r>
      <w:r>
        <w:rPr>
          <w:rFonts w:ascii="Times New Roman" w:eastAsia="Times New Roman" w:hAnsi="Times New Roman" w:cs="Times New Roman"/>
        </w:rPr>
        <w:t xml:space="preserve">coinciden en señalar el carácter paradójico del ingreso libre y gratuito al sistema universitario debido a que su gratuidad amplió el acceso e incorporó a sectores históricamente relegados, pero no alcanzó para modificar las condiciones estructurales asociadas al abandono temprano y a los bajos niveles de egreso, condiciones que recaen con mayor peso sobre el estudiantado proveniente de sectores social y económicamente desfavorecidos. La categoría de </w:t>
      </w:r>
      <w:r>
        <w:rPr>
          <w:rFonts w:ascii="Times New Roman" w:eastAsia="Times New Roman" w:hAnsi="Times New Roman" w:cs="Times New Roman"/>
          <w:i/>
          <w:iCs/>
        </w:rPr>
        <w:t>inclusión excluyente</w:t>
      </w:r>
      <w:r>
        <w:rPr>
          <w:rFonts w:ascii="Times New Roman" w:eastAsia="Times New Roman" w:hAnsi="Times New Roman" w:cs="Times New Roman"/>
        </w:rPr>
        <w:t>, propuesta por Ezcurra (2011; 2019), ofrece una clave de lectura para este fenómeno porque expresa que la masificación del sistema no deriva de manera automática en una democratización plena, puesto que las desigualdades persistentes se expresan en trayectorias discontinuas, abandonos tempranos y bajos niveles de egreso, con un impacto más acentuado sobre quienes disponen de menores recursos materiales y culturales. Tal constatación obliga a desplazar el foco del acceso hacia las condiciones institucionale</w:t>
      </w:r>
      <w:r>
        <w:rPr>
          <w:rFonts w:ascii="Times New Roman" w:eastAsia="Times New Roman" w:hAnsi="Times New Roman" w:cs="Times New Roman"/>
        </w:rPr>
        <w:t>s y pedagógicas que organizan la trayectoria formativa y, en particular, hacia la enseñanza, entendida como una práctica que opera sobre las condiciones desiguales de partida, con capacidad para perpetuarlas o para revertir su peso.</w:t>
      </w:r>
    </w:p>
    <w:p w14:paraId="17CEBA74"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Si bien se han desarrollado distintas políticas y estrategias de acompañamiento a las trayectorias estudiantiles (Lucarelli, 2004) su implementación se enfrenta a rasgos persistentes de la cultura académica universitaria, entre ellos la escasa valoración de los saberes pedagógicos, la centralidad otorgada al conocimiento disciplinar en los mecanismos de legitimación académica y el peso de formas de decisión fuertemente centralizadas (Camilloni, 2016). La universidad argentina se estructuró históricamente so</w:t>
      </w:r>
      <w:r>
        <w:rPr>
          <w:rFonts w:ascii="Times New Roman" w:eastAsia="Times New Roman" w:hAnsi="Times New Roman" w:cs="Times New Roman"/>
        </w:rPr>
        <w:t>bre la primacía del saber disciplinar, relegando la reflexión pedagógica a un lugar secundario (Molinari, 2021; Morandi, 2022). Lucarelli (2004) y Camilloni (2016, 2018) destacan que la enseñanza fue concebida durante largo tiempo como una actividad derivada del dominio experto de una disciplina, antes que como un objeto específico de análisis e intervención. En las últimas dos décadas, sin embargo, se consolidó un campo de producción académica orientado a la didáctica universitaria y a la asesoría pedagógi</w:t>
      </w:r>
      <w:r>
        <w:rPr>
          <w:rFonts w:ascii="Times New Roman" w:eastAsia="Times New Roman" w:hAnsi="Times New Roman" w:cs="Times New Roman"/>
        </w:rPr>
        <w:t>ca, que aportó nuevas herramientas para pensar la enseñanza en el nivel superior (Finkelstein &amp; Lucarelli, 2022; Lucarelli et al., 2014; Molinari &amp; Abrego, 2026).</w:t>
      </w:r>
    </w:p>
    <w:p w14:paraId="17CEBA75" w14:textId="77777777" w:rsidR="00AB7852" w:rsidRDefault="007A6A8C" w:rsidP="00255AA1">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En las universidades del conurbano bonaerense esta dinámica adquiere rasgos específicos. Como se advirtió previamente, el conurbano —o Gran Buenos Aires— constituye un territorio heterogéneo y complejo que reúne la mayor densidad poblacional del país y donde se vuelven especialmente visibles las desigualdades sociales y económicas que recorren a la Argentina (Kessler, 2016). </w:t>
      </w:r>
      <w:r>
        <w:rPr>
          <w:rFonts w:ascii="Times New Roman" w:eastAsia="Times New Roman" w:hAnsi="Times New Roman" w:cs="Times New Roman"/>
        </w:rPr>
        <w:t xml:space="preserve">En este sentido, </w:t>
      </w:r>
      <w:proofErr w:type="spellStart"/>
      <w:r>
        <w:rPr>
          <w:rFonts w:ascii="Times New Roman" w:eastAsia="Times New Roman" w:hAnsi="Times New Roman" w:cs="Times New Roman"/>
        </w:rPr>
        <w:t>Cambours</w:t>
      </w:r>
      <w:proofErr w:type="spellEnd"/>
      <w:r>
        <w:rPr>
          <w:rFonts w:ascii="Times New Roman" w:eastAsia="Times New Roman" w:hAnsi="Times New Roman" w:cs="Times New Roman"/>
        </w:rPr>
        <w:t xml:space="preserve"> de Donini y Gorostiaga (2019) expresan que las instituciones educativas, al estar emplazadas en determinados territorios, se ven concernidas por las problemáticas que los caracterizan y, por tanto, dichas problemáticas y características deben ser visibilizadas para evitar que funcione de forma implícita la selectividad propia de la tradición académica.</w:t>
      </w:r>
      <w:r>
        <w:rPr>
          <w:rFonts w:ascii="Times New Roman" w:eastAsia="Times New Roman" w:hAnsi="Times New Roman" w:cs="Times New Roman"/>
        </w:rPr>
        <w:t xml:space="preserve"> Frente a este panorama, las universidades de la región han ido desplegando un repertorio de políticas y dispositivos de carácter heterogéneo que se orientan a acompañar las trayectorias estudiantiles (Fernández Lamarra et al., 2016; García, 2025), que conforman de manera progresiva un conjunto de prácticas y políticas institucionales inscriptas en el campo de la pedagogía universitaria.</w:t>
      </w:r>
    </w:p>
    <w:p w14:paraId="17CEBA76" w14:textId="3393EF05"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análisis que se presenta a </w:t>
      </w:r>
      <w:r w:rsidR="00255AA1">
        <w:rPr>
          <w:rFonts w:ascii="Times New Roman" w:eastAsia="Times New Roman" w:hAnsi="Times New Roman" w:cs="Times New Roman"/>
        </w:rPr>
        <w:t>continuación</w:t>
      </w:r>
      <w:r>
        <w:rPr>
          <w:rFonts w:ascii="Times New Roman" w:eastAsia="Times New Roman" w:hAnsi="Times New Roman" w:cs="Times New Roman"/>
        </w:rPr>
        <w:t xml:space="preserve"> se organiza en torno a tres núcleos conceptuales que atienden </w:t>
      </w:r>
      <w:r>
        <w:rPr>
          <w:rFonts w:ascii="Times New Roman" w:eastAsia="Times New Roman" w:hAnsi="Times New Roman" w:cs="Times New Roman"/>
        </w:rPr>
        <w:t xml:space="preserve">a la preocupación sobre la persistente subordinación del saber pedagógico en la cultura universitaria argentina y sus consecuencias sobre las posibilidades reales de democratización de la educación superior. El primero aborda la tensión entre las políticas institucionales y las prácticas de acompañamiento a las trayectorias estudiantiles, analizando si la variedad de dispositivos que las universidades construyen </w:t>
      </w:r>
      <w:r w:rsidR="00255AA1">
        <w:rPr>
          <w:rFonts w:ascii="Times New Roman" w:eastAsia="Times New Roman" w:hAnsi="Times New Roman" w:cs="Times New Roman"/>
        </w:rPr>
        <w:t>logra</w:t>
      </w:r>
      <w:r>
        <w:rPr>
          <w:rFonts w:ascii="Times New Roman" w:eastAsia="Times New Roman" w:hAnsi="Times New Roman" w:cs="Times New Roman"/>
        </w:rPr>
        <w:t xml:space="preserve"> trascender la dimensión normativa para incidir en las condiciones de enseñanza y aprendizaje. El segundo desplaza el foco hacia los tramos académicos que concentran con mayor intensidad las demandas pedagógicas, particularmente el Ciclo Propedéutico, donde se juega en buena medida la incorporación o exclusión temprana de quienes ingresan al sistema, y el tramo final de las carreras, donde el abandono y el rezago académico revelan las condiciones pedagógicas que la institución no logra atender. El tercero a</w:t>
      </w:r>
      <w:r>
        <w:rPr>
          <w:rFonts w:ascii="Times New Roman" w:eastAsia="Times New Roman" w:hAnsi="Times New Roman" w:cs="Times New Roman"/>
        </w:rPr>
        <w:t xml:space="preserve">borda el desarrollo profesional docente como política institucional, problematizando la distancia entre concepciones que lo reducen a acciones de capacitación puntuales y aisladas y aquellas que lo comprenden como una política sistemática, continua y situada, capaz de interpelar las prácticas de enseñanza en función </w:t>
      </w:r>
      <w:r>
        <w:rPr>
          <w:rFonts w:ascii="Times New Roman" w:eastAsia="Times New Roman" w:hAnsi="Times New Roman" w:cs="Times New Roman"/>
        </w:rPr>
        <w:lastRenderedPageBreak/>
        <w:t xml:space="preserve">de las particularidades de cada universidad y de los sujetos que la habitan. Los tres núcleos se nutren de evidencia empírica producida en el marco de una línea de investigación desarrollada en </w:t>
      </w:r>
      <w:r>
        <w:rPr>
          <w:rFonts w:ascii="Times New Roman" w:eastAsia="Times New Roman" w:hAnsi="Times New Roman" w:cs="Times New Roman"/>
        </w:rPr>
        <w:t xml:space="preserve">la Universidad Provincial de Ezeiza y convergen en una tesis central que sostiene que la enseñanza universitaria constituye una política institucional sustantiva, necesaria para una democratización que no se agote en el </w:t>
      </w:r>
      <w:r w:rsidR="00255AA1">
        <w:rPr>
          <w:rFonts w:ascii="Times New Roman" w:eastAsia="Times New Roman" w:hAnsi="Times New Roman" w:cs="Times New Roman"/>
        </w:rPr>
        <w:t>acceso,</w:t>
      </w:r>
      <w:r>
        <w:rPr>
          <w:rFonts w:ascii="Times New Roman" w:eastAsia="Times New Roman" w:hAnsi="Times New Roman" w:cs="Times New Roman"/>
        </w:rPr>
        <w:t xml:space="preserve"> sino que alcance la permanencia y el egreso. </w:t>
      </w:r>
    </w:p>
    <w:p w14:paraId="17CEBA77" w14:textId="77777777" w:rsidR="00AB7852" w:rsidRDefault="007A6A8C" w:rsidP="00255AA1">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Desarrollo</w:t>
      </w:r>
    </w:p>
    <w:p w14:paraId="0B9125C7" w14:textId="77777777" w:rsidR="00C71270" w:rsidRPr="00C71270" w:rsidRDefault="007A6A8C" w:rsidP="00C71270">
      <w:pPr>
        <w:pStyle w:val="ListParagraph"/>
        <w:numPr>
          <w:ilvl w:val="0"/>
          <w:numId w:val="2"/>
        </w:numPr>
        <w:spacing w:line="240" w:lineRule="auto"/>
        <w:jc w:val="both"/>
        <w:rPr>
          <w:rFonts w:ascii="Times New Roman" w:eastAsia="Times New Roman" w:hAnsi="Times New Roman" w:cs="Times New Roman"/>
          <w:b/>
          <w:bCs/>
        </w:rPr>
      </w:pPr>
      <w:r w:rsidRPr="00C71270">
        <w:rPr>
          <w:rFonts w:ascii="Times New Roman" w:eastAsia="Times New Roman" w:hAnsi="Times New Roman" w:cs="Times New Roman"/>
          <w:b/>
          <w:bCs/>
        </w:rPr>
        <w:t>Políticas formalizadas y prácticas efectivas</w:t>
      </w:r>
    </w:p>
    <w:p w14:paraId="17CEBA79"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U</w:t>
      </w:r>
      <w:r>
        <w:rPr>
          <w:rFonts w:ascii="Times New Roman" w:eastAsia="Times New Roman" w:hAnsi="Times New Roman" w:cs="Times New Roman"/>
        </w:rPr>
        <w:t>no de los rasgos más persistentes de las políticas universitarias orientadas a garantizar la permanencia y el egreso estudiantil es la distancia entre su formulación normativa y su concreción en las condiciones reales de enseñanza y aprendizaje. Esta distancia más que un problema de implementación refleja una característica estructural de las instituciones universitarias, que producen documentos, reglamentos y programas con una lógica que no siempre dialoga con la complejidad de las prácticas en las que doc</w:t>
      </w:r>
      <w:r>
        <w:rPr>
          <w:rFonts w:ascii="Times New Roman" w:eastAsia="Times New Roman" w:hAnsi="Times New Roman" w:cs="Times New Roman"/>
        </w:rPr>
        <w:t>entes y estudiantes desarrollan sus tareas. Comprender esta brecha es condición para intervenir sobre ella.</w:t>
      </w:r>
    </w:p>
    <w:p w14:paraId="17CEBA7B" w14:textId="25B0D88E"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investigación desarrollada en la Universidad Provincial de Ezeiza (UPE) ofrece un punto para analizar esta tensión. Se trata de una institución joven, normalizada en 2018, emplazada en una de las zonas más densamente pobladas del Gran Buenos Aires, con una matrícula en crecimiento que alcanza los 7510 </w:t>
      </w:r>
      <w:r>
        <w:rPr>
          <w:rFonts w:ascii="Times New Roman" w:eastAsia="Times New Roman" w:hAnsi="Times New Roman" w:cs="Times New Roman"/>
        </w:rPr>
        <w:t>estudiantes. Su historia reciente, marcada por la reforma curricular de 2019, la creación de nuevas carreras y la adopción de sistema de créditos académicos, la convierte en un caso privilegiado para analizar cómo una institución construye, en tiempo acelerado, un repertorio de políticas de acompañamiento y qué ocurre cuando ese repertorio se encuentra con las condiciones de su comunidad estudiantil. Su dinámica institucional expresa de manera condensada las tensiones descriptas</w:t>
      </w:r>
      <w:r>
        <w:rPr>
          <w:rFonts w:ascii="Times New Roman" w:eastAsia="Times New Roman" w:hAnsi="Times New Roman" w:cs="Times New Roman"/>
        </w:rPr>
        <w:t>. Según datos aportados por la misma Universidad, mientras los alumnos regulares crecieron un 154,8% en seis años (2018-2024), los egresados en esos mismos años tuvieron un incremento del 72%, lo que representa un número que sigue siendo bajo respecto al volumen total de la matrícula. Esta brecha es la expresión cuantitativa del problema que este trabajo se propone analizar.</w:t>
      </w:r>
    </w:p>
    <w:p w14:paraId="17CEBA7C" w14:textId="5BF03C28" w:rsidR="00AB7852" w:rsidRPr="00C71270" w:rsidRDefault="007A6A8C" w:rsidP="00C71270">
      <w:pPr>
        <w:pStyle w:val="ListParagraph"/>
        <w:numPr>
          <w:ilvl w:val="1"/>
          <w:numId w:val="2"/>
        </w:numPr>
        <w:spacing w:line="240" w:lineRule="auto"/>
        <w:jc w:val="both"/>
        <w:rPr>
          <w:rFonts w:ascii="Times New Roman" w:eastAsia="Times New Roman" w:hAnsi="Times New Roman" w:cs="Times New Roman"/>
          <w:b/>
          <w:bCs/>
        </w:rPr>
      </w:pPr>
      <w:r w:rsidRPr="00C71270">
        <w:rPr>
          <w:rFonts w:ascii="Times New Roman" w:eastAsia="Times New Roman" w:hAnsi="Times New Roman" w:cs="Times New Roman"/>
          <w:b/>
          <w:bCs/>
        </w:rPr>
        <w:t>El repertorio institucional. Amplitud con desafíos de integración</w:t>
      </w:r>
    </w:p>
    <w:p w14:paraId="17CEBA7E"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rPr>
        <w:t>l relevamiento documental realizado en la UPE permite identificar un conjunto extenso de dispositivos y estrategias de acompañamiento estudiantil. Clasificados por tipo, estos dispositivos incluyen acciones de naturaleza económica (Beca Progresar, Beca Belgrano, Beca de Investigación, Boleto Estudiantil, Conectividad), formalización de espacios curriculares (Alfabetización Académica, Introducción al Campo Profesional, Prácticas Profesionales Supervisadas, salidas a campo), y un amplio espectro de acciones e</w:t>
      </w:r>
      <w:r>
        <w:rPr>
          <w:rFonts w:ascii="Times New Roman" w:eastAsia="Times New Roman" w:hAnsi="Times New Roman" w:cs="Times New Roman"/>
        </w:rPr>
        <w:t>xtracurriculares que abarca tutorías, programas de empleo, la Escuela de Emprendedores, el reconocimiento de trayectos de formación técnica, la Escuela de Oficios, el Programa de Terminalidad y Seguimiento, y dispositivos específicos por área como el uso de software y simuladores en el Departamento de Tecnología o el programa de actualización del Departamento de Gestión.</w:t>
      </w:r>
    </w:p>
    <w:p w14:paraId="17CEBA7F" w14:textId="3035B9A4"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Esta amplitud es un indicador de la voluntad institucional de construir condiciones de acompañamiento. Sin embargo, el análisis del mapeo revela una primera tensión en la coexistencia de dispositivos de distinta naturaleza, con distintos responsables institucionales, sin que exista evidencia de que se articulen en un plan integrado. Algunas acciones dependen de la Secretaría Académica, otras de áreas de carrera específicas, otras de Secretaría de Investigación</w:t>
      </w:r>
      <w:r>
        <w:rPr>
          <w:rFonts w:ascii="Times New Roman" w:eastAsia="Times New Roman" w:hAnsi="Times New Roman" w:cs="Times New Roman"/>
        </w:rPr>
        <w:t>, Ciencia y Tecnología o de programas nacionales y provinciales que la institución administra. Esta fragmentación no es exclusiva de la UPE, se trata de una característica frecuente en las universidades del conurbano que construyeron sus políticas de acompañamiento de manera incremental, respondiendo a demandas emergentes más que a una planificación sistémica (</w:t>
      </w:r>
      <w:r>
        <w:rPr>
          <w:rFonts w:ascii="Times New Roman" w:eastAsia="Times New Roman" w:hAnsi="Times New Roman" w:cs="Times New Roman"/>
        </w:rPr>
        <w:t>Ceresani y Mórtola, 2018; Fernández Lamarra et al., 2016).</w:t>
      </w:r>
    </w:p>
    <w:p w14:paraId="17CEBA80"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Cuando los dispositivos no se articulan en torno a un diagnóstico común ni a sentidos o propósitos compartidos, el riesgo es que su impacto sea fragmentario y cada estudiante acceda a una parte del sistema de acompañamiento en función de su carrera, de su área de pertenencia, o incluso del docente o tutor con quien establece contacto. La trayectoria estudiantil, concebida como "un camino que se </w:t>
      </w:r>
      <w:proofErr w:type="gramStart"/>
      <w:r>
        <w:rPr>
          <w:rFonts w:ascii="Times New Roman" w:eastAsia="Times New Roman" w:hAnsi="Times New Roman" w:cs="Times New Roman"/>
        </w:rPr>
        <w:t>recorre,</w:t>
      </w:r>
      <w:proofErr w:type="gramEnd"/>
      <w:r>
        <w:rPr>
          <w:rFonts w:ascii="Times New Roman" w:eastAsia="Times New Roman" w:hAnsi="Times New Roman" w:cs="Times New Roman"/>
        </w:rPr>
        <w:t xml:space="preserve"> se construye, que implica a sujetos en situación de acompañamiento" (Nicastro &amp; Greco, 2009, p.24),</w:t>
      </w:r>
      <w:r>
        <w:rPr>
          <w:rFonts w:ascii="Times New Roman" w:eastAsia="Times New Roman" w:hAnsi="Times New Roman" w:cs="Times New Roman"/>
        </w:rPr>
        <w:t xml:space="preserve"> queda entonces librada en parte a la contingencia del acceso a la información y a la disponibilidad de los actores institucionales.</w:t>
      </w:r>
    </w:p>
    <w:p w14:paraId="17CEBA81" w14:textId="35951EA2"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El análisis documental revela otro nivel de complejidad como la existencia de dispositivos que están formalizados en normativa (planes de estudio, resoluciones del Consejo Superior, otros) pero cuya implementación efectiva es difícil de verificar a partir de los documentos mismos. Esta observación apunta a una distinción que la investigación sobre políticas educativas ha trabajado respecto a la distancia entre la política como texto normativo y la política como práctica concreta (Ball et al. 2012). Los docu</w:t>
      </w:r>
      <w:r>
        <w:rPr>
          <w:rFonts w:ascii="Times New Roman" w:eastAsia="Times New Roman" w:hAnsi="Times New Roman" w:cs="Times New Roman"/>
        </w:rPr>
        <w:t xml:space="preserve">mentos institucionales analizados, especialmente los planes de </w:t>
      </w:r>
      <w:proofErr w:type="gramStart"/>
      <w:r w:rsidR="00632C81">
        <w:rPr>
          <w:rFonts w:ascii="Times New Roman" w:eastAsia="Times New Roman" w:hAnsi="Times New Roman" w:cs="Times New Roman"/>
        </w:rPr>
        <w:t>estudio</w:t>
      </w:r>
      <w:r w:rsidR="00417795">
        <w:rPr>
          <w:rFonts w:ascii="Times New Roman" w:eastAsia="Times New Roman" w:hAnsi="Times New Roman" w:cs="Times New Roman"/>
        </w:rPr>
        <w:t>,</w:t>
      </w:r>
      <w:proofErr w:type="gramEnd"/>
      <w:r w:rsidR="00417795">
        <w:rPr>
          <w:rFonts w:ascii="Times New Roman" w:eastAsia="Times New Roman" w:hAnsi="Times New Roman" w:cs="Times New Roman"/>
        </w:rPr>
        <w:t xml:space="preserve"> </w:t>
      </w:r>
      <w:r>
        <w:rPr>
          <w:rFonts w:ascii="Times New Roman" w:eastAsia="Times New Roman" w:hAnsi="Times New Roman" w:cs="Times New Roman"/>
        </w:rPr>
        <w:t>se abordan en este caso, como espacios de recontextualización en el marco del desarrollo curricular donde los actores institucionales negocian, adaptan y resignifican las prescripciones normativas en función de sus condiciones de trabajo.</w:t>
      </w:r>
    </w:p>
    <w:p w14:paraId="17CEBA82"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En el caso de la UPE, la reforma curricular de 2019 ofrece un ejemplo de esta dinámica. La decisión de suspender el curso de ingreso previsto para los meses de febrero y marzo y trasladar sus propósitos a dos materias del curriculum formal (Alfabetización Académica, con un 50% más de carga horaria, e Introducción al Campo Profesional) implicó integrar los objetivos del ingreso en la formación en lugar de tratarlos como una instancia previa y separada. Se trata de una decisión pedagógicamente fundamentada, q</w:t>
      </w:r>
      <w:r>
        <w:rPr>
          <w:rFonts w:ascii="Times New Roman" w:eastAsia="Times New Roman" w:hAnsi="Times New Roman" w:cs="Times New Roman"/>
        </w:rPr>
        <w:t>ue desafía la concepción del ingreso como nivelación de déficits y lo reencuadra como parte del proceso formativo (Araujo, 2018; Coulon, 1997; Pogré et al., 2018). Sin embargo, la eficacia de esa decisión depende de condiciones que el documento curricular no garantiza por sí mismo como docentes con formación específica para trabajar con estudiantes en proceso de afiliación institucional, tiempos curriculares que permitan atender la heterogeneidad de trayectorias previas, y dispositivos de seguimiento que pe</w:t>
      </w:r>
      <w:r>
        <w:rPr>
          <w:rFonts w:ascii="Times New Roman" w:eastAsia="Times New Roman" w:hAnsi="Times New Roman" w:cs="Times New Roman"/>
        </w:rPr>
        <w:t xml:space="preserve">rmitan identificar a tiempo situaciones de riesgo de abandono. La política como texto puede ser </w:t>
      </w:r>
      <w:r>
        <w:rPr>
          <w:rFonts w:ascii="Times New Roman" w:eastAsia="Times New Roman" w:hAnsi="Times New Roman" w:cs="Times New Roman"/>
        </w:rPr>
        <w:lastRenderedPageBreak/>
        <w:t>sólida pero la política como práctica requiere de condiciones que van más allá de la normativa.</w:t>
      </w:r>
    </w:p>
    <w:p w14:paraId="17CEBA84" w14:textId="497913A6" w:rsidR="00AB7852" w:rsidRPr="00C71270" w:rsidRDefault="007A6A8C" w:rsidP="00C71270">
      <w:pPr>
        <w:pStyle w:val="ListParagraph"/>
        <w:numPr>
          <w:ilvl w:val="1"/>
          <w:numId w:val="2"/>
        </w:numPr>
        <w:spacing w:line="240" w:lineRule="auto"/>
        <w:jc w:val="both"/>
        <w:rPr>
          <w:rFonts w:ascii="Times New Roman" w:eastAsia="Times New Roman" w:hAnsi="Times New Roman" w:cs="Times New Roman"/>
          <w:b/>
          <w:bCs/>
        </w:rPr>
      </w:pPr>
      <w:r w:rsidRPr="00C71270">
        <w:rPr>
          <w:rFonts w:ascii="Times New Roman" w:eastAsia="Times New Roman" w:hAnsi="Times New Roman" w:cs="Times New Roman"/>
          <w:b/>
          <w:bCs/>
        </w:rPr>
        <w:t xml:space="preserve">El lugar subordinado de la enseñanza </w:t>
      </w:r>
    </w:p>
    <w:p w14:paraId="17CEBA86"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Q</w:t>
      </w:r>
      <w:r>
        <w:rPr>
          <w:rFonts w:ascii="Times New Roman" w:eastAsia="Times New Roman" w:hAnsi="Times New Roman" w:cs="Times New Roman"/>
        </w:rPr>
        <w:t>uizás la tensión más significativa que surge del análisis es la que se produce entre la amplitud del repertorio de dispositivos de acompañamiento y la escasa atención explícita que esas propuestas prestan a las prácticas de enseñanza como variable sustantiva de las trayectorias estudiantiles. En el mapeo de dispositivos identificados en la UPE, la mayoría corresponde a mecanismos de tipo económico, tutorial o extracurricular. Los dispositivos de naturaleza estrictamente curricular (Alfabetización Académica,</w:t>
      </w:r>
      <w:r>
        <w:rPr>
          <w:rFonts w:ascii="Times New Roman" w:eastAsia="Times New Roman" w:hAnsi="Times New Roman" w:cs="Times New Roman"/>
        </w:rPr>
        <w:t xml:space="preserve"> Introducción al Campo Profesional, Prácticas Profesionales Supervisadas) están presentes, pero no existe en el relevamiento evidencia de dispositivos institucionales orientados a acompañar, revisar o enriquecer las prácticas pedagógicas de los docentes respecto de la enseñanza.</w:t>
      </w:r>
    </w:p>
    <w:p w14:paraId="17CEBA87" w14:textId="614EB352"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La ausencia de dispositivos orientados a la enseñanza refleja una tendencia arraigada en la cultura universitaria al separar el problema del acompañamiento estudiantil, concebido como responsabilidad de áreas de bienestar, tutorías o servicios de apoyo, del problema de la enseñanza, concebido como responsabilidad individual del docente. Cuando esa separación se naturaliza, las políticas de acompañamiento pueden multiplicarse sin que las prácticas de enseñanza sean interpeladas. El estudiante en dificultades</w:t>
      </w:r>
      <w:r>
        <w:rPr>
          <w:rFonts w:ascii="Times New Roman" w:eastAsia="Times New Roman" w:hAnsi="Times New Roman" w:cs="Times New Roman"/>
        </w:rPr>
        <w:t xml:space="preserve"> recibe apoyo </w:t>
      </w:r>
      <w:r w:rsidR="00C71270">
        <w:rPr>
          <w:rFonts w:ascii="Times New Roman" w:eastAsia="Times New Roman" w:hAnsi="Times New Roman" w:cs="Times New Roman"/>
        </w:rPr>
        <w:t>tutorial,</w:t>
      </w:r>
      <w:r>
        <w:rPr>
          <w:rFonts w:ascii="Times New Roman" w:eastAsia="Times New Roman" w:hAnsi="Times New Roman" w:cs="Times New Roman"/>
        </w:rPr>
        <w:t xml:space="preserve"> pero continúa enfrentando en el aula las mismas condiciones pedagógicas y didácticas que generaron su dificultad.</w:t>
      </w:r>
    </w:p>
    <w:p w14:paraId="17CEBA88"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Lo que aparece con una presencia significativa, son iniciativas que se sostienen al interior de las cátedras o de las áreas donde los docentes con mayor experiencia orientan a quienes se inician, se discuten criterios de evaluación, se revisan materiales y se acuerdan modos de intervención frente a las dificultades estudiantiles. Este mecanismo es, en muchos casos, el único espacio donde la enseñanza se vuelve objeto de reflexión colectiva. Sin embargo, su carácter asistemático y dependiente de la iniciativ</w:t>
      </w:r>
      <w:r>
        <w:rPr>
          <w:rFonts w:ascii="Times New Roman" w:eastAsia="Times New Roman" w:hAnsi="Times New Roman" w:cs="Times New Roman"/>
        </w:rPr>
        <w:t>a de cada equipo docente lo convierte en una solución frágil e inequitativa.</w:t>
      </w:r>
    </w:p>
    <w:p w14:paraId="17CEBA89" w14:textId="1C1AE89D" w:rsidR="000D09C7"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En esta línea, cabe señalar que dicha fragilidad se agudiza en el contexto de desfinanciamiento sistemático que atraviesa la educación superior pública argentina. Si bien este contexto no crea la brecha entre política institucionalizada y práctica, la amplifica. Cuando los recursos escasean, los primeros dispositivos que se debilitan suelen ser los que tienen menor visibilidad política. Son, precisamente, los dispositivos cuya ausencia no produce una crisis inmediata y visible sino un deterioro lento de las</w:t>
      </w:r>
      <w:r>
        <w:rPr>
          <w:rFonts w:ascii="Times New Roman" w:eastAsia="Times New Roman" w:hAnsi="Times New Roman" w:cs="Times New Roman"/>
        </w:rPr>
        <w:t xml:space="preserve"> condiciones de permanencia y egreso. En este marco, cabría preguntarse en qué medida las instituciones pueden sostener la integralidad de sus sistemas de acompañamiento cuando las condiciones materiales se deterioran. Y en este sentido, la respuesta no es solo técnica sino política, depende de qué se prioriza cuando hay escasez, y esa prioridad revela la concepción que la institución tiene sobre las condiciones que hacen posible la permanencia y el egreso.</w:t>
      </w:r>
    </w:p>
    <w:p w14:paraId="4F5A9ED5" w14:textId="77777777" w:rsidR="000D09C7" w:rsidRDefault="000D09C7">
      <w:pPr>
        <w:rPr>
          <w:rFonts w:ascii="Times New Roman" w:eastAsia="Times New Roman" w:hAnsi="Times New Roman" w:cs="Times New Roman"/>
        </w:rPr>
      </w:pPr>
      <w:r>
        <w:rPr>
          <w:rFonts w:ascii="Times New Roman" w:eastAsia="Times New Roman" w:hAnsi="Times New Roman" w:cs="Times New Roman"/>
        </w:rPr>
        <w:br w:type="page"/>
      </w:r>
    </w:p>
    <w:p w14:paraId="17CEBA8B" w14:textId="77777777" w:rsidR="00AB7852" w:rsidRPr="00C71270" w:rsidRDefault="007A6A8C" w:rsidP="00C71270">
      <w:pPr>
        <w:pStyle w:val="ListParagraph"/>
        <w:numPr>
          <w:ilvl w:val="0"/>
          <w:numId w:val="2"/>
        </w:numPr>
        <w:spacing w:line="240" w:lineRule="auto"/>
        <w:jc w:val="both"/>
        <w:rPr>
          <w:rFonts w:ascii="Times New Roman" w:eastAsia="Times New Roman" w:hAnsi="Times New Roman" w:cs="Times New Roman"/>
          <w:b/>
          <w:bCs/>
        </w:rPr>
      </w:pPr>
      <w:r w:rsidRPr="00C71270">
        <w:rPr>
          <w:rFonts w:ascii="Times New Roman" w:eastAsia="Times New Roman" w:hAnsi="Times New Roman" w:cs="Times New Roman"/>
          <w:b/>
          <w:bCs/>
        </w:rPr>
        <w:lastRenderedPageBreak/>
        <w:t>La enseñanza en los tramos académicos críticos</w:t>
      </w:r>
    </w:p>
    <w:p w14:paraId="17CEBA8C"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L</w:t>
      </w:r>
      <w:r>
        <w:rPr>
          <w:rFonts w:ascii="Times New Roman" w:eastAsia="Times New Roman" w:hAnsi="Times New Roman" w:cs="Times New Roman"/>
        </w:rPr>
        <w:t>a mencionada expansión del sistema universitario argentino generó transformaciones de carácter institucional y político-pedagógico que permiten afirmar que ese sistema transitó de un régimen de élite a uno de masas (García, 2025). Esa transición no fue uniforme a lo largo de la trayectoria estudiantil. Dentro del arco que va del ingreso al egreso, la investigación especializada ha identificado dos tramos donde las demandas pedagógicas adquieren características singulares y donde las condiciones de la enseña</w:t>
      </w:r>
      <w:r>
        <w:rPr>
          <w:rFonts w:ascii="Times New Roman" w:eastAsia="Times New Roman" w:hAnsi="Times New Roman" w:cs="Times New Roman"/>
        </w:rPr>
        <w:t xml:space="preserve">nza resultan especialmente determinantes para la permanencia y la graduación. El primero es el de los inicios, vinculado con el proceso de incorporación a la vida universitaria (Berenstein, 2024; Carlino &amp; Cordero, 2023; Coulon, 1997; Mancovsky y Más Rocha, 2019; Pierella, 2014). El segundo es el del egreso, marcado por la transición hacia el campo profesional (Causa &amp; Torti, 2025; Lastra, 2025; Petric, 2019; Rubio et al., 2018). Ambos concentran las mayores tensiones entre lo que las instituciones ofrecen </w:t>
      </w:r>
      <w:r>
        <w:rPr>
          <w:rFonts w:ascii="Times New Roman" w:eastAsia="Times New Roman" w:hAnsi="Times New Roman" w:cs="Times New Roman"/>
        </w:rPr>
        <w:t>y lo que docentes y estudiantes experimentan en la práctica.</w:t>
      </w:r>
    </w:p>
    <w:p w14:paraId="3ACCE9BF" w14:textId="77777777" w:rsidR="00A563BD"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comprender estos dos tramos resulta útil recuperar la noción de umbral, entendida no como un momento puntual sino como un espacio-tiempo de transición en el que los sujetos reorganizan saberes, prácticas e identidades frente al ingreso en un nuevo universo de experiencias. Desde una perspectiva semiótica, </w:t>
      </w:r>
      <w:proofErr w:type="spellStart"/>
      <w:r>
        <w:rPr>
          <w:rFonts w:ascii="Times New Roman" w:eastAsia="Times New Roman" w:hAnsi="Times New Roman" w:cs="Times New Roman"/>
        </w:rPr>
        <w:t>Camblong</w:t>
      </w:r>
      <w:proofErr w:type="spellEnd"/>
      <w:r>
        <w:rPr>
          <w:rFonts w:ascii="Times New Roman" w:eastAsia="Times New Roman" w:hAnsi="Times New Roman" w:cs="Times New Roman"/>
        </w:rPr>
        <w:t xml:space="preserve"> (2005) define el umbral como un </w:t>
      </w:r>
      <w:proofErr w:type="gramStart"/>
      <w:r>
        <w:rPr>
          <w:rFonts w:ascii="Times New Roman" w:eastAsia="Times New Roman" w:hAnsi="Times New Roman" w:cs="Times New Roman"/>
          <w:i/>
          <w:iCs/>
        </w:rPr>
        <w:t>crono-topo</w:t>
      </w:r>
      <w:proofErr w:type="gramEnd"/>
      <w:r>
        <w:rPr>
          <w:rFonts w:ascii="Times New Roman" w:eastAsia="Times New Roman" w:hAnsi="Times New Roman" w:cs="Times New Roman"/>
          <w:i/>
          <w:iCs/>
        </w:rPr>
        <w:t xml:space="preserve"> de pasaje</w:t>
      </w:r>
      <w:r>
        <w:rPr>
          <w:rFonts w:ascii="Times New Roman" w:eastAsia="Times New Roman" w:hAnsi="Times New Roman" w:cs="Times New Roman"/>
        </w:rPr>
        <w:t xml:space="preserve">, caracterizado por la incertidumbre y la reconfiguración de los desempeños de los sujetos. En el campo de los estudios sobre educación superior, esta idea dialoga con la noción de zonas de pasaje desarrollada por </w:t>
      </w:r>
      <w:proofErr w:type="spellStart"/>
      <w:r>
        <w:rPr>
          <w:rFonts w:ascii="Times New Roman" w:eastAsia="Times New Roman" w:hAnsi="Times New Roman" w:cs="Times New Roman"/>
        </w:rPr>
        <w:t>Bombini</w:t>
      </w:r>
      <w:proofErr w:type="spellEnd"/>
      <w:r>
        <w:rPr>
          <w:rFonts w:ascii="Times New Roman" w:eastAsia="Times New Roman" w:hAnsi="Times New Roman" w:cs="Times New Roman"/>
        </w:rPr>
        <w:t xml:space="preserve"> (2019), quien concibe </w:t>
      </w:r>
      <w:r>
        <w:rPr>
          <w:rFonts w:ascii="Times New Roman" w:eastAsia="Times New Roman" w:hAnsi="Times New Roman" w:cs="Times New Roman"/>
        </w:rPr>
        <w:t>las transiciones universitarias como procesos de incorporación progresiva a nuevas prácticas de lectura, escritura, estudio y participación institucional, antes que como acontecimientos administrativos puntuales. Desde esta perspectiva, el concepto de umbral permite ampliar la mirada sobre las trayectorias universitarias y reconocer que tanto el ingreso como el egreso constituyen momentos críticos de transición que demandan formas específicas de enseñanza y de acompañamiento institucional.</w:t>
      </w:r>
    </w:p>
    <w:p w14:paraId="615CA038" w14:textId="4CF053D5" w:rsidR="00C71270" w:rsidRPr="00A563BD" w:rsidRDefault="007A6A8C" w:rsidP="00A563BD">
      <w:pPr>
        <w:pStyle w:val="ListParagraph"/>
        <w:numPr>
          <w:ilvl w:val="1"/>
          <w:numId w:val="2"/>
        </w:numPr>
        <w:spacing w:line="240" w:lineRule="auto"/>
        <w:jc w:val="both"/>
        <w:rPr>
          <w:rFonts w:ascii="Times New Roman" w:eastAsia="Times New Roman" w:hAnsi="Times New Roman" w:cs="Times New Roman"/>
        </w:rPr>
      </w:pPr>
      <w:r w:rsidRPr="00A563BD">
        <w:rPr>
          <w:rFonts w:ascii="Times New Roman" w:eastAsia="Times New Roman" w:hAnsi="Times New Roman" w:cs="Times New Roman"/>
          <w:b/>
          <w:bCs/>
        </w:rPr>
        <w:t>El umbral del ingreso. Afiliación y enseñanza</w:t>
      </w:r>
    </w:p>
    <w:p w14:paraId="17CEBA90" w14:textId="62301648"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L</w:t>
      </w:r>
      <w:r>
        <w:rPr>
          <w:rFonts w:ascii="Times New Roman" w:eastAsia="Times New Roman" w:hAnsi="Times New Roman" w:cs="Times New Roman"/>
        </w:rPr>
        <w:t>a noción de inicios permite captar algo que la categoría de ingreso, en su dimensión administrativa, no alcanza a expresar. Ingresar a la universidad, además de inscribirse, es comenzar a habitar un espacio institucional con lógicas, temporalidades y exigencias propias. Mancovsky y Más Rocha (2019) relevan que ese momento supone una administración del tiempo en la que conviven el trabajo académico, el descanso y la implicación en la vida cultural e institucional, a la vez que un conjunto de expectativas lig</w:t>
      </w:r>
      <w:r>
        <w:rPr>
          <w:rFonts w:ascii="Times New Roman" w:eastAsia="Times New Roman" w:hAnsi="Times New Roman" w:cs="Times New Roman"/>
        </w:rPr>
        <w:t xml:space="preserve">adas al hecho mismo de cursar estudios superiores y un reconocimiento distinto en el entorno familiar. A ello se añade la exigencia de formas de desempeño que demandan mayor autonomía respecto de las regulaciones que ordenaban la escolaridad previa. Los inicios entendidos como una experiencia formativa que la enseñanza debe acompañar </w:t>
      </w:r>
      <w:proofErr w:type="gramStart"/>
      <w:r>
        <w:rPr>
          <w:rFonts w:ascii="Times New Roman" w:eastAsia="Times New Roman" w:hAnsi="Times New Roman" w:cs="Times New Roman"/>
        </w:rPr>
        <w:t>supone</w:t>
      </w:r>
      <w:proofErr w:type="gramEnd"/>
      <w:r>
        <w:rPr>
          <w:rFonts w:ascii="Times New Roman" w:eastAsia="Times New Roman" w:hAnsi="Times New Roman" w:cs="Times New Roman"/>
        </w:rPr>
        <w:t xml:space="preserve"> reconocer que los estudiantes, en particular quienes constituyen primera generación universitaria, necesitan intervenciones institucionales explícitas para construir los</w:t>
      </w:r>
      <w:r>
        <w:rPr>
          <w:rFonts w:ascii="Times New Roman" w:eastAsia="Times New Roman" w:hAnsi="Times New Roman" w:cs="Times New Roman"/>
        </w:rPr>
        <w:t xml:space="preserve"> saberes, prácticas y códigos correspondientes al oficio de estudiante universitario (Coulon, 1997).</w:t>
      </w:r>
    </w:p>
    <w:p w14:paraId="17CEBA91"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w:t>
      </w:r>
      <w:r>
        <w:rPr>
          <w:rFonts w:ascii="Times New Roman" w:eastAsia="Times New Roman" w:hAnsi="Times New Roman" w:cs="Times New Roman"/>
        </w:rPr>
        <w:t>n este sentido, Pierella (2014</w:t>
      </w:r>
      <w:r>
        <w:rPr>
          <w:rFonts w:ascii="Times New Roman" w:eastAsia="Times New Roman" w:hAnsi="Times New Roman" w:cs="Times New Roman"/>
        </w:rPr>
        <w:t>) señala que “en el centro de las problemáticas relativas al ingreso está el hecho de instituir al sujeto ingresante como sujeto del conocer” (p.59) tarea que las instituciones de educación superior deben tomar para contribuir a la afiliación en ese nuevo espacio simbólico. Esta perspectiva desplaza el argumento que explica el abandono temprano desde el déficit del estudiante hacia las condiciones institucionales y pedagógicas que producen o inhiben esa afiliación. La enseñanza, en este marco, es uno de sus</w:t>
      </w:r>
      <w:r>
        <w:rPr>
          <w:rFonts w:ascii="Times New Roman" w:eastAsia="Times New Roman" w:hAnsi="Times New Roman" w:cs="Times New Roman"/>
        </w:rPr>
        <w:t xml:space="preserve"> factores constitutivos.</w:t>
      </w:r>
    </w:p>
    <w:p w14:paraId="17CEBA92"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encuesta administrada a 43 docentes de la UPE en el marco de la investigación aporta evidencia en este punto. El 91% de los docentes encuestados identificó el acompañamiento a las trayectorias estudiantiles como una necesidad prioritaria de revisión institucional, con un nivel de acuerdo muy alto y baja dispersión entre respuestas. Al mismo tiempo, el 93% señaló la necesidad de contar con espacios institucionalizados de intercambio entre docentes de la misma carrera, y el 84% identificó como prioritario </w:t>
      </w:r>
      <w:r>
        <w:rPr>
          <w:rFonts w:ascii="Times New Roman" w:eastAsia="Times New Roman" w:hAnsi="Times New Roman" w:cs="Times New Roman"/>
        </w:rPr>
        <w:t>el fortalecimiento de la formación docente continua. Estos datos revelan que los propios docentes reconocen las limitaciones de trabajar en soledad frente a demandas pedagógicas que exceden lo que cada cátedra puede resolver por sí misma, y esa percepción se intensifica en el Ciclo Propedéutico, donde la heterogeneidad de trayectorias previas y la distancia entre las expectativas institucionales y los saberes con que llegan los estudiantes crean condiciones de enseñanza particularmente exigentes.</w:t>
      </w:r>
    </w:p>
    <w:p w14:paraId="5E68DE0A" w14:textId="77777777" w:rsidR="00A563BD"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La autoevaluación de las propias prácticas docentes refuerza esta lectura. Ante la pregunta sobre qué aspectos de su desempeño representan áreas de mejora, el reconocimiento de las características del aprendizaje en adultos concentró el mayor número de respuestas en la categoría necesito mejorar. Esta dimensión, que en el contexto de una universidad con fuerte presencia de estudiantes que trabajan y que acceden en condiciones de alta heterogeneidad adquiere un peso central, aparece como la menos consolidada</w:t>
      </w:r>
      <w:r>
        <w:rPr>
          <w:rFonts w:ascii="Times New Roman" w:eastAsia="Times New Roman" w:hAnsi="Times New Roman" w:cs="Times New Roman"/>
        </w:rPr>
        <w:t>. La brecha entre las concepciones pedagógicas que los docentes suscriben (el 60,5% se identifica con un modelo centrado en la guía y la interacción con los estudiantes) y las prácticas que efectivamente reportan usar con mayor frecuencia (la exposición oral lidera el repertorio con un 93% de alta presencia) señala una distancia entre el horizonte pedagógico deseable y las condiciones en que ese horizonte puede realizarse.</w:t>
      </w:r>
    </w:p>
    <w:p w14:paraId="17CEBA95" w14:textId="7E496764" w:rsidR="00AB7852" w:rsidRPr="00A563BD" w:rsidRDefault="007A6A8C" w:rsidP="00A563BD">
      <w:pPr>
        <w:pStyle w:val="ListParagraph"/>
        <w:numPr>
          <w:ilvl w:val="1"/>
          <w:numId w:val="2"/>
        </w:numPr>
        <w:spacing w:line="240" w:lineRule="auto"/>
        <w:jc w:val="both"/>
        <w:rPr>
          <w:rFonts w:ascii="Times New Roman" w:eastAsia="Times New Roman" w:hAnsi="Times New Roman" w:cs="Times New Roman"/>
        </w:rPr>
      </w:pPr>
      <w:r w:rsidRPr="00A563BD">
        <w:rPr>
          <w:rFonts w:ascii="Times New Roman" w:eastAsia="Times New Roman" w:hAnsi="Times New Roman" w:cs="Times New Roman"/>
          <w:b/>
          <w:bCs/>
        </w:rPr>
        <w:t>El umbral del egreso. Condiciones pedagógicas de la graduación</w:t>
      </w:r>
    </w:p>
    <w:p w14:paraId="17CEBA97"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S</w:t>
      </w:r>
      <w:r>
        <w:rPr>
          <w:rFonts w:ascii="Times New Roman" w:eastAsia="Times New Roman" w:hAnsi="Times New Roman" w:cs="Times New Roman"/>
        </w:rPr>
        <w:t>i el umbral del ingreso ha recibido atención creciente en la agenda de investigación y de política institucional, el del egreso permanece comparativamente menos explorado, en particular desde la perspectiva de las condiciones de enseñanza que lo estructuran. Los estudios disponibles sobre universidades bonaerenses han comenzado a documentar las políticas y programas orientados a promover la graduación (tutorías de egreso, talleres de escritura, formatos alternativos de cursada) y su incidencia en las trayec</w:t>
      </w:r>
      <w:r>
        <w:rPr>
          <w:rFonts w:ascii="Times New Roman" w:eastAsia="Times New Roman" w:hAnsi="Times New Roman" w:cs="Times New Roman"/>
        </w:rPr>
        <w:t>torias (Lastra, 2025). Sin embargo, la pregunta por la enseñanza en ese tramo, por lo que ocurre en las aulas y en los espacios de gestión cuando los estudiantes deben producir una síntesis de su formación, ha sido menos formulada.</w:t>
      </w:r>
    </w:p>
    <w:p w14:paraId="17CEBA98"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tramo final de las carreras en la UPE comprende las Prácticas Profesionales Supervisadas y el Trabajo de Integración Final, instancias en las que las demandas </w:t>
      </w:r>
      <w:r>
        <w:rPr>
          <w:rFonts w:ascii="Times New Roman" w:eastAsia="Times New Roman" w:hAnsi="Times New Roman" w:cs="Times New Roman"/>
        </w:rPr>
        <w:lastRenderedPageBreak/>
        <w:t xml:space="preserve">formativas adoptan una naturaleza diferente a las del resto de la cursada. No se trata ya de incorporar contenidos disciplinares en el marco de una lógica de asignatura sino de producir una integración de saberes, de articular teoría y práctica, de sostener un proceso de escritura académica y de transitar la primera relación sistemática con el campo profesional. Investigaciones en otros contextos universitarios muestran que quienes enfrentan estas instancias perciben déficits significativos en la formación </w:t>
      </w:r>
      <w:r>
        <w:rPr>
          <w:rFonts w:ascii="Times New Roman" w:eastAsia="Times New Roman" w:hAnsi="Times New Roman" w:cs="Times New Roman"/>
        </w:rPr>
        <w:t>recibida a lo largo de la carrera, especialmente en escritura académica, búsqueda bibliográfica y articulación teoría-práctica (Rubio et al., 2018).</w:t>
      </w:r>
    </w:p>
    <w:p w14:paraId="17CEBA99"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La encuesta docente realizada aporta indicios relevantes en esta dirección. La diversidad de instrumentos de evaluación aparece clasificada como dimensión en desarrollo, con apenas el 44% de docentes que la consideran una fortaleza y 5 menciones que explicitan necesidad de mejora. En el tramo del egreso, donde la evaluación adopta formatos complejos —la escritura de un trabajo final, la supervisión de una práctica, la instancia de defensa— esta limitación adquiere un peso específico que las políticas instit</w:t>
      </w:r>
      <w:r>
        <w:rPr>
          <w:rFonts w:ascii="Times New Roman" w:eastAsia="Times New Roman" w:hAnsi="Times New Roman" w:cs="Times New Roman"/>
        </w:rPr>
        <w:t xml:space="preserve">ucionales raramente abordan de manera explícita. Al mismo tiempo, el método de proyectos, que es el que mejor se aproxima a la lógica integradora que demandan las Prácticas Profesionales Supervisadas y el Trabajo de Integración Final, presenta la brecha más alta entre conocimiento y uso de todos los métodos relevados (el 100% de los docentes lo </w:t>
      </w:r>
      <w:proofErr w:type="gramStart"/>
      <w:r>
        <w:rPr>
          <w:rFonts w:ascii="Times New Roman" w:eastAsia="Times New Roman" w:hAnsi="Times New Roman" w:cs="Times New Roman"/>
        </w:rPr>
        <w:t>conoce</w:t>
      </w:r>
      <w:proofErr w:type="gramEnd"/>
      <w:r>
        <w:rPr>
          <w:rFonts w:ascii="Times New Roman" w:eastAsia="Times New Roman" w:hAnsi="Times New Roman" w:cs="Times New Roman"/>
        </w:rPr>
        <w:t xml:space="preserve"> pero solo el 42% lo utiliza, y es también el más demandado para formación, con cerca de 17 menciones en las respuestas abiertas. Esta distancia entre valoraci</w:t>
      </w:r>
      <w:r>
        <w:rPr>
          <w:rFonts w:ascii="Times New Roman" w:eastAsia="Times New Roman" w:hAnsi="Times New Roman" w:cs="Times New Roman"/>
        </w:rPr>
        <w:t>ón y uso podría no responder a una resistencia conceptual sino a condiciones concretas de trabajo que dificultan su implementación. El tiempo que requiere su planificación, la complejidad organizativa, la heterogeneidad de los grupos, la falta de modelos de referencia, la ausencia de espacios colectivos donde construir experiencia compartida son, en todo caso, condiciones que una política pedagógica institucional podría modificar.</w:t>
      </w:r>
    </w:p>
    <w:p w14:paraId="17CEBA9B" w14:textId="7F02047E" w:rsidR="00AB7852" w:rsidRPr="0047126C" w:rsidRDefault="007A6A8C" w:rsidP="008D42DA">
      <w:pPr>
        <w:pStyle w:val="ListParagraph"/>
        <w:numPr>
          <w:ilvl w:val="0"/>
          <w:numId w:val="5"/>
        </w:numPr>
        <w:spacing w:line="240" w:lineRule="auto"/>
        <w:jc w:val="both"/>
        <w:rPr>
          <w:rFonts w:ascii="Times New Roman" w:eastAsia="Times New Roman" w:hAnsi="Times New Roman" w:cs="Times New Roman"/>
          <w:b/>
          <w:bCs/>
        </w:rPr>
      </w:pPr>
      <w:r w:rsidRPr="0047126C">
        <w:rPr>
          <w:rFonts w:ascii="Times New Roman" w:eastAsia="Times New Roman" w:hAnsi="Times New Roman" w:cs="Times New Roman"/>
          <w:b/>
          <w:bCs/>
        </w:rPr>
        <w:t>El Desarrollo Profesional Docente en contextos específicos</w:t>
      </w:r>
    </w:p>
    <w:p w14:paraId="17CEBA9C"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rPr>
        <w:t>l tercer núcleo se propone abordar la noción de Desarrollo Profesional Docente (DPD) en contextos específicos. El interés radica en problematizar la tensión que atraviesa el modo en que esta categoría es comprendida. Por un lado, existen concepciones que la asimilan a un conjunto de instancias de capacitación puntuales y desarticuladas; por otro, aquellas que la conciben como una estrategia sostenida en el tiempo, situada y sistemática, con capacidad de interpelar las prácticas de enseñanza en función de la</w:t>
      </w:r>
      <w:r>
        <w:rPr>
          <w:rFonts w:ascii="Times New Roman" w:eastAsia="Times New Roman" w:hAnsi="Times New Roman" w:cs="Times New Roman"/>
        </w:rPr>
        <w:t>s particularidades territoriales, institucionales y estudiantiles propias de cada universidad. Este último conjunto de concepciones resulta pertinente en la medida en que permite leer las acciones de acompañamiento docente no como hechos aislados, sino en relación con las condiciones institucionales que las habilitan o las obturan.</w:t>
      </w:r>
    </w:p>
    <w:p w14:paraId="17CEBA9D" w14:textId="09BC5BE5"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línea, Terigi (2010) propone pensar al DPD más allá del perfeccionamiento puntual. Lo concibe como un trayecto que no se </w:t>
      </w:r>
      <w:r w:rsidR="008238B1">
        <w:rPr>
          <w:rFonts w:ascii="Times New Roman" w:eastAsia="Times New Roman" w:hAnsi="Times New Roman" w:cs="Times New Roman"/>
        </w:rPr>
        <w:t>interrumpe,</w:t>
      </w:r>
      <w:r>
        <w:rPr>
          <w:rFonts w:ascii="Times New Roman" w:eastAsia="Times New Roman" w:hAnsi="Times New Roman" w:cs="Times New Roman"/>
        </w:rPr>
        <w:t xml:space="preserve"> sino que comienza con la formación inicial del docente y se extiende a través de los distintos momentos y funciones que este va asumiendo a lo largo de su vida laboral. Para que ese trayecto tenga sentido formativo, sin embargo, debe estar sostenido por decisiones de política educativa que apunten, de manera articulada, a robustecer la profesión. Esta concepción encuentra </w:t>
      </w:r>
      <w:r>
        <w:rPr>
          <w:rFonts w:ascii="Times New Roman" w:eastAsia="Times New Roman" w:hAnsi="Times New Roman" w:cs="Times New Roman"/>
        </w:rPr>
        <w:lastRenderedPageBreak/>
        <w:t>respaldo en Molinari (2015), quien sitúa el carácter sistemático como el rasgo que verdaderamente separa el desarrollo profesional de la</w:t>
      </w:r>
      <w:r>
        <w:rPr>
          <w:rFonts w:ascii="Times New Roman" w:eastAsia="Times New Roman" w:hAnsi="Times New Roman" w:cs="Times New Roman"/>
        </w:rPr>
        <w:t xml:space="preserve">s instancias formativas ocasionales. </w:t>
      </w:r>
    </w:p>
    <w:p w14:paraId="17CEBA9E" w14:textId="6E57B38F"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Atender a estas conceptualizaciones cobra un sentido particular en el caso de la docencia universitaria en Argentina en donde para ejercerla, en términos generales, no se requiere una titulación docente específica ni formación pedagógica previa. </w:t>
      </w:r>
      <w:proofErr w:type="spellStart"/>
      <w:r>
        <w:rPr>
          <w:rFonts w:ascii="Times New Roman" w:eastAsia="Times New Roman" w:hAnsi="Times New Roman" w:cs="Times New Roman"/>
        </w:rPr>
        <w:t>Rué</w:t>
      </w:r>
      <w:proofErr w:type="spellEnd"/>
      <w:r>
        <w:rPr>
          <w:rFonts w:ascii="Times New Roman" w:eastAsia="Times New Roman" w:hAnsi="Times New Roman" w:cs="Times New Roman"/>
        </w:rPr>
        <w:t xml:space="preserve"> (2013), menciona que, en algunos territorios como Suecia y Países Bajos, la formación pedagógica para ejercer la docencia en la universidad es, no solo requisito </w:t>
      </w:r>
      <w:r w:rsidR="00C17803">
        <w:rPr>
          <w:rFonts w:ascii="Times New Roman" w:eastAsia="Times New Roman" w:hAnsi="Times New Roman" w:cs="Times New Roman"/>
        </w:rPr>
        <w:t>obligatorio,</w:t>
      </w:r>
      <w:r>
        <w:rPr>
          <w:rFonts w:ascii="Times New Roman" w:eastAsia="Times New Roman" w:hAnsi="Times New Roman" w:cs="Times New Roman"/>
        </w:rPr>
        <w:t xml:space="preserve"> sino que también tiene reconocimiento salarial explícito.</w:t>
      </w:r>
      <w:r>
        <w:rPr>
          <w:rFonts w:ascii="Times New Roman" w:eastAsia="Times New Roman" w:hAnsi="Times New Roman" w:cs="Times New Roman"/>
        </w:rPr>
        <w:t xml:space="preserve"> La comparación permite dar cuenta de la existencia de sistemas que han institucionalizado la formación pedagógica y deja expuesta una característica del sistema argentino que debe ser atendida, en el cual dicha formación no cuenta en el ingreso a la docencia, ni en los concursos docentes y en los sistemas de incentivos. </w:t>
      </w:r>
      <w:r>
        <w:rPr>
          <w:rFonts w:ascii="Times New Roman" w:eastAsia="Times New Roman" w:hAnsi="Times New Roman" w:cs="Times New Roman"/>
        </w:rPr>
        <w:t>Al tener en cuenta esta situación, lo decisivo no es el número de oportunidades de capacitación docente que se ofrezcan en la universidad, sino su integralidad y continuidad en tanto que un acompañamiento que se articula y se prolonga en el tiempo favorece que la enseñanza se reacomode al ritmo de las propias transformaciones de la universidad. En este marco, el DPD se vuelve una dimensión clave para analizar el modo en que las universidades atienden las demandas de sus docentes en función de sus condicione</w:t>
      </w:r>
      <w:r>
        <w:rPr>
          <w:rFonts w:ascii="Times New Roman" w:eastAsia="Times New Roman" w:hAnsi="Times New Roman" w:cs="Times New Roman"/>
        </w:rPr>
        <w:t>s institucionales específicas.</w:t>
      </w:r>
    </w:p>
    <w:p w14:paraId="17CEBA9F"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En esa misma dirección, Vaillant y Marcelo (2015) subrayan que el valor de la noción de desarrollo profesional reside en su capacidad de concebir la práctica docente como una construcción dinámica, que se reconfigura a lo largo del tiempo. Esta mirada permite superar las concepciones que separan tajantemente la formación inicial del perfeccionamiento posterior, y habilita una comprensión del docente como profesional de la enseñanza en proceso continuo de transformación. En este encuadre, el abordaje del pro</w:t>
      </w:r>
      <w:r>
        <w:rPr>
          <w:rFonts w:ascii="Times New Roman" w:eastAsia="Times New Roman" w:hAnsi="Times New Roman" w:cs="Times New Roman"/>
        </w:rPr>
        <w:t>blema de la línea de investigación que se toma como base en esta ponencia se beneficia de una lectura que no fragmenta la trayectoria docente, sino que la considera como un continuo susceptible de ser acompañado institucionalmente.</w:t>
      </w:r>
    </w:p>
    <w:p w14:paraId="17CEBAA0"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Por su lado, Imbernón (2011) corre el eje del análisis hacia el plano institucional. Su tesis es que la mejora de la enseñanza universitaria no se resuelve apelando al dominio de una técnica ni al compromiso personal de cada profesor, porque ese compromiso difícilmente prospera allí donde la institución no lo sostiene. Sin sostén institucional, la formación pedagógica termina recayendo sobre los pocos que la persiguen por convicción propia. En este sentido, el problema deja de ser una carencia individual pa</w:t>
      </w:r>
      <w:r>
        <w:rPr>
          <w:rFonts w:ascii="Times New Roman" w:eastAsia="Times New Roman" w:hAnsi="Times New Roman" w:cs="Times New Roman"/>
        </w:rPr>
        <w:t>ra volverse una cuestión de condiciones institucionales, lo que resulta pertinente para los problemas de la línea de investigación tomada como base.</w:t>
      </w:r>
    </w:p>
    <w:p w14:paraId="17CEBAA1" w14:textId="26F0C669" w:rsidR="00AB7852" w:rsidRDefault="007A6A8C" w:rsidP="00255AA1">
      <w:pPr>
        <w:spacing w:line="240" w:lineRule="auto"/>
        <w:jc w:val="both"/>
        <w:rPr>
          <w:rFonts w:ascii="Times New Roman" w:eastAsia="Times New Roman" w:hAnsi="Times New Roman" w:cs="Times New Roman"/>
          <w:u w:val="single"/>
        </w:rPr>
      </w:pPr>
      <w:r>
        <w:rPr>
          <w:rFonts w:ascii="Times New Roman" w:eastAsia="Times New Roman" w:hAnsi="Times New Roman" w:cs="Times New Roman"/>
        </w:rPr>
        <w:t xml:space="preserve">Desde el ámbito anglosajón, Darling-Hammond, Hyler y Gardner (2017) aportan un respaldo empírico a esta misma línea. Tras revisar, en el marco del </w:t>
      </w:r>
      <w:proofErr w:type="spellStart"/>
      <w:r>
        <w:rPr>
          <w:rFonts w:ascii="Times New Roman" w:eastAsia="Times New Roman" w:hAnsi="Times New Roman" w:cs="Times New Roman"/>
        </w:rPr>
        <w:t>Learning</w:t>
      </w:r>
      <w:proofErr w:type="spellEnd"/>
      <w:r>
        <w:rPr>
          <w:rFonts w:ascii="Times New Roman" w:eastAsia="Times New Roman" w:hAnsi="Times New Roman" w:cs="Times New Roman"/>
        </w:rPr>
        <w:t xml:space="preserve"> Policy </w:t>
      </w:r>
      <w:proofErr w:type="spellStart"/>
      <w:r>
        <w:rPr>
          <w:rFonts w:ascii="Times New Roman" w:eastAsia="Times New Roman" w:hAnsi="Times New Roman" w:cs="Times New Roman"/>
        </w:rPr>
        <w:t>Institute</w:t>
      </w:r>
      <w:proofErr w:type="spellEnd"/>
      <w:r>
        <w:rPr>
          <w:rFonts w:ascii="Times New Roman" w:eastAsia="Times New Roman" w:hAnsi="Times New Roman" w:cs="Times New Roman"/>
        </w:rPr>
        <w:t xml:space="preserve"> de la Universidad de Stanford, un conjunto de experiencias formativas que mostraron mejoras en los aprendizajes de los estudiantes, los autores reconstruyen el perfil de aquello que sugiere buenos resultados. Lo que distingue a esas experiencias no es ningún componente aislado, sino una combinación de rasgos que implican a los saberes propios de cada disciplina, se </w:t>
      </w:r>
      <w:proofErr w:type="gramStart"/>
      <w:r w:rsidR="00D069F4">
        <w:rPr>
          <w:rFonts w:ascii="Times New Roman" w:eastAsia="Times New Roman" w:hAnsi="Times New Roman" w:cs="Times New Roman"/>
        </w:rPr>
        <w:t>despliega</w:t>
      </w:r>
      <w:r w:rsidR="0012546A">
        <w:rPr>
          <w:rFonts w:ascii="Times New Roman" w:eastAsia="Times New Roman" w:hAnsi="Times New Roman" w:cs="Times New Roman"/>
        </w:rPr>
        <w:t>n</w:t>
      </w:r>
      <w:proofErr w:type="gramEnd"/>
      <w:r>
        <w:rPr>
          <w:rFonts w:ascii="Times New Roman" w:eastAsia="Times New Roman" w:hAnsi="Times New Roman" w:cs="Times New Roman"/>
        </w:rPr>
        <w:t xml:space="preserve"> de manera colaborativa y arraigada en el contexto real de trabajo, cuentan con la guía de especialistas y se sostienen durante un </w:t>
      </w:r>
      <w:r>
        <w:rPr>
          <w:rFonts w:ascii="Times New Roman" w:eastAsia="Times New Roman" w:hAnsi="Times New Roman" w:cs="Times New Roman"/>
        </w:rPr>
        <w:lastRenderedPageBreak/>
        <w:t xml:space="preserve">período prolongado. Esa configuración es la </w:t>
      </w:r>
      <w:r>
        <w:rPr>
          <w:rFonts w:ascii="Times New Roman" w:eastAsia="Times New Roman" w:hAnsi="Times New Roman" w:cs="Times New Roman"/>
        </w:rPr>
        <w:t>que oponen al taller único y descontextualizado. Este último formato, según la evidencia que reúnen, rara vez deja huella en las prácticas. Es decir que, para Darling-Hammond, Hyler y Gardner (2017) la potencia del desarrollo profesional no depende de acumular acciones sueltas, sino de articular propuestas coherentes y ancladas en los contextos concretos de trabajo.</w:t>
      </w:r>
    </w:p>
    <w:p w14:paraId="17CEBAA2"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Por tanto, el DPD así concebido, permite indagar cómo en las universidades se abordan los inicios, las trayectorias estudiantiles y la diversidad sociocultural. A su vez, abona a la comprensión de la enseñanza como una variable estructurante y de relevancia política en aquello que hace a la consolidación o la atenuación de las desigualdades (Ezcurra, 2019) y a la garantía del derecho a la educación superior (Morandi, 2022).</w:t>
      </w:r>
    </w:p>
    <w:p w14:paraId="17CEBAA3" w14:textId="77777777" w:rsidR="00AB7852" w:rsidRDefault="007A6A8C" w:rsidP="00255AA1">
      <w:pPr>
        <w:spacing w:line="240" w:lineRule="auto"/>
        <w:rPr>
          <w:rFonts w:ascii="Times New Roman" w:eastAsia="Times New Roman" w:hAnsi="Times New Roman" w:cs="Times New Roman"/>
        </w:rPr>
      </w:pPr>
      <w:r>
        <w:rPr>
          <w:rFonts w:ascii="Times New Roman" w:eastAsia="Times New Roman" w:hAnsi="Times New Roman" w:cs="Times New Roman"/>
          <w:color w:val="0563C1"/>
        </w:rPr>
        <w:br/>
      </w:r>
      <w:r>
        <w:rPr>
          <w:rFonts w:ascii="Times New Roman" w:eastAsia="Times New Roman" w:hAnsi="Times New Roman" w:cs="Times New Roman"/>
          <w:b/>
          <w:bCs/>
        </w:rPr>
        <w:t>Conclusiones</w:t>
      </w:r>
    </w:p>
    <w:p w14:paraId="17CEBAA4"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El análisis de los núcleos presentados permite identificar una tensión que los articula en relación con la democratización del nivel superior y la enseñanza. El primero, centrado en las políticas institucionales, muestra que la proliferación de dispositivos de acompañamiento a las trayectorias estudiantiles no logra constituir una política integral que contemple las prácticas de enseñanza. En este sentido, la enseñanza continúa ocupando un lugar subordinado. El segundo núcleo identifica los umbrales de ingr</w:t>
      </w:r>
      <w:r>
        <w:rPr>
          <w:rFonts w:ascii="Times New Roman" w:eastAsia="Times New Roman" w:hAnsi="Times New Roman" w:cs="Times New Roman"/>
        </w:rPr>
        <w:t>eso y egreso como los momentos donde esa subordinación se vuelve más visible, mostrando que los propios docentes reconocen las limitaciones que enfrentan para acompañar esas transiciones. Finalmente, la reflexión sobre el desarrollo profesional docente permite comprender que la mejora de la enseñanza difícilmente pueda depender de iniciativas individuales o de acciones de capacitación aisladas, sino que requiere políticas sistemáticas, continuas y situadas, atentas a las particularidades institucionales, te</w:t>
      </w:r>
      <w:r>
        <w:rPr>
          <w:rFonts w:ascii="Times New Roman" w:eastAsia="Times New Roman" w:hAnsi="Times New Roman" w:cs="Times New Roman"/>
        </w:rPr>
        <w:t>rritoriales y estudiantiles de cada universidad.</w:t>
      </w:r>
    </w:p>
    <w:p w14:paraId="17CEBAA5"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A partir de estos análisis podría plantearse una de las paradojas más significativas de la universidad argentina de las últimas décadas. Mientras amplió las oportunidades de acceso a la educación superior, creó universidades en territorios históricamente postergados, diversificó la oferta académica y desarrolló múltiples dispositivos de acompañamiento, las prácticas de enseñanza continuaron ocupando un lugar secundario dentro de las políticas universitarias. Las puertas se abrieron y los umbrales siguen sie</w:t>
      </w:r>
      <w:r>
        <w:rPr>
          <w:rFonts w:ascii="Times New Roman" w:eastAsia="Times New Roman" w:hAnsi="Times New Roman" w:cs="Times New Roman"/>
        </w:rPr>
        <w:t xml:space="preserve">ndo difíciles de cruzar. En esta línea, este trabajo recupera la noción de umbral para pensar tanto el ingreso como el egreso como espacios de transición en los que los sujetos reorganizan saberes, identidades y prácticas, y sitúa a la enseñanza como la práctica que hace posible ese </w:t>
      </w:r>
      <w:proofErr w:type="gramStart"/>
      <w:r>
        <w:rPr>
          <w:rFonts w:ascii="Times New Roman" w:eastAsia="Times New Roman" w:hAnsi="Times New Roman" w:cs="Times New Roman"/>
        </w:rPr>
        <w:t>cruce,</w:t>
      </w:r>
      <w:proofErr w:type="gramEnd"/>
      <w:r>
        <w:rPr>
          <w:rFonts w:ascii="Times New Roman" w:eastAsia="Times New Roman" w:hAnsi="Times New Roman" w:cs="Times New Roman"/>
        </w:rPr>
        <w:t xml:space="preserve"> no es el umbral sino lo que determina en gran medida si el pasaje ocurre o se interrumpe. </w:t>
      </w:r>
    </w:p>
    <w:p w14:paraId="17CEBAA6"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El acompañamiento a los estudiantes en esos momentos de transición, haciendo visible lo que la institución asume como sabido y construyendo las ayudas necesarias, es lo que una pedagogía universitaria concebida como política institucional puede garantizar y es justamente lo que permanece postergado en tanto la formación y el desarrollo profesional de quienes enseñan no son reconocidos todavía como parte constitutiva de esa política. Mientras se siga sosteniendo como una oferta disponible para quien la deman</w:t>
      </w:r>
      <w:r>
        <w:rPr>
          <w:rFonts w:ascii="Times New Roman" w:eastAsia="Times New Roman" w:hAnsi="Times New Roman" w:cs="Times New Roman"/>
        </w:rPr>
        <w:t xml:space="preserve">da y no </w:t>
      </w:r>
      <w:r>
        <w:rPr>
          <w:rFonts w:ascii="Times New Roman" w:eastAsia="Times New Roman" w:hAnsi="Times New Roman" w:cs="Times New Roman"/>
        </w:rPr>
        <w:lastRenderedPageBreak/>
        <w:t>como una política que la institución asume como propia y sistemática, la paradoja persistirá.</w:t>
      </w:r>
    </w:p>
    <w:p w14:paraId="17CEBAA7"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Desde esta perspectiva, la enseñanza deja de constituir una dimensión exclusivamente técnica o una responsabilidad individual de cada docente para adquirir el estatuto de una política institucional sustantiva. Entenderla así supone asumir que las formas de enseñar participan activamente en la producción o reducción de las desigualdades educativas y, por lo tanto, podrían ocupar un lugar central en las agendas de gestión universitaria. Por tanto, fortalecer la pedagogía universitaria implicaría ampliar el ho</w:t>
      </w:r>
      <w:r>
        <w:rPr>
          <w:rFonts w:ascii="Times New Roman" w:eastAsia="Times New Roman" w:hAnsi="Times New Roman" w:cs="Times New Roman"/>
        </w:rPr>
        <w:t>rizonte de las políticas de democratización.</w:t>
      </w:r>
    </w:p>
    <w:p w14:paraId="17CEBAA8"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Este planteo no puede analizarse al margen del contexto de desfinanciamiento que atraviesan actualmente las universidades públicas. Cuando la mayoría de los cargos docentes son de dedicación simple, los salarios se deterioran y disminuyen las posibilidades de destinar tiempo a la preparación de las clases, la reflexión sobre la enseñanza y la formación continua, también se debilitan las condiciones institucionales para acompañar las trayectorias estudiantiles. En universidades que reciben una población estu</w:t>
      </w:r>
      <w:r>
        <w:rPr>
          <w:rFonts w:ascii="Times New Roman" w:eastAsia="Times New Roman" w:hAnsi="Times New Roman" w:cs="Times New Roman"/>
        </w:rPr>
        <w:t>diantil social, educativa y laboralmente heterogénea estas restricciones adquieren mayor impacto. El desfinanciamiento no solo afecta la infraestructura o los recursos materiales, también incide en las condiciones de trabajo docente y, con ello, las posibilidades de llevar a cabo una enseñanza capaz de acompañar las transiciones de ingreso y egreso. De este modo, la problemática de financiamiento termina afectando la experiencia formativa expresándose en el encuentro entre quienes enseñan y quienes aprenden</w:t>
      </w:r>
      <w:r>
        <w:rPr>
          <w:rFonts w:ascii="Times New Roman" w:eastAsia="Times New Roman" w:hAnsi="Times New Roman" w:cs="Times New Roman"/>
        </w:rPr>
        <w:t>.</w:t>
      </w:r>
    </w:p>
    <w:p w14:paraId="17CEBAA9" w14:textId="77777777" w:rsidR="00AB7852" w:rsidRDefault="007A6A8C" w:rsidP="00255AA1">
      <w:pPr>
        <w:spacing w:line="240" w:lineRule="auto"/>
        <w:jc w:val="both"/>
        <w:rPr>
          <w:rFonts w:ascii="Times New Roman" w:eastAsia="Times New Roman" w:hAnsi="Times New Roman" w:cs="Times New Roman"/>
        </w:rPr>
      </w:pPr>
      <w:r>
        <w:rPr>
          <w:rFonts w:ascii="Times New Roman" w:eastAsia="Times New Roman" w:hAnsi="Times New Roman" w:cs="Times New Roman"/>
        </w:rPr>
        <w:t>La democratización de la educación superior universitaria resulta irreductible a la ampliación del acceso y tampoco puede sostenerse exclusivamente en políticas de acompañamiento económico, tutorial o administrativo. Aunque estas estrategias siguen siendo indispensables, no resultan suficientes cuando la enseñanza continúa escindida de las políticas institucionales orientadas a garantizar la permanencia y el egreso. La expansión del sistema universitario argentino en general, y la experiencia de las univers</w:t>
      </w:r>
      <w:r>
        <w:rPr>
          <w:rFonts w:ascii="Times New Roman" w:eastAsia="Times New Roman" w:hAnsi="Times New Roman" w:cs="Times New Roman"/>
        </w:rPr>
        <w:t>idades del conurbano bonaerense en particular, evidencian que la inclusión efectiva se juega, en buena medida, en la capacidad de las instituciones para intervenir sobre las condiciones pedagógicas en las que se desarrollan las trayectorias estudiantiles. Esa es la tarea que permanece pendiente.</w:t>
      </w:r>
    </w:p>
    <w:p w14:paraId="17CEBAAA" w14:textId="77777777" w:rsidR="00AB7852" w:rsidRDefault="00AB7852" w:rsidP="00255AA1">
      <w:pPr>
        <w:spacing w:line="240" w:lineRule="auto"/>
        <w:rPr>
          <w:rFonts w:ascii="Times New Roman" w:eastAsia="Times New Roman" w:hAnsi="Times New Roman" w:cs="Times New Roman"/>
          <w:b/>
          <w:bCs/>
        </w:rPr>
      </w:pPr>
    </w:p>
    <w:p w14:paraId="17CEBAAB" w14:textId="77777777" w:rsidR="00AB7852" w:rsidRDefault="007A6A8C" w:rsidP="00255AA1">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2D53F9CA" w14:textId="77777777" w:rsidR="00740750" w:rsidRDefault="00740750" w:rsidP="00740750">
      <w:pPr>
        <w:spacing w:line="240" w:lineRule="auto"/>
        <w:ind w:left="720" w:hanging="720"/>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Abrego, L. (2024). La enseñanza en la universidad. Tensiones, problemas y vacancias en universidades del conurbano bonaerense. </w:t>
      </w:r>
      <w:r>
        <w:rPr>
          <w:rFonts w:ascii="Times New Roman" w:eastAsia="Times New Roman" w:hAnsi="Times New Roman" w:cs="Times New Roman"/>
          <w:i/>
          <w:iCs/>
        </w:rPr>
        <w:t>Revista Latinoamericana De Políticas Y Administración De La Educación</w:t>
      </w:r>
      <w:r>
        <w:rPr>
          <w:rFonts w:ascii="Times New Roman" w:eastAsia="Times New Roman" w:hAnsi="Times New Roman" w:cs="Times New Roman"/>
        </w:rPr>
        <w:t>, (20), 72-81.</w:t>
      </w:r>
      <w:hyperlink r:id="rId11">
        <w:r>
          <w:rPr>
            <w:rFonts w:ascii="Times New Roman" w:eastAsia="Times New Roman" w:hAnsi="Times New Roman" w:cs="Times New Roman"/>
            <w:color w:val="1155CC"/>
            <w:u w:val="single"/>
          </w:rPr>
          <w:t xml:space="preserve"> https://revistas.untref.edu.ar/index.php/relapae/article/view/2022</w:t>
        </w:r>
      </w:hyperlink>
    </w:p>
    <w:p w14:paraId="09A272A8" w14:textId="77777777" w:rsidR="00740750" w:rsidRDefault="00740750" w:rsidP="00740750">
      <w:pPr>
        <w:spacing w:line="240" w:lineRule="auto"/>
        <w:ind w:left="720" w:hanging="720"/>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Araujo, S. (2018). Entre el ingreso y la graduación: el problema de la democratización en la universidad. </w:t>
      </w:r>
      <w:r>
        <w:rPr>
          <w:rFonts w:ascii="Times New Roman" w:eastAsia="Times New Roman" w:hAnsi="Times New Roman" w:cs="Times New Roman"/>
          <w:i/>
          <w:iCs/>
        </w:rPr>
        <w:t>ESPACIOS EN BLANCO. Revista De Educación</w:t>
      </w:r>
      <w:r>
        <w:rPr>
          <w:rFonts w:ascii="Times New Roman" w:eastAsia="Times New Roman" w:hAnsi="Times New Roman" w:cs="Times New Roman"/>
        </w:rPr>
        <w:t>, (27), 35–61.</w:t>
      </w:r>
      <w:hyperlink r:id="rId12">
        <w:r>
          <w:rPr>
            <w:rFonts w:ascii="Times New Roman" w:eastAsia="Times New Roman" w:hAnsi="Times New Roman" w:cs="Times New Roman"/>
            <w:color w:val="1155CC"/>
            <w:u w:val="single"/>
          </w:rPr>
          <w:t xml:space="preserve"> </w:t>
        </w:r>
        <w:r>
          <w:rPr>
            <w:rFonts w:ascii="Times New Roman" w:eastAsia="Times New Roman" w:hAnsi="Times New Roman" w:cs="Times New Roman"/>
            <w:color w:val="1155CC"/>
            <w:u w:val="single"/>
          </w:rPr>
          <w:lastRenderedPageBreak/>
          <w:t>https://ojs2.fch.unicen.edu.ar/ojs-3.1.0/index.php/espacios-en-blanco/article/view/100</w:t>
        </w:r>
      </w:hyperlink>
    </w:p>
    <w:p w14:paraId="2EBD120E" w14:textId="77777777" w:rsidR="00A87164" w:rsidRDefault="00740750" w:rsidP="00A87164">
      <w:pPr>
        <w:spacing w:line="240" w:lineRule="auto"/>
        <w:ind w:left="720" w:hanging="720"/>
        <w:jc w:val="both"/>
        <w:rPr>
          <w:rFonts w:ascii="Times New Roman" w:eastAsia="Times New Roman" w:hAnsi="Times New Roman" w:cs="Times New Roman"/>
        </w:rPr>
      </w:pPr>
      <w:r w:rsidRPr="009F431F">
        <w:rPr>
          <w:rFonts w:ascii="Times New Roman" w:eastAsia="Times New Roman" w:hAnsi="Times New Roman" w:cs="Times New Roman"/>
          <w:lang w:val="en-GB"/>
        </w:rPr>
        <w:t xml:space="preserve">Ball, S., Maguire, M. &amp; Braun, A. (2012). </w:t>
      </w:r>
      <w:r w:rsidRPr="009F431F">
        <w:rPr>
          <w:rFonts w:ascii="Times New Roman" w:eastAsia="Times New Roman" w:hAnsi="Times New Roman" w:cs="Times New Roman"/>
          <w:i/>
          <w:iCs/>
          <w:lang w:val="en-GB"/>
        </w:rPr>
        <w:t xml:space="preserve">How schools do policy: policy enactments in secondary schools. </w:t>
      </w:r>
      <w:r>
        <w:rPr>
          <w:rFonts w:ascii="Times New Roman" w:eastAsia="Times New Roman" w:hAnsi="Times New Roman" w:cs="Times New Roman"/>
        </w:rPr>
        <w:t>Routledge.</w:t>
      </w:r>
    </w:p>
    <w:p w14:paraId="2D8E0585" w14:textId="3F379A4F" w:rsidR="00A87164" w:rsidRDefault="00A87164" w:rsidP="00A87164">
      <w:pPr>
        <w:spacing w:line="240" w:lineRule="auto"/>
        <w:ind w:left="720" w:hanging="720"/>
        <w:jc w:val="both"/>
        <w:rPr>
          <w:rFonts w:ascii="Times New Roman" w:eastAsia="Times New Roman" w:hAnsi="Times New Roman" w:cs="Times New Roman"/>
        </w:rPr>
      </w:pPr>
      <w:r w:rsidRPr="00A87164">
        <w:rPr>
          <w:rFonts w:ascii="Times New Roman" w:eastAsia="Times New Roman" w:hAnsi="Times New Roman" w:cs="Times New Roman"/>
        </w:rPr>
        <w:t xml:space="preserve">Berenstein, D. (2024). Las tareas docentes y la construcción del oficio de estudiante universitario en los inicios a la educación superior ante la llegada de nuevos públicos. Avances de una tesis doctoral en curso. </w:t>
      </w:r>
      <w:r w:rsidRPr="00A87164">
        <w:rPr>
          <w:rFonts w:ascii="Times New Roman" w:eastAsia="Times New Roman" w:hAnsi="Times New Roman" w:cs="Times New Roman"/>
          <w:i/>
          <w:iCs/>
        </w:rPr>
        <w:t>Revista Latinoamericana De Políticas Y Administración De La Educación,</w:t>
      </w:r>
      <w:r w:rsidRPr="00A87164">
        <w:rPr>
          <w:rFonts w:ascii="Times New Roman" w:eastAsia="Times New Roman" w:hAnsi="Times New Roman" w:cs="Times New Roman"/>
        </w:rPr>
        <w:t xml:space="preserve"> (20), 82-91. </w:t>
      </w:r>
      <w:hyperlink r:id="rId13" w:history="1">
        <w:r w:rsidRPr="003B6DCC">
          <w:rPr>
            <w:rStyle w:val="Hyperlink"/>
            <w:rFonts w:ascii="Times New Roman" w:eastAsia="Times New Roman" w:hAnsi="Times New Roman" w:cs="Times New Roman"/>
          </w:rPr>
          <w:t>https://revistas.untref.edu.ar/index.php/relapae/article/view/2025</w:t>
        </w:r>
      </w:hyperlink>
    </w:p>
    <w:p w14:paraId="2636B39D" w14:textId="4FA950CF" w:rsidR="00740750" w:rsidRDefault="00740750" w:rsidP="0074075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Bombini</w:t>
      </w:r>
      <w:proofErr w:type="spellEnd"/>
      <w:r>
        <w:rPr>
          <w:rFonts w:ascii="Times New Roman" w:eastAsia="Times New Roman" w:hAnsi="Times New Roman" w:cs="Times New Roman"/>
        </w:rPr>
        <w:t xml:space="preserve">, G. (2019). Desafíos para una escritura académica en contexto. (2018). </w:t>
      </w:r>
      <w:r>
        <w:rPr>
          <w:rFonts w:ascii="Times New Roman" w:eastAsia="Times New Roman" w:hAnsi="Times New Roman" w:cs="Times New Roman"/>
          <w:i/>
          <w:iCs/>
        </w:rPr>
        <w:t>Alabe Revista De Investigación Sobre Lectura Y Escritura</w:t>
      </w:r>
      <w:r>
        <w:rPr>
          <w:rFonts w:ascii="Times New Roman" w:eastAsia="Times New Roman" w:hAnsi="Times New Roman" w:cs="Times New Roman"/>
        </w:rPr>
        <w:t xml:space="preserve">, 19. </w:t>
      </w:r>
      <w:hyperlink r:id="rId14">
        <w:r>
          <w:rPr>
            <w:rFonts w:ascii="Times New Roman" w:eastAsia="Times New Roman" w:hAnsi="Times New Roman" w:cs="Times New Roman"/>
            <w:color w:val="1155CC"/>
            <w:u w:val="single"/>
          </w:rPr>
          <w:t>https://doi.org/10.15645/Alabe2019.19.12</w:t>
        </w:r>
      </w:hyperlink>
    </w:p>
    <w:p w14:paraId="1B954DE0" w14:textId="77777777" w:rsidR="00740750" w:rsidRDefault="00740750" w:rsidP="0074075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Camblong</w:t>
      </w:r>
      <w:proofErr w:type="spellEnd"/>
      <w:r>
        <w:rPr>
          <w:rFonts w:ascii="Times New Roman" w:eastAsia="Times New Roman" w:hAnsi="Times New Roman" w:cs="Times New Roman"/>
        </w:rPr>
        <w:t xml:space="preserve">, A. (2005). </w:t>
      </w:r>
      <w:r>
        <w:rPr>
          <w:rFonts w:ascii="Times New Roman" w:eastAsia="Times New Roman" w:hAnsi="Times New Roman" w:cs="Times New Roman"/>
          <w:i/>
          <w:iCs/>
        </w:rPr>
        <w:t>Mapa semiótico para la alfabetización intercultural.</w:t>
      </w:r>
      <w:r>
        <w:rPr>
          <w:rFonts w:ascii="Times New Roman" w:eastAsia="Times New Roman" w:hAnsi="Times New Roman" w:cs="Times New Roman"/>
        </w:rPr>
        <w:t xml:space="preserve"> Talleres Gráficos La Impresión.</w:t>
      </w:r>
    </w:p>
    <w:p w14:paraId="49D95AEC" w14:textId="77777777" w:rsidR="00740750" w:rsidRDefault="00740750" w:rsidP="0074075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Cambours</w:t>
      </w:r>
      <w:proofErr w:type="spellEnd"/>
      <w:r>
        <w:rPr>
          <w:rFonts w:ascii="Times New Roman" w:eastAsia="Times New Roman" w:hAnsi="Times New Roman" w:cs="Times New Roman"/>
        </w:rPr>
        <w:t xml:space="preserve"> de Donini, A. &amp; Gorostiaga, J. (2019) Acceso y permanencia en universidades del Conurbano: logros y límites de las políticas institucionales. En Ezcurra, A. (Coord), </w:t>
      </w:r>
      <w:r>
        <w:rPr>
          <w:rFonts w:ascii="Times New Roman" w:eastAsia="Times New Roman" w:hAnsi="Times New Roman" w:cs="Times New Roman"/>
          <w:i/>
          <w:iCs/>
        </w:rPr>
        <w:t>Derecho a la educación. Expansión y desigualdad: tendencias políticas en Argentina y América Latina</w:t>
      </w:r>
      <w:r>
        <w:rPr>
          <w:rFonts w:ascii="Times New Roman" w:eastAsia="Times New Roman" w:hAnsi="Times New Roman" w:cs="Times New Roman"/>
        </w:rPr>
        <w:t xml:space="preserve"> (pp. 71-84). UNTREF.</w:t>
      </w:r>
    </w:p>
    <w:p w14:paraId="3E6E8C9E"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Camilloni, A. (2018). Didáctica y currículo universitario: Palabras, conceptos y dilemas conceptuales en la construcción del conocimiento didáctico. </w:t>
      </w:r>
      <w:r>
        <w:rPr>
          <w:rFonts w:ascii="Times New Roman" w:eastAsia="Times New Roman" w:hAnsi="Times New Roman" w:cs="Times New Roman"/>
          <w:i/>
          <w:iCs/>
        </w:rPr>
        <w:t>InterCambios. Dilemas y transiciones de la Educación Superior, 5</w:t>
      </w:r>
      <w:r>
        <w:rPr>
          <w:rFonts w:ascii="Times New Roman" w:eastAsia="Times New Roman" w:hAnsi="Times New Roman" w:cs="Times New Roman"/>
        </w:rPr>
        <w:t>(2), 12–23.</w:t>
      </w:r>
    </w:p>
    <w:p w14:paraId="32154F88" w14:textId="0D9C32DC"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Camilloni, A.</w:t>
      </w:r>
      <w:r w:rsidR="005F15CE">
        <w:rPr>
          <w:rFonts w:ascii="Times New Roman" w:eastAsia="Times New Roman" w:hAnsi="Times New Roman" w:cs="Times New Roman"/>
        </w:rPr>
        <w:t xml:space="preserve"> </w:t>
      </w:r>
      <w:r>
        <w:rPr>
          <w:rFonts w:ascii="Times New Roman" w:eastAsia="Times New Roman" w:hAnsi="Times New Roman" w:cs="Times New Roman"/>
        </w:rPr>
        <w:t xml:space="preserve">(2016). Tendencias y formatos en el currículo universitario. </w:t>
      </w:r>
      <w:r w:rsidRPr="00591A5A">
        <w:rPr>
          <w:rFonts w:ascii="Times New Roman" w:eastAsia="Times New Roman" w:hAnsi="Times New Roman" w:cs="Times New Roman"/>
          <w:i/>
          <w:iCs/>
        </w:rPr>
        <w:t>Itinerarios Educativos</w:t>
      </w:r>
      <w:r>
        <w:rPr>
          <w:rFonts w:ascii="Times New Roman" w:eastAsia="Times New Roman" w:hAnsi="Times New Roman" w:cs="Times New Roman"/>
        </w:rPr>
        <w:t xml:space="preserve"> (6), 59-87.  </w:t>
      </w:r>
    </w:p>
    <w:p w14:paraId="7698EED7" w14:textId="1CABFA81"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highlight w:val="white"/>
        </w:rPr>
        <w:t xml:space="preserve">Carlino, P., &amp; Cordero Carpio, G. A. (2023). Enseñar con escritura y enseñar a escribir: enfoque entrelazado mediante colaboración interdisciplinar. </w:t>
      </w:r>
      <w:r>
        <w:rPr>
          <w:rFonts w:ascii="Times New Roman" w:eastAsia="Times New Roman" w:hAnsi="Times New Roman" w:cs="Times New Roman"/>
          <w:i/>
          <w:iCs/>
          <w:highlight w:val="white"/>
        </w:rPr>
        <w:t>Lengua Y Sociedad</w:t>
      </w:r>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22</w:t>
      </w:r>
      <w:r>
        <w:rPr>
          <w:rFonts w:ascii="Times New Roman" w:eastAsia="Times New Roman" w:hAnsi="Times New Roman" w:cs="Times New Roman"/>
          <w:highlight w:val="white"/>
        </w:rPr>
        <w:t xml:space="preserve">(2), 35-64. </w:t>
      </w:r>
      <w:hyperlink r:id="rId15">
        <w:r>
          <w:rPr>
            <w:rFonts w:ascii="Times New Roman" w:eastAsia="Times New Roman" w:hAnsi="Times New Roman" w:cs="Times New Roman"/>
            <w:highlight w:val="white"/>
            <w:u w:val="single"/>
          </w:rPr>
          <w:t>https://doi.org/10.15381/lengsoc.v22i2.24685</w:t>
        </w:r>
      </w:hyperlink>
      <w:r>
        <w:rPr>
          <w:rFonts w:ascii="Times New Roman" w:eastAsia="Times New Roman" w:hAnsi="Times New Roman" w:cs="Times New Roman"/>
        </w:rPr>
        <w:t xml:space="preserve"> </w:t>
      </w:r>
    </w:p>
    <w:p w14:paraId="640FB786"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highlight w:val="white"/>
        </w:rPr>
        <w:t xml:space="preserve">Causa, M., &amp; Torti, B. (2025). Egreso, políticas académicas y experiencias de estudiantes avanzados en la Facultad de Ingeniería de la UNLP. </w:t>
      </w:r>
      <w:r>
        <w:rPr>
          <w:rFonts w:ascii="Times New Roman" w:eastAsia="Times New Roman" w:hAnsi="Times New Roman" w:cs="Times New Roman"/>
          <w:i/>
          <w:iCs/>
        </w:rPr>
        <w:t>Trayectorias Universitarias</w:t>
      </w:r>
      <w:r>
        <w:rPr>
          <w:rFonts w:ascii="Times New Roman" w:eastAsia="Times New Roman" w:hAnsi="Times New Roman" w:cs="Times New Roman"/>
          <w:highlight w:val="white"/>
        </w:rPr>
        <w:t xml:space="preserve">, </w:t>
      </w:r>
      <w:r>
        <w:rPr>
          <w:rFonts w:ascii="Times New Roman" w:eastAsia="Times New Roman" w:hAnsi="Times New Roman" w:cs="Times New Roman"/>
          <w:i/>
          <w:iCs/>
        </w:rPr>
        <w:t>11</w:t>
      </w:r>
      <w:r>
        <w:rPr>
          <w:rFonts w:ascii="Times New Roman" w:eastAsia="Times New Roman" w:hAnsi="Times New Roman" w:cs="Times New Roman"/>
          <w:highlight w:val="white"/>
        </w:rPr>
        <w:t xml:space="preserve">(20), e179. </w:t>
      </w:r>
      <w:hyperlink r:id="rId16">
        <w:r>
          <w:rPr>
            <w:rFonts w:ascii="Times New Roman" w:eastAsia="Times New Roman" w:hAnsi="Times New Roman" w:cs="Times New Roman"/>
            <w:color w:val="6F095B"/>
          </w:rPr>
          <w:t>https://doi.org/10.24215/24690090e179</w:t>
        </w:r>
      </w:hyperlink>
    </w:p>
    <w:p w14:paraId="4A006E9D"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Ceresani, V. &amp; Mórtola, G. (2018). La formación de las y los docentes universitarios/as en torno a los saberes pedagógicos y didácticos. La construcción de instituciones educativas inclusivas. En Pogré, P., De Gatica, A., García, A. y Krichesky, G. (Coord.) </w:t>
      </w:r>
      <w:r>
        <w:rPr>
          <w:rFonts w:ascii="Times New Roman" w:eastAsia="Times New Roman" w:hAnsi="Times New Roman" w:cs="Times New Roman"/>
          <w:i/>
          <w:iCs/>
        </w:rPr>
        <w:t>Los inicios de la vida universitaria: políticas, prácticas y estrategias para garantizar el derecho a la educación superior</w:t>
      </w:r>
      <w:r>
        <w:rPr>
          <w:rFonts w:ascii="Times New Roman" w:eastAsia="Times New Roman" w:hAnsi="Times New Roman" w:cs="Times New Roman"/>
        </w:rPr>
        <w:t xml:space="preserve"> (pp. 85-106). Teseo.</w:t>
      </w:r>
    </w:p>
    <w:p w14:paraId="0DA05C33" w14:textId="7921B5DB" w:rsidR="00740750" w:rsidRDefault="00740750" w:rsidP="0074075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Chiroleu</w:t>
      </w:r>
      <w:proofErr w:type="spellEnd"/>
      <w:r>
        <w:rPr>
          <w:rFonts w:ascii="Times New Roman" w:eastAsia="Times New Roman" w:hAnsi="Times New Roman" w:cs="Times New Roman"/>
        </w:rPr>
        <w:t>, A.</w:t>
      </w:r>
      <w:r w:rsidR="005F15CE">
        <w:rPr>
          <w:rFonts w:ascii="Times New Roman" w:eastAsia="Times New Roman" w:hAnsi="Times New Roman" w:cs="Times New Roman"/>
        </w:rPr>
        <w:t xml:space="preserve"> </w:t>
      </w:r>
      <w:r>
        <w:rPr>
          <w:rFonts w:ascii="Times New Roman" w:eastAsia="Times New Roman" w:hAnsi="Times New Roman" w:cs="Times New Roman"/>
        </w:rPr>
        <w:t xml:space="preserve">(2018). Democratización e inclusión en la universidad argentina: sus alcances durante los gobiernos Kirchner (2003-2015). </w:t>
      </w:r>
      <w:proofErr w:type="spellStart"/>
      <w:r>
        <w:rPr>
          <w:rFonts w:ascii="Times New Roman" w:eastAsia="Times New Roman" w:hAnsi="Times New Roman" w:cs="Times New Roman"/>
          <w:i/>
          <w:iCs/>
        </w:rPr>
        <w:t>Educação</w:t>
      </w:r>
      <w:proofErr w:type="spellEnd"/>
      <w:r>
        <w:rPr>
          <w:rFonts w:ascii="Times New Roman" w:eastAsia="Times New Roman" w:hAnsi="Times New Roman" w:cs="Times New Roman"/>
          <w:i/>
          <w:iCs/>
        </w:rPr>
        <w:t xml:space="preserve"> Em Revista, 34</w:t>
      </w:r>
      <w:r>
        <w:rPr>
          <w:rFonts w:ascii="Times New Roman" w:eastAsia="Times New Roman" w:hAnsi="Times New Roman" w:cs="Times New Roman"/>
        </w:rPr>
        <w:t xml:space="preserve">, e176003. </w:t>
      </w:r>
      <w:hyperlink r:id="rId17">
        <w:r>
          <w:rPr>
            <w:rFonts w:ascii="Times New Roman" w:eastAsia="Times New Roman" w:hAnsi="Times New Roman" w:cs="Times New Roman"/>
            <w:color w:val="1155CC"/>
            <w:u w:val="single"/>
          </w:rPr>
          <w:t>https://doi.org/10.1590/0102-4698176003</w:t>
        </w:r>
      </w:hyperlink>
    </w:p>
    <w:p w14:paraId="5BFDB7DD" w14:textId="77777777" w:rsidR="00740750" w:rsidRPr="009F431F" w:rsidRDefault="00740750" w:rsidP="00740750">
      <w:pPr>
        <w:spacing w:line="240" w:lineRule="auto"/>
        <w:ind w:left="720" w:hanging="720"/>
        <w:jc w:val="both"/>
        <w:rPr>
          <w:rFonts w:ascii="Times New Roman" w:eastAsia="Times New Roman" w:hAnsi="Times New Roman" w:cs="Times New Roman"/>
          <w:lang w:val="en-GB"/>
        </w:rPr>
      </w:pPr>
      <w:r>
        <w:rPr>
          <w:rFonts w:ascii="Times New Roman" w:eastAsia="Times New Roman" w:hAnsi="Times New Roman" w:cs="Times New Roman"/>
        </w:rPr>
        <w:t xml:space="preserve">Coulon, A. (1997).  </w:t>
      </w:r>
      <w:r>
        <w:rPr>
          <w:rFonts w:ascii="Times New Roman" w:eastAsia="Times New Roman" w:hAnsi="Times New Roman" w:cs="Times New Roman"/>
          <w:i/>
          <w:iCs/>
        </w:rPr>
        <w:t>El oficio de estudiante. La Entrada en la Vida Universitaria.</w:t>
      </w:r>
      <w:r>
        <w:rPr>
          <w:rFonts w:ascii="Times New Roman" w:eastAsia="Times New Roman" w:hAnsi="Times New Roman" w:cs="Times New Roman"/>
        </w:rPr>
        <w:t xml:space="preserve"> </w:t>
      </w:r>
      <w:r w:rsidRPr="009F431F">
        <w:rPr>
          <w:rFonts w:ascii="Times New Roman" w:eastAsia="Times New Roman" w:hAnsi="Times New Roman" w:cs="Times New Roman"/>
          <w:lang w:val="en-GB"/>
        </w:rPr>
        <w:t>PUF.</w:t>
      </w:r>
    </w:p>
    <w:p w14:paraId="2F8380FD" w14:textId="77777777" w:rsidR="00740750" w:rsidRPr="009F431F" w:rsidRDefault="00740750" w:rsidP="00740750">
      <w:pPr>
        <w:spacing w:line="240" w:lineRule="auto"/>
        <w:ind w:left="720" w:hanging="720"/>
        <w:jc w:val="both"/>
        <w:rPr>
          <w:rFonts w:ascii="Times New Roman" w:eastAsia="Times New Roman" w:hAnsi="Times New Roman" w:cs="Times New Roman"/>
          <w:color w:val="1155CC"/>
          <w:u w:val="single"/>
          <w:lang w:val="en-GB"/>
        </w:rPr>
      </w:pPr>
      <w:r w:rsidRPr="009F431F">
        <w:rPr>
          <w:rFonts w:ascii="Times New Roman" w:eastAsia="Times New Roman" w:hAnsi="Times New Roman" w:cs="Times New Roman"/>
          <w:lang w:val="en-GB"/>
        </w:rPr>
        <w:lastRenderedPageBreak/>
        <w:t xml:space="preserve">Darling-Hammond, L., Hyler, M. E., y Gardner, M. (2017). </w:t>
      </w:r>
      <w:r w:rsidRPr="009F431F">
        <w:rPr>
          <w:rFonts w:ascii="Times New Roman" w:eastAsia="Times New Roman" w:hAnsi="Times New Roman" w:cs="Times New Roman"/>
          <w:i/>
          <w:iCs/>
          <w:lang w:val="en-GB"/>
        </w:rPr>
        <w:t>Effective teacher professional development. Learning Policy Institute.</w:t>
      </w:r>
      <w:hyperlink r:id="rId18">
        <w:r w:rsidRPr="009F431F">
          <w:rPr>
            <w:rFonts w:ascii="Times New Roman" w:eastAsia="Times New Roman" w:hAnsi="Times New Roman" w:cs="Times New Roman"/>
            <w:color w:val="1155CC"/>
            <w:u w:val="single"/>
            <w:lang w:val="en-GB"/>
          </w:rPr>
          <w:t xml:space="preserve"> https://learningpolicyinstitute.org/sites/default/files/product-files/Effective_Teacher_Professional_Development_REPORT.pdf</w:t>
        </w:r>
      </w:hyperlink>
    </w:p>
    <w:p w14:paraId="62F82C5F"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Ezcurra, A. (2011). </w:t>
      </w:r>
      <w:r>
        <w:rPr>
          <w:rFonts w:ascii="Times New Roman" w:eastAsia="Times New Roman" w:hAnsi="Times New Roman" w:cs="Times New Roman"/>
          <w:i/>
          <w:iCs/>
        </w:rPr>
        <w:t xml:space="preserve">Igualdad en Educación Superior. Un desafío mundial. </w:t>
      </w:r>
      <w:r>
        <w:rPr>
          <w:rFonts w:ascii="Times New Roman" w:eastAsia="Times New Roman" w:hAnsi="Times New Roman" w:cs="Times New Roman"/>
        </w:rPr>
        <w:t>UNGS.</w:t>
      </w:r>
    </w:p>
    <w:p w14:paraId="65CB16C5"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Ezcurra, A. (2019). Educación superior: una masificación que incluye y desiguala. En Ezcurra, A. (Coord), </w:t>
      </w:r>
      <w:r>
        <w:rPr>
          <w:rFonts w:ascii="Times New Roman" w:eastAsia="Times New Roman" w:hAnsi="Times New Roman" w:cs="Times New Roman"/>
          <w:i/>
          <w:iCs/>
        </w:rPr>
        <w:t xml:space="preserve">Derecho a la educación. Expansión y desigualdad: tendencias políticas en Argentina y América Latina </w:t>
      </w:r>
      <w:r>
        <w:rPr>
          <w:rFonts w:ascii="Times New Roman" w:eastAsia="Times New Roman" w:hAnsi="Times New Roman" w:cs="Times New Roman"/>
        </w:rPr>
        <w:t>(pp. 21-52). UNTREF.</w:t>
      </w:r>
    </w:p>
    <w:p w14:paraId="0C32CF17"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Fernández Lamarra, N., Aiello, M., Claverie, J., García, P., </w:t>
      </w:r>
      <w:proofErr w:type="spellStart"/>
      <w:r>
        <w:rPr>
          <w:rFonts w:ascii="Times New Roman" w:eastAsia="Times New Roman" w:hAnsi="Times New Roman" w:cs="Times New Roman"/>
        </w:rPr>
        <w:t>Grandoli</w:t>
      </w:r>
      <w:proofErr w:type="spellEnd"/>
      <w:r>
        <w:rPr>
          <w:rFonts w:ascii="Times New Roman" w:eastAsia="Times New Roman" w:hAnsi="Times New Roman" w:cs="Times New Roman"/>
        </w:rPr>
        <w:t>, M. E., &amp; Pérez Centeno, C. (2016). El caso argentino: crecimiento, democratización e innovación en el sistema de educación superior. En A. Didriksson &amp; C. Moreno (Coords.),</w:t>
      </w:r>
      <w:r>
        <w:rPr>
          <w:rFonts w:ascii="Times New Roman" w:eastAsia="Times New Roman" w:hAnsi="Times New Roman" w:cs="Times New Roman"/>
          <w:i/>
          <w:iCs/>
        </w:rPr>
        <w:t xml:space="preserve"> Innovando y construyendo el futuro. La universidad de América Latina y el Caribe. Estudios de caso</w:t>
      </w:r>
      <w:r>
        <w:rPr>
          <w:rFonts w:ascii="Times New Roman" w:eastAsia="Times New Roman" w:hAnsi="Times New Roman" w:cs="Times New Roman"/>
        </w:rPr>
        <w:t xml:space="preserve"> (pp. 9–40). Universidad de Guadalajara.</w:t>
      </w:r>
    </w:p>
    <w:p w14:paraId="143F6353"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Finkelstein, C. &amp; Lucarelli, E. (2022). </w:t>
      </w:r>
      <w:r>
        <w:rPr>
          <w:rFonts w:ascii="Times New Roman" w:eastAsia="Times New Roman" w:hAnsi="Times New Roman" w:cs="Times New Roman"/>
          <w:i/>
          <w:iCs/>
        </w:rPr>
        <w:t>Los docentes universitarios en búsqueda de su formación pedagógica: abriendo las fronteras.</w:t>
      </w:r>
      <w:r>
        <w:rPr>
          <w:rFonts w:ascii="Times New Roman" w:eastAsia="Times New Roman" w:hAnsi="Times New Roman" w:cs="Times New Roman"/>
        </w:rPr>
        <w:t xml:space="preserve"> Miño y Dávila.</w:t>
      </w:r>
    </w:p>
    <w:p w14:paraId="5ED222F2"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García Fanelli, A. (2025). Brechas en la graduación en la Educación Superior argentina y su impacto sobre la equidad. </w:t>
      </w:r>
      <w:r>
        <w:rPr>
          <w:rFonts w:ascii="Times New Roman" w:eastAsia="Times New Roman" w:hAnsi="Times New Roman" w:cs="Times New Roman"/>
          <w:i/>
          <w:iCs/>
        </w:rPr>
        <w:t>Pensamiento Universitario</w:t>
      </w:r>
      <w:r>
        <w:rPr>
          <w:rFonts w:ascii="Times New Roman" w:eastAsia="Times New Roman" w:hAnsi="Times New Roman" w:cs="Times New Roman"/>
        </w:rPr>
        <w:t xml:space="preserve">, </w:t>
      </w:r>
      <w:r>
        <w:rPr>
          <w:rFonts w:ascii="Times New Roman" w:eastAsia="Times New Roman" w:hAnsi="Times New Roman" w:cs="Times New Roman"/>
          <w:i/>
          <w:iCs/>
        </w:rPr>
        <w:t>(23)</w:t>
      </w:r>
      <w:r>
        <w:rPr>
          <w:rFonts w:ascii="Times New Roman" w:eastAsia="Times New Roman" w:hAnsi="Times New Roman" w:cs="Times New Roman"/>
        </w:rPr>
        <w:t xml:space="preserve">. </w:t>
      </w:r>
      <w:hyperlink r:id="rId19">
        <w:r>
          <w:rPr>
            <w:rFonts w:ascii="Times New Roman" w:eastAsia="Times New Roman" w:hAnsi="Times New Roman" w:cs="Times New Roman"/>
            <w:color w:val="1155CC"/>
            <w:u w:val="single"/>
          </w:rPr>
          <w:t>https://www.pensamientouniversitario.com.ar/index.php/2025/08/21/brechas-en-la-graduacion-en-la-educacion-superior-argentina-y-su-impacto-sobre-la-equidad/</w:t>
        </w:r>
      </w:hyperlink>
    </w:p>
    <w:p w14:paraId="3E9375CE" w14:textId="77777777" w:rsidR="00740750" w:rsidRDefault="00740750" w:rsidP="00740750">
      <w:pPr>
        <w:spacing w:line="240" w:lineRule="auto"/>
        <w:ind w:left="720" w:hanging="720"/>
        <w:jc w:val="both"/>
        <w:rPr>
          <w:rFonts w:ascii="Times New Roman" w:eastAsia="Times New Roman" w:hAnsi="Times New Roman" w:cs="Times New Roman"/>
          <w:color w:val="1155CC"/>
          <w:u w:val="single"/>
        </w:rPr>
      </w:pPr>
      <w:r>
        <w:rPr>
          <w:rFonts w:ascii="Times New Roman" w:eastAsia="Times New Roman" w:hAnsi="Times New Roman" w:cs="Times New Roman"/>
        </w:rPr>
        <w:t>García, P. (2025). La «vida universitaria» como objeto de enseñanza en los inicios de la universidad: Reflexiones sobre algunos dispositivos diseñados para acompañar el ingreso al nivel superior. El Cardo, (21), 1–25.</w:t>
      </w:r>
      <w:hyperlink r:id="rId20">
        <w:r>
          <w:rPr>
            <w:rFonts w:ascii="Times New Roman" w:eastAsia="Times New Roman" w:hAnsi="Times New Roman" w:cs="Times New Roman"/>
            <w:color w:val="1155CC"/>
            <w:u w:val="single"/>
          </w:rPr>
          <w:t xml:space="preserve"> https://doi.org/10.33255/18511562/1946</w:t>
        </w:r>
      </w:hyperlink>
    </w:p>
    <w:p w14:paraId="3A1B3C26"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Imbernón, F. (2011). La formación pedagógica del docente universitario. </w:t>
      </w:r>
      <w:proofErr w:type="spellStart"/>
      <w:r>
        <w:rPr>
          <w:rFonts w:ascii="Times New Roman" w:eastAsia="Times New Roman" w:hAnsi="Times New Roman" w:cs="Times New Roman"/>
          <w:i/>
          <w:iCs/>
        </w:rPr>
        <w:t>Educação</w:t>
      </w:r>
      <w:proofErr w:type="spellEnd"/>
      <w:r>
        <w:rPr>
          <w:rFonts w:ascii="Times New Roman" w:eastAsia="Times New Roman" w:hAnsi="Times New Roman" w:cs="Times New Roman"/>
          <w:i/>
          <w:iCs/>
        </w:rPr>
        <w:t xml:space="preserve">. Revista do Centro de </w:t>
      </w:r>
      <w:proofErr w:type="spellStart"/>
      <w:r>
        <w:rPr>
          <w:rFonts w:ascii="Times New Roman" w:eastAsia="Times New Roman" w:hAnsi="Times New Roman" w:cs="Times New Roman"/>
          <w:i/>
          <w:iCs/>
        </w:rPr>
        <w:t>Educação</w:t>
      </w:r>
      <w:proofErr w:type="spellEnd"/>
      <w:r>
        <w:rPr>
          <w:rFonts w:ascii="Times New Roman" w:eastAsia="Times New Roman" w:hAnsi="Times New Roman" w:cs="Times New Roman"/>
          <w:i/>
          <w:iCs/>
        </w:rPr>
        <w:t>, 36</w:t>
      </w:r>
      <w:r>
        <w:rPr>
          <w:rFonts w:ascii="Times New Roman" w:eastAsia="Times New Roman" w:hAnsi="Times New Roman" w:cs="Times New Roman"/>
        </w:rPr>
        <w:t>(3), 387-395.</w:t>
      </w:r>
    </w:p>
    <w:p w14:paraId="41DF4F41"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Kessler, G. (2016). </w:t>
      </w:r>
      <w:r>
        <w:rPr>
          <w:rFonts w:ascii="Times New Roman" w:eastAsia="Times New Roman" w:hAnsi="Times New Roman" w:cs="Times New Roman"/>
          <w:i/>
          <w:iCs/>
        </w:rPr>
        <w:t>Historia de la provincia de Buenos Aires: el Gran Buenos Aires.</w:t>
      </w:r>
      <w:r>
        <w:rPr>
          <w:rFonts w:ascii="Times New Roman" w:eastAsia="Times New Roman" w:hAnsi="Times New Roman" w:cs="Times New Roman"/>
        </w:rPr>
        <w:t xml:space="preserve"> </w:t>
      </w:r>
      <w:proofErr w:type="spellStart"/>
      <w:r>
        <w:rPr>
          <w:rFonts w:ascii="Times New Roman" w:eastAsia="Times New Roman" w:hAnsi="Times New Roman" w:cs="Times New Roman"/>
        </w:rPr>
        <w:t>Edhasa</w:t>
      </w:r>
      <w:proofErr w:type="spellEnd"/>
      <w:r>
        <w:rPr>
          <w:rFonts w:ascii="Times New Roman" w:eastAsia="Times New Roman" w:hAnsi="Times New Roman" w:cs="Times New Roman"/>
        </w:rPr>
        <w:t>; UNIPE.</w:t>
      </w:r>
    </w:p>
    <w:p w14:paraId="2EF03519" w14:textId="77777777" w:rsidR="00740750" w:rsidRP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Lastra, K. (2025). Nuevos desafíos para las políticas inclusivas en la universidad argentina: una mirada al egreso en el escenario pospandémico desde la perspectiva de las trayectorias. </w:t>
      </w:r>
      <w:r>
        <w:rPr>
          <w:rFonts w:ascii="Times New Roman" w:eastAsia="Times New Roman" w:hAnsi="Times New Roman" w:cs="Times New Roman"/>
          <w:i/>
          <w:iCs/>
        </w:rPr>
        <w:t>Revista iberoamericana de educación superior</w:t>
      </w:r>
      <w:r>
        <w:rPr>
          <w:rFonts w:ascii="Times New Roman" w:eastAsia="Times New Roman" w:hAnsi="Times New Roman" w:cs="Times New Roman"/>
        </w:rPr>
        <w:t xml:space="preserve">, </w:t>
      </w:r>
      <w:r>
        <w:rPr>
          <w:rFonts w:ascii="Times New Roman" w:eastAsia="Times New Roman" w:hAnsi="Times New Roman" w:cs="Times New Roman"/>
          <w:i/>
          <w:iCs/>
        </w:rPr>
        <w:t>16</w:t>
      </w:r>
      <w:r>
        <w:rPr>
          <w:rFonts w:ascii="Times New Roman" w:eastAsia="Times New Roman" w:hAnsi="Times New Roman" w:cs="Times New Roman"/>
        </w:rPr>
        <w:t xml:space="preserve">(47), 125-141. </w:t>
      </w:r>
      <w:hyperlink r:id="rId21">
        <w:r>
          <w:rPr>
            <w:rFonts w:ascii="Times New Roman" w:eastAsia="Times New Roman" w:hAnsi="Times New Roman" w:cs="Times New Roman"/>
            <w:color w:val="555555"/>
          </w:rPr>
          <w:t>https://doi.org/10.22201/iisue.20072872e.2025.47.1961</w:t>
        </w:r>
      </w:hyperlink>
    </w:p>
    <w:p w14:paraId="239EC31D"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Lucarelli, E. (2004). Prácticas innovadoras en la formación del docente universitario. </w:t>
      </w:r>
      <w:proofErr w:type="spellStart"/>
      <w:r w:rsidRPr="00622A40">
        <w:rPr>
          <w:rFonts w:ascii="Times New Roman" w:eastAsia="Times New Roman" w:hAnsi="Times New Roman" w:cs="Times New Roman"/>
          <w:i/>
          <w:iCs/>
        </w:rPr>
        <w:t>Educacao</w:t>
      </w:r>
      <w:proofErr w:type="spellEnd"/>
      <w:r w:rsidRPr="00622A40">
        <w:rPr>
          <w:rFonts w:ascii="Times New Roman" w:eastAsia="Times New Roman" w:hAnsi="Times New Roman" w:cs="Times New Roman"/>
          <w:i/>
          <w:iCs/>
        </w:rPr>
        <w:t>, 3</w:t>
      </w:r>
      <w:r>
        <w:rPr>
          <w:rFonts w:ascii="Times New Roman" w:eastAsia="Times New Roman" w:hAnsi="Times New Roman" w:cs="Times New Roman"/>
        </w:rPr>
        <w:t xml:space="preserve">(54), 503-524. </w:t>
      </w:r>
    </w:p>
    <w:p w14:paraId="3D7D960F" w14:textId="77777777" w:rsidR="00740750" w:rsidRDefault="00740750" w:rsidP="00740750">
      <w:pPr>
        <w:spacing w:line="240" w:lineRule="auto"/>
        <w:ind w:left="720" w:hanging="720"/>
        <w:jc w:val="both"/>
        <w:rPr>
          <w:rFonts w:ascii="Times New Roman" w:eastAsia="Times New Roman" w:hAnsi="Times New Roman" w:cs="Times New Roman"/>
        </w:rPr>
      </w:pPr>
      <w:r w:rsidRPr="00740750">
        <w:rPr>
          <w:rFonts w:ascii="Times New Roman" w:eastAsia="Times New Roman" w:hAnsi="Times New Roman" w:cs="Times New Roman"/>
          <w:lang w:val="en-GB"/>
        </w:rPr>
        <w:t xml:space="preserve">Lucarelli, E., Finkelstein, C., &amp; Solberg, V. (2014). </w:t>
      </w:r>
      <w:r>
        <w:rPr>
          <w:rFonts w:ascii="Times New Roman" w:eastAsia="Times New Roman" w:hAnsi="Times New Roman" w:cs="Times New Roman"/>
        </w:rPr>
        <w:t xml:space="preserve">El asesor pedagógico en las universidades argentinas: Realidades y posibilidades de su accionar. </w:t>
      </w:r>
      <w:r>
        <w:rPr>
          <w:rFonts w:ascii="Times New Roman" w:eastAsia="Times New Roman" w:hAnsi="Times New Roman" w:cs="Times New Roman"/>
          <w:i/>
          <w:iCs/>
        </w:rPr>
        <w:t>Revista de la Escuela de Ciencias de la Educación, 10</w:t>
      </w:r>
      <w:r>
        <w:rPr>
          <w:rFonts w:ascii="Times New Roman" w:eastAsia="Times New Roman" w:hAnsi="Times New Roman" w:cs="Times New Roman"/>
        </w:rPr>
        <w:t>(9), 227–246.</w:t>
      </w:r>
    </w:p>
    <w:p w14:paraId="15F2A18E"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lastRenderedPageBreak/>
        <w:t xml:space="preserve">Mancovsky, V. &amp; Más Rocha, S. (2019). </w:t>
      </w:r>
      <w:r>
        <w:rPr>
          <w:rFonts w:ascii="Times New Roman" w:eastAsia="Times New Roman" w:hAnsi="Times New Roman" w:cs="Times New Roman"/>
          <w:i/>
          <w:iCs/>
        </w:rPr>
        <w:t>Por una pedagogía de "los inicios". Más allá del ingreso a la vida universitaria</w:t>
      </w:r>
      <w:r>
        <w:rPr>
          <w:rFonts w:ascii="Times New Roman" w:eastAsia="Times New Roman" w:hAnsi="Times New Roman" w:cs="Times New Roman"/>
        </w:rPr>
        <w:t>. Biblos.</w:t>
      </w:r>
    </w:p>
    <w:p w14:paraId="182C91D7" w14:textId="77777777" w:rsidR="00740750" w:rsidRDefault="00740750" w:rsidP="00740750">
      <w:pPr>
        <w:spacing w:line="240" w:lineRule="auto"/>
        <w:ind w:left="720" w:hanging="720"/>
        <w:jc w:val="both"/>
        <w:rPr>
          <w:rFonts w:ascii="Times New Roman" w:eastAsia="Times New Roman" w:hAnsi="Times New Roman" w:cs="Times New Roman"/>
          <w:color w:val="1155CC"/>
          <w:u w:val="single"/>
        </w:rPr>
      </w:pPr>
      <w:r>
        <w:rPr>
          <w:rFonts w:ascii="Times New Roman" w:eastAsia="Times New Roman" w:hAnsi="Times New Roman" w:cs="Times New Roman"/>
        </w:rPr>
        <w:t>Ministerio de Capital Humano (2025</w:t>
      </w:r>
      <w:r>
        <w:rPr>
          <w:rFonts w:ascii="Times New Roman" w:eastAsia="Times New Roman" w:hAnsi="Times New Roman" w:cs="Times New Roman"/>
          <w:i/>
          <w:iCs/>
        </w:rPr>
        <w:t>). Síntesis de Información. Estadísticas Universitarias de la Subsecretaría de Políticas Universitarias de la Secretaría de Educación de la Nación (2023-2024).</w:t>
      </w:r>
      <w:hyperlink r:id="rId22">
        <w:r>
          <w:rPr>
            <w:rFonts w:ascii="Times New Roman" w:eastAsia="Times New Roman" w:hAnsi="Times New Roman" w:cs="Times New Roman"/>
            <w:i/>
            <w:iCs/>
            <w:color w:val="1155CC"/>
            <w:u w:val="single"/>
          </w:rPr>
          <w:t xml:space="preserve"> </w:t>
        </w:r>
      </w:hyperlink>
      <w:hyperlink r:id="rId23">
        <w:r>
          <w:rPr>
            <w:rFonts w:ascii="Times New Roman" w:eastAsia="Times New Roman" w:hAnsi="Times New Roman" w:cs="Times New Roman"/>
            <w:color w:val="1155CC"/>
            <w:u w:val="single"/>
          </w:rPr>
          <w:t>https://www.argentina.gob.ar/sites/default/files/sintesis_anuario_2023-2024.pdf</w:t>
        </w:r>
      </w:hyperlink>
    </w:p>
    <w:p w14:paraId="00E3A300" w14:textId="77777777" w:rsidR="00740750" w:rsidRPr="009F431F" w:rsidRDefault="00740750" w:rsidP="00740750">
      <w:pPr>
        <w:spacing w:line="240" w:lineRule="auto"/>
        <w:ind w:left="720" w:hanging="720"/>
        <w:jc w:val="both"/>
        <w:rPr>
          <w:rFonts w:ascii="Times New Roman" w:eastAsia="Times New Roman" w:hAnsi="Times New Roman" w:cs="Times New Roman"/>
          <w:lang w:val="en-GB"/>
        </w:rPr>
      </w:pPr>
      <w:r>
        <w:rPr>
          <w:rFonts w:ascii="Times New Roman" w:eastAsia="Times New Roman" w:hAnsi="Times New Roman" w:cs="Times New Roman"/>
        </w:rPr>
        <w:t xml:space="preserve">Molinari, A. &amp; Abrego, L. (2026). Las políticas de pedagogía universitaria en las universidades públicas del Gran Buenos Aires (Argentina). </w:t>
      </w:r>
      <w:proofErr w:type="spellStart"/>
      <w:r w:rsidRPr="009F431F">
        <w:rPr>
          <w:rFonts w:ascii="Times New Roman" w:eastAsia="Times New Roman" w:hAnsi="Times New Roman" w:cs="Times New Roman"/>
          <w:lang w:val="en-GB"/>
        </w:rPr>
        <w:t>Tensiones</w:t>
      </w:r>
      <w:proofErr w:type="spellEnd"/>
      <w:r w:rsidRPr="009F431F">
        <w:rPr>
          <w:rFonts w:ascii="Times New Roman" w:eastAsia="Times New Roman" w:hAnsi="Times New Roman" w:cs="Times New Roman"/>
          <w:lang w:val="en-GB"/>
        </w:rPr>
        <w:t xml:space="preserve">, </w:t>
      </w:r>
      <w:proofErr w:type="spellStart"/>
      <w:r w:rsidRPr="009F431F">
        <w:rPr>
          <w:rFonts w:ascii="Times New Roman" w:eastAsia="Times New Roman" w:hAnsi="Times New Roman" w:cs="Times New Roman"/>
          <w:lang w:val="en-GB"/>
        </w:rPr>
        <w:t>problemas</w:t>
      </w:r>
      <w:proofErr w:type="spellEnd"/>
      <w:r w:rsidRPr="009F431F">
        <w:rPr>
          <w:rFonts w:ascii="Times New Roman" w:eastAsia="Times New Roman" w:hAnsi="Times New Roman" w:cs="Times New Roman"/>
          <w:lang w:val="en-GB"/>
        </w:rPr>
        <w:t xml:space="preserve"> y </w:t>
      </w:r>
      <w:proofErr w:type="spellStart"/>
      <w:r w:rsidRPr="009F431F">
        <w:rPr>
          <w:rFonts w:ascii="Times New Roman" w:eastAsia="Times New Roman" w:hAnsi="Times New Roman" w:cs="Times New Roman"/>
          <w:lang w:val="en-GB"/>
        </w:rPr>
        <w:t>vacancias</w:t>
      </w:r>
      <w:proofErr w:type="spellEnd"/>
      <w:r w:rsidRPr="009F431F">
        <w:rPr>
          <w:rFonts w:ascii="Times New Roman" w:eastAsia="Times New Roman" w:hAnsi="Times New Roman" w:cs="Times New Roman"/>
          <w:lang w:val="en-GB"/>
        </w:rPr>
        <w:t xml:space="preserve">. </w:t>
      </w:r>
      <w:r w:rsidRPr="009F431F">
        <w:rPr>
          <w:rFonts w:ascii="Times New Roman" w:eastAsia="Times New Roman" w:hAnsi="Times New Roman" w:cs="Times New Roman"/>
          <w:i/>
          <w:iCs/>
          <w:lang w:val="en-GB"/>
        </w:rPr>
        <w:t>Research in Education and Learning Innovation Archives,</w:t>
      </w:r>
      <w:r w:rsidRPr="009F431F">
        <w:rPr>
          <w:rFonts w:ascii="Times New Roman" w:eastAsia="Times New Roman" w:hAnsi="Times New Roman" w:cs="Times New Roman"/>
          <w:lang w:val="en-GB"/>
        </w:rPr>
        <w:t xml:space="preserve"> 37.</w:t>
      </w:r>
    </w:p>
    <w:p w14:paraId="37F0EBD3"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Molinari, A. (2015). La formación permanente y en ejercicio en el modelo de desarrollo profesional docente: Construcción de una política federal en Argentina. En C. Hirmas (Coord.). </w:t>
      </w:r>
      <w:r>
        <w:rPr>
          <w:rFonts w:ascii="Times New Roman" w:eastAsia="Times New Roman" w:hAnsi="Times New Roman" w:cs="Times New Roman"/>
          <w:i/>
          <w:iCs/>
        </w:rPr>
        <w:t>Formación continua y desarrollo profesional docente. Ponencias del Seminario Internacional, noviembre 2013, Santiago, Chile</w:t>
      </w:r>
      <w:r>
        <w:rPr>
          <w:rFonts w:ascii="Times New Roman" w:eastAsia="Times New Roman" w:hAnsi="Times New Roman" w:cs="Times New Roman"/>
        </w:rPr>
        <w:t xml:space="preserve"> (pp. 88-98). Organización de Estados Iberoamericanos para la Educación, la Ciencia y la Cultura (OEI).</w:t>
      </w:r>
    </w:p>
    <w:p w14:paraId="3093D9AB"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Molinari, A. (2021). ¿Qué es aprender a enseñar? En D. Rosemberg (Comp.), </w:t>
      </w:r>
      <w:r>
        <w:rPr>
          <w:rFonts w:ascii="Times New Roman" w:eastAsia="Times New Roman" w:hAnsi="Times New Roman" w:cs="Times New Roman"/>
          <w:i/>
          <w:iCs/>
        </w:rPr>
        <w:t>La educación en debate II</w:t>
      </w:r>
      <w:r>
        <w:rPr>
          <w:rFonts w:ascii="Times New Roman" w:eastAsia="Times New Roman" w:hAnsi="Times New Roman" w:cs="Times New Roman"/>
        </w:rPr>
        <w:t xml:space="preserve"> (pp. 179-184). UNIPE Editorial Universitaria.</w:t>
      </w:r>
    </w:p>
    <w:p w14:paraId="33123629"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Morandi, G. (2022). Pedagogía Universitaria y Formación Docente: legados, compromisos y desafíos pendientes. En Levy, E. y Morandi, G. (Ed.) </w:t>
      </w:r>
      <w:r>
        <w:rPr>
          <w:rFonts w:ascii="Times New Roman" w:eastAsia="Times New Roman" w:hAnsi="Times New Roman" w:cs="Times New Roman"/>
          <w:i/>
          <w:iCs/>
        </w:rPr>
        <w:t>Formación docente universitaria: un desafío postergado</w:t>
      </w:r>
      <w:r>
        <w:rPr>
          <w:rFonts w:ascii="Times New Roman" w:eastAsia="Times New Roman" w:hAnsi="Times New Roman" w:cs="Times New Roman"/>
        </w:rPr>
        <w:t xml:space="preserve"> (pp. 53-104). CLACSO; IEC-CONADU.</w:t>
      </w:r>
    </w:p>
    <w:p w14:paraId="5CB48FD8"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Nicastro, S. &amp; Greco, M. (2009). </w:t>
      </w:r>
      <w:r>
        <w:rPr>
          <w:rFonts w:ascii="Times New Roman" w:eastAsia="Times New Roman" w:hAnsi="Times New Roman" w:cs="Times New Roman"/>
          <w:i/>
          <w:iCs/>
        </w:rPr>
        <w:t xml:space="preserve">Entre trayectorias: Escenas y pensamientos en espacios de formación. </w:t>
      </w:r>
      <w:r>
        <w:rPr>
          <w:rFonts w:ascii="Times New Roman" w:eastAsia="Times New Roman" w:hAnsi="Times New Roman" w:cs="Times New Roman"/>
        </w:rPr>
        <w:t>Homo Sapiens.</w:t>
      </w:r>
    </w:p>
    <w:p w14:paraId="15FF4037"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Paredes, S. M. (2017). Expansión y transformación del sistema universitario en la Argentina desde la recuperación de la democracia hasta el año 2015. </w:t>
      </w:r>
      <w:r w:rsidRPr="00535C69">
        <w:rPr>
          <w:rFonts w:ascii="Times New Roman" w:eastAsia="Times New Roman" w:hAnsi="Times New Roman" w:cs="Times New Roman"/>
          <w:i/>
          <w:iCs/>
        </w:rPr>
        <w:t>Voces en el Fénix</w:t>
      </w:r>
      <w:r>
        <w:rPr>
          <w:rFonts w:ascii="Times New Roman" w:eastAsia="Times New Roman" w:hAnsi="Times New Roman" w:cs="Times New Roman"/>
        </w:rPr>
        <w:t xml:space="preserve"> (65).  </w:t>
      </w:r>
    </w:p>
    <w:p w14:paraId="7C4F4349"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highlight w:val="white"/>
        </w:rPr>
        <w:t xml:space="preserve">Petric, N. S. (2019). Egreso universitario a término: elementos que permiten comprender su trama. </w:t>
      </w:r>
      <w:r>
        <w:rPr>
          <w:rFonts w:ascii="Times New Roman" w:eastAsia="Times New Roman" w:hAnsi="Times New Roman" w:cs="Times New Roman"/>
          <w:i/>
          <w:iCs/>
          <w:highlight w:val="white"/>
        </w:rPr>
        <w:t>Diálogos Pedagógicos</w:t>
      </w:r>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17</w:t>
      </w:r>
      <w:r>
        <w:rPr>
          <w:rFonts w:ascii="Times New Roman" w:eastAsia="Times New Roman" w:hAnsi="Times New Roman" w:cs="Times New Roman"/>
          <w:highlight w:val="white"/>
        </w:rPr>
        <w:t xml:space="preserve">(34), 61-82. </w:t>
      </w:r>
      <w:hyperlink r:id="rId24">
        <w:r>
          <w:rPr>
            <w:rFonts w:ascii="Times New Roman" w:eastAsia="Times New Roman" w:hAnsi="Times New Roman" w:cs="Times New Roman"/>
            <w:color w:val="006798"/>
            <w:highlight w:val="white"/>
            <w:u w:val="single"/>
          </w:rPr>
          <w:t>https://doi.org/10.22529/dp.2019.17(34)04</w:t>
        </w:r>
      </w:hyperlink>
      <w:r>
        <w:rPr>
          <w:rFonts w:ascii="Times New Roman" w:eastAsia="Times New Roman" w:hAnsi="Times New Roman" w:cs="Times New Roman"/>
        </w:rPr>
        <w:t xml:space="preserve"> </w:t>
      </w:r>
    </w:p>
    <w:p w14:paraId="07D54866"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Pierella, M. P. (2014). El ingreso a la universidad pública: diversificación de la experiencia estudiantil y procesos de afiliación a la vida institucional. </w:t>
      </w:r>
      <w:r>
        <w:rPr>
          <w:rFonts w:ascii="Times New Roman" w:eastAsia="Times New Roman" w:hAnsi="Times New Roman" w:cs="Times New Roman"/>
          <w:i/>
          <w:iCs/>
        </w:rPr>
        <w:t>Universidades</w:t>
      </w:r>
      <w:r>
        <w:rPr>
          <w:rFonts w:ascii="Times New Roman" w:eastAsia="Times New Roman" w:hAnsi="Times New Roman" w:cs="Times New Roman"/>
        </w:rPr>
        <w:t>, (60), 51-62.</w:t>
      </w:r>
    </w:p>
    <w:p w14:paraId="72BE2B24"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Pogré, P. (2014). Los desafíos actuales de la enseñanza en el nivel superior. Enseñar en la Universidad para que todos puedan comprender. En M. M. </w:t>
      </w:r>
      <w:proofErr w:type="spellStart"/>
      <w:r>
        <w:rPr>
          <w:rFonts w:ascii="Times New Roman" w:eastAsia="Times New Roman" w:hAnsi="Times New Roman" w:cs="Times New Roman"/>
        </w:rPr>
        <w:t>Civarolo</w:t>
      </w:r>
      <w:proofErr w:type="spellEnd"/>
      <w:r>
        <w:rPr>
          <w:rFonts w:ascii="Times New Roman" w:eastAsia="Times New Roman" w:hAnsi="Times New Roman" w:cs="Times New Roman"/>
        </w:rPr>
        <w:t xml:space="preserve"> y S. G. Lizarriturri (Comps.), </w:t>
      </w:r>
      <w:r>
        <w:rPr>
          <w:rFonts w:ascii="Times New Roman" w:eastAsia="Times New Roman" w:hAnsi="Times New Roman" w:cs="Times New Roman"/>
          <w:i/>
          <w:iCs/>
        </w:rPr>
        <w:t xml:space="preserve">Didáctica general y didácticas específicas: la complejidad de sus relaciones en el nivel superior </w:t>
      </w:r>
      <w:r>
        <w:rPr>
          <w:rFonts w:ascii="Times New Roman" w:eastAsia="Times New Roman" w:hAnsi="Times New Roman" w:cs="Times New Roman"/>
        </w:rPr>
        <w:t xml:space="preserve">(pp. 61-74). Universidad Nacional de Villa María  </w:t>
      </w:r>
      <w:r>
        <w:rPr>
          <w:rFonts w:ascii="Times New Roman" w:eastAsia="Times New Roman" w:hAnsi="Times New Roman" w:cs="Times New Roman"/>
        </w:rPr>
        <w:tab/>
      </w:r>
    </w:p>
    <w:p w14:paraId="0489FC0B"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lastRenderedPageBreak/>
        <w:t xml:space="preserve">Pogré, P., De Gatica, A., García, A. y Krichesky, G. (2018). </w:t>
      </w:r>
      <w:r>
        <w:rPr>
          <w:rFonts w:ascii="Times New Roman" w:eastAsia="Times New Roman" w:hAnsi="Times New Roman" w:cs="Times New Roman"/>
          <w:i/>
          <w:iCs/>
        </w:rPr>
        <w:t>Los inicios de la vida universitaria: políticas, prácticas y estrategias para garantizar el derecho a la educación superior</w:t>
      </w:r>
      <w:r>
        <w:rPr>
          <w:rFonts w:ascii="Times New Roman" w:eastAsia="Times New Roman" w:hAnsi="Times New Roman" w:cs="Times New Roman"/>
        </w:rPr>
        <w:t>. Teseo.</w:t>
      </w:r>
    </w:p>
    <w:p w14:paraId="3C96DE21"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Rubio, M. J., Torrado, M., Quirós, C., y Valls, R. (2018). Autopercepción de las competencias investigativas en estudiantes de último curso de Pedagogía de la Universidad de Barcelona para desarrollar su Trabajo de Fin de Grado. </w:t>
      </w:r>
      <w:r>
        <w:rPr>
          <w:rFonts w:ascii="Times New Roman" w:eastAsia="Times New Roman" w:hAnsi="Times New Roman" w:cs="Times New Roman"/>
          <w:i/>
          <w:iCs/>
        </w:rPr>
        <w:t>Revista Complutense de Educación</w:t>
      </w:r>
      <w:r>
        <w:rPr>
          <w:rFonts w:ascii="Times New Roman" w:eastAsia="Times New Roman" w:hAnsi="Times New Roman" w:cs="Times New Roman"/>
        </w:rPr>
        <w:t xml:space="preserve">, </w:t>
      </w:r>
      <w:r>
        <w:rPr>
          <w:rFonts w:ascii="Times New Roman" w:eastAsia="Times New Roman" w:hAnsi="Times New Roman" w:cs="Times New Roman"/>
          <w:i/>
          <w:iCs/>
        </w:rPr>
        <w:t>29</w:t>
      </w:r>
      <w:r>
        <w:rPr>
          <w:rFonts w:ascii="Times New Roman" w:eastAsia="Times New Roman" w:hAnsi="Times New Roman" w:cs="Times New Roman"/>
        </w:rPr>
        <w:t>(2), 335-354.</w:t>
      </w:r>
    </w:p>
    <w:p w14:paraId="02D4714F" w14:textId="77777777" w:rsidR="00740750" w:rsidRDefault="00740750" w:rsidP="0074075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Rué</w:t>
      </w:r>
      <w:proofErr w:type="spellEnd"/>
      <w:r>
        <w:rPr>
          <w:rFonts w:ascii="Times New Roman" w:eastAsia="Times New Roman" w:hAnsi="Times New Roman" w:cs="Times New Roman"/>
        </w:rPr>
        <w:t xml:space="preserve">, J. (2013). Formación docente del profesorado universitario. Una perspectiva internacional. </w:t>
      </w:r>
      <w:r>
        <w:rPr>
          <w:rFonts w:ascii="Times New Roman" w:eastAsia="Times New Roman" w:hAnsi="Times New Roman" w:cs="Times New Roman"/>
          <w:i/>
          <w:iCs/>
        </w:rPr>
        <w:t>Revista de Docencia Universitaria, 11</w:t>
      </w:r>
      <w:r>
        <w:rPr>
          <w:rFonts w:ascii="Times New Roman" w:eastAsia="Times New Roman" w:hAnsi="Times New Roman" w:cs="Times New Roman"/>
        </w:rPr>
        <w:t>(3), 17-22.</w:t>
      </w:r>
    </w:p>
    <w:p w14:paraId="2B0B8498"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Terigi, F. (2010). </w:t>
      </w:r>
      <w:r>
        <w:rPr>
          <w:rFonts w:ascii="Times New Roman" w:eastAsia="Times New Roman" w:hAnsi="Times New Roman" w:cs="Times New Roman"/>
          <w:i/>
          <w:iCs/>
        </w:rPr>
        <w:t>Desarrollo profesional continuo y carrera docente en América Latina</w:t>
      </w:r>
      <w:r>
        <w:rPr>
          <w:rFonts w:ascii="Times New Roman" w:eastAsia="Times New Roman" w:hAnsi="Times New Roman" w:cs="Times New Roman"/>
        </w:rPr>
        <w:t>. PREAL.</w:t>
      </w:r>
    </w:p>
    <w:p w14:paraId="73EA8B18" w14:textId="77777777" w:rsidR="00740750" w:rsidRDefault="00740750" w:rsidP="00740750">
      <w:pPr>
        <w:spacing w:line="240" w:lineRule="auto"/>
        <w:ind w:left="720" w:hanging="720"/>
        <w:jc w:val="both"/>
        <w:rPr>
          <w:rFonts w:ascii="Times New Roman" w:eastAsia="Times New Roman" w:hAnsi="Times New Roman" w:cs="Times New Roman"/>
          <w:color w:val="274E13"/>
        </w:rPr>
      </w:pPr>
      <w:r>
        <w:rPr>
          <w:rFonts w:ascii="Times New Roman" w:eastAsia="Times New Roman" w:hAnsi="Times New Roman" w:cs="Times New Roman"/>
        </w:rPr>
        <w:t xml:space="preserve">UNAHUR (2022). El acceso a la educación universitaria en Argentina con perspectiva comparada. UNAHUR, LPE. https://unahur.edu.ar/wp-content/uploads/2024/05/LPE-Informe-1-Matricula-Universitaria.pdf  </w:t>
      </w:r>
    </w:p>
    <w:p w14:paraId="07E6FA54" w14:textId="77777777" w:rsidR="00740750" w:rsidRDefault="00740750" w:rsidP="0074075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Vaillant, D &amp; Marcelo, C. (2015). </w:t>
      </w:r>
      <w:r>
        <w:rPr>
          <w:rFonts w:ascii="Times New Roman" w:eastAsia="Times New Roman" w:hAnsi="Times New Roman" w:cs="Times New Roman"/>
          <w:i/>
          <w:iCs/>
        </w:rPr>
        <w:t xml:space="preserve">El ABC y D de la formación docente. </w:t>
      </w:r>
      <w:r>
        <w:rPr>
          <w:rFonts w:ascii="Times New Roman" w:eastAsia="Times New Roman" w:hAnsi="Times New Roman" w:cs="Times New Roman"/>
        </w:rPr>
        <w:t>Narcea.</w:t>
      </w:r>
    </w:p>
    <w:sectPr w:rsidR="00740750">
      <w:headerReference w:type="default" r:id="rId25"/>
      <w:footerReference w:type="default" r:id="rId26"/>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E6613" w14:textId="77777777" w:rsidR="007A6A8C" w:rsidRDefault="007A6A8C">
      <w:pPr>
        <w:spacing w:after="0" w:line="240" w:lineRule="auto"/>
      </w:pPr>
      <w:r>
        <w:separator/>
      </w:r>
    </w:p>
  </w:endnote>
  <w:endnote w:type="continuationSeparator" w:id="0">
    <w:p w14:paraId="4FE094BB" w14:textId="77777777" w:rsidR="007A6A8C" w:rsidRDefault="007A6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F37E7A-29DB-4CA5-811E-49DCA1176EC5}"/>
    <w:embedItalic r:id="rId2" w:fontKey="{301E6271-29A0-4639-BCDE-92AE0569995F}"/>
  </w:font>
  <w:font w:name="Cambria">
    <w:panose1 w:val="02040503050406030204"/>
    <w:charset w:val="00"/>
    <w:family w:val="roman"/>
    <w:pitch w:val="variable"/>
    <w:sig w:usb0="E00006FF" w:usb1="420024FF" w:usb2="02000000" w:usb3="00000000" w:csb0="0000019F" w:csb1="00000000"/>
    <w:embedRegular r:id="rId3" w:fontKey="{AFEAC4F4-2706-4847-B096-EAB6E17BEA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BADF" w14:textId="77777777" w:rsidR="00AB7852" w:rsidRDefault="007A6A8C">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17CEBAE3" wp14:editId="17CEBAE4">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17CEBAE0" w14:textId="77777777" w:rsidR="00AB7852" w:rsidRDefault="00AB7852">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27D4" w14:textId="77777777" w:rsidR="007A6A8C" w:rsidRDefault="007A6A8C">
      <w:pPr>
        <w:spacing w:after="0" w:line="240" w:lineRule="auto"/>
      </w:pPr>
      <w:r>
        <w:separator/>
      </w:r>
    </w:p>
  </w:footnote>
  <w:footnote w:type="continuationSeparator" w:id="0">
    <w:p w14:paraId="7296D1AB" w14:textId="77777777" w:rsidR="007A6A8C" w:rsidRDefault="007A6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BADE" w14:textId="77777777" w:rsidR="00AB7852" w:rsidRDefault="007A6A8C">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17CEBAE1" wp14:editId="17CEBAE2">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C3758"/>
    <w:multiLevelType w:val="multilevel"/>
    <w:tmpl w:val="93B2B33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5B74C8"/>
    <w:multiLevelType w:val="multilevel"/>
    <w:tmpl w:val="2C0A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46987A4C"/>
    <w:multiLevelType w:val="multilevel"/>
    <w:tmpl w:val="2C0A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6D594CC9"/>
    <w:multiLevelType w:val="multilevel"/>
    <w:tmpl w:val="6648637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0CE71CD"/>
    <w:multiLevelType w:val="multilevel"/>
    <w:tmpl w:val="12A82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73712188">
    <w:abstractNumId w:val="4"/>
  </w:num>
  <w:num w:numId="2" w16cid:durableId="771126620">
    <w:abstractNumId w:val="0"/>
  </w:num>
  <w:num w:numId="3" w16cid:durableId="138116092">
    <w:abstractNumId w:val="1"/>
  </w:num>
  <w:num w:numId="4" w16cid:durableId="489250266">
    <w:abstractNumId w:val="2"/>
  </w:num>
  <w:num w:numId="5" w16cid:durableId="177352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852"/>
    <w:rsid w:val="00002B9D"/>
    <w:rsid w:val="00081650"/>
    <w:rsid w:val="000D09C7"/>
    <w:rsid w:val="001043B2"/>
    <w:rsid w:val="0012546A"/>
    <w:rsid w:val="00130B8C"/>
    <w:rsid w:val="00255AA1"/>
    <w:rsid w:val="00322C23"/>
    <w:rsid w:val="003D7154"/>
    <w:rsid w:val="00417795"/>
    <w:rsid w:val="0047126C"/>
    <w:rsid w:val="00535C69"/>
    <w:rsid w:val="00591A5A"/>
    <w:rsid w:val="005A25DD"/>
    <w:rsid w:val="005F15CE"/>
    <w:rsid w:val="00622A40"/>
    <w:rsid w:val="00632C81"/>
    <w:rsid w:val="00660D0D"/>
    <w:rsid w:val="00661FE5"/>
    <w:rsid w:val="00740750"/>
    <w:rsid w:val="007A6A8C"/>
    <w:rsid w:val="008238B1"/>
    <w:rsid w:val="008D42DA"/>
    <w:rsid w:val="00962061"/>
    <w:rsid w:val="009F431F"/>
    <w:rsid w:val="00A563BD"/>
    <w:rsid w:val="00A87164"/>
    <w:rsid w:val="00AB7852"/>
    <w:rsid w:val="00C17803"/>
    <w:rsid w:val="00C6280F"/>
    <w:rsid w:val="00C71270"/>
    <w:rsid w:val="00D069F4"/>
    <w:rsid w:val="00D21EAD"/>
    <w:rsid w:val="00E27020"/>
    <w:rsid w:val="00E5130B"/>
    <w:rsid w:val="00FA34C9"/>
    <w:rsid w:val="00FD70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BA5A"/>
  <w15:docId w15:val="{F05DB028-9CD5-4F39-97AE-1A30853E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C71270"/>
    <w:pPr>
      <w:ind w:left="720"/>
      <w:contextualSpacing/>
    </w:pPr>
  </w:style>
  <w:style w:type="character" w:styleId="Hyperlink">
    <w:name w:val="Hyperlink"/>
    <w:basedOn w:val="DefaultParagraphFont"/>
    <w:uiPriority w:val="99"/>
    <w:unhideWhenUsed/>
    <w:rsid w:val="00A87164"/>
    <w:rPr>
      <w:color w:val="0000FF" w:themeColor="hyperlink"/>
      <w:u w:val="single"/>
    </w:rPr>
  </w:style>
  <w:style w:type="character" w:styleId="UnresolvedMention">
    <w:name w:val="Unresolved Mention"/>
    <w:basedOn w:val="DefaultParagraphFont"/>
    <w:uiPriority w:val="99"/>
    <w:semiHidden/>
    <w:unhideWhenUsed/>
    <w:rsid w:val="00A87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molinari@upe.edu.ar" TargetMode="External"/><Relationship Id="rId13" Type="http://schemas.openxmlformats.org/officeDocument/2006/relationships/hyperlink" Target="https://revistas.untref.edu.ar/index.php/relapae/article/view/2025" TargetMode="External"/><Relationship Id="rId18" Type="http://schemas.openxmlformats.org/officeDocument/2006/relationships/hyperlink" Target="https://learningpolicyinstitute.org/sites/default/files/product-files/Effective_Teacher_Professional_Development_REPORT.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2201/iisue.20072872e.2025.47.1961" TargetMode="External"/><Relationship Id="rId7" Type="http://schemas.openxmlformats.org/officeDocument/2006/relationships/endnotes" Target="endnotes.xml"/><Relationship Id="rId12" Type="http://schemas.openxmlformats.org/officeDocument/2006/relationships/hyperlink" Target="https://ojs2.fch.unicen.edu.ar/ojs-3.1.0/index.php/espacios-en-blanco/article/view/100" TargetMode="External"/><Relationship Id="rId17" Type="http://schemas.openxmlformats.org/officeDocument/2006/relationships/hyperlink" Target="https://doi.org/10.1590/0102-469817600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4215/24690090e179" TargetMode="External"/><Relationship Id="rId20" Type="http://schemas.openxmlformats.org/officeDocument/2006/relationships/hyperlink" Target="https://doi.org/10.33255/18511562/19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ntref.edu.ar/index.php/relapae/article/view/2022" TargetMode="External"/><Relationship Id="rId24" Type="http://schemas.openxmlformats.org/officeDocument/2006/relationships/hyperlink" Target="https://doi.org/10.22529/dp.2019.17(34)04" TargetMode="External"/><Relationship Id="rId5" Type="http://schemas.openxmlformats.org/officeDocument/2006/relationships/webSettings" Target="webSettings.xml"/><Relationship Id="rId15" Type="http://schemas.openxmlformats.org/officeDocument/2006/relationships/hyperlink" Target="https://doi.org/10.15381/lengsoc.v22i2.24685" TargetMode="External"/><Relationship Id="rId23" Type="http://schemas.openxmlformats.org/officeDocument/2006/relationships/hyperlink" Target="https://www.argentina.gob.ar/sites/default/files/sintesis_anuario_2023-2024.pdf" TargetMode="External"/><Relationship Id="rId28" Type="http://schemas.openxmlformats.org/officeDocument/2006/relationships/theme" Target="theme/theme1.xml"/><Relationship Id="rId10" Type="http://schemas.openxmlformats.org/officeDocument/2006/relationships/hyperlink" Target="mailto:mcordero@upe.edu.ar" TargetMode="External"/><Relationship Id="rId19" Type="http://schemas.openxmlformats.org/officeDocument/2006/relationships/hyperlink" Target="https://www.pensamientouniversitario.com.ar/index.php/2025/08/21/brechas-en-la-graduacion-en-la-educacion-superior-argentina-y-su-impacto-sobre-la-equidad/" TargetMode="External"/><Relationship Id="rId4" Type="http://schemas.openxmlformats.org/officeDocument/2006/relationships/settings" Target="settings.xml"/><Relationship Id="rId9" Type="http://schemas.openxmlformats.org/officeDocument/2006/relationships/hyperlink" Target="mailto:labrego@upe.edu.ar" TargetMode="External"/><Relationship Id="rId14" Type="http://schemas.openxmlformats.org/officeDocument/2006/relationships/hyperlink" Target="https://doi.org/10.15645/Alabe2019.19.12" TargetMode="External"/><Relationship Id="rId22" Type="http://schemas.openxmlformats.org/officeDocument/2006/relationships/hyperlink" Target="https://www.argentina.gob.ar/sites/default/files/sintesis_anuario_2023-2024.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BQN1tdBu0Uqvb6995BGiMeFO7A==">CgMxLjA4AHIhMTFqcVlGS1hVUDlCNTJvUGFndXBlTkpIOXE3N1NhUDZs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17</Pages>
  <Words>8088</Words>
  <Characters>45051</Characters>
  <Application>Microsoft Office Word</Application>
  <DocSecurity>0</DocSecurity>
  <Lines>1001</Lines>
  <Paragraphs>458</Paragraphs>
  <ScaleCrop>false</ScaleCrop>
  <Company/>
  <LinksUpToDate>false</LinksUpToDate>
  <CharactersWithSpaces>52681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Lisandro Abrego</cp:lastModifiedBy>
  <cp:revision>35</cp:revision>
  <dcterms:created xsi:type="dcterms:W3CDTF">2026-07-01T18:14:00Z</dcterms:created>
  <dcterms:modified xsi:type="dcterms:W3CDTF">2026-07-01T20:54:00Z</dcterms:modified>
</cp:coreProperties>
</file>