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A98" w:rsidRDefault="003D7A98">
      <w:pPr>
        <w:rPr>
          <w:rFonts w:ascii="Times New Roman" w:eastAsia="Times New Roman" w:hAnsi="Times New Roman" w:cs="Times New Roman"/>
        </w:rPr>
      </w:pPr>
    </w:p>
    <w:p w:rsidR="003D7A98" w:rsidRDefault="008F5318">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Virtualización forzada y transformaciones pedagógicas en la universidad pública: la pandemia COVID-19 en una provincia de frontera</w:t>
      </w:r>
    </w:p>
    <w:p w:rsidR="003D7A98" w:rsidRDefault="003D7A98">
      <w:pPr>
        <w:spacing w:line="240" w:lineRule="auto"/>
        <w:jc w:val="center"/>
        <w:rPr>
          <w:rFonts w:ascii="Times New Roman" w:eastAsia="Times New Roman" w:hAnsi="Times New Roman" w:cs="Times New Roman"/>
        </w:rPr>
      </w:pPr>
    </w:p>
    <w:p w:rsidR="003D7A98" w:rsidRDefault="008F531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Dimas Andrea Mariana</w:t>
      </w:r>
    </w:p>
    <w:p w:rsidR="003D7A98" w:rsidRDefault="008F531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Facultad de Humanidades y Ciencias Sociales, Universidad Nacional de Misiones</w:t>
      </w:r>
    </w:p>
    <w:p w:rsidR="003D7A98" w:rsidRDefault="008F531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correodemariana@gmail.com</w:t>
      </w:r>
    </w:p>
    <w:p w:rsidR="003D7A98" w:rsidRDefault="003D7A98">
      <w:pPr>
        <w:spacing w:line="240" w:lineRule="auto"/>
        <w:rPr>
          <w:rFonts w:ascii="Times New Roman" w:eastAsia="Times New Roman" w:hAnsi="Times New Roman" w:cs="Times New Roman"/>
        </w:rPr>
      </w:pPr>
    </w:p>
    <w:p w:rsidR="003D7A98" w:rsidRDefault="008F531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Wrobel Claudia Fabiana</w:t>
      </w:r>
    </w:p>
    <w:p w:rsidR="003D7A98" w:rsidRDefault="008F531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Facultad de Humanidades y Ciencias Sociales, Universidad Nacional de Misiones</w:t>
      </w:r>
    </w:p>
    <w:p w:rsidR="003D7A98" w:rsidRDefault="008F5318">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cfwrobel@fhycs.unam.edu.ar</w:t>
      </w:r>
    </w:p>
    <w:p w:rsidR="003D7A98" w:rsidRDefault="003D7A98">
      <w:pPr>
        <w:spacing w:line="240" w:lineRule="auto"/>
        <w:jc w:val="both"/>
        <w:rPr>
          <w:rFonts w:ascii="Times New Roman" w:eastAsia="Times New Roman" w:hAnsi="Times New Roman" w:cs="Times New Roman"/>
        </w:rPr>
      </w:pP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rsidR="00851204" w:rsidRPr="00851204" w:rsidRDefault="00851204" w:rsidP="00F93E74">
      <w:pPr>
        <w:spacing w:line="240" w:lineRule="auto"/>
        <w:jc w:val="both"/>
        <w:rPr>
          <w:rFonts w:ascii="Times New Roman" w:hAnsi="Times New Roman" w:cs="Times New Roman"/>
        </w:rPr>
      </w:pPr>
      <w:r w:rsidRPr="00851204">
        <w:rPr>
          <w:rFonts w:ascii="Times New Roman" w:hAnsi="Times New Roman" w:cs="Times New Roman"/>
        </w:rPr>
        <w:t>El siguiente trabajo presenta los resultados parciales de una investigación denominada “Impacto de la pandemia en las prácticas de docencia en tres carreras de la Facultad de Humanidades y Ciencias Sociales de la Universidad Nacional de Misiones y su repercusión en los estudiantes ingresados en los años 2020 y 2021”. En éste resumen presentaremos uno de sus objetivos; que data sobre los efectos que produjo la virtualización intempestiva en las prácticas pedagóg</w:t>
      </w:r>
      <w:r>
        <w:rPr>
          <w:rFonts w:ascii="Times New Roman" w:hAnsi="Times New Roman" w:cs="Times New Roman"/>
        </w:rPr>
        <w:t>icas de docentes universitarios</w:t>
      </w:r>
      <w:r w:rsidRPr="00851204">
        <w:rPr>
          <w:rFonts w:ascii="Times New Roman" w:hAnsi="Times New Roman" w:cs="Times New Roman"/>
        </w:rPr>
        <w:t xml:space="preserve">. El objetivo central fue explorar su impacto en tres carreras con prácticas profesionales y </w:t>
      </w:r>
      <w:proofErr w:type="spellStart"/>
      <w:r w:rsidRPr="00851204">
        <w:rPr>
          <w:rFonts w:ascii="Times New Roman" w:hAnsi="Times New Roman" w:cs="Times New Roman"/>
        </w:rPr>
        <w:t>profesionalizantes</w:t>
      </w:r>
      <w:proofErr w:type="spellEnd"/>
      <w:r w:rsidRPr="00851204">
        <w:rPr>
          <w:rFonts w:ascii="Times New Roman" w:hAnsi="Times New Roman" w:cs="Times New Roman"/>
        </w:rPr>
        <w:t>: Licenciatura en Antropología Social, Profesorado en Ciencias Económicas y Guía de Turismo, atendiendo a los modos en que la virtualización alteró, desplazó o resignificó las formas establecidas de mediación del conocimiento, que en estas carreras se articulan directamente con el territorio. El estudio adoptó un enfoque cualitativo e interpretativo basado en entrevistas en profundidad a docentes de los ciclos lectivos 2020 y 2021, organizadas en torno a cuatro categorías analíticas: cambios en estrategias de enseñanza, innovaciones metodológicas, pérdida o cambio de dinámicas tradicionales, y virtualidad y flexibilidad evaluativa. El análisis comparativo entre carreras constituye e</w:t>
      </w:r>
      <w:r>
        <w:rPr>
          <w:rFonts w:ascii="Times New Roman" w:hAnsi="Times New Roman" w:cs="Times New Roman"/>
        </w:rPr>
        <w:t xml:space="preserve">l eje estructurante del estudio: </w:t>
      </w:r>
      <w:r w:rsidRPr="00851204">
        <w:rPr>
          <w:rFonts w:ascii="Times New Roman" w:hAnsi="Times New Roman" w:cs="Times New Roman"/>
        </w:rPr>
        <w:t xml:space="preserve">Misiones, contexto de producción del estudio, es una provincia de frontera con condiciones de conectividad estructuralmente deficitarias que se tornaron críticas durante el aislamiento. </w:t>
      </w:r>
      <w:proofErr w:type="spellStart"/>
      <w:r w:rsidRPr="00851204">
        <w:rPr>
          <w:rFonts w:ascii="Times New Roman" w:hAnsi="Times New Roman" w:cs="Times New Roman"/>
        </w:rPr>
        <w:t>Virtualizar</w:t>
      </w:r>
      <w:proofErr w:type="spellEnd"/>
      <w:r w:rsidRPr="00851204">
        <w:rPr>
          <w:rFonts w:ascii="Times New Roman" w:hAnsi="Times New Roman" w:cs="Times New Roman"/>
        </w:rPr>
        <w:t xml:space="preserve"> la enseñanza implicó hacerlo en condiciones adversas y desiguales que acentuaron asimetrías preexistentes. Los resultados dan cuenta de transformaciones de distinto alcance según la carrera. Los docentes debieron rediseñar propuestas pedagógicas, diversificar canales de comunicación y producir materiales escritos que antes se sostenían en la oralidad presencial. Algunas carreras desarrollaron innovaciones genuinas: en Antropología Social emergió la lectura cruzada de registros entre estudiantes; en el Profesorado en Ciencias Económicas, la escritura sistemática de clases se reveló como práctica </w:t>
      </w:r>
      <w:proofErr w:type="spellStart"/>
      <w:r w:rsidRPr="00851204">
        <w:rPr>
          <w:rFonts w:ascii="Times New Roman" w:hAnsi="Times New Roman" w:cs="Times New Roman"/>
        </w:rPr>
        <w:t>metareflexiva</w:t>
      </w:r>
      <w:proofErr w:type="spellEnd"/>
      <w:r w:rsidRPr="00851204">
        <w:rPr>
          <w:rFonts w:ascii="Times New Roman" w:hAnsi="Times New Roman" w:cs="Times New Roman"/>
        </w:rPr>
        <w:t xml:space="preserve"> que hizo visible el saber pedagógico tácito de los docentes; y Guía de turismo los alumnos grabaron audiovisuales en su entorno cotidiano (casa) actuando como guías, trasposición didáctica usada para lograr un aprendizaje situado. El análisis </w:t>
      </w:r>
      <w:r w:rsidRPr="00851204">
        <w:rPr>
          <w:rFonts w:ascii="Times New Roman" w:hAnsi="Times New Roman" w:cs="Times New Roman"/>
        </w:rPr>
        <w:lastRenderedPageBreak/>
        <w:t xml:space="preserve">también registra transformaciones por sustracción: la pérdida del vínculo pedagógico encarnado, la imposibilidad de la observación directa y la supresión del territorio como espacio formativo, constituyen las fracturas más pronunciadas en carreras cuya formación descansa sobre la experiencia práctica en contextos reales. La pandemia operó como acelerador de transformaciones preexistentes en algunos casos y como límite que hizo visible la irreductibilidad de ciertas prácticas en otros. Los hallazgos interpelan las concepciones sobre innovación educativa en la universidad pública y plantean la necesidad de políticas pedagógicas que distingan entre lo que puede transformarse mediante mediación tecnológica y lo que constituye condición material del aprendizaje profesional. </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Palabras clave</w:t>
      </w:r>
      <w:r>
        <w:rPr>
          <w:rFonts w:ascii="Times New Roman" w:eastAsia="Times New Roman" w:hAnsi="Times New Roman" w:cs="Times New Roman"/>
        </w:rPr>
        <w:t xml:space="preserve">: </w:t>
      </w:r>
      <w:r w:rsidR="00851204">
        <w:rPr>
          <w:rFonts w:ascii="Times New Roman" w:eastAsia="Times New Roman" w:hAnsi="Times New Roman" w:cs="Times New Roman"/>
        </w:rPr>
        <w:t>Transformaciones pedagógicas, pandemia COVID-19, prácticas docentes, estrategias de enseñanza.</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Introducción</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En el marco de la emergencia sanitaria que irrumpió a inicios del 2020, el sistema educativo argentino y el universitario en particular, se </w:t>
      </w:r>
      <w:proofErr w:type="spellStart"/>
      <w:r>
        <w:rPr>
          <w:rFonts w:ascii="Times New Roman" w:eastAsia="Times New Roman" w:hAnsi="Times New Roman" w:cs="Times New Roman"/>
        </w:rPr>
        <w:t>vió</w:t>
      </w:r>
      <w:proofErr w:type="spellEnd"/>
      <w:r>
        <w:rPr>
          <w:rFonts w:ascii="Times New Roman" w:eastAsia="Times New Roman" w:hAnsi="Times New Roman" w:cs="Times New Roman"/>
        </w:rPr>
        <w:t xml:space="preserve"> impactado en su gestión y funcionamiento, teniendo que afrontar de manera abrupta la </w:t>
      </w:r>
      <w:proofErr w:type="spellStart"/>
      <w:r>
        <w:rPr>
          <w:rFonts w:ascii="Times New Roman" w:eastAsia="Times New Roman" w:hAnsi="Times New Roman" w:cs="Times New Roman"/>
        </w:rPr>
        <w:t>resignificación</w:t>
      </w:r>
      <w:proofErr w:type="spellEnd"/>
      <w:r>
        <w:rPr>
          <w:rFonts w:ascii="Times New Roman" w:eastAsia="Times New Roman" w:hAnsi="Times New Roman" w:cs="Times New Roman"/>
        </w:rPr>
        <w:t xml:space="preserve"> de las prácticas en la educación superior bajo un nuevo modelo académico basado en la virtualización plena y en condiciones adversas y desiguales que acentuaron asimetrías preexistentes. En ese contexto, el proyecto se propuso indagar y comparar los cambios en las prácticas docentes en pandemia de los profesores de tres carreras universitarias -Guía de turismo, Profesorado en Ciencias Económicas y Licenciatura en Antropología Social- y su repercusión en los factores socio afectivos que influyeron en los docentes en dicha coyuntura. Si bien los resultados dan cuenta de transformaciones de distinto alcance según la carrera, en términos generales los docentes debieron rediseñar propuestas pedagógicas, diversificar canales de comunicación y adoptar nuevas estrategias didácticas que antes se sostenían en la oralidad presencial; todo ello teniendo escasa experiencia y formación para afrontar los desafíos que implicó la incorporación de la mediación tecnológica.</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Marco teórico</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color w:val="000000"/>
        </w:rPr>
        <w:t>1. La enseñanza como práctica social, reflexiva y situada</w:t>
      </w:r>
    </w:p>
    <w:p w:rsidR="003D7A98" w:rsidRDefault="008F5318" w:rsidP="00F93E74">
      <w:pPr>
        <w:spacing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1.1. Práctica docente y métodos de enseñanza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punto de partida teórico de este estudio es la concepción de la enseñanza como una práctica social intencional, orientada a generar condiciones para que otros aprendan. En la tradición pedagógica argentina, María Cristina </w:t>
      </w: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(2008, 2015) constituye una referencia central: la enseñanza no se reduce a la transmisión de información ni a la ejecución de técnicas, sino que implica una acción reflexiva que articula conocimiento disciplinar, conocimiento pedagógico y conocimiento del contexto en el que se actúa. Los métodos de enseñanza, en esta perspectiva, no son procedimientos neutrales sino opciones que condensan concepciones sobre quién enseña, a quién, para qué y desde dónde.</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 emergencia sanitaria de 2020 puso en crisis esta articulación: al desaparecer el contexto habitual de la enseñanza —el aula, el cuerpo, el tiempo compartido—, los docentes se encontraron con que sus métodos habituales habían perdido su sostén material. Lo que esta investigación denomina "la improvisación como primer modo de respuesta" no es sino la expresión de esa pérdida de andamiaje: docentes que debieron rediseñar propuestas pedagógicas en tiempo real, sin formación específica para la virtualidad, sostenidos únicamente por el compromiso ético con la continuidad de la formación.</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(2015) distingue entre las "habilidades operativas" que los estudiantes exhiben en situaciones simuladas y las capacidades de intervención en un contexto real, signadas por la toma de decisiones pertinentes y contextualizadas. Esta distinción es especialmente relevante para el análisis de las Prácticas Profesionales: la pandemia forzó a reemplazar sistemáticamente el contexto real por experiencias simuladas o mediadas, con consecuencias formativas que el estudio se propuso documentar.</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0" w:name="_heading=h.de13v2xx967f" w:colFirst="0" w:colLast="0"/>
      <w:bookmarkEnd w:id="0"/>
      <w:r>
        <w:rPr>
          <w:rFonts w:ascii="Times New Roman" w:eastAsia="Times New Roman" w:hAnsi="Times New Roman" w:cs="Times New Roman"/>
          <w:b/>
          <w:bCs/>
          <w:color w:val="000000"/>
          <w:sz w:val="24"/>
          <w:szCs w:val="24"/>
        </w:rPr>
        <w:t>1.2. La mediación pedagógica y el vínculo docente-estudiante</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noción de mediación pedagógica, desarrollada por Prieto Castillo y Gutiérrez Pérez (2007), remite al conjunto de recursos, lenguajes y estrategias mediante los cuales el docente construye puentes entre el conocimiento y el aprendiz.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esa mediación incluye elementos que habitualmente pasan desapercibidos: la gestualidad, el tono de voz, la disposición espacial, la posibilidad de leer en el otro las señales de comprensión o desconcierto. La virtualización forzosa puso en evidencia que esos elementos no son accesorios de la enseñanza sino constitutivos de ella.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testimonios de los docentes entrevistados en esta investigación expresan con claridad esa pérdida. La cámara apagada —fenómeno recurrente en las clases virtuales del período— no es solo un problema técnico de conectividad o de privacidad: es la expresión material de la disrupción del vínculo pedagógico como relación encarnada. El estudiante se reduce a un nombre en una pantalla, una voz ocasional, un documento entregado en el plazo indicado. Y el docente, privado de los recursos corporales y espaciales de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experimenta lo que varios de los entrevistados describen como una sensación de vacío o de soledad.</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dimensión del vínculo pedagógico conecta con la perspectiva de </w:t>
      </w:r>
      <w:proofErr w:type="spellStart"/>
      <w:r>
        <w:rPr>
          <w:rFonts w:ascii="Times New Roman" w:eastAsia="Times New Roman" w:hAnsi="Times New Roman" w:cs="Times New Roman"/>
        </w:rPr>
        <w:t>Vigotsky</w:t>
      </w:r>
      <w:proofErr w:type="spellEnd"/>
      <w:r>
        <w:rPr>
          <w:rFonts w:ascii="Times New Roman" w:eastAsia="Times New Roman" w:hAnsi="Times New Roman" w:cs="Times New Roman"/>
        </w:rPr>
        <w:t xml:space="preserve"> (2004) sobre la naturaleza social del aprendizaje: aprender no es un proceso individual que ocurre dentro de la cabeza del aprendiz sino un fenómeno que emerge en la interacción con otros, mediado por instrumentos culturales. En ese marco, la virtualización no fue un simple cambio de soporte sino una alteración profunda de las condiciones sociales en las que el aprendizaje universitario se produce.</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 w:name="_heading=h.mpy7lnu9fu8" w:colFirst="0" w:colLast="0"/>
      <w:bookmarkEnd w:id="1"/>
      <w:r>
        <w:rPr>
          <w:rFonts w:ascii="Times New Roman" w:eastAsia="Times New Roman" w:hAnsi="Times New Roman" w:cs="Times New Roman"/>
          <w:b/>
          <w:bCs/>
          <w:color w:val="000000"/>
          <w:sz w:val="24"/>
          <w:szCs w:val="24"/>
        </w:rPr>
        <w:t>1.3. La enseñanza universitaria en contextos de complejidad</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especificidad de la enseñanza en el nivel superior agrega complejidades adicionales. De Sousa Santos (2007) señala que la universidad del siglo XXI enfrenta el desafío de articular la producción de conocimiento experto con la formación de profesionales capaces de actuar en escenarios sociales complejos y cambiantes. La pandemia actualizó </w:t>
      </w:r>
      <w:r>
        <w:rPr>
          <w:rFonts w:ascii="Times New Roman" w:eastAsia="Times New Roman" w:hAnsi="Times New Roman" w:cs="Times New Roman"/>
        </w:rPr>
        <w:lastRenderedPageBreak/>
        <w:t>ese desafío de manera brutal: ¿cómo formar un guía de turismo sin territorio? ¿Cómo formar un docente de Ciencias Económicas sin escuelas? ¿Cómo formar un antropólogo sin trabajo de campo?</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respuestas que los equipos docentes elaboraron ante esas preguntas constituyen el objeto empírico central de esta investigación. Pero su comprensión requiere un marco que permita entender la enseñanza universitaria no como la aplicación de un modelo didáctico genérico sino como una práctica situada —en el sentido de Lave y </w:t>
      </w:r>
      <w:proofErr w:type="spellStart"/>
      <w:r>
        <w:rPr>
          <w:rFonts w:ascii="Times New Roman" w:eastAsia="Times New Roman" w:hAnsi="Times New Roman" w:cs="Times New Roman"/>
        </w:rPr>
        <w:t>Wenger</w:t>
      </w:r>
      <w:proofErr w:type="spellEnd"/>
      <w:r>
        <w:rPr>
          <w:rFonts w:ascii="Times New Roman" w:eastAsia="Times New Roman" w:hAnsi="Times New Roman" w:cs="Times New Roman"/>
        </w:rPr>
        <w:t xml:space="preserve"> (1991, citados en </w:t>
      </w:r>
      <w:proofErr w:type="spellStart"/>
      <w:r>
        <w:rPr>
          <w:rFonts w:ascii="Times New Roman" w:eastAsia="Times New Roman" w:hAnsi="Times New Roman" w:cs="Times New Roman"/>
        </w:rPr>
        <w:t>Burbules</w:t>
      </w:r>
      <w:proofErr w:type="spellEnd"/>
      <w:r>
        <w:rPr>
          <w:rFonts w:ascii="Times New Roman" w:eastAsia="Times New Roman" w:hAnsi="Times New Roman" w:cs="Times New Roman"/>
        </w:rPr>
        <w:t xml:space="preserve"> 2014)— que cobra sentido en las condiciones concretas de cada institución, cada disciplina y cada contexto social.</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ese sentido, la perspectiva de </w:t>
      </w:r>
      <w:proofErr w:type="spellStart"/>
      <w:r>
        <w:rPr>
          <w:rFonts w:ascii="Times New Roman" w:eastAsia="Times New Roman" w:hAnsi="Times New Roman" w:cs="Times New Roman"/>
        </w:rPr>
        <w:t>Maggio</w:t>
      </w:r>
      <w:proofErr w:type="spellEnd"/>
      <w:r>
        <w:rPr>
          <w:rFonts w:ascii="Times New Roman" w:eastAsia="Times New Roman" w:hAnsi="Times New Roman" w:cs="Times New Roman"/>
        </w:rPr>
        <w:t xml:space="preserve"> (2020) sobre las "prácticas educativas reinventadas" ofrece una lente productiva: no se trata de evaluar si lo que los docentes hicieron en pandemia fue "bueno" o "malo" según estándares previos, sino de comprender qué decisiones tomaron, con qué recursos, en qué condiciones y con qué sentido. La reinvención no es un elogio incondicionado de la </w:t>
      </w:r>
      <w:proofErr w:type="spellStart"/>
      <w:r>
        <w:rPr>
          <w:rFonts w:ascii="Times New Roman" w:eastAsia="Times New Roman" w:hAnsi="Times New Roman" w:cs="Times New Roman"/>
        </w:rPr>
        <w:t>improvización</w:t>
      </w:r>
      <w:proofErr w:type="spellEnd"/>
      <w:r>
        <w:rPr>
          <w:rFonts w:ascii="Times New Roman" w:eastAsia="Times New Roman" w:hAnsi="Times New Roman" w:cs="Times New Roman"/>
        </w:rPr>
        <w:t>: es el reconocimiento de que, ante una disrupción sin precedentes, los docentes produjeron respuestas pedagógicas que merecen ser analizadas en su especificidad.</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2" w:name="_heading=h.nzjhtjcwti2k" w:colFirst="0" w:colLast="0"/>
      <w:bookmarkEnd w:id="2"/>
      <w:r>
        <w:rPr>
          <w:rFonts w:ascii="Times New Roman" w:eastAsia="Times New Roman" w:hAnsi="Times New Roman" w:cs="Times New Roman"/>
          <w:b/>
          <w:bCs/>
          <w:color w:val="000000"/>
          <w:sz w:val="24"/>
          <w:szCs w:val="24"/>
        </w:rPr>
        <w:t>2. Virtualización, tecnologías educativas y continuidad pedagógica</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3" w:name="_heading=h.6toqjgvsd801" w:colFirst="0" w:colLast="0"/>
      <w:bookmarkEnd w:id="3"/>
      <w:r>
        <w:rPr>
          <w:rFonts w:ascii="Times New Roman" w:eastAsia="Times New Roman" w:hAnsi="Times New Roman" w:cs="Times New Roman"/>
          <w:b/>
          <w:bCs/>
          <w:color w:val="000000"/>
          <w:sz w:val="24"/>
          <w:szCs w:val="24"/>
        </w:rPr>
        <w:t>2.1. La virtualización como modalidad y como proceso</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literatura sobre educación y tecnologías distingue entre el uso puntual de recursos digitales como complemento de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y la virtualización entendida como reconfiguración del modelo académico. Lo que ocurrió a partir de marzo de 2020 no fue lo primero sino lo segundo, pero en condiciones en que ni docentes ni instituciones estaban preparados para ello: una virtualización forzosa, compulsiva y sin diseño previo que </w:t>
      </w: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Ferrante</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Pulfer</w:t>
      </w:r>
      <w:proofErr w:type="spellEnd"/>
      <w:r>
        <w:rPr>
          <w:rFonts w:ascii="Times New Roman" w:eastAsia="Times New Roman" w:hAnsi="Times New Roman" w:cs="Times New Roman"/>
        </w:rPr>
        <w:t xml:space="preserve"> (2020) describen como la irrupción de "nuevas formas de enseñanza en contextos de emergencia".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UNESCO-IESALC (2020) documentó que la respuesta global de las universidades ante la pandemia consistió básicamente en trasladar la lógica de la clase presencial al entorno virtual, sin que hubiera preparación, planificación ni diseño específico para la enseñanza a distancia. El resultado fue lo que en el campo se denominó "emergencia </w:t>
      </w:r>
      <w:proofErr w:type="spellStart"/>
      <w:r>
        <w:rPr>
          <w:rFonts w:ascii="Times New Roman" w:eastAsia="Times New Roman" w:hAnsi="Times New Roman" w:cs="Times New Roman"/>
        </w:rPr>
        <w:t>remote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teaching</w:t>
      </w:r>
      <w:proofErr w:type="spellEnd"/>
      <w:r>
        <w:rPr>
          <w:rFonts w:ascii="Times New Roman" w:eastAsia="Times New Roman" w:hAnsi="Times New Roman" w:cs="Times New Roman"/>
        </w:rPr>
        <w:t xml:space="preserve">": no educación a distancia en sentido pleno sino clases presenciales migradas a plataformas, con sus rasgos más problemáticos amplificados —sincronización rígida de tiempos, centralidad del docente, escasa interacción— y sin los recursos que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aporta para compensarlos.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Esta distinción conceptual —entre virtualización planificada y virtualización de emergencia— es fundamental para interpretar los datos de esta investigación. Los docentes entrevistados no fueron actores de una transformación digital meditada: fueron protagonistas de una reconversión urgente que, como señala Barbieri (en Falcón, 2020), produjo efectos contradictorios. Por un lado, amplió ciertas condiciones para la inclusión; por otro, exacerbó desigualdades preexistentes a través de las brechas digitales que dejaron fuera a muchos estudiantes.</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4" w:name="_heading=h.9352rgc246qy" w:colFirst="0" w:colLast="0"/>
      <w:bookmarkEnd w:id="4"/>
      <w:r>
        <w:rPr>
          <w:rFonts w:ascii="Times New Roman" w:eastAsia="Times New Roman" w:hAnsi="Times New Roman" w:cs="Times New Roman"/>
          <w:b/>
          <w:bCs/>
          <w:color w:val="000000"/>
          <w:sz w:val="24"/>
          <w:szCs w:val="24"/>
        </w:rPr>
        <w:lastRenderedPageBreak/>
        <w:t>2.2. Las plataformas como entornos de enseñanza y aprendizaje</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institucionalización de las Aulas Virtuales —primero </w:t>
      </w:r>
      <w:proofErr w:type="spellStart"/>
      <w:r>
        <w:rPr>
          <w:rFonts w:ascii="Times New Roman" w:eastAsia="Times New Roman" w:hAnsi="Times New Roman" w:cs="Times New Roman"/>
        </w:rPr>
        <w:t>Claroline</w:t>
      </w:r>
      <w:proofErr w:type="spellEnd"/>
      <w:r>
        <w:rPr>
          <w:rFonts w:ascii="Times New Roman" w:eastAsia="Times New Roman" w:hAnsi="Times New Roman" w:cs="Times New Roman"/>
        </w:rPr>
        <w:t>, luego Moodle— como dispositivo central de la continuidad pedagógica introdujo nuevas mediaciones en la práctica docente que no son tecnológicamente neutras. Cada plataforma organiza de cierto modo los tiempos, los roles y las relaciones: estructura quién puede subir materiales, cómo se comunican docentes y estudiantes, qué formas de evaluación son posibles, cómo se registra y hace visible el recorrido de cada estudiante.</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Pulfer</w:t>
      </w:r>
      <w:proofErr w:type="spellEnd"/>
      <w:r>
        <w:rPr>
          <w:rFonts w:ascii="Times New Roman" w:eastAsia="Times New Roman" w:hAnsi="Times New Roman" w:cs="Times New Roman"/>
        </w:rPr>
        <w:t xml:space="preserve"> (2018) señalan que la digitalización de lo humano implica silencios y omisiones en el debate pedagógico: la incorporación acrítica de tecnologías tiende a naturalizarlas como si fueran meros instrumentos, ocultando las decisiones pedagógicas, políticas y económicas que las configuran. En el contexto de la </w:t>
      </w:r>
      <w:proofErr w:type="spellStart"/>
      <w:r>
        <w:rPr>
          <w:rFonts w:ascii="Times New Roman" w:eastAsia="Times New Roman" w:hAnsi="Times New Roman" w:cs="Times New Roman"/>
        </w:rPr>
        <w:t>FHyCS-UNaM</w:t>
      </w:r>
      <w:proofErr w:type="spellEnd"/>
      <w:r>
        <w:rPr>
          <w:rFonts w:ascii="Times New Roman" w:eastAsia="Times New Roman" w:hAnsi="Times New Roman" w:cs="Times New Roman"/>
        </w:rPr>
        <w:t xml:space="preserve">, la migración de </w:t>
      </w:r>
      <w:proofErr w:type="spellStart"/>
      <w:r>
        <w:rPr>
          <w:rFonts w:ascii="Times New Roman" w:eastAsia="Times New Roman" w:hAnsi="Times New Roman" w:cs="Times New Roman"/>
        </w:rPr>
        <w:t>Claroline</w:t>
      </w:r>
      <w:proofErr w:type="spellEnd"/>
      <w:r>
        <w:rPr>
          <w:rFonts w:ascii="Times New Roman" w:eastAsia="Times New Roman" w:hAnsi="Times New Roman" w:cs="Times New Roman"/>
        </w:rPr>
        <w:t xml:space="preserve"> a Moodle en plena emergencia sanitaria reveló esas omisiones: los docentes debieron aprender a administrar una nueva plataforma al mismo tiempo que intentaban sostener la enseñanza, sin formación sistemática y con recursos institucionales insuficientes.</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Burbules</w:t>
      </w:r>
      <w:proofErr w:type="spellEnd"/>
      <w:r>
        <w:rPr>
          <w:rFonts w:ascii="Times New Roman" w:eastAsia="Times New Roman" w:hAnsi="Times New Roman" w:cs="Times New Roman"/>
        </w:rPr>
        <w:t xml:space="preserve"> (2014) introduce el concepto de "aprendizaje ubicuo" para describir la transformación de los contextos de aprendizaje producida por las tecnologías digitales: el aprendizaje ya no ocurre solo en tiempos y lugares determinados sino de manera distribuida, en múltiples dispositivos y situaciones. Pero esa ubicuidad supone condiciones de acceso que la realidad de Misiones —provincia de frontera con conectividad estructuralmente deficitaria— estaba lejos de garantizar de manera universal.</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5" w:name="_heading=h.p1axzcwm3yd9" w:colFirst="0" w:colLast="0"/>
      <w:bookmarkEnd w:id="5"/>
      <w:r>
        <w:rPr>
          <w:rFonts w:ascii="Times New Roman" w:eastAsia="Times New Roman" w:hAnsi="Times New Roman" w:cs="Times New Roman"/>
          <w:b/>
          <w:bCs/>
          <w:color w:val="000000"/>
          <w:sz w:val="24"/>
          <w:szCs w:val="24"/>
        </w:rPr>
        <w:t>2.3. La brecha digital como condición estructural en contextos de frontera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La pandemia no creó la brecha digital: la reveló y la profundizó. En el caso de Misiones, las condiciones de conectividad preexistentes eran estructuralmente deficitarias: amplias zonas del territorio provincial carecen de acceso a internet de banda ancha, y la mayoría de los estudiantes universitarios dependía de datos móviles para conectarse, con los costos y limitaciones que ello implica. El ASPO convirtió esa condición en una barrera crítica para la continuidad pedagógica.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La investigación de Cardini et al. (2021) sobre educación y pandemia en Argentina documenta que la brecha digital no es solo de acceso a dispositivos o conectividad sino también de habilidades, de tiempo disponible y de condiciones habitacionales para el estudio. Los testimonios de los docentes y estudiantes de este estudio confirman y amplían ese diagnóstico: estudiantes que compartían un solo teléfono móvil con toda la familia, que no tenían un espacio tranquilo para conectarse, que vivían en municipios del interior provincial sin señal de internet, o que debían infringir las normas del ASPO para acceder a la conexión de un vecino o familiar.</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realidad tiene consecuencias directas sobre la enseñanza: cuando una parte significativa del estudiantado no puede participar en actividades sincrónicas, el docente no puede enseñar como si todos estuvieran ahí. La respuesta fue, en muchos casos, el desarrollo de estrategias asincrónicas —guías de trabajo, materiales descargables, </w:t>
      </w:r>
      <w:r>
        <w:rPr>
          <w:rFonts w:ascii="Times New Roman" w:eastAsia="Times New Roman" w:hAnsi="Times New Roman" w:cs="Times New Roman"/>
        </w:rPr>
        <w:lastRenderedPageBreak/>
        <w:t>actividades en el Aula Virtual— que desplazaron el eje de la interacción en tiempo real hacia la producción diferida. Pero ese desplazamiento tuvo costos pedagógicos que el estudio documenta: la retroalimentación se dilató, la reflexividad compartida se fragmentó, y el acompañamiento a las trayectorias individuales se volvió invisible.</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6" w:name="_heading=h.db3m3miwyisx" w:colFirst="0" w:colLast="0"/>
      <w:bookmarkEnd w:id="6"/>
      <w:r>
        <w:rPr>
          <w:rFonts w:ascii="Times New Roman" w:eastAsia="Times New Roman" w:hAnsi="Times New Roman" w:cs="Times New Roman"/>
          <w:b/>
          <w:bCs/>
          <w:color w:val="000000"/>
          <w:sz w:val="24"/>
          <w:szCs w:val="24"/>
        </w:rPr>
        <w:t>2.4. La continuidad pedagógica como mandato y como tensión</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concepto de continuidad pedagógica adquirió en el contexto pandémico un estatuto normativo y político que excedía su dimensión didáctica. Garantizar la continuidad no era solo una cuestión de qué y cómo enseñar: era una decisión sobre el derecho a la educación, la inclusión y la permanencia en el sistema universitario. Los documentos de la UNESCO-IESALC (2020) y las normativas producidas en cascada por el CIN, la SPU, la </w:t>
      </w:r>
      <w:proofErr w:type="spellStart"/>
      <w:r>
        <w:rPr>
          <w:rFonts w:ascii="Times New Roman" w:eastAsia="Times New Roman" w:hAnsi="Times New Roman" w:cs="Times New Roman"/>
        </w:rPr>
        <w:t>UNaM</w:t>
      </w:r>
      <w:proofErr w:type="spellEnd"/>
      <w:r>
        <w:rPr>
          <w:rFonts w:ascii="Times New Roman" w:eastAsia="Times New Roman" w:hAnsi="Times New Roman" w:cs="Times New Roman"/>
        </w:rPr>
        <w:t xml:space="preserve"> y la </w:t>
      </w:r>
      <w:proofErr w:type="spellStart"/>
      <w:r>
        <w:rPr>
          <w:rFonts w:ascii="Times New Roman" w:eastAsia="Times New Roman" w:hAnsi="Times New Roman" w:cs="Times New Roman"/>
        </w:rPr>
        <w:t>FHyCS</w:t>
      </w:r>
      <w:proofErr w:type="spellEnd"/>
      <w:r>
        <w:rPr>
          <w:rFonts w:ascii="Times New Roman" w:eastAsia="Times New Roman" w:hAnsi="Times New Roman" w:cs="Times New Roman"/>
        </w:rPr>
        <w:t xml:space="preserve"> operaron como marcos legitimadores de esa continuidad, estableciendo condiciones mínimas de acreditación, calendarios flexibles y protocolos de evaluación adaptados.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Pero la continuidad pedagógica, entendida solo como persistencia formal de las cursadas, puede ocultar rupturas sustantivas en la calidad de la enseñanza y el aprendizaje. </w:t>
      </w: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et al. (2020) advierten que la irrupción de las formas virtuales en la emergencia produjo una "transformación y renovación pedagógica" que fue, al mismo tiempo, controvertida y desigual: no todas las asignaturas, no todos los docentes y no todos los estudiantes vivieron la continuidad de la misma manera. Esta investigación busca precisamente documentar esa desigualdad en la experiencia pedagógica concreta.</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7" w:name="_heading=h.opwg2b547814" w:colFirst="0" w:colLast="0"/>
      <w:bookmarkEnd w:id="7"/>
      <w:r>
        <w:rPr>
          <w:rFonts w:ascii="Times New Roman" w:eastAsia="Times New Roman" w:hAnsi="Times New Roman" w:cs="Times New Roman"/>
          <w:b/>
          <w:bCs/>
          <w:color w:val="000000"/>
          <w:sz w:val="24"/>
          <w:szCs w:val="24"/>
        </w:rPr>
        <w:t xml:space="preserve">3. Las prácticas profesionales y </w:t>
      </w:r>
      <w:proofErr w:type="spellStart"/>
      <w:r>
        <w:rPr>
          <w:rFonts w:ascii="Times New Roman" w:eastAsia="Times New Roman" w:hAnsi="Times New Roman" w:cs="Times New Roman"/>
          <w:b/>
          <w:bCs/>
          <w:color w:val="000000"/>
          <w:sz w:val="24"/>
          <w:szCs w:val="24"/>
        </w:rPr>
        <w:t>profesionalizantes</w:t>
      </w:r>
      <w:proofErr w:type="spellEnd"/>
      <w:r>
        <w:rPr>
          <w:rFonts w:ascii="Times New Roman" w:eastAsia="Times New Roman" w:hAnsi="Times New Roman" w:cs="Times New Roman"/>
          <w:b/>
          <w:bCs/>
          <w:color w:val="000000"/>
          <w:sz w:val="24"/>
          <w:szCs w:val="24"/>
        </w:rPr>
        <w:t xml:space="preserve"> como trayecto formativo</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8" w:name="_heading=h.ge1lt9f8l3uu" w:colFirst="0" w:colLast="0"/>
      <w:bookmarkEnd w:id="8"/>
      <w:r>
        <w:rPr>
          <w:rFonts w:ascii="Times New Roman" w:eastAsia="Times New Roman" w:hAnsi="Times New Roman" w:cs="Times New Roman"/>
          <w:b/>
          <w:bCs/>
          <w:color w:val="000000"/>
          <w:sz w:val="24"/>
          <w:szCs w:val="24"/>
        </w:rPr>
        <w:t>3.1. Sentido y especificidad de las prácticas profesionales en la formación universitaria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Prácticas Profesionales y </w:t>
      </w:r>
      <w:proofErr w:type="spellStart"/>
      <w:r>
        <w:rPr>
          <w:rFonts w:ascii="Times New Roman" w:eastAsia="Times New Roman" w:hAnsi="Times New Roman" w:cs="Times New Roman"/>
        </w:rPr>
        <w:t>Profesionalizantes</w:t>
      </w:r>
      <w:proofErr w:type="spellEnd"/>
      <w:r>
        <w:rPr>
          <w:rFonts w:ascii="Times New Roman" w:eastAsia="Times New Roman" w:hAnsi="Times New Roman" w:cs="Times New Roman"/>
        </w:rPr>
        <w:t xml:space="preserve"> constituyen el espacio curricular más directamente afectado por la virtualización forzosa, precisamente porque su sentido formativo reposa en la acción en contextos reales. </w:t>
      </w: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(2015) define este trayecto no como el espacio donde los estudiantes simplemente aplican conocimientos previos sino como aquel donde se produce un tipo específico de aprendizaje: la capacidad de intervención en situaciones genuinas, signadas por la complejidad, la imprevisibilidad y la necesidad de tomar decisiones contextualizadas.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En ese marco, las prácticas profesionales no son simulacros de lo que vendrá después sino formas de aprender que solo son posibles en el encuentro con lo real: con las instituciones, los territorios, los sujetos y los problemas que definen el campo de actuación profesional de cada carrera. Para Guía de Turismo, eso significa el territorio y el grupo; para el Profesorado en Ciencias Económicas, significa el aula escolar y los estudiantes reales; para Antropología Social, significa el campo etnográfico con su densidad de relaciones y significados. La pandemia suprimió, en los tres casos, ese acceso a lo real.</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respuesta de los equipos docentes ante esa supresión fue variada. En algunos casos, predominó lo que esta investigación denomina "experiencias simuladas": actividades diseñadas para replicar en entorno virtual lo que se haría en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con los límites </w:t>
      </w:r>
      <w:r>
        <w:rPr>
          <w:rFonts w:ascii="Times New Roman" w:eastAsia="Times New Roman" w:hAnsi="Times New Roman" w:cs="Times New Roman"/>
        </w:rPr>
        <w:lastRenderedPageBreak/>
        <w:t xml:space="preserve">y distorsiones que esa transposición implica. En otros, se produjo una </w:t>
      </w:r>
      <w:proofErr w:type="spellStart"/>
      <w:r>
        <w:rPr>
          <w:rFonts w:ascii="Times New Roman" w:eastAsia="Times New Roman" w:hAnsi="Times New Roman" w:cs="Times New Roman"/>
        </w:rPr>
        <w:t>resignificación</w:t>
      </w:r>
      <w:proofErr w:type="spellEnd"/>
      <w:r>
        <w:rPr>
          <w:rFonts w:ascii="Times New Roman" w:eastAsia="Times New Roman" w:hAnsi="Times New Roman" w:cs="Times New Roman"/>
        </w:rPr>
        <w:t xml:space="preserve"> genuina del objeto de las prácticas: convertir la propia situación pandémica en campo de observación, análisis e intervención. Esta segunda posibilidad —más claramente presente en Antropología Social— representa un modo de innovación pedagógica que merece ser analizado en su especificidad.</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9" w:name="_heading=h.1c6weasqfyr0" w:colFirst="0" w:colLast="0"/>
      <w:bookmarkEnd w:id="9"/>
      <w:r>
        <w:rPr>
          <w:rFonts w:ascii="Times New Roman" w:eastAsia="Times New Roman" w:hAnsi="Times New Roman" w:cs="Times New Roman"/>
          <w:b/>
          <w:bCs/>
          <w:color w:val="000000"/>
          <w:sz w:val="24"/>
          <w:szCs w:val="24"/>
        </w:rPr>
        <w:t>3.2. La práctica como experiencia reflexiva y el papel del acompañamiento docente</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Una dimensión central de las prácticas profesionales es su carácter reflexivo: no se trata solo de hacer sino de pensar sobre lo que se hace, en diálogo con pares, con docentes y con los referentes teóricos de la disciplina. </w:t>
      </w:r>
      <w:proofErr w:type="spellStart"/>
      <w:r>
        <w:rPr>
          <w:rFonts w:ascii="Times New Roman" w:eastAsia="Times New Roman" w:hAnsi="Times New Roman" w:cs="Times New Roman"/>
        </w:rPr>
        <w:t>Schön</w:t>
      </w:r>
      <w:proofErr w:type="spellEnd"/>
      <w:r>
        <w:rPr>
          <w:rFonts w:ascii="Times New Roman" w:eastAsia="Times New Roman" w:hAnsi="Times New Roman" w:cs="Times New Roman"/>
        </w:rPr>
        <w:t xml:space="preserve"> (1998, referenciado en </w:t>
      </w: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xml:space="preserve"> 2015) habla del "profesional reflexivo" como aquel capaz de aprender de la propia experiencia a través de ciclos de acción-reflexión-nueva acción. En el marco de las carreras de formación docente —como el Profesorado en Ciencias Económicas—, ese proceso de reflexión sobre la práctica es el núcleo mismo de la formación pedagógica.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virtualización dificultó sistemáticamente esa reflexividad compartida. Los encuentros sincrónicos —cuando eran posibles— tendían a ser más instrumentales que reflexivos: resolver problemas concretos de conectividad, explicar consignas, tomar asistencia. La </w:t>
      </w:r>
      <w:proofErr w:type="spellStart"/>
      <w:r>
        <w:rPr>
          <w:rFonts w:ascii="Times New Roman" w:eastAsia="Times New Roman" w:hAnsi="Times New Roman" w:cs="Times New Roman"/>
        </w:rPr>
        <w:t>asincronía</w:t>
      </w:r>
      <w:proofErr w:type="spellEnd"/>
      <w:r>
        <w:rPr>
          <w:rFonts w:ascii="Times New Roman" w:eastAsia="Times New Roman" w:hAnsi="Times New Roman" w:cs="Times New Roman"/>
        </w:rPr>
        <w:t xml:space="preserve">, por su parte, permitía la producción individual de textos </w:t>
      </w:r>
      <w:proofErr w:type="gramStart"/>
      <w:r>
        <w:rPr>
          <w:rFonts w:ascii="Times New Roman" w:eastAsia="Times New Roman" w:hAnsi="Times New Roman" w:cs="Times New Roman"/>
        </w:rPr>
        <w:t>reflexivos</w:t>
      </w:r>
      <w:proofErr w:type="gramEnd"/>
      <w:r>
        <w:rPr>
          <w:rFonts w:ascii="Times New Roman" w:eastAsia="Times New Roman" w:hAnsi="Times New Roman" w:cs="Times New Roman"/>
        </w:rPr>
        <w:t xml:space="preserve"> pero reducía el intercambio dialógico que le da sentido a esa reflexión. Los docentes entrevistados describen con frecuencia la sensación de no saber «cómo vienen» sus estudiantes, de haber perdido el registro de las trayectorias individuales que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hacía disponible a través de observaciones cotidianas.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acompañamiento docente —entendido como la presencia sostenida que orienta, interpela y apoya el proceso formativo del estudiante— es una dimensión que la virtualización no </w:t>
      </w:r>
      <w:proofErr w:type="gramStart"/>
      <w:r>
        <w:rPr>
          <w:rFonts w:ascii="Times New Roman" w:eastAsia="Times New Roman" w:hAnsi="Times New Roman" w:cs="Times New Roman"/>
        </w:rPr>
        <w:t>suprimió</w:t>
      </w:r>
      <w:proofErr w:type="gramEnd"/>
      <w:r>
        <w:rPr>
          <w:rFonts w:ascii="Times New Roman" w:eastAsia="Times New Roman" w:hAnsi="Times New Roman" w:cs="Times New Roman"/>
        </w:rPr>
        <w:t xml:space="preserve"> pero sí transformó radicalmente. La gestión del Aula Virtual permitió, en algunos casos, un seguimiento individualizado más sistemático que en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pero la pérdida de los recursos corporales y espaciales de la relación pedagógica </w:t>
      </w:r>
      <w:proofErr w:type="spellStart"/>
      <w:r>
        <w:rPr>
          <w:rFonts w:ascii="Times New Roman" w:eastAsia="Times New Roman" w:hAnsi="Times New Roman" w:cs="Times New Roman"/>
        </w:rPr>
        <w:t>empobrecció</w:t>
      </w:r>
      <w:proofErr w:type="spellEnd"/>
      <w:r>
        <w:rPr>
          <w:rFonts w:ascii="Times New Roman" w:eastAsia="Times New Roman" w:hAnsi="Times New Roman" w:cs="Times New Roman"/>
        </w:rPr>
        <w:t xml:space="preserve"> la calidad de ese acompañamiento en términos de la sensibilidad hacia el estado emocional, cognitivo y situacional del estudiante.</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0" w:name="_heading=h.oweajjo9sio7" w:colFirst="0" w:colLast="0"/>
      <w:bookmarkEnd w:id="10"/>
      <w:r>
        <w:rPr>
          <w:rFonts w:ascii="Times New Roman" w:eastAsia="Times New Roman" w:hAnsi="Times New Roman" w:cs="Times New Roman"/>
          <w:b/>
          <w:bCs/>
          <w:color w:val="000000"/>
          <w:sz w:val="24"/>
          <w:szCs w:val="24"/>
        </w:rPr>
        <w:t xml:space="preserve">3.3. La evaluación en las prácticas profesionales </w:t>
      </w:r>
      <w:proofErr w:type="spellStart"/>
      <w:r>
        <w:rPr>
          <w:rFonts w:ascii="Times New Roman" w:eastAsia="Times New Roman" w:hAnsi="Times New Roman" w:cs="Times New Roman"/>
          <w:b/>
          <w:bCs/>
          <w:color w:val="000000"/>
          <w:sz w:val="24"/>
          <w:szCs w:val="24"/>
        </w:rPr>
        <w:t>virtualizadas</w:t>
      </w:r>
      <w:proofErr w:type="spellEnd"/>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La evaluación en los trayectos de Prácticas Profesionales presenta características específicas que la distinguen de la evaluación de contenidos teóricos: su objeto son competencias, actitudes y capacidades que se evidencian en la acción, en el diálogo reflexivo y en la producción de intervenciones situadas. Esas capacidades son difíciles de evaluar en entornos virtuales, especialmente cuando los estudiantes no pueden mostrar su cámara, cuando la interacción es mínima y cuando el único registro disponible son textos escritos entregados en el plazo indicado.</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respuesta mayoritaria de los docentes fue la flexibilización evaluativa: reducción de exigencias formales, extensión de plazos, modalidades alternativas de acreditación. Esa flexibilización fue, en muchos casos, una decisión pedagógica orientada a la retención y la inclusión: si se mantenían los estándares habituales de exigencia, la consecuencia era el abandono masivo de quienes no podían sostener el ritmo de la virtualidad plena. Pero </w:t>
      </w:r>
      <w:r>
        <w:rPr>
          <w:rFonts w:ascii="Times New Roman" w:eastAsia="Times New Roman" w:hAnsi="Times New Roman" w:cs="Times New Roman"/>
        </w:rPr>
        <w:lastRenderedPageBreak/>
        <w:t>esa decisión generó también una tensión irresuelta con las metas de calidad formativa, que varios docentes expresan en sus testimonios con claridad: ¿qué aprendieron realmente los estudiantes que acreditaron en esas condiciones?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Prieto Castillo (2020) sostiene que la evaluación en la educación superior debería ser un proceso de reconocimiento de lo aprendido, no solo una instancia de verificación. En el contexto pandémico, ese reconocimiento se volvió especialmente difícil: los docentes dudaban de la autenticidad de las producciones entregadas, de la profundidad de los aprendizajes alcanzados y de la efectividad de las estrategias evaluativas implementadas. Esa incertidumbre, que el estudio documenta ampliamente, constituyó una fuente significativa de malestar y estrés en los equipos docentes.</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11" w:name="_heading=h.ynb3psrc5zh" w:colFirst="0" w:colLast="0"/>
      <w:bookmarkEnd w:id="11"/>
      <w:r>
        <w:rPr>
          <w:rFonts w:ascii="Times New Roman" w:eastAsia="Times New Roman" w:hAnsi="Times New Roman" w:cs="Times New Roman"/>
          <w:b/>
          <w:bCs/>
          <w:color w:val="000000"/>
          <w:sz w:val="24"/>
          <w:szCs w:val="24"/>
        </w:rPr>
        <w:t>4. El trabajo en equipo docente y la intervención pedagógica colaborativa</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12" w:name="_heading=h.czd3pcw683mr" w:colFirst="0" w:colLast="0"/>
      <w:bookmarkEnd w:id="12"/>
      <w:r>
        <w:rPr>
          <w:rFonts w:ascii="Times New Roman" w:eastAsia="Times New Roman" w:hAnsi="Times New Roman" w:cs="Times New Roman"/>
          <w:b/>
          <w:bCs/>
          <w:color w:val="000000"/>
          <w:sz w:val="24"/>
          <w:szCs w:val="24"/>
        </w:rPr>
        <w:t>4.1. Los equipos de cátedra como unidad de la enseñanza universitaria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La enseñanza universitaria argentina se organiza históricamente en equipos de cátedra compuestos por docentes de diferentes rangos —titulares, adjuntos, jefes de trabajos prácticos, auxiliares—, cuya función es sostener colectivamente los procesos de enseñanza de una asignatura. Esa estructura supone, en teoría, una división de roles orientada a la complejidad de la tarea: diseño curricular, dictado de clases, conducción de trabajos prácticos, seguimiento de estudiantes, gestión de evaluaciones.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práctica cotidiana de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esos roles tienden a naturalizarse y a reproducirse sin reflexión explícita. La pandemia los puso en crisis y, al mismo tiempo, los visibilizó: de pronto, las asimetrías de conocimiento tecnológico entre titulares y auxiliares se volvieron pedagógicamente relevantes, y los Jefes de Trabajos Prácticos —frecuentemente más familiarizados con las plataformas digitales— asumieron roles clave en la gestión de las Aulas Virtuales y en el seguimiento de los estudiantes. Esa redistribución de funciones, forzada por las circunstancias, abrió posibilidades para un trabajo colaborativo que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no siempre había habilitado.</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El estudio identifica en los equipos que fortalecieron su dinámica colaborativa durante la pandemia los casos de mayor resiliencia pedagógica: no solo en términos de la calidad de las propuestas docentes sino también en términos del bienestar de sus integrantes y del sostenimiento de las trayectorias estudiantiles. La colaboración no fue un lujo organizacional sino una condición epistemológica de la intervención pedagógica en condiciones de incertidumbre.</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3" w:name="_heading=h.xuep08ipqg9u" w:colFirst="0" w:colLast="0"/>
      <w:bookmarkEnd w:id="13"/>
      <w:r>
        <w:rPr>
          <w:rFonts w:ascii="Times New Roman" w:eastAsia="Times New Roman" w:hAnsi="Times New Roman" w:cs="Times New Roman"/>
          <w:b/>
          <w:bCs/>
          <w:color w:val="000000"/>
          <w:sz w:val="24"/>
          <w:szCs w:val="24"/>
        </w:rPr>
        <w:t>4.2. El contrato pedagógico como instrumento de regulación</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Ante la disolución de los marcos habituales de la clase —el horario fijo, el aula como espacio acotado, los códigos implícitos de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los equipos docentes debieron elaborar nuevas reglas de juego para organizar la interacción con los estudiantes. La noción de "contrato pedagógico" —entendida aquí como el conjunto de acuerdos explícitos que regulan los modos de comunicación, los tiempos de respuesta, las formas de evaluación y las responsabilidades mutuas en el proceso de enseñanza-aprendizaje— emergió como una respuesta colectiva a esa necesidad de regulación.</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Prieto Castillo y Gutiérrez Pérez (2007) hablan de la mediación pedagógica como una práctica que requiere acuerdos sobre el sentido del intercambio educativo. En el contexto de la virtualización, esos acuerdos debieron hacerse explícitos porque los mecanismos implícitos de regulación habían desaparecido. El resultado fue una diversidad de contratos pedagógicos —formales o informales, escritos o verbales— que reflejan tanto la creatividad de los equipos docentes como la heterogeneidad de las condiciones en que la enseñanza se desarrolló.</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4" w:name="_heading=h.mn3satsj6qdj" w:colFirst="0" w:colLast="0"/>
      <w:bookmarkEnd w:id="14"/>
      <w:r>
        <w:rPr>
          <w:rFonts w:ascii="Times New Roman" w:eastAsia="Times New Roman" w:hAnsi="Times New Roman" w:cs="Times New Roman"/>
          <w:b/>
          <w:bCs/>
          <w:color w:val="000000"/>
          <w:sz w:val="24"/>
          <w:szCs w:val="24"/>
        </w:rPr>
        <w:t>4.3. Solidaridad entre pares y acompañamiento a las trayectorias estudiantiles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Una dimensión que el estudio revela con especial claridad es el papel de la solidaridad entre pares —tanto entre docentes como entre estudiantes— como mecanismo de sostenimiento de las trayectorias formativas en condiciones adversas. Los estudiantes de las tres carreras desarrollaron formas de apoyo mutuo que excedían lo que la institución había previsto: compartían dispositivos, enviaban audios de clases por teléfono, se reunían informalmente para estudiar juntos, y construyeron redes de contención emocional que compensaban, en parte, la pérdida de la sociabilidad presencial.</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solidaridad entre pares conecta con la perspectiva de </w:t>
      </w:r>
      <w:proofErr w:type="spellStart"/>
      <w:r>
        <w:rPr>
          <w:rFonts w:ascii="Times New Roman" w:eastAsia="Times New Roman" w:hAnsi="Times New Roman" w:cs="Times New Roman"/>
        </w:rPr>
        <w:t>Vigotsky</w:t>
      </w:r>
      <w:proofErr w:type="spellEnd"/>
      <w:r>
        <w:rPr>
          <w:rFonts w:ascii="Times New Roman" w:eastAsia="Times New Roman" w:hAnsi="Times New Roman" w:cs="Times New Roman"/>
        </w:rPr>
        <w:t xml:space="preserve"> (2004) sobre la zona de desarrollo próximo: el aprendizaje avanza cuando el aprendiz puede interactuar con otros que saben un poco más o que pueden ofrecer una perspectiva diferente. En la virtualización forzosa, los compañeros más hábiles en el manejo de plataformas se convirtieron en mediadores del acceso al entorno digital para quienes tenían menos experiencia; y los compañeros con mejores condiciones de conectividad compartieron sus recursos con quienes no las tenían.</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Reconocer esta dimensión solidaria del aprendizaje universitario no implica romantizarla ni sustituirla por políticas institucionales más robustas. Pero sí impone una reflexión sobre la importancia de diseñar propuestas pedagógicas que promuevan activamente el trabajo colaborativo entre estudiantes —las parejas pedagógicas del Profesorado en Ciencias Económicas son un ejemplo paradigmático— como condición de la calidad formativa, especialmente en los trayectos de Prácticas Profesionales.</w:t>
      </w:r>
    </w:p>
    <w:p w:rsidR="003D7A98" w:rsidRDefault="008F5318" w:rsidP="00F93E74">
      <w:pPr>
        <w:pStyle w:val="Ttulo1"/>
        <w:keepNext w:val="0"/>
        <w:keepLines w:val="0"/>
        <w:spacing w:before="0" w:after="160" w:line="240" w:lineRule="auto"/>
        <w:jc w:val="both"/>
        <w:rPr>
          <w:rFonts w:ascii="Times New Roman" w:eastAsia="Times New Roman" w:hAnsi="Times New Roman" w:cs="Times New Roman"/>
          <w:b/>
          <w:bCs/>
          <w:color w:val="000000"/>
          <w:sz w:val="24"/>
          <w:szCs w:val="24"/>
        </w:rPr>
      </w:pPr>
      <w:bookmarkStart w:id="15" w:name="_heading=h.r72j5krvh0g4" w:colFirst="0" w:colLast="0"/>
      <w:bookmarkEnd w:id="15"/>
      <w:r>
        <w:rPr>
          <w:rFonts w:ascii="Times New Roman" w:eastAsia="Times New Roman" w:hAnsi="Times New Roman" w:cs="Times New Roman"/>
          <w:b/>
          <w:bCs/>
          <w:color w:val="000000"/>
          <w:sz w:val="24"/>
          <w:szCs w:val="24"/>
        </w:rPr>
        <w:t xml:space="preserve">5. La dimensión </w:t>
      </w:r>
      <w:proofErr w:type="spellStart"/>
      <w:r>
        <w:rPr>
          <w:rFonts w:ascii="Times New Roman" w:eastAsia="Times New Roman" w:hAnsi="Times New Roman" w:cs="Times New Roman"/>
          <w:b/>
          <w:bCs/>
          <w:color w:val="000000"/>
          <w:sz w:val="24"/>
          <w:szCs w:val="24"/>
        </w:rPr>
        <w:t>socioafectiva</w:t>
      </w:r>
      <w:proofErr w:type="spellEnd"/>
      <w:r>
        <w:rPr>
          <w:rFonts w:ascii="Times New Roman" w:eastAsia="Times New Roman" w:hAnsi="Times New Roman" w:cs="Times New Roman"/>
          <w:b/>
          <w:bCs/>
          <w:color w:val="000000"/>
          <w:sz w:val="24"/>
          <w:szCs w:val="24"/>
        </w:rPr>
        <w:t xml:space="preserve"> en la práctica docente</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investigación incorpora explícitamente la dimensión </w:t>
      </w:r>
      <w:proofErr w:type="spellStart"/>
      <w:r>
        <w:rPr>
          <w:rFonts w:ascii="Times New Roman" w:eastAsia="Times New Roman" w:hAnsi="Times New Roman" w:cs="Times New Roman"/>
        </w:rPr>
        <w:t>socioafectiva</w:t>
      </w:r>
      <w:proofErr w:type="spellEnd"/>
      <w:r>
        <w:rPr>
          <w:rFonts w:ascii="Times New Roman" w:eastAsia="Times New Roman" w:hAnsi="Times New Roman" w:cs="Times New Roman"/>
        </w:rPr>
        <w:t xml:space="preserve"> como una categoría analítica de la práctica docente, en consonancia con una tradición teórica que subraya la inseparabilidad entre cognición y emoción en los procesos de enseñanza y aprendizaje. </w:t>
      </w:r>
      <w:proofErr w:type="spellStart"/>
      <w:r>
        <w:rPr>
          <w:rFonts w:ascii="Times New Roman" w:eastAsia="Times New Roman" w:hAnsi="Times New Roman" w:cs="Times New Roman"/>
        </w:rPr>
        <w:t>Vigotsky</w:t>
      </w:r>
      <w:proofErr w:type="spellEnd"/>
      <w:r>
        <w:rPr>
          <w:rFonts w:ascii="Times New Roman" w:eastAsia="Times New Roman" w:hAnsi="Times New Roman" w:cs="Times New Roman"/>
        </w:rPr>
        <w:t xml:space="preserve"> (2004) destacaba que el pensamiento y el afecto constituyen una unidad dinámica cuya escisión empobrece la comprensión de los procesos psicológicos superiores; en el mismo sentido, la investigación reciente sobre bienestar docente y salud mental en contextos de crisis (Ayala et al., 2022; </w:t>
      </w:r>
      <w:proofErr w:type="spellStart"/>
      <w:r>
        <w:rPr>
          <w:rFonts w:ascii="Times New Roman" w:eastAsia="Times New Roman" w:hAnsi="Times New Roman" w:cs="Times New Roman"/>
        </w:rPr>
        <w:t>Gervacio</w:t>
      </w:r>
      <w:proofErr w:type="spellEnd"/>
      <w:r>
        <w:rPr>
          <w:rFonts w:ascii="Times New Roman" w:eastAsia="Times New Roman" w:hAnsi="Times New Roman" w:cs="Times New Roman"/>
        </w:rPr>
        <w:t xml:space="preserve"> Jiménez y Castillo Elías, 2022) confirma que el impacto emocional de la virtualización forzosa fue una variable determinante en la calidad de la enseñanza.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docentes entrevistados describen un repertorio de emociones —ansiedad, incertidumbre, angustia, frustración, agotamiento— que no son epifenómenos de la práctica sino condiciones de ella: docentes emocionalmente agotados no pueden sostener </w:t>
      </w:r>
      <w:r>
        <w:rPr>
          <w:rFonts w:ascii="Times New Roman" w:eastAsia="Times New Roman" w:hAnsi="Times New Roman" w:cs="Times New Roman"/>
        </w:rPr>
        <w:lastRenderedPageBreak/>
        <w:t xml:space="preserve">propuestas pedagógicas creativas ni acompañar con sensibilidad las trayectorias de sus estudiantes. Al mismo tiempo, el estudio documenta formas de resiliencia y </w:t>
      </w:r>
      <w:proofErr w:type="spellStart"/>
      <w:r>
        <w:rPr>
          <w:rFonts w:ascii="Times New Roman" w:eastAsia="Times New Roman" w:hAnsi="Times New Roman" w:cs="Times New Roman"/>
        </w:rPr>
        <w:t>resignificación</w:t>
      </w:r>
      <w:proofErr w:type="spellEnd"/>
      <w:r>
        <w:rPr>
          <w:rFonts w:ascii="Times New Roman" w:eastAsia="Times New Roman" w:hAnsi="Times New Roman" w:cs="Times New Roman"/>
        </w:rPr>
        <w:t xml:space="preserve"> positiva que merecen ser reconocidas: docentes que encontraron en la crisis una oportunidad para revisar sus prácticas, fortalecer sus equipos y desarrollar nuevas competencias pedagógicas.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creación del Programa de Abordaje Interinstitucional e Intersectorial de la Salud Mental en la </w:t>
      </w:r>
      <w:proofErr w:type="spellStart"/>
      <w:r>
        <w:rPr>
          <w:rFonts w:ascii="Times New Roman" w:eastAsia="Times New Roman" w:hAnsi="Times New Roman" w:cs="Times New Roman"/>
        </w:rPr>
        <w:t>FHyCS</w:t>
      </w:r>
      <w:proofErr w:type="spellEnd"/>
      <w:r>
        <w:rPr>
          <w:rFonts w:ascii="Times New Roman" w:eastAsia="Times New Roman" w:hAnsi="Times New Roman" w:cs="Times New Roman"/>
        </w:rPr>
        <w:t xml:space="preserve"> en 2022 —una respuesta institucional a las evidencias recogidas durante la pandemia— es un indicador de que la dimensión </w:t>
      </w:r>
      <w:proofErr w:type="spellStart"/>
      <w:r>
        <w:rPr>
          <w:rFonts w:ascii="Times New Roman" w:eastAsia="Times New Roman" w:hAnsi="Times New Roman" w:cs="Times New Roman"/>
        </w:rPr>
        <w:t>socioafectiva</w:t>
      </w:r>
      <w:proofErr w:type="spellEnd"/>
      <w:r>
        <w:rPr>
          <w:rFonts w:ascii="Times New Roman" w:eastAsia="Times New Roman" w:hAnsi="Times New Roman" w:cs="Times New Roman"/>
        </w:rPr>
        <w:t xml:space="preserve"> del trabajo docente no puede seguir siendo tratada como un asunto privado. Su incorporación explícita al análisis de las prácticas pedagógicas es, en ese sentido, una decisión teórica y política que este estudio as</w:t>
      </w:r>
      <w:r w:rsidR="006126CF">
        <w:rPr>
          <w:rFonts w:ascii="Times New Roman" w:eastAsia="Times New Roman" w:hAnsi="Times New Roman" w:cs="Times New Roman"/>
        </w:rPr>
        <w:t>ume como propia.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marco teórico presentado articula cuatro planos de análisis que el estudio desarrolla de manera integrada. El primero es el de la práctica docente como acción reflexiva, intencional y situada, que no puede separarse de los contextos materiales, institucionales y relacionales en que se produce. El segundo es el de la virtualización como proceso de transformación de las mediaciones pedagógicas, que no es tecnológicamente neutro y que produce efectos diferenciales según las condiciones de acceso, las trayectorias previas y los contextos disciplinares. El tercero es el de las prácticas profesionales como trayecto formativo específico, cuya integridad está directamente ligada a la posibilidad de actuar en contextos reales, y que fue el más severamente afectado por la suspensión de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El cuarto es el del trabajo colectivo docente y la solidaridad entre pares como condiciones de posibilidad de la enseñanza universitaria en contextos de complejidad.</w:t>
      </w:r>
    </w:p>
    <w:p w:rsidR="003D7A98" w:rsidRPr="006126CF"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Estos cuatro planos se articulan sobre un trasfondo analítico que el estudio comparte con las perspectivas críticas sobre la universidad pública latinoamericana (de Sousa Santos, 2007; </w:t>
      </w:r>
      <w:proofErr w:type="spellStart"/>
      <w:r>
        <w:rPr>
          <w:rFonts w:ascii="Times New Roman" w:eastAsia="Times New Roman" w:hAnsi="Times New Roman" w:cs="Times New Roman"/>
        </w:rPr>
        <w:t>Puiggrós</w:t>
      </w:r>
      <w:proofErr w:type="spellEnd"/>
      <w:r>
        <w:rPr>
          <w:rFonts w:ascii="Times New Roman" w:eastAsia="Times New Roman" w:hAnsi="Times New Roman" w:cs="Times New Roman"/>
        </w:rPr>
        <w:t>, 2020): la desigualdad estructural no es un dato de contexto externo a la enseñanza sino una condición que atraviesa las prácticas pedagógicas y les impone exigencias específicas. En Misiones, esa desigualdad —de conectividad, de acceso a dispositivos, de condiciones habitacionales para el estudio— se tornó crítica durante la pandemia, y su comprensión es indispensable para interpretar los datos que este estudio presenta.</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Metodología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El estudio fue abordado desde un enfoque cualitativo, usando instrumentos como las entrevistas en profundidad aplicadas en docentes de asignaturas que implican prácticas profesionales en los ciclos lectivos 2020 y 2021 por un lado; y grupos de discusión con estudiantes que cursaron dichas asignaturas en esos dos años, por el otro. La entrevista es una de las técnicas más apropiadas para acceder al universo de significaciones de los actores, y es entendida como relación social a través de la cual se obtienen enunciados y verbalizaciones (</w:t>
      </w:r>
      <w:proofErr w:type="spellStart"/>
      <w:r>
        <w:rPr>
          <w:rFonts w:ascii="Times New Roman" w:eastAsia="Times New Roman" w:hAnsi="Times New Roman" w:cs="Times New Roman"/>
        </w:rPr>
        <w:t>Guber</w:t>
      </w:r>
      <w:proofErr w:type="spellEnd"/>
      <w:r>
        <w:rPr>
          <w:rFonts w:ascii="Times New Roman" w:eastAsia="Times New Roman" w:hAnsi="Times New Roman" w:cs="Times New Roman"/>
        </w:rPr>
        <w:t xml:space="preserve">, 2004). En tanto, en los grupos de discusión se partió de preguntas abiertas, buscando generar una discusión libre, para detectar acuerdos, consensos e intercambiar ideas entre los estudiantes participantes. El resultado de esta interacción colectiva refleja las perspectivas y experiencias del grupo (Lazarte et. al. 2020). La </w:t>
      </w:r>
      <w:r>
        <w:rPr>
          <w:rFonts w:ascii="Times New Roman" w:eastAsia="Times New Roman" w:hAnsi="Times New Roman" w:cs="Times New Roman"/>
        </w:rPr>
        <w:lastRenderedPageBreak/>
        <w:t xml:space="preserve">información recabada se sistematizó en planillas y también usando el software </w:t>
      </w:r>
      <w:proofErr w:type="spellStart"/>
      <w:r>
        <w:rPr>
          <w:rFonts w:ascii="Times New Roman" w:eastAsia="Times New Roman" w:hAnsi="Times New Roman" w:cs="Times New Roman"/>
        </w:rPr>
        <w:t>AtlasTi</w:t>
      </w:r>
      <w:proofErr w:type="spellEnd"/>
      <w:r>
        <w:rPr>
          <w:rFonts w:ascii="Times New Roman" w:eastAsia="Times New Roman" w:hAnsi="Times New Roman" w:cs="Times New Roman"/>
        </w:rPr>
        <w:t>. El análisis se realizó en torno a cuatro categorías analíticas: cambios en estrategias de enseñanza, innovaciones metodológicas, pérdida o cambio de dinámicas tradicionales, y virtualidad y flexibilidad evaluativa. En clave comparativa, se hizo el análisis entre las tres carreras bajo estudio.</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Los cambios desde una perspectiva comparativa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El contexto de la emergencia sanitaria por el virus COVID – 19, produjo un cambio estructural sin precedentes en el escenario universitario, impactando de manera concreta en las dinámicas institucionales y las prácticas de los docentes. Los cambios producidos rompieron con las tradiciones y prácticas asociadas a la modalidad de impartir clases, la reconfiguración curricular para adaptar a las nuevas condiciones, la recurrencia a las plataformas de enseñanza en un contexto marcado por la rapidez con que se debía operar la adaptación de la modalidad de enseñanza virtual a la virtualización de las prácticas académicas, poniendo en evidencia la brecha digital existente en el interior de la universidad, y la disparidad en la disposición de una infraestructura tecnológica que pudiera garantizar la continuidad formativa bajo las metas de calidad. Este proceso de migración repentina, impactó en una rápida reconfiguración de las prácticas docentes y las experiencias de aprendizaje de los estudiantes.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realizado adopta una perspectiva comparativa que busca identificar tanto los patrones transversales —aquellos que atraviesan las tres carreras con independencia de su especificidad disciplinar— como las diferencias sustantivas que revelan modos distintos de experimentar y procesar el impacto. El punto de partida es la constatación de que la pandemia no operó como un factor externo que interrumpió uniformemente las prácticas docentes: operó como un revelador que hizo visibles tensiones, recursos y limitaciones que pre existían, pero que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había mantenido parcialmente invisibles.</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Cambios en estrategias de enseñanza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cambios en las estrategias de enseñanza fueron abruptos, como también lo </w:t>
      </w:r>
      <w:proofErr w:type="spellStart"/>
      <w:r>
        <w:rPr>
          <w:rFonts w:ascii="Times New Roman" w:eastAsia="Times New Roman" w:hAnsi="Times New Roman" w:cs="Times New Roman"/>
        </w:rPr>
        <w:t>fué</w:t>
      </w:r>
      <w:proofErr w:type="spellEnd"/>
      <w:r>
        <w:rPr>
          <w:rFonts w:ascii="Times New Roman" w:eastAsia="Times New Roman" w:hAnsi="Times New Roman" w:cs="Times New Roman"/>
        </w:rPr>
        <w:t xml:space="preserve"> la migración de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a la virtualidad plena, lo que afectó de manera general el funcionamiento de los trayectos formativos de las carreras e impactó en las Prácticas Profesionales/</w:t>
      </w:r>
      <w:proofErr w:type="spellStart"/>
      <w:r>
        <w:rPr>
          <w:rFonts w:ascii="Times New Roman" w:eastAsia="Times New Roman" w:hAnsi="Times New Roman" w:cs="Times New Roman"/>
        </w:rPr>
        <w:t>Profesionalizantes</w:t>
      </w:r>
      <w:proofErr w:type="spellEnd"/>
      <w:r>
        <w:rPr>
          <w:rFonts w:ascii="Times New Roman" w:eastAsia="Times New Roman" w:hAnsi="Times New Roman" w:cs="Times New Roman"/>
        </w:rPr>
        <w:t xml:space="preserve"> de manera contundente, porque significó no solamente la alteración de la dinámica académica, sino una ruptura con un modelo construido históricamente sobre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y las acciones en el territorio. Las prácticas profesionales requirieron adaptaciones en las estrategias de enseñanza, que demandaron innovaciones que permitieran realizar experiencias significativas. En tal sentido, las experiencias de aprendizajes que tenían una lógica, una estructura, una organización y un plan de acción centrado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debieron ser sustituidas por actividades virtuales, en un escenario de fuertes restricciones para la interacción social (aislamiento social). Un ejemplo de éstas tensiones entre los mandatos del trayecto de las prácticas y el nuevo entorno de realización de las mismas, queda expresado en las siguientes citas:</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…”En</w:t>
      </w:r>
      <w:proofErr w:type="gramEnd"/>
      <w:r>
        <w:rPr>
          <w:rFonts w:ascii="Times New Roman" w:eastAsia="Times New Roman" w:hAnsi="Times New Roman" w:cs="Times New Roman"/>
          <w:i/>
          <w:iCs/>
        </w:rPr>
        <w:t xml:space="preserve"> mi caso, yo recuerdo que me generaba mucho malestar, observar cómo esa virtualización, al no tener garantizadas las condiciones técnicas, al no tener el tiempo </w:t>
      </w:r>
      <w:r>
        <w:rPr>
          <w:rFonts w:ascii="Times New Roman" w:eastAsia="Times New Roman" w:hAnsi="Times New Roman" w:cs="Times New Roman"/>
          <w:i/>
          <w:iCs/>
        </w:rPr>
        <w:lastRenderedPageBreak/>
        <w:t xml:space="preserve">material para formarse, porque era… hay que resolver sobre la marcha. Muchas experiencias eran pensadas en la autonomía de ese estudiante que tenía que resolver solo, en el momento en el que pudiera… (...) a mí me generaba esto de no sé cómo hacer con la tecnología… (...) era como que esa cosa asincrónica a mí me generaba mucha </w:t>
      </w:r>
      <w:proofErr w:type="gramStart"/>
      <w:r>
        <w:rPr>
          <w:rFonts w:ascii="Times New Roman" w:eastAsia="Times New Roman" w:hAnsi="Times New Roman" w:cs="Times New Roman"/>
          <w:i/>
          <w:iCs/>
        </w:rPr>
        <w:t>indignación”…</w:t>
      </w:r>
      <w:proofErr w:type="gramEnd"/>
      <w:r>
        <w:rPr>
          <w:rFonts w:ascii="Times New Roman" w:eastAsia="Times New Roman" w:hAnsi="Times New Roman" w:cs="Times New Roman"/>
        </w:rPr>
        <w:t xml:space="preserve"> (Docente Prof. en Ciencias Económicas, Posadas, 13/09/2024) .</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w:t>
      </w:r>
      <w:proofErr w:type="gramEnd"/>
      <w:r>
        <w:rPr>
          <w:rFonts w:ascii="Times New Roman" w:eastAsia="Times New Roman" w:hAnsi="Times New Roman" w:cs="Times New Roman"/>
          <w:i/>
          <w:iCs/>
        </w:rPr>
        <w:t xml:space="preserve">En mi caso, por ejemplo, lo que sí me generó un nivel de dificultad, pero bastante mínimo, era cuando tuvimos el aula virtual, porque yo no conocía el aula virtual, entonces sí, fue aprender y ahí me acuerdo que era conectarse a las reuniones, que me expliquen cómo se hacía, pero más allá de eso, no fue tanto la cuestión de la tecnología y de cómo incorporarla. A mí lo que me preocupaba era, cómo pensar ese intercambio a través de esas tecnologías, sin que sea lo que terminó siendo, en muchos casos, esa situación despersonalizada, donde nosotros no podíamos ni saber cómo venían las trayectorias, ni acompañar desde el lugar que veníamos haciendo antes la pandemia y que ahora recién estábamos reconstruyendo de cómo podemos </w:t>
      </w:r>
      <w:proofErr w:type="gramStart"/>
      <w:r>
        <w:rPr>
          <w:rFonts w:ascii="Times New Roman" w:eastAsia="Times New Roman" w:hAnsi="Times New Roman" w:cs="Times New Roman"/>
          <w:i/>
          <w:iCs/>
        </w:rPr>
        <w:t>hacer”...</w:t>
      </w:r>
      <w:proofErr w:type="gramEnd"/>
      <w:r>
        <w:rPr>
          <w:rFonts w:ascii="Times New Roman" w:eastAsia="Times New Roman" w:hAnsi="Times New Roman" w:cs="Times New Roman"/>
          <w:i/>
          <w:iCs/>
        </w:rPr>
        <w:t xml:space="preserve"> </w:t>
      </w:r>
      <w:r>
        <w:rPr>
          <w:rFonts w:ascii="Times New Roman" w:eastAsia="Times New Roman" w:hAnsi="Times New Roman" w:cs="Times New Roman"/>
        </w:rPr>
        <w:t>(Docente Prof. en Ciencias Económicas, Posadas, 13/09/2024) .</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sz w:val="2"/>
          <w:szCs w:val="2"/>
        </w:rPr>
        <w:br/>
      </w:r>
      <w:r>
        <w:rPr>
          <w:rFonts w:ascii="Times New Roman" w:eastAsia="Times New Roman" w:hAnsi="Times New Roman" w:cs="Times New Roman"/>
        </w:rPr>
        <w:t xml:space="preserve"> </w:t>
      </w:r>
      <w:proofErr w:type="gramStart"/>
      <w:r>
        <w:rPr>
          <w:rFonts w:ascii="Times New Roman" w:eastAsia="Times New Roman" w:hAnsi="Times New Roman" w:cs="Times New Roman"/>
          <w:i/>
          <w:iCs/>
        </w:rPr>
        <w:t>…”Para</w:t>
      </w:r>
      <w:proofErr w:type="gramEnd"/>
      <w:r>
        <w:rPr>
          <w:rFonts w:ascii="Times New Roman" w:eastAsia="Times New Roman" w:hAnsi="Times New Roman" w:cs="Times New Roman"/>
          <w:i/>
          <w:iCs/>
        </w:rPr>
        <w:t xml:space="preserve"> las prácticas docentes yo creo que nadie estuvo preparado (...) Creo que hicimos un proceso de reconversión urgente, inmediato, rápido, como pudimos (…) me parece que no estábamos preparados, ni las personas, ni las instituciones mucho menos”...</w:t>
      </w:r>
      <w:r>
        <w:rPr>
          <w:rFonts w:ascii="Times New Roman" w:eastAsia="Times New Roman" w:hAnsi="Times New Roman" w:cs="Times New Roman"/>
        </w:rPr>
        <w:t xml:space="preserve"> (Docente Turismo, 17/02/2025)</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6" w:name="_heading=h.xdlo4qoqyxhk" w:colFirst="0" w:colLast="0"/>
      <w:bookmarkEnd w:id="16"/>
      <w:r>
        <w:rPr>
          <w:rFonts w:ascii="Times New Roman" w:eastAsia="Times New Roman" w:hAnsi="Times New Roman" w:cs="Times New Roman"/>
          <w:b/>
          <w:bCs/>
          <w:color w:val="000000"/>
          <w:sz w:val="24"/>
          <w:szCs w:val="24"/>
        </w:rPr>
        <w:t>Innovaciones metodológicas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pesar de las condiciones adversas, el estudio documentó innovaciones pedagógicas genuinas en las tres carreras. En Antropología Social emergió una práctica de lectura cruzada de registros etnográficos entre estudiantes: al no poder verse cara a cara, los docentes circulaban los registros escritos de unos estudiantes entre los demás para que ofrecieran devoluciones. El anonimato relativo de la pantalla redujo la inhibición habitual ante la exposición del propio trabajo, habilitando una circulación de producciones que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dificultaba, quedando reflejado el siguiente relato de un entrevistado: </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i/>
          <w:iCs/>
        </w:rPr>
        <w:t xml:space="preserve">…"Les mandábamos los registros de los compañeros y daban su evaluación. Por lo general cuando es cara a cara tienen mucho miedo de mostrar lo que hicieron. Pero no se veían, podían dar devoluciones. Ese año fue un año bastante exitoso"... </w:t>
      </w:r>
      <w:r>
        <w:rPr>
          <w:rFonts w:ascii="Times New Roman" w:eastAsia="Times New Roman" w:hAnsi="Times New Roman" w:cs="Times New Roman"/>
        </w:rPr>
        <w:t>(Docente Antropología, Posadas, 30/08/2024)</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varios estudiantes introdujeron herramientas digitales que los docentes desconocían —aplicaciones de mapeo en tiempo real, </w:t>
      </w:r>
      <w:proofErr w:type="spellStart"/>
      <w:r>
        <w:rPr>
          <w:rFonts w:ascii="Times New Roman" w:eastAsia="Times New Roman" w:hAnsi="Times New Roman" w:cs="Times New Roman"/>
        </w:rPr>
        <w:t>Canva</w:t>
      </w:r>
      <w:proofErr w:type="spellEnd"/>
      <w:r>
        <w:rPr>
          <w:rFonts w:ascii="Times New Roman" w:eastAsia="Times New Roman" w:hAnsi="Times New Roman" w:cs="Times New Roman"/>
        </w:rPr>
        <w:t xml:space="preserve"> para presentaciones—, invirtiendo la relación tradicional de transmisión del saber.</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Profesorado en Ciencias Económicas, la producción sistemática de clases escritas se reveló como una práctica </w:t>
      </w:r>
      <w:proofErr w:type="spellStart"/>
      <w:r>
        <w:rPr>
          <w:rFonts w:ascii="Times New Roman" w:eastAsia="Times New Roman" w:hAnsi="Times New Roman" w:cs="Times New Roman"/>
        </w:rPr>
        <w:t>metarreflexiva</w:t>
      </w:r>
      <w:proofErr w:type="spellEnd"/>
      <w:r>
        <w:rPr>
          <w:rFonts w:ascii="Times New Roman" w:eastAsia="Times New Roman" w:hAnsi="Times New Roman" w:cs="Times New Roman"/>
        </w:rPr>
        <w:t xml:space="preserve"> que hizo visible el saber pedagógico tácito de los docentes: planificar por escrito —con la dosificación, el desarrollo, las anticipaciones— obligó a explicitar decisiones didácticas que en la </w:t>
      </w:r>
      <w:proofErr w:type="spellStart"/>
      <w:r>
        <w:rPr>
          <w:rFonts w:ascii="Times New Roman" w:eastAsia="Times New Roman" w:hAnsi="Times New Roman" w:cs="Times New Roman"/>
        </w:rPr>
        <w:t>presencialidad</w:t>
      </w:r>
      <w:proofErr w:type="spellEnd"/>
      <w:r>
        <w:rPr>
          <w:rFonts w:ascii="Times New Roman" w:eastAsia="Times New Roman" w:hAnsi="Times New Roman" w:cs="Times New Roman"/>
        </w:rPr>
        <w:t xml:space="preserve"> se tomaban de manera intuitiva. </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Guía de Turismo, los docentes diseñaron actividades en las que los estudiantes grababan audiovisuales en su entorno cotidiano actuando como guías, una transposición didáctica que permitió sostener, en formato simulado, la formación en oralidad, gestualidad y comunicación turística, como se ejemplifica en los siguientes fragmentos: </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…”Hubo</w:t>
      </w:r>
      <w:proofErr w:type="gramEnd"/>
      <w:r>
        <w:rPr>
          <w:rFonts w:ascii="Times New Roman" w:eastAsia="Times New Roman" w:hAnsi="Times New Roman" w:cs="Times New Roman"/>
          <w:i/>
          <w:iCs/>
        </w:rPr>
        <w:t xml:space="preserve"> que ser muy creativos, porque había que pensar, por lo menos, en hacer trabajos prácticos de filmación de los estudiantes, en términos de exposición oral, de caminar un espacio solo, sí, a lo mejor hacer un relato, una descripción y o aplicación de ese espacio, que fue muchas veces local, porque el pibe estaba en su pueblo”... </w:t>
      </w:r>
      <w:r>
        <w:rPr>
          <w:rFonts w:ascii="Times New Roman" w:eastAsia="Times New Roman" w:hAnsi="Times New Roman" w:cs="Times New Roman"/>
        </w:rPr>
        <w:t>(Docente Turismo, 10/12/2024).</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w:t>
      </w:r>
      <w:r>
        <w:rPr>
          <w:rFonts w:ascii="Times New Roman" w:eastAsia="Times New Roman" w:hAnsi="Times New Roman" w:cs="Times New Roman"/>
          <w:i/>
          <w:iCs/>
        </w:rPr>
        <w:t>Hicimos</w:t>
      </w:r>
      <w:proofErr w:type="gramEnd"/>
      <w:r>
        <w:rPr>
          <w:rFonts w:ascii="Times New Roman" w:eastAsia="Times New Roman" w:hAnsi="Times New Roman" w:cs="Times New Roman"/>
          <w:i/>
          <w:iCs/>
        </w:rPr>
        <w:t xml:space="preserve"> otras cosas innovadoras, como primero ver videos de visitas guiadas o de ensayos de guiadas… (…) … Entonces en ese mismo sentido, hicimos lo mismo con los chicos. Es decir, primero, tuvieron que generarnos pequeñas imágenes audiovisuales por lo menos de presentarse o de decir, bueno, no me </w:t>
      </w:r>
      <w:proofErr w:type="spellStart"/>
      <w:r>
        <w:rPr>
          <w:rFonts w:ascii="Times New Roman" w:eastAsia="Times New Roman" w:hAnsi="Times New Roman" w:cs="Times New Roman"/>
          <w:i/>
          <w:iCs/>
        </w:rPr>
        <w:t>podés</w:t>
      </w:r>
      <w:proofErr w:type="spellEnd"/>
      <w:r>
        <w:rPr>
          <w:rFonts w:ascii="Times New Roman" w:eastAsia="Times New Roman" w:hAnsi="Times New Roman" w:cs="Times New Roman"/>
          <w:i/>
          <w:iCs/>
        </w:rPr>
        <w:t xml:space="preserve"> guiar a un museo pero </w:t>
      </w:r>
      <w:proofErr w:type="spellStart"/>
      <w:r>
        <w:rPr>
          <w:rFonts w:ascii="Times New Roman" w:eastAsia="Times New Roman" w:hAnsi="Times New Roman" w:cs="Times New Roman"/>
          <w:i/>
          <w:iCs/>
        </w:rPr>
        <w:t>mostrame</w:t>
      </w:r>
      <w:proofErr w:type="spellEnd"/>
      <w:r>
        <w:rPr>
          <w:rFonts w:ascii="Times New Roman" w:eastAsia="Times New Roman" w:hAnsi="Times New Roman" w:cs="Times New Roman"/>
          <w:i/>
          <w:iCs/>
        </w:rPr>
        <w:t xml:space="preserve"> tal parte de tu casa o la habitación o bueno… </w:t>
      </w:r>
      <w:proofErr w:type="spellStart"/>
      <w:r>
        <w:rPr>
          <w:rFonts w:ascii="Times New Roman" w:eastAsia="Times New Roman" w:hAnsi="Times New Roman" w:cs="Times New Roman"/>
          <w:i/>
          <w:iCs/>
        </w:rPr>
        <w:t>ponete</w:t>
      </w:r>
      <w:proofErr w:type="spellEnd"/>
      <w:r>
        <w:rPr>
          <w:rFonts w:ascii="Times New Roman" w:eastAsia="Times New Roman" w:hAnsi="Times New Roman" w:cs="Times New Roman"/>
          <w:i/>
          <w:iCs/>
        </w:rPr>
        <w:t xml:space="preserve"> unas láminas y ya, no sé, explícame… hace de cuenta que estás en la plaza o en el museo y me explicarías la vitrina tal con algunos elementos, no sé, eso fue lo </w:t>
      </w:r>
      <w:proofErr w:type="gramStart"/>
      <w:r>
        <w:rPr>
          <w:rFonts w:ascii="Times New Roman" w:eastAsia="Times New Roman" w:hAnsi="Times New Roman" w:cs="Times New Roman"/>
          <w:i/>
          <w:iCs/>
        </w:rPr>
        <w:t>positivo”…</w:t>
      </w:r>
      <w:proofErr w:type="gramEnd"/>
      <w:r>
        <w:rPr>
          <w:rFonts w:ascii="Times New Roman" w:eastAsia="Times New Roman" w:hAnsi="Times New Roman" w:cs="Times New Roman"/>
          <w:i/>
          <w:iCs/>
        </w:rPr>
        <w:t xml:space="preserve"> </w:t>
      </w:r>
      <w:r>
        <w:rPr>
          <w:rFonts w:ascii="Times New Roman" w:eastAsia="Times New Roman" w:hAnsi="Times New Roman" w:cs="Times New Roman"/>
        </w:rPr>
        <w:t>(Docente Turismo, 17/02/2025).</w:t>
      </w:r>
    </w:p>
    <w:p w:rsidR="003D7A98" w:rsidRDefault="003D7A98" w:rsidP="00F93E74">
      <w:pPr>
        <w:spacing w:line="240" w:lineRule="auto"/>
        <w:jc w:val="both"/>
        <w:rPr>
          <w:rFonts w:ascii="Times New Roman" w:eastAsia="Times New Roman" w:hAnsi="Times New Roman" w:cs="Times New Roman"/>
          <w:sz w:val="2"/>
          <w:szCs w:val="2"/>
        </w:rPr>
      </w:pP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Si bien estas innovaciones no reemplazaron la experiencia en territorio, representaron respuestas creativas que resignificaron parcialmente el sentido formativo de las prácticas.</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7" w:name="_heading=h.dne1xpkglau0" w:colFirst="0" w:colLast="0"/>
      <w:bookmarkEnd w:id="17"/>
      <w:r>
        <w:rPr>
          <w:rFonts w:ascii="Times New Roman" w:eastAsia="Times New Roman" w:hAnsi="Times New Roman" w:cs="Times New Roman"/>
          <w:b/>
          <w:bCs/>
          <w:color w:val="000000"/>
          <w:sz w:val="24"/>
          <w:szCs w:val="24"/>
        </w:rPr>
        <w:t>Pérdida o cambio de dinámicas tradicionales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pérdida más pronunciada registrada en el estudio fue la del vínculo pedagógico encarnado: la gestualidad, el tono de voz, la corporalidad y la dinámica espacial del aula, que son herramientas pedagógicas </w:t>
      </w:r>
      <w:proofErr w:type="spellStart"/>
      <w:r>
        <w:rPr>
          <w:rFonts w:ascii="Times New Roman" w:eastAsia="Times New Roman" w:hAnsi="Times New Roman" w:cs="Times New Roman"/>
        </w:rPr>
        <w:t>invisibilizadas</w:t>
      </w:r>
      <w:proofErr w:type="spellEnd"/>
      <w:r>
        <w:rPr>
          <w:rFonts w:ascii="Times New Roman" w:eastAsia="Times New Roman" w:hAnsi="Times New Roman" w:cs="Times New Roman"/>
        </w:rPr>
        <w:t xml:space="preserve"> por su </w:t>
      </w:r>
      <w:proofErr w:type="gramStart"/>
      <w:r>
        <w:rPr>
          <w:rFonts w:ascii="Times New Roman" w:eastAsia="Times New Roman" w:hAnsi="Times New Roman" w:cs="Times New Roman"/>
        </w:rPr>
        <w:t>cotidianidad</w:t>
      </w:r>
      <w:proofErr w:type="gramEnd"/>
      <w:r>
        <w:rPr>
          <w:rFonts w:ascii="Times New Roman" w:eastAsia="Times New Roman" w:hAnsi="Times New Roman" w:cs="Times New Roman"/>
        </w:rPr>
        <w:t xml:space="preserve"> pero constitutivas del acto de enseñar. Varios docentes tomaron conciencia retrospectiva de cuánto dependía su práctica de esos recursos impensados. La cámara apagada fue la metáfora más elocuente de esa pérdida: un síntoma que expresaba simultáneamente la precariedad tecnológica de los estudiantes, su resguardo de la intimidad doméstica y la ruptura del contrato comunicativo que sostiene la clase presencial. Así se observó en los siguientes relatos de docentes entrevistados: </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w:t>
      </w:r>
      <w:proofErr w:type="gramEnd"/>
      <w:r>
        <w:rPr>
          <w:rFonts w:ascii="Times New Roman" w:eastAsia="Times New Roman" w:hAnsi="Times New Roman" w:cs="Times New Roman"/>
          <w:i/>
          <w:iCs/>
        </w:rPr>
        <w:t xml:space="preserve">Nula interacción docente - estudiante durante las clases porque los estudiantes no prendían las cámaras o no preguntaban nada”... </w:t>
      </w:r>
      <w:r>
        <w:rPr>
          <w:rFonts w:ascii="Times New Roman" w:eastAsia="Times New Roman" w:hAnsi="Times New Roman" w:cs="Times New Roman"/>
        </w:rPr>
        <w:t>(Docente Antropología, Posadas, 06/11/2024)</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…”O</w:t>
      </w:r>
      <w:proofErr w:type="gramEnd"/>
      <w:r>
        <w:rPr>
          <w:rFonts w:ascii="Times New Roman" w:eastAsia="Times New Roman" w:hAnsi="Times New Roman" w:cs="Times New Roman"/>
          <w:i/>
          <w:iCs/>
        </w:rPr>
        <w:t xml:space="preserve"> sea, vos preguntabas cosas y ... Silencio… O sea, a mí eso me costó, porque como que uno quería entrar como en situación de clase, situación de temas, y ellos... Entonces la dinámica, yo cambié la dinámica, tuve que armar los materiales, o los </w:t>
      </w:r>
      <w:proofErr w:type="spellStart"/>
      <w:r>
        <w:rPr>
          <w:rFonts w:ascii="Times New Roman" w:eastAsia="Times New Roman" w:hAnsi="Times New Roman" w:cs="Times New Roman"/>
          <w:i/>
          <w:iCs/>
        </w:rPr>
        <w:t>Power</w:t>
      </w:r>
      <w:proofErr w:type="spellEnd"/>
      <w:r>
        <w:rPr>
          <w:rFonts w:ascii="Times New Roman" w:eastAsia="Times New Roman" w:hAnsi="Times New Roman" w:cs="Times New Roman"/>
          <w:i/>
          <w:iCs/>
        </w:rPr>
        <w:t xml:space="preserve"> Point, o los </w:t>
      </w:r>
      <w:proofErr w:type="spellStart"/>
      <w:r>
        <w:rPr>
          <w:rFonts w:ascii="Times New Roman" w:eastAsia="Times New Roman" w:hAnsi="Times New Roman" w:cs="Times New Roman"/>
          <w:i/>
          <w:iCs/>
        </w:rPr>
        <w:t>Genially</w:t>
      </w:r>
      <w:proofErr w:type="spellEnd"/>
      <w:r>
        <w:rPr>
          <w:rFonts w:ascii="Times New Roman" w:eastAsia="Times New Roman" w:hAnsi="Times New Roman" w:cs="Times New Roman"/>
          <w:i/>
          <w:iCs/>
        </w:rPr>
        <w:t xml:space="preserve">, y ahí era como que yo me preguntaba y contestaba sola, porque si pasa esto… tal cosa… y si pasa lo otro... Por ahí alguno levantaba </w:t>
      </w:r>
      <w:r>
        <w:rPr>
          <w:rFonts w:ascii="Times New Roman" w:eastAsia="Times New Roman" w:hAnsi="Times New Roman" w:cs="Times New Roman"/>
        </w:rPr>
        <w:t xml:space="preserve">(la </w:t>
      </w:r>
      <w:proofErr w:type="gramStart"/>
      <w:r>
        <w:rPr>
          <w:rFonts w:ascii="Times New Roman" w:eastAsia="Times New Roman" w:hAnsi="Times New Roman" w:cs="Times New Roman"/>
        </w:rPr>
        <w:t>mano)...</w:t>
      </w:r>
      <w:proofErr w:type="gramEnd"/>
      <w:r>
        <w:rPr>
          <w:rFonts w:ascii="Times New Roman" w:eastAsia="Times New Roman" w:hAnsi="Times New Roman" w:cs="Times New Roman"/>
        </w:rPr>
        <w:t xml:space="preserve"> </w:t>
      </w:r>
      <w:r>
        <w:rPr>
          <w:rFonts w:ascii="Times New Roman" w:eastAsia="Times New Roman" w:hAnsi="Times New Roman" w:cs="Times New Roman"/>
          <w:i/>
          <w:iCs/>
        </w:rPr>
        <w:t xml:space="preserve">así intervenía, pero era como un monólogo… ahí era yo y </w:t>
      </w:r>
      <w:r>
        <w:rPr>
          <w:rFonts w:ascii="Times New Roman" w:eastAsia="Times New Roman" w:hAnsi="Times New Roman" w:cs="Times New Roman"/>
        </w:rPr>
        <w:t xml:space="preserve">unos </w:t>
      </w:r>
      <w:r>
        <w:rPr>
          <w:rFonts w:ascii="Times New Roman" w:eastAsia="Times New Roman" w:hAnsi="Times New Roman" w:cs="Times New Roman"/>
          <w:i/>
          <w:iCs/>
        </w:rPr>
        <w:t xml:space="preserve">cuantos. O eso, sí, algunos que por ahí no se les puede hablar, escribían en el chat, pero eran los </w:t>
      </w:r>
      <w:proofErr w:type="gramStart"/>
      <w:r>
        <w:rPr>
          <w:rFonts w:ascii="Times New Roman" w:eastAsia="Times New Roman" w:hAnsi="Times New Roman" w:cs="Times New Roman"/>
          <w:i/>
          <w:iCs/>
        </w:rPr>
        <w:t>pocos”…</w:t>
      </w:r>
      <w:proofErr w:type="gramEnd"/>
      <w:r>
        <w:rPr>
          <w:rFonts w:ascii="Times New Roman" w:eastAsia="Times New Roman" w:hAnsi="Times New Roman" w:cs="Times New Roman"/>
          <w:i/>
          <w:iCs/>
        </w:rPr>
        <w:t xml:space="preserve"> </w:t>
      </w:r>
      <w:r>
        <w:rPr>
          <w:rFonts w:ascii="Times New Roman" w:eastAsia="Times New Roman" w:hAnsi="Times New Roman" w:cs="Times New Roman"/>
        </w:rPr>
        <w:t>(Docente Prof. en Ciencias Económicas, Posadas,17/10/2024)</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lastRenderedPageBreak/>
        <w:t>…“</w:t>
      </w:r>
      <w:proofErr w:type="gramEnd"/>
      <w:r>
        <w:rPr>
          <w:rFonts w:ascii="Times New Roman" w:eastAsia="Times New Roman" w:hAnsi="Times New Roman" w:cs="Times New Roman"/>
          <w:i/>
          <w:iCs/>
        </w:rPr>
        <w:t xml:space="preserve">El espacio de enseñanza se trasladó al hogar… la familia se encontraba escuchando contabilidad o estadística… convivíamos en un espacio pequeño… se reorganizaban actividades familiares porque interrumpían la clase. Uno ya no tenía más escape que compartir espacios comunes con el espacio laboral… vivíamos encerrados… </w:t>
      </w:r>
      <w:r>
        <w:rPr>
          <w:rFonts w:ascii="Times New Roman" w:eastAsia="Times New Roman" w:hAnsi="Times New Roman" w:cs="Times New Roman"/>
        </w:rPr>
        <w:t xml:space="preserve">[Para] </w:t>
      </w:r>
      <w:r>
        <w:rPr>
          <w:rFonts w:ascii="Times New Roman" w:eastAsia="Times New Roman" w:hAnsi="Times New Roman" w:cs="Times New Roman"/>
          <w:i/>
          <w:iCs/>
        </w:rPr>
        <w:t xml:space="preserve">los estudiantes ese espacio áulico era su espacio de socialización… conocía sus voces más que sus caras. La universidad llegó al hogar… se superpusieron tiempos y </w:t>
      </w:r>
      <w:proofErr w:type="gramStart"/>
      <w:r>
        <w:rPr>
          <w:rFonts w:ascii="Times New Roman" w:eastAsia="Times New Roman" w:hAnsi="Times New Roman" w:cs="Times New Roman"/>
          <w:i/>
          <w:iCs/>
        </w:rPr>
        <w:t>espacios”...</w:t>
      </w:r>
      <w:proofErr w:type="gramEnd"/>
      <w:r>
        <w:rPr>
          <w:rFonts w:ascii="Times New Roman" w:eastAsia="Times New Roman" w:hAnsi="Times New Roman" w:cs="Times New Roman"/>
          <w:i/>
          <w:iCs/>
        </w:rPr>
        <w:t xml:space="preserve"> (</w:t>
      </w:r>
      <w:r>
        <w:rPr>
          <w:rFonts w:ascii="Times New Roman" w:eastAsia="Times New Roman" w:hAnsi="Times New Roman" w:cs="Times New Roman"/>
        </w:rPr>
        <w:t>Docente Prof. Ciencias Económicas, Posadas, 07/04/2025).</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perdieron también las dinámicas de trabajo grupal en territorio —observaciones, entrevistas, guiados, prácticas en escuelas— que son el núcleo formativo de los trayectos </w:t>
      </w:r>
      <w:proofErr w:type="spellStart"/>
      <w:r>
        <w:rPr>
          <w:rFonts w:ascii="Times New Roman" w:eastAsia="Times New Roman" w:hAnsi="Times New Roman" w:cs="Times New Roman"/>
        </w:rPr>
        <w:t>profesionalizantes</w:t>
      </w:r>
      <w:proofErr w:type="spellEnd"/>
      <w:r>
        <w:rPr>
          <w:rFonts w:ascii="Times New Roman" w:eastAsia="Times New Roman" w:hAnsi="Times New Roman" w:cs="Times New Roman"/>
        </w:rPr>
        <w:t xml:space="preserve">. En su reemplazo predominaron actividades individuales y asincrónicas que, si bien permitieron sostener formalmente la cursada, empobrecieron la reflexividad colectiva y el acompañamiento de las trayectorias. La irrupción del espacio doméstico en el espacio académico fue otra transformación significativa: el aula migró a la habitación, borrando las fronteras entre lo público y lo privado, y exponiendo las condiciones materiales desiguales de docentes y estudiantes. Estos cambios no fueron meramente </w:t>
      </w:r>
      <w:proofErr w:type="gramStart"/>
      <w:r>
        <w:rPr>
          <w:rFonts w:ascii="Times New Roman" w:eastAsia="Times New Roman" w:hAnsi="Times New Roman" w:cs="Times New Roman"/>
        </w:rPr>
        <w:t>operativos</w:t>
      </w:r>
      <w:proofErr w:type="gramEnd"/>
      <w:r>
        <w:rPr>
          <w:rFonts w:ascii="Times New Roman" w:eastAsia="Times New Roman" w:hAnsi="Times New Roman" w:cs="Times New Roman"/>
        </w:rPr>
        <w:t xml:space="preserve"> sino que alteraron las concepciones sobre qué es enseñar y qué es aprender en la universidad.</w:t>
      </w:r>
    </w:p>
    <w:p w:rsidR="003D7A98" w:rsidRDefault="008F5318" w:rsidP="00F93E74">
      <w:pPr>
        <w:pStyle w:val="Ttulo2"/>
        <w:keepNext w:val="0"/>
        <w:keepLines w:val="0"/>
        <w:spacing w:before="0" w:after="160" w:line="240" w:lineRule="auto"/>
        <w:jc w:val="both"/>
        <w:rPr>
          <w:rFonts w:ascii="Times New Roman" w:eastAsia="Times New Roman" w:hAnsi="Times New Roman" w:cs="Times New Roman"/>
          <w:b/>
          <w:bCs/>
          <w:color w:val="000000"/>
          <w:sz w:val="24"/>
          <w:szCs w:val="24"/>
        </w:rPr>
      </w:pPr>
      <w:bookmarkStart w:id="18" w:name="_heading=h.w7qbsifpkn8l" w:colFirst="0" w:colLast="0"/>
      <w:bookmarkEnd w:id="18"/>
      <w:r>
        <w:rPr>
          <w:rFonts w:ascii="Times New Roman" w:eastAsia="Times New Roman" w:hAnsi="Times New Roman" w:cs="Times New Roman"/>
          <w:b/>
          <w:bCs/>
          <w:color w:val="000000"/>
          <w:sz w:val="24"/>
          <w:szCs w:val="24"/>
        </w:rPr>
        <w:t>Virtualidad y flexibilidad evaluativa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evaluación fue el campo donde las tensiones entre los mandatos de calidad y las condiciones reales de enseñanza se manifestaron con mayor intensidad. En los trayectos de Prácticas Profesionales, cuya evaluación habitual reposa en la observación directa, el diálogo reflexivo y la constatación de competencias en situación real, la virtualización obligó a sustituir esos instrumentos por producciones escritas, coloquios virtuales y portafolios digitales. En ese sentido, la flexibilidad ante las instancias evaluativas fue un factor común, como relatan los entrevistados: </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…”No</w:t>
      </w:r>
      <w:proofErr w:type="gramEnd"/>
      <w:r>
        <w:rPr>
          <w:rFonts w:ascii="Times New Roman" w:eastAsia="Times New Roman" w:hAnsi="Times New Roman" w:cs="Times New Roman"/>
          <w:i/>
          <w:iCs/>
        </w:rPr>
        <w:t xml:space="preserve"> se podía ser riguroso, no se podía ser riguroso en las consignas, en la evaluación, para ser más preciso, en la evaluación. Si éramos rigurosos en la evaluación, quedaban todos libres, quedaban todos, digamos… nadie </w:t>
      </w:r>
      <w:proofErr w:type="gramStart"/>
      <w:r>
        <w:rPr>
          <w:rFonts w:ascii="Times New Roman" w:eastAsia="Times New Roman" w:hAnsi="Times New Roman" w:cs="Times New Roman"/>
          <w:i/>
          <w:iCs/>
        </w:rPr>
        <w:t>aprobado</w:t>
      </w:r>
      <w:r>
        <w:rPr>
          <w:rFonts w:ascii="Times New Roman" w:eastAsia="Times New Roman" w:hAnsi="Times New Roman" w:cs="Times New Roman"/>
        </w:rPr>
        <w:t>”</w:t>
      </w:r>
      <w:r>
        <w:rPr>
          <w:rFonts w:ascii="Times New Roman" w:eastAsia="Times New Roman" w:hAnsi="Times New Roman" w:cs="Times New Roman"/>
          <w:i/>
          <w:iCs/>
        </w:rPr>
        <w:t>...</w:t>
      </w:r>
      <w:proofErr w:type="gramEnd"/>
      <w:r>
        <w:rPr>
          <w:rFonts w:ascii="Times New Roman" w:eastAsia="Times New Roman" w:hAnsi="Times New Roman" w:cs="Times New Roman"/>
          <w:i/>
          <w:iCs/>
        </w:rPr>
        <w:t xml:space="preserve"> </w:t>
      </w:r>
      <w:r>
        <w:rPr>
          <w:rFonts w:ascii="Times New Roman" w:eastAsia="Times New Roman" w:hAnsi="Times New Roman" w:cs="Times New Roman"/>
        </w:rPr>
        <w:t>(Docente Antropología, Posadas, 06/11/2024)</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…”Nosotros</w:t>
      </w:r>
      <w:proofErr w:type="gramEnd"/>
      <w:r>
        <w:rPr>
          <w:rFonts w:ascii="Times New Roman" w:eastAsia="Times New Roman" w:hAnsi="Times New Roman" w:cs="Times New Roman"/>
          <w:i/>
          <w:iCs/>
        </w:rPr>
        <w:t xml:space="preserve"> lo que no dimos, evaluación en proceso hicimos, pero no acreditación de la materia. Claro, eso lo dejamos pendiente para ese encuentro presencial (...) </w:t>
      </w:r>
      <w:r>
        <w:rPr>
          <w:rFonts w:ascii="Times New Roman" w:eastAsia="Times New Roman" w:hAnsi="Times New Roman" w:cs="Times New Roman"/>
        </w:rPr>
        <w:t>[Hicimos]</w:t>
      </w:r>
      <w:r>
        <w:rPr>
          <w:rFonts w:ascii="Times New Roman" w:eastAsia="Times New Roman" w:hAnsi="Times New Roman" w:cs="Times New Roman"/>
          <w:i/>
          <w:iCs/>
        </w:rPr>
        <w:t xml:space="preserve"> la evaluación en proceso de ese lado, exactamente. Y con eso se trabajaba. Después se hacía una suerte de evaluación práctica, o sea, nosotros mirábamos esos materiales </w:t>
      </w:r>
      <w:r>
        <w:rPr>
          <w:rFonts w:ascii="Times New Roman" w:eastAsia="Times New Roman" w:hAnsi="Times New Roman" w:cs="Times New Roman"/>
        </w:rPr>
        <w:t>[videos de guiadas]</w:t>
      </w:r>
      <w:r>
        <w:rPr>
          <w:rFonts w:ascii="Times New Roman" w:eastAsia="Times New Roman" w:hAnsi="Times New Roman" w:cs="Times New Roman"/>
          <w:i/>
          <w:iCs/>
        </w:rPr>
        <w:t xml:space="preserve"> y trabajábamos con un chico, bueno, para corregir algunas cosas </w:t>
      </w:r>
      <w:proofErr w:type="gramStart"/>
      <w:r>
        <w:rPr>
          <w:rFonts w:ascii="Times New Roman" w:eastAsia="Times New Roman" w:hAnsi="Times New Roman" w:cs="Times New Roman"/>
          <w:i/>
          <w:iCs/>
        </w:rPr>
        <w:t>mínimas”...</w:t>
      </w:r>
      <w:proofErr w:type="gramEnd"/>
      <w:r>
        <w:rPr>
          <w:rFonts w:ascii="Times New Roman" w:eastAsia="Times New Roman" w:hAnsi="Times New Roman" w:cs="Times New Roman"/>
        </w:rPr>
        <w:t xml:space="preserve"> (Docente Turismo, Posadas, 17/02/2025)</w:t>
      </w:r>
    </w:p>
    <w:p w:rsidR="003D7A98" w:rsidRDefault="008F5318" w:rsidP="00F93E74">
      <w:pPr>
        <w:spacing w:line="240" w:lineRule="auto"/>
        <w:jc w:val="both"/>
        <w:rPr>
          <w:rFonts w:ascii="Times New Roman" w:eastAsia="Times New Roman" w:hAnsi="Times New Roman" w:cs="Times New Roman"/>
        </w:rPr>
      </w:pPr>
      <w:proofErr w:type="gramStart"/>
      <w:r>
        <w:rPr>
          <w:rFonts w:ascii="Times New Roman" w:eastAsia="Times New Roman" w:hAnsi="Times New Roman" w:cs="Times New Roman"/>
          <w:i/>
          <w:iCs/>
        </w:rPr>
        <w:t>…”La</w:t>
      </w:r>
      <w:proofErr w:type="gramEnd"/>
      <w:r>
        <w:rPr>
          <w:rFonts w:ascii="Times New Roman" w:eastAsia="Times New Roman" w:hAnsi="Times New Roman" w:cs="Times New Roman"/>
          <w:i/>
          <w:iCs/>
        </w:rPr>
        <w:t xml:space="preserve"> evaluación eran las clases escritas que todos tenían que presentar. Quedó un cuadernillo que tenemos. Ellos tenían que presentar una propuesta grupal, en parejas pedagógicas, de un tema de una unidad escrita y desarrollada. Y eso presentaban y eran evaluados…Y después teníamos coloquios. Y los coloquios eran en grupos de dos o de </w:t>
      </w:r>
      <w:proofErr w:type="gramStart"/>
      <w:r>
        <w:rPr>
          <w:rFonts w:ascii="Times New Roman" w:eastAsia="Times New Roman" w:hAnsi="Times New Roman" w:cs="Times New Roman"/>
          <w:i/>
          <w:iCs/>
        </w:rPr>
        <w:t>cuatro”…</w:t>
      </w:r>
      <w:proofErr w:type="gramEnd"/>
      <w:r>
        <w:rPr>
          <w:rFonts w:ascii="Times New Roman" w:eastAsia="Times New Roman" w:hAnsi="Times New Roman" w:cs="Times New Roman"/>
        </w:rPr>
        <w:t xml:space="preserve">  (Docente Prof. en Ciencias Económicas, Posadas, 08/04/2025)</w:t>
      </w:r>
    </w:p>
    <w:p w:rsidR="003D7A98" w:rsidRDefault="003D7A98" w:rsidP="00F93E74">
      <w:pPr>
        <w:spacing w:line="240" w:lineRule="auto"/>
        <w:jc w:val="both"/>
        <w:rPr>
          <w:rFonts w:ascii="Times New Roman" w:eastAsia="Times New Roman" w:hAnsi="Times New Roman" w:cs="Times New Roman"/>
        </w:rPr>
      </w:pP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El resultado fue una evaluación que pudo acreditar conocimientos </w:t>
      </w:r>
      <w:proofErr w:type="gramStart"/>
      <w:r>
        <w:rPr>
          <w:rFonts w:ascii="Times New Roman" w:eastAsia="Times New Roman" w:hAnsi="Times New Roman" w:cs="Times New Roman"/>
        </w:rPr>
        <w:t>declarativos</w:t>
      </w:r>
      <w:proofErr w:type="gramEnd"/>
      <w:r>
        <w:rPr>
          <w:rFonts w:ascii="Times New Roman" w:eastAsia="Times New Roman" w:hAnsi="Times New Roman" w:cs="Times New Roman"/>
        </w:rPr>
        <w:t xml:space="preserve"> pero tuvo dificultades para dar cuenta de las capacidades de intervención situadas que definen la profesionalidad en cada carrera.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La flexibilización evaluativa —reducción de exigencias, extensión de calendarios, eliminación de instancias presenciales— fue una respuesta mayoritaria orientada a sostener la permanencia en el sistema. Sin embargo, los propios docentes reconocen la incertidumbre que les generó esa decisión: el interrogante sobre qué aprendieron realmente los estudiantes que acreditaron en condiciones de virtualidad plena persistió más allá de la pandemia y se actualizó cuando esos estudiantes avanzaron hacia trayectos formativos posteriores que daban por supuestos saberes prácticos que quizás no habían podido consolidarse. Esta tensión irresuelta entre inclusión y calidad formativa constituye uno de los legados más complejos del período para la enseñanza universitaria.</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Comparación entre carreras: Los impactos y reconfiguraciones de las prácticas académicas se expresaron de manera diversa, en las categorías y dimensiones analizadas para la interpretación de los datos fácticos, como se resume en la siguiente tabla comparativa:</w:t>
      </w:r>
    </w:p>
    <w:p w:rsidR="003D7A98" w:rsidRDefault="003D7A98" w:rsidP="00F93E74">
      <w:pPr>
        <w:spacing w:line="240" w:lineRule="auto"/>
        <w:jc w:val="both"/>
        <w:rPr>
          <w:rFonts w:ascii="Times New Roman" w:eastAsia="Times New Roman" w:hAnsi="Times New Roman" w:cs="Times New Roman"/>
        </w:rPr>
      </w:pPr>
    </w:p>
    <w:p w:rsidR="003D7A98" w:rsidRDefault="008F5318" w:rsidP="00F93E74">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Tabla N° 1: Impactos más representativos por carrera y categoría</w:t>
      </w:r>
    </w:p>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sz w:val="20"/>
          <w:szCs w:val="20"/>
        </w:rPr>
        <w:t xml:space="preserve">Leyenda:  </w:t>
      </w:r>
      <w:r>
        <w:rPr>
          <w:rFonts w:ascii="Times New Roman" w:eastAsia="Times New Roman" w:hAnsi="Times New Roman" w:cs="Times New Roman"/>
          <w:b/>
          <w:bCs/>
          <w:color w:val="1A7A3A"/>
          <w:sz w:val="20"/>
          <w:szCs w:val="20"/>
        </w:rPr>
        <w:t xml:space="preserve">■ Similitud entre carreras   </w:t>
      </w:r>
      <w:r>
        <w:rPr>
          <w:rFonts w:ascii="Times New Roman" w:eastAsia="Times New Roman" w:hAnsi="Times New Roman" w:cs="Times New Roman"/>
          <w:b/>
          <w:bCs/>
          <w:color w:val="C0392B"/>
          <w:sz w:val="20"/>
          <w:szCs w:val="20"/>
        </w:rPr>
        <w:t>■ Diferencia destacada</w:t>
      </w:r>
    </w:p>
    <w:tbl>
      <w:tblPr>
        <w:tblStyle w:val="a"/>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95"/>
        <w:gridCol w:w="2236"/>
        <w:gridCol w:w="2236"/>
        <w:gridCol w:w="2236"/>
      </w:tblGrid>
      <w:tr w:rsidR="003D7A98">
        <w:trPr>
          <w:trHeight w:val="615"/>
        </w:trPr>
        <w:tc>
          <w:tcPr>
            <w:tcW w:w="1796" w:type="dxa"/>
            <w:tcBorders>
              <w:top w:val="single" w:sz="6" w:space="0" w:color="000000"/>
              <w:left w:val="single" w:sz="6" w:space="0" w:color="000000"/>
              <w:bottom w:val="single" w:sz="6" w:space="0" w:color="000000"/>
              <w:right w:val="single" w:sz="6" w:space="0" w:color="000000"/>
            </w:tcBorders>
            <w:shd w:val="clear" w:color="auto" w:fill="4A6FA5"/>
            <w:tcMar>
              <w:top w:w="60" w:type="dxa"/>
              <w:left w:w="100" w:type="dxa"/>
              <w:bottom w:w="60" w:type="dxa"/>
              <w:right w:w="100" w:type="dxa"/>
            </w:tcMar>
          </w:tcPr>
          <w:p w:rsidR="003D7A98" w:rsidRDefault="008F5318" w:rsidP="00F93E74">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Categoría</w:t>
            </w:r>
          </w:p>
        </w:tc>
        <w:tc>
          <w:tcPr>
            <w:tcW w:w="2235" w:type="dxa"/>
            <w:tcBorders>
              <w:top w:val="single" w:sz="6" w:space="0" w:color="000000"/>
              <w:left w:val="nil"/>
              <w:bottom w:val="single" w:sz="6" w:space="0" w:color="000000"/>
              <w:right w:val="single" w:sz="6" w:space="0" w:color="000000"/>
            </w:tcBorders>
            <w:shd w:val="clear" w:color="auto" w:fill="4A7C59"/>
            <w:tcMar>
              <w:top w:w="60" w:type="dxa"/>
              <w:left w:w="100" w:type="dxa"/>
              <w:bottom w:w="60" w:type="dxa"/>
              <w:right w:w="100" w:type="dxa"/>
            </w:tcMar>
          </w:tcPr>
          <w:p w:rsidR="003D7A98" w:rsidRDefault="008F5318" w:rsidP="00F93E74">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Licenciatura en Antropología</w:t>
            </w:r>
          </w:p>
        </w:tc>
        <w:tc>
          <w:tcPr>
            <w:tcW w:w="2235" w:type="dxa"/>
            <w:tcBorders>
              <w:top w:val="single" w:sz="6" w:space="0" w:color="000000"/>
              <w:left w:val="nil"/>
              <w:bottom w:val="single" w:sz="6" w:space="0" w:color="000000"/>
              <w:right w:val="single" w:sz="6" w:space="0" w:color="000000"/>
            </w:tcBorders>
            <w:shd w:val="clear" w:color="auto" w:fill="B05E3A"/>
            <w:tcMar>
              <w:top w:w="60" w:type="dxa"/>
              <w:left w:w="100" w:type="dxa"/>
              <w:bottom w:w="60" w:type="dxa"/>
              <w:right w:w="100" w:type="dxa"/>
            </w:tcMar>
          </w:tcPr>
          <w:p w:rsidR="003D7A98" w:rsidRDefault="008F5318" w:rsidP="00F93E74">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Profesorado en Cs. Económicas</w:t>
            </w:r>
          </w:p>
        </w:tc>
        <w:tc>
          <w:tcPr>
            <w:tcW w:w="2235" w:type="dxa"/>
            <w:tcBorders>
              <w:top w:val="single" w:sz="6" w:space="0" w:color="000000"/>
              <w:left w:val="nil"/>
              <w:bottom w:val="single" w:sz="6" w:space="0" w:color="000000"/>
              <w:right w:val="single" w:sz="6" w:space="0" w:color="000000"/>
            </w:tcBorders>
            <w:shd w:val="clear" w:color="auto" w:fill="6B5B8E"/>
            <w:tcMar>
              <w:top w:w="60" w:type="dxa"/>
              <w:left w:w="100" w:type="dxa"/>
              <w:bottom w:w="60" w:type="dxa"/>
              <w:right w:w="100" w:type="dxa"/>
            </w:tcMar>
          </w:tcPr>
          <w:p w:rsidR="003D7A98" w:rsidRDefault="008F5318" w:rsidP="00F93E74">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Guía de Turismo</w:t>
            </w:r>
          </w:p>
        </w:tc>
      </w:tr>
      <w:tr w:rsidR="003D7A98">
        <w:trPr>
          <w:trHeight w:val="1740"/>
        </w:trPr>
        <w:tc>
          <w:tcPr>
            <w:tcW w:w="1796" w:type="dxa"/>
            <w:tcBorders>
              <w:top w:val="nil"/>
              <w:left w:val="single" w:sz="6" w:space="0" w:color="000000"/>
              <w:bottom w:val="single" w:sz="6" w:space="0" w:color="000000"/>
              <w:right w:val="single" w:sz="6" w:space="0" w:color="000000"/>
            </w:tcBorders>
            <w:shd w:val="clear" w:color="auto" w:fill="EBF0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Cambio en la dinámica: interacción con estudiantes</w:t>
            </w:r>
          </w:p>
        </w:tc>
        <w:tc>
          <w:tcPr>
            <w:tcW w:w="2235" w:type="dxa"/>
            <w:tcBorders>
              <w:top w:val="nil"/>
              <w:left w:val="nil"/>
              <w:bottom w:val="single" w:sz="6" w:space="0" w:color="000000"/>
              <w:right w:val="single" w:sz="6" w:space="0" w:color="000000"/>
            </w:tcBorders>
            <w:shd w:val="clear" w:color="auto" w:fill="EBF5EE"/>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color w:val="1A7A3A"/>
                <w:sz w:val="20"/>
                <w:szCs w:val="20"/>
              </w:rPr>
              <w:t>Pérdida de señales no verbales y emotividad.</w:t>
            </w:r>
            <w:r>
              <w:rPr>
                <w:rFonts w:ascii="Times New Roman" w:eastAsia="Times New Roman" w:hAnsi="Times New Roman" w:cs="Times New Roman"/>
                <w:b/>
                <w:bCs/>
                <w:color w:val="C0392B"/>
                <w:sz w:val="20"/>
                <w:szCs w:val="20"/>
              </w:rPr>
              <w:t xml:space="preserve"> Tensión entre "cámaras apagadas" como falta de interés o protección de la intimidad.</w:t>
            </w:r>
          </w:p>
        </w:tc>
        <w:tc>
          <w:tcPr>
            <w:tcW w:w="2235" w:type="dxa"/>
            <w:tcBorders>
              <w:top w:val="nil"/>
              <w:left w:val="nil"/>
              <w:bottom w:val="single" w:sz="6" w:space="0" w:color="000000"/>
              <w:right w:val="single" w:sz="6" w:space="0" w:color="000000"/>
            </w:tcBorders>
            <w:shd w:val="clear" w:color="auto" w:fill="FBF0EA"/>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A7A3A"/>
                <w:sz w:val="20"/>
                <w:szCs w:val="20"/>
              </w:rPr>
              <w:t>Comunicación fragmentada</w:t>
            </w:r>
            <w:r>
              <w:rPr>
                <w:rFonts w:ascii="Times New Roman" w:eastAsia="Times New Roman" w:hAnsi="Times New Roman" w:cs="Times New Roman"/>
                <w:sz w:val="20"/>
                <w:szCs w:val="20"/>
              </w:rPr>
              <w:t xml:space="preserve"> y </w:t>
            </w:r>
            <w:r>
              <w:rPr>
                <w:rFonts w:ascii="Times New Roman" w:eastAsia="Times New Roman" w:hAnsi="Times New Roman" w:cs="Times New Roman"/>
                <w:b/>
                <w:bCs/>
                <w:color w:val="1A7A3A"/>
                <w:sz w:val="20"/>
                <w:szCs w:val="20"/>
              </w:rPr>
              <w:t>pérdida de espontaneidad.</w:t>
            </w:r>
            <w:r>
              <w:rPr>
                <w:rFonts w:ascii="Times New Roman" w:eastAsia="Times New Roman" w:hAnsi="Times New Roman" w:cs="Times New Roman"/>
                <w:sz w:val="20"/>
                <w:szCs w:val="20"/>
              </w:rPr>
              <w:t xml:space="preserve"> Sensación de "hablar al vacío".</w:t>
            </w:r>
          </w:p>
        </w:tc>
        <w:tc>
          <w:tcPr>
            <w:tcW w:w="2235" w:type="dxa"/>
            <w:tcBorders>
              <w:top w:val="nil"/>
              <w:left w:val="nil"/>
              <w:bottom w:val="single" w:sz="6" w:space="0" w:color="000000"/>
              <w:right w:val="single" w:sz="6" w:space="0" w:color="000000"/>
            </w:tcBorders>
            <w:shd w:val="clear" w:color="auto" w:fill="F2EE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color w:val="1A7A3A"/>
                <w:sz w:val="20"/>
                <w:szCs w:val="20"/>
              </w:rPr>
              <w:t>Impacto crítico por la pérdida del contacto visual y gestual,</w:t>
            </w:r>
            <w:r>
              <w:rPr>
                <w:rFonts w:ascii="Times New Roman" w:eastAsia="Times New Roman" w:hAnsi="Times New Roman" w:cs="Times New Roman"/>
                <w:b/>
                <w:bCs/>
                <w:color w:val="C0392B"/>
                <w:sz w:val="20"/>
                <w:szCs w:val="20"/>
              </w:rPr>
              <w:t xml:space="preserve"> esenciales para el rol del guía. Estudiantes como "puntitos negros".</w:t>
            </w:r>
          </w:p>
        </w:tc>
      </w:tr>
      <w:tr w:rsidR="003D7A98">
        <w:trPr>
          <w:trHeight w:val="1815"/>
        </w:trPr>
        <w:tc>
          <w:tcPr>
            <w:tcW w:w="1796" w:type="dxa"/>
            <w:tcBorders>
              <w:top w:val="nil"/>
              <w:left w:val="single" w:sz="6" w:space="0" w:color="000000"/>
              <w:bottom w:val="single" w:sz="6" w:space="0" w:color="000000"/>
              <w:right w:val="single" w:sz="6" w:space="0" w:color="000000"/>
            </w:tcBorders>
            <w:shd w:val="clear" w:color="auto" w:fill="EBF0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Cambio en la dinámica: de la  </w:t>
            </w:r>
            <w:proofErr w:type="spellStart"/>
            <w:r>
              <w:rPr>
                <w:rFonts w:ascii="Times New Roman" w:eastAsia="Times New Roman" w:hAnsi="Times New Roman" w:cs="Times New Roman"/>
                <w:b/>
                <w:bCs/>
                <w:sz w:val="20"/>
                <w:szCs w:val="20"/>
              </w:rPr>
              <w:t>presencialidad</w:t>
            </w:r>
            <w:proofErr w:type="spellEnd"/>
            <w:r>
              <w:rPr>
                <w:rFonts w:ascii="Times New Roman" w:eastAsia="Times New Roman" w:hAnsi="Times New Roman" w:cs="Times New Roman"/>
                <w:b/>
                <w:bCs/>
                <w:sz w:val="20"/>
                <w:szCs w:val="20"/>
              </w:rPr>
              <w:t xml:space="preserve"> a la virtualidad</w:t>
            </w:r>
          </w:p>
        </w:tc>
        <w:tc>
          <w:tcPr>
            <w:tcW w:w="2235" w:type="dxa"/>
            <w:tcBorders>
              <w:top w:val="nil"/>
              <w:left w:val="nil"/>
              <w:bottom w:val="single" w:sz="6" w:space="0" w:color="000000"/>
              <w:right w:val="single" w:sz="6" w:space="0" w:color="000000"/>
            </w:tcBorders>
            <w:shd w:val="clear" w:color="auto" w:fill="EBF5EE"/>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A7A3A"/>
                <w:sz w:val="20"/>
                <w:szCs w:val="20"/>
              </w:rPr>
              <w:t>Irrupción del ámbito privado en el aprendizaje.</w:t>
            </w:r>
            <w:r>
              <w:rPr>
                <w:rFonts w:ascii="Times New Roman" w:eastAsia="Times New Roman" w:hAnsi="Times New Roman" w:cs="Times New Roman"/>
                <w:sz w:val="20"/>
                <w:szCs w:val="20"/>
              </w:rPr>
              <w:t xml:space="preserve"> Docentes que mostraron su espacio para generar confianza.</w:t>
            </w:r>
          </w:p>
        </w:tc>
        <w:tc>
          <w:tcPr>
            <w:tcW w:w="2235" w:type="dxa"/>
            <w:tcBorders>
              <w:top w:val="nil"/>
              <w:left w:val="nil"/>
              <w:bottom w:val="single" w:sz="6" w:space="0" w:color="000000"/>
              <w:right w:val="single" w:sz="6" w:space="0" w:color="000000"/>
            </w:tcBorders>
            <w:shd w:val="clear" w:color="auto" w:fill="FBF0EA"/>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proofErr w:type="spellStart"/>
            <w:r>
              <w:rPr>
                <w:rFonts w:ascii="Times New Roman" w:eastAsia="Times New Roman" w:hAnsi="Times New Roman" w:cs="Times New Roman"/>
                <w:b/>
                <w:bCs/>
                <w:color w:val="1A7A3A"/>
                <w:sz w:val="20"/>
                <w:szCs w:val="20"/>
              </w:rPr>
              <w:t>Desdibujamiento</w:t>
            </w:r>
            <w:proofErr w:type="spellEnd"/>
            <w:r>
              <w:rPr>
                <w:rFonts w:ascii="Times New Roman" w:eastAsia="Times New Roman" w:hAnsi="Times New Roman" w:cs="Times New Roman"/>
                <w:b/>
                <w:bCs/>
                <w:color w:val="1A7A3A"/>
                <w:sz w:val="20"/>
                <w:szCs w:val="20"/>
              </w:rPr>
              <w:t xml:space="preserve"> de fronteras entre vida laboral y privada.</w:t>
            </w:r>
            <w:r>
              <w:rPr>
                <w:rFonts w:ascii="Times New Roman" w:eastAsia="Times New Roman" w:hAnsi="Times New Roman" w:cs="Times New Roman"/>
                <w:sz w:val="20"/>
                <w:szCs w:val="20"/>
              </w:rPr>
              <w:t xml:space="preserve"> </w:t>
            </w:r>
            <w:r>
              <w:rPr>
                <w:rFonts w:ascii="Times New Roman" w:eastAsia="Times New Roman" w:hAnsi="Times New Roman" w:cs="Times New Roman"/>
                <w:b/>
                <w:bCs/>
                <w:color w:val="C0392B"/>
                <w:sz w:val="20"/>
                <w:szCs w:val="20"/>
              </w:rPr>
              <w:t>Pérdida de la corporeidad como herramienta pedagógica.</w:t>
            </w:r>
          </w:p>
        </w:tc>
        <w:tc>
          <w:tcPr>
            <w:tcW w:w="2235" w:type="dxa"/>
            <w:tcBorders>
              <w:top w:val="nil"/>
              <w:left w:val="nil"/>
              <w:bottom w:val="single" w:sz="6" w:space="0" w:color="000000"/>
              <w:right w:val="single" w:sz="6" w:space="0" w:color="000000"/>
            </w:tcBorders>
            <w:shd w:val="clear" w:color="auto" w:fill="F2EE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color w:val="1A7A3A"/>
                <w:sz w:val="20"/>
                <w:szCs w:val="20"/>
              </w:rPr>
              <w:t>Reconfiguración forzada de tiempos.</w:t>
            </w:r>
            <w:r>
              <w:rPr>
                <w:rFonts w:ascii="Times New Roman" w:eastAsia="Times New Roman" w:hAnsi="Times New Roman" w:cs="Times New Roman"/>
                <w:sz w:val="20"/>
                <w:szCs w:val="20"/>
              </w:rPr>
              <w:t xml:space="preserve"> </w:t>
            </w:r>
            <w:r>
              <w:rPr>
                <w:rFonts w:ascii="Times New Roman" w:eastAsia="Times New Roman" w:hAnsi="Times New Roman" w:cs="Times New Roman"/>
                <w:b/>
                <w:bCs/>
                <w:color w:val="C0392B"/>
                <w:sz w:val="20"/>
                <w:szCs w:val="20"/>
              </w:rPr>
              <w:t>Deserción de estudiantes debido al impacto de la virtualización forzada.</w:t>
            </w:r>
          </w:p>
        </w:tc>
      </w:tr>
      <w:tr w:rsidR="003D7A98">
        <w:trPr>
          <w:trHeight w:val="1815"/>
        </w:trPr>
        <w:tc>
          <w:tcPr>
            <w:tcW w:w="1796" w:type="dxa"/>
            <w:tcBorders>
              <w:top w:val="nil"/>
              <w:left w:val="single" w:sz="6" w:space="0" w:color="000000"/>
              <w:bottom w:val="single" w:sz="6" w:space="0" w:color="000000"/>
              <w:right w:val="single" w:sz="6" w:space="0" w:color="000000"/>
            </w:tcBorders>
            <w:shd w:val="clear" w:color="auto" w:fill="EBF0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Uso de herramientas tecnológicas</w:t>
            </w:r>
          </w:p>
        </w:tc>
        <w:tc>
          <w:tcPr>
            <w:tcW w:w="2235" w:type="dxa"/>
            <w:tcBorders>
              <w:top w:val="nil"/>
              <w:left w:val="nil"/>
              <w:bottom w:val="single" w:sz="6" w:space="0" w:color="000000"/>
              <w:right w:val="single" w:sz="6" w:space="0" w:color="000000"/>
            </w:tcBorders>
            <w:shd w:val="clear" w:color="auto" w:fill="EBF5EE"/>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color w:val="1A7A3A"/>
                <w:sz w:val="20"/>
                <w:szCs w:val="20"/>
              </w:rPr>
              <w:t>Uso básico de herramientas cotidianas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Whatsapp</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Meet</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bCs/>
                <w:color w:val="C0392B"/>
                <w:sz w:val="20"/>
                <w:szCs w:val="20"/>
              </w:rPr>
              <w:t xml:space="preserve">Mejor adaptación en docentes con experiencias previas de virtualidad. </w:t>
            </w:r>
          </w:p>
        </w:tc>
        <w:tc>
          <w:tcPr>
            <w:tcW w:w="2235" w:type="dxa"/>
            <w:tcBorders>
              <w:top w:val="nil"/>
              <w:left w:val="nil"/>
              <w:bottom w:val="single" w:sz="6" w:space="0" w:color="000000"/>
              <w:right w:val="single" w:sz="6" w:space="0" w:color="000000"/>
            </w:tcBorders>
            <w:shd w:val="clear" w:color="auto" w:fill="FBF0EA"/>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Pasaje de un uso </w:t>
            </w:r>
            <w:r>
              <w:rPr>
                <w:rFonts w:ascii="Times New Roman" w:eastAsia="Times New Roman" w:hAnsi="Times New Roman" w:cs="Times New Roman"/>
                <w:b/>
                <w:bCs/>
                <w:color w:val="1A7A3A"/>
                <w:sz w:val="20"/>
                <w:szCs w:val="20"/>
              </w:rPr>
              <w:t>puramente instrumental</w:t>
            </w:r>
            <w:r>
              <w:rPr>
                <w:rFonts w:ascii="Times New Roman" w:eastAsia="Times New Roman" w:hAnsi="Times New Roman" w:cs="Times New Roman"/>
                <w:sz w:val="20"/>
                <w:szCs w:val="20"/>
              </w:rPr>
              <w:t xml:space="preserve"> a uno reflexivo y de nuevos lenguajes pedagógicos.</w:t>
            </w:r>
          </w:p>
        </w:tc>
        <w:tc>
          <w:tcPr>
            <w:tcW w:w="2235" w:type="dxa"/>
            <w:tcBorders>
              <w:top w:val="nil"/>
              <w:left w:val="nil"/>
              <w:bottom w:val="single" w:sz="6" w:space="0" w:color="000000"/>
              <w:right w:val="single" w:sz="6" w:space="0" w:color="000000"/>
            </w:tcBorders>
            <w:shd w:val="clear" w:color="auto" w:fill="F2EE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1A7A3A"/>
                <w:sz w:val="20"/>
                <w:szCs w:val="20"/>
              </w:rPr>
            </w:pPr>
            <w:r>
              <w:rPr>
                <w:rFonts w:ascii="Times New Roman" w:eastAsia="Times New Roman" w:hAnsi="Times New Roman" w:cs="Times New Roman"/>
                <w:b/>
                <w:bCs/>
                <w:color w:val="C0392B"/>
                <w:sz w:val="20"/>
                <w:szCs w:val="20"/>
              </w:rPr>
              <w:t>Crítica al "mito del estudiante digital".</w:t>
            </w:r>
            <w:r>
              <w:rPr>
                <w:rFonts w:ascii="Times New Roman" w:eastAsia="Times New Roman" w:hAnsi="Times New Roman" w:cs="Times New Roman"/>
                <w:sz w:val="20"/>
                <w:szCs w:val="20"/>
              </w:rPr>
              <w:t xml:space="preserve"> </w:t>
            </w:r>
            <w:r>
              <w:rPr>
                <w:rFonts w:ascii="Times New Roman" w:eastAsia="Times New Roman" w:hAnsi="Times New Roman" w:cs="Times New Roman"/>
                <w:b/>
                <w:bCs/>
                <w:color w:val="1A7A3A"/>
                <w:sz w:val="20"/>
                <w:szCs w:val="20"/>
              </w:rPr>
              <w:t>Uso recreativo de la tecnología por parte de alumnos, sin competencias pedagógicas.</w:t>
            </w:r>
          </w:p>
        </w:tc>
      </w:tr>
      <w:tr w:rsidR="003D7A98">
        <w:trPr>
          <w:trHeight w:val="2250"/>
        </w:trPr>
        <w:tc>
          <w:tcPr>
            <w:tcW w:w="1796" w:type="dxa"/>
            <w:tcBorders>
              <w:top w:val="nil"/>
              <w:left w:val="single" w:sz="6" w:space="0" w:color="000000"/>
              <w:bottom w:val="single" w:sz="6" w:space="0" w:color="000000"/>
              <w:right w:val="single" w:sz="6" w:space="0" w:color="000000"/>
            </w:tcBorders>
            <w:shd w:val="clear" w:color="auto" w:fill="EBF0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Acceso a recursos tecnológicos</w:t>
            </w:r>
          </w:p>
        </w:tc>
        <w:tc>
          <w:tcPr>
            <w:tcW w:w="2235" w:type="dxa"/>
            <w:tcBorders>
              <w:top w:val="nil"/>
              <w:left w:val="nil"/>
              <w:bottom w:val="single" w:sz="6" w:space="0" w:color="000000"/>
              <w:right w:val="single" w:sz="6" w:space="0" w:color="000000"/>
            </w:tcBorders>
            <w:shd w:val="clear" w:color="auto" w:fill="EBF5EE"/>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1A7A3A"/>
                <w:sz w:val="20"/>
                <w:szCs w:val="20"/>
              </w:rPr>
            </w:pPr>
            <w:r>
              <w:rPr>
                <w:rFonts w:ascii="Times New Roman" w:eastAsia="Times New Roman" w:hAnsi="Times New Roman" w:cs="Times New Roman"/>
                <w:b/>
                <w:bCs/>
                <w:color w:val="C0392B"/>
                <w:sz w:val="20"/>
                <w:szCs w:val="20"/>
              </w:rPr>
              <w:t>El celular como mediador pedagógico principal.</w:t>
            </w:r>
            <w:r>
              <w:rPr>
                <w:rFonts w:ascii="Times New Roman" w:eastAsia="Times New Roman" w:hAnsi="Times New Roman" w:cs="Times New Roman"/>
                <w:sz w:val="20"/>
                <w:szCs w:val="20"/>
              </w:rPr>
              <w:t xml:space="preserve"> </w:t>
            </w:r>
            <w:r>
              <w:rPr>
                <w:rFonts w:ascii="Times New Roman" w:eastAsia="Times New Roman" w:hAnsi="Times New Roman" w:cs="Times New Roman"/>
                <w:b/>
                <w:bCs/>
                <w:color w:val="1A7A3A"/>
                <w:sz w:val="20"/>
                <w:szCs w:val="20"/>
              </w:rPr>
              <w:t>Desigualdad habitacional expuesta por la virtualidad.</w:t>
            </w:r>
          </w:p>
        </w:tc>
        <w:tc>
          <w:tcPr>
            <w:tcW w:w="2235" w:type="dxa"/>
            <w:tcBorders>
              <w:top w:val="nil"/>
              <w:left w:val="nil"/>
              <w:bottom w:val="single" w:sz="6" w:space="0" w:color="000000"/>
              <w:right w:val="single" w:sz="6" w:space="0" w:color="000000"/>
            </w:tcBorders>
            <w:shd w:val="clear" w:color="auto" w:fill="FBF0EA"/>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A7A3A"/>
                <w:sz w:val="20"/>
                <w:szCs w:val="20"/>
              </w:rPr>
              <w:t>Evidencia de una brecha socioeducativa estructural</w:t>
            </w:r>
            <w:r>
              <w:rPr>
                <w:rFonts w:ascii="Times New Roman" w:eastAsia="Times New Roman" w:hAnsi="Times New Roman" w:cs="Times New Roman"/>
                <w:sz w:val="20"/>
                <w:szCs w:val="20"/>
              </w:rPr>
              <w:t xml:space="preserve"> que obligó a flexibilizar requisitos de evaluación.</w:t>
            </w:r>
          </w:p>
        </w:tc>
        <w:tc>
          <w:tcPr>
            <w:tcW w:w="2235" w:type="dxa"/>
            <w:tcBorders>
              <w:top w:val="nil"/>
              <w:left w:val="nil"/>
              <w:bottom w:val="single" w:sz="6" w:space="0" w:color="000000"/>
              <w:right w:val="single" w:sz="6" w:space="0" w:color="000000"/>
            </w:tcBorders>
            <w:shd w:val="clear" w:color="auto" w:fill="F2EE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color w:val="1A7A3A"/>
                <w:sz w:val="20"/>
                <w:szCs w:val="20"/>
              </w:rPr>
              <w:t xml:space="preserve">Mayor y dispar obstáculo para las prácticas </w:t>
            </w:r>
            <w:proofErr w:type="spellStart"/>
            <w:r>
              <w:rPr>
                <w:rFonts w:ascii="Times New Roman" w:eastAsia="Times New Roman" w:hAnsi="Times New Roman" w:cs="Times New Roman"/>
                <w:b/>
                <w:bCs/>
                <w:color w:val="1A7A3A"/>
                <w:sz w:val="20"/>
                <w:szCs w:val="20"/>
              </w:rPr>
              <w:t>preprofesionales</w:t>
            </w:r>
            <w:proofErr w:type="spellEnd"/>
            <w:r>
              <w:rPr>
                <w:rFonts w:ascii="Times New Roman" w:eastAsia="Times New Roman" w:hAnsi="Times New Roman" w:cs="Times New Roman"/>
                <w:sz w:val="20"/>
                <w:szCs w:val="20"/>
              </w:rPr>
              <w:t xml:space="preserve"> en relación a la posibilidad de acceder a lo tecnológico. </w:t>
            </w:r>
            <w:r>
              <w:rPr>
                <w:rFonts w:ascii="Times New Roman" w:eastAsia="Times New Roman" w:hAnsi="Times New Roman" w:cs="Times New Roman"/>
                <w:b/>
                <w:bCs/>
                <w:color w:val="C0392B"/>
                <w:sz w:val="20"/>
                <w:szCs w:val="20"/>
              </w:rPr>
              <w:t>Problemas de conectividad que derivaron en deserción.</w:t>
            </w:r>
          </w:p>
        </w:tc>
      </w:tr>
      <w:tr w:rsidR="003D7A98">
        <w:trPr>
          <w:trHeight w:val="1815"/>
        </w:trPr>
        <w:tc>
          <w:tcPr>
            <w:tcW w:w="1796" w:type="dxa"/>
            <w:tcBorders>
              <w:top w:val="nil"/>
              <w:left w:val="single" w:sz="6" w:space="0" w:color="000000"/>
              <w:bottom w:val="single" w:sz="6" w:space="0" w:color="000000"/>
              <w:right w:val="single" w:sz="6" w:space="0" w:color="000000"/>
            </w:tcBorders>
            <w:shd w:val="clear" w:color="auto" w:fill="EBF0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Capacitación y formación </w:t>
            </w:r>
          </w:p>
        </w:tc>
        <w:tc>
          <w:tcPr>
            <w:tcW w:w="2235" w:type="dxa"/>
            <w:tcBorders>
              <w:top w:val="nil"/>
              <w:left w:val="nil"/>
              <w:bottom w:val="single" w:sz="6" w:space="0" w:color="000000"/>
              <w:right w:val="single" w:sz="6" w:space="0" w:color="000000"/>
            </w:tcBorders>
            <w:shd w:val="clear" w:color="auto" w:fill="EBF5EE"/>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sz w:val="20"/>
                <w:szCs w:val="20"/>
              </w:rPr>
              <w:t xml:space="preserve">Participación activa en armado de aulas virtuales. </w:t>
            </w:r>
            <w:r>
              <w:rPr>
                <w:rFonts w:ascii="Times New Roman" w:eastAsia="Times New Roman" w:hAnsi="Times New Roman" w:cs="Times New Roman"/>
                <w:b/>
                <w:bCs/>
                <w:color w:val="C0392B"/>
                <w:sz w:val="20"/>
                <w:szCs w:val="20"/>
              </w:rPr>
              <w:t>El conocimiento previo actuó como "capital cultural" diferenciador.</w:t>
            </w:r>
          </w:p>
        </w:tc>
        <w:tc>
          <w:tcPr>
            <w:tcW w:w="2235" w:type="dxa"/>
            <w:tcBorders>
              <w:top w:val="nil"/>
              <w:left w:val="nil"/>
              <w:bottom w:val="single" w:sz="6" w:space="0" w:color="000000"/>
              <w:right w:val="single" w:sz="6" w:space="0" w:color="000000"/>
            </w:tcBorders>
            <w:shd w:val="clear" w:color="auto" w:fill="FBF0EA"/>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color w:val="1A7A3A"/>
                <w:sz w:val="20"/>
                <w:szCs w:val="20"/>
              </w:rPr>
              <w:t>Necesidad urgente</w:t>
            </w:r>
            <w:r>
              <w:rPr>
                <w:rFonts w:ascii="Times New Roman" w:eastAsia="Times New Roman" w:hAnsi="Times New Roman" w:cs="Times New Roman"/>
                <w:sz w:val="20"/>
                <w:szCs w:val="20"/>
              </w:rPr>
              <w:t xml:space="preserve"> que generó controversias sobre la efectividad real de la educación virtual.</w:t>
            </w:r>
          </w:p>
        </w:tc>
        <w:tc>
          <w:tcPr>
            <w:tcW w:w="2235" w:type="dxa"/>
            <w:tcBorders>
              <w:top w:val="nil"/>
              <w:left w:val="nil"/>
              <w:bottom w:val="single" w:sz="6" w:space="0" w:color="000000"/>
              <w:right w:val="single" w:sz="6" w:space="0" w:color="000000"/>
            </w:tcBorders>
            <w:shd w:val="clear" w:color="auto" w:fill="F2EEF8"/>
            <w:tcMar>
              <w:top w:w="60" w:type="dxa"/>
              <w:left w:w="100" w:type="dxa"/>
              <w:bottom w:w="60" w:type="dxa"/>
              <w:right w:w="100" w:type="dxa"/>
            </w:tcMar>
          </w:tcPr>
          <w:p w:rsidR="003D7A98" w:rsidRDefault="008F5318" w:rsidP="00F93E74">
            <w:pPr>
              <w:spacing w:line="240" w:lineRule="auto"/>
              <w:jc w:val="both"/>
              <w:rPr>
                <w:rFonts w:ascii="Times New Roman" w:eastAsia="Times New Roman" w:hAnsi="Times New Roman" w:cs="Times New Roman"/>
                <w:b/>
                <w:bCs/>
                <w:color w:val="C0392B"/>
                <w:sz w:val="20"/>
                <w:szCs w:val="20"/>
              </w:rPr>
            </w:pPr>
            <w:r>
              <w:rPr>
                <w:rFonts w:ascii="Times New Roman" w:eastAsia="Times New Roman" w:hAnsi="Times New Roman" w:cs="Times New Roman"/>
                <w:b/>
                <w:bCs/>
                <w:color w:val="1A7A3A"/>
                <w:sz w:val="20"/>
                <w:szCs w:val="20"/>
              </w:rPr>
              <w:t>Valorada pero criticada por falta de especificidad</w:t>
            </w:r>
            <w:r>
              <w:rPr>
                <w:rFonts w:ascii="Times New Roman" w:eastAsia="Times New Roman" w:hAnsi="Times New Roman" w:cs="Times New Roman"/>
                <w:sz w:val="20"/>
                <w:szCs w:val="20"/>
              </w:rPr>
              <w:t xml:space="preserve"> para el área de Turismo. </w:t>
            </w:r>
            <w:r>
              <w:rPr>
                <w:rFonts w:ascii="Times New Roman" w:eastAsia="Times New Roman" w:hAnsi="Times New Roman" w:cs="Times New Roman"/>
                <w:b/>
                <w:bCs/>
                <w:color w:val="C0392B"/>
                <w:sz w:val="20"/>
                <w:szCs w:val="20"/>
              </w:rPr>
              <w:t>Se descuidó la formación tecnológica de los alumnos.</w:t>
            </w:r>
          </w:p>
        </w:tc>
      </w:tr>
    </w:tbl>
    <w:p w:rsidR="003D7A98" w:rsidRDefault="008F5318" w:rsidP="00F93E74">
      <w:pPr>
        <w:spacing w:line="240" w:lineRule="auto"/>
        <w:jc w:val="center"/>
        <w:rPr>
          <w:rFonts w:ascii="Times New Roman" w:eastAsia="Times New Roman" w:hAnsi="Times New Roman" w:cs="Times New Roman"/>
        </w:rPr>
      </w:pPr>
      <w:r>
        <w:rPr>
          <w:rFonts w:ascii="Times New Roman" w:eastAsia="Times New Roman" w:hAnsi="Times New Roman" w:cs="Times New Roman"/>
          <w:sz w:val="20"/>
          <w:szCs w:val="20"/>
        </w:rPr>
        <w:t xml:space="preserve">Fuente: elaboración propia y recreada con </w:t>
      </w:r>
      <w:proofErr w:type="spellStart"/>
      <w:r>
        <w:rPr>
          <w:rFonts w:ascii="Times New Roman" w:eastAsia="Times New Roman" w:hAnsi="Times New Roman" w:cs="Times New Roman"/>
          <w:sz w:val="20"/>
          <w:szCs w:val="20"/>
        </w:rPr>
        <w:t>Gemini</w:t>
      </w:r>
      <w:proofErr w:type="spellEnd"/>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Resaltando el impacto de mayor consideración en relación a las distintas interpretaciones de cada carrera analizada, se observó:</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Antropología Social: los docentes ponían énfasis en la dimensión ética y humana del espacio privado, mostrando el propio espacio para generar confianza.</w:t>
      </w:r>
    </w:p>
    <w:p w:rsidR="003D7A98" w:rsidRDefault="00F93E74"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8F5318">
        <w:rPr>
          <w:rFonts w:ascii="Times New Roman" w:eastAsia="Times New Roman" w:hAnsi="Times New Roman" w:cs="Times New Roman"/>
        </w:rPr>
        <w:t>Profesorado en Ciencias Económicas puso el foco en la tensión entre el esfuerzo docente y las limitaciones estructurales/socioeconómicas de los alumnos.</w:t>
      </w:r>
    </w:p>
    <w:p w:rsidR="003D7A98" w:rsidRDefault="006126CF"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8F5318">
        <w:rPr>
          <w:rFonts w:ascii="Times New Roman" w:eastAsia="Times New Roman" w:hAnsi="Times New Roman" w:cs="Times New Roman"/>
        </w:rPr>
        <w:t>Guía de Turismo resaltó la dificultad técnica de formar a un profesional cuya herramienta principal era la lectura, interpretación y significado de los estudiantes, algo casi imposible de determinar con cámaras apagadas e interacciones reducidas o inexistentes.</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Algunas carreras desarrollaron innovaciones genuinas: en Antropología Social emergió la lectura cruzada de registros entre estudiantes; en el Profesorado en Ciencias Económicas, la escritura sistemática de clases se reveló como práctica </w:t>
      </w:r>
      <w:proofErr w:type="spellStart"/>
      <w:r>
        <w:rPr>
          <w:rFonts w:ascii="Times New Roman" w:eastAsia="Times New Roman" w:hAnsi="Times New Roman" w:cs="Times New Roman"/>
        </w:rPr>
        <w:t>metareflexiva</w:t>
      </w:r>
      <w:proofErr w:type="spellEnd"/>
      <w:r>
        <w:rPr>
          <w:rFonts w:ascii="Times New Roman" w:eastAsia="Times New Roman" w:hAnsi="Times New Roman" w:cs="Times New Roman"/>
        </w:rPr>
        <w:t xml:space="preserve"> que hizo visible el saber pedagógico tácito de los docentes; y Guía de turismo los alumnos grabaron audiovisuales en su entorno cotidiano (casa) actuando como guías, trasposición didáctica usada para lograr un aprendizaje situado. El análisis también registra transformaciones por sustracción: la pérdida del vínculo pedagógico encarnado, la </w:t>
      </w:r>
      <w:r>
        <w:rPr>
          <w:rFonts w:ascii="Times New Roman" w:eastAsia="Times New Roman" w:hAnsi="Times New Roman" w:cs="Times New Roman"/>
        </w:rPr>
        <w:lastRenderedPageBreak/>
        <w:t>imposibilidad de la observación directa y la supresión del territorio como espacio formativo, constituyen las fracturas más pronunciadas en carreras cuya formación descansa sobre la experiencia práctica en contextos reales. La pandemia operó como acelerador de transformaciones preexistentes en algunos casos y como límite que hizo visible la irreductibilidad de ciertas prácticas en otros. Los hallazgos interpelan las concepciones sobre innovación educativa en la universidad pública y plantean la necesidad de políticas pedagógicas que distingan entre lo que puede transformarse mediante mediación tecnológica y lo que constituye condición material del aprendizaje profesional.</w:t>
      </w:r>
    </w:p>
    <w:p w:rsidR="003D7A98" w:rsidRDefault="008F5318" w:rsidP="00F93E74">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Ayala, F., Badillo, I., Mora, M., y Cortez, A. (2022). El impacto socioemocional de la pandemia en los docentes durante el proceso de enseñanza y aprendizaje virtual. II Congreso Internacional de Ciencias Humanas, UNSAM, San Martín.</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Barbieri, A. (2020). Pensar la educación superior en tiempos de pandemia. En P. Falcón (Comp.), La universidad entre la crisis y la oportunidad. EUDEBA / UNC.</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Burbules</w:t>
      </w:r>
      <w:proofErr w:type="spellEnd"/>
      <w:r>
        <w:rPr>
          <w:rFonts w:ascii="Times New Roman" w:eastAsia="Times New Roman" w:hAnsi="Times New Roman" w:cs="Times New Roman"/>
        </w:rPr>
        <w:t>, N. C. (2014). El aprendizaje ubicuo: nuevos contextos, nuevos procesos. Revista Entramados - Educación y Sociedad, pp. 131-135.</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Cardini, A., </w:t>
      </w:r>
      <w:proofErr w:type="spellStart"/>
      <w:r>
        <w:rPr>
          <w:rFonts w:ascii="Times New Roman" w:eastAsia="Times New Roman" w:hAnsi="Times New Roman" w:cs="Times New Roman"/>
        </w:rPr>
        <w:t>Bergamaschi</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D'Alessandre</w:t>
      </w:r>
      <w:proofErr w:type="spellEnd"/>
      <w:r>
        <w:rPr>
          <w:rFonts w:ascii="Times New Roman" w:eastAsia="Times New Roman" w:hAnsi="Times New Roman" w:cs="Times New Roman"/>
        </w:rPr>
        <w:t xml:space="preserve">, V., y </w:t>
      </w:r>
      <w:proofErr w:type="spellStart"/>
      <w:r>
        <w:rPr>
          <w:rFonts w:ascii="Times New Roman" w:eastAsia="Times New Roman" w:hAnsi="Times New Roman" w:cs="Times New Roman"/>
        </w:rPr>
        <w:t>Ollivier</w:t>
      </w:r>
      <w:proofErr w:type="spellEnd"/>
      <w:r>
        <w:rPr>
          <w:rFonts w:ascii="Times New Roman" w:eastAsia="Times New Roman" w:hAnsi="Times New Roman" w:cs="Times New Roman"/>
        </w:rPr>
        <w:t>, A. (2021). Educar en tiempos de pandemia. CIPPEC.</w:t>
      </w:r>
      <w:bookmarkStart w:id="19" w:name="_GoBack"/>
      <w:bookmarkEnd w:id="19"/>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M. C. (2008). Métodos de enseñanza: didáctica general para maestros y profesores. Santillana.</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Davini</w:t>
      </w:r>
      <w:proofErr w:type="spellEnd"/>
      <w:r>
        <w:rPr>
          <w:rFonts w:ascii="Times New Roman" w:eastAsia="Times New Roman" w:hAnsi="Times New Roman" w:cs="Times New Roman"/>
        </w:rPr>
        <w:t>, M. C. (2015). La formación en la práctica docente. Paidós.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Sousa Santos, B. (2007). La Universidad en el siglo XXI. Para una reforma democrática y </w:t>
      </w:r>
      <w:proofErr w:type="spellStart"/>
      <w:r>
        <w:rPr>
          <w:rFonts w:ascii="Times New Roman" w:eastAsia="Times New Roman" w:hAnsi="Times New Roman" w:cs="Times New Roman"/>
        </w:rPr>
        <w:t>emancipatoria</w:t>
      </w:r>
      <w:proofErr w:type="spellEnd"/>
      <w:r>
        <w:rPr>
          <w:rFonts w:ascii="Times New Roman" w:eastAsia="Times New Roman" w:hAnsi="Times New Roman" w:cs="Times New Roman"/>
        </w:rPr>
        <w:t xml:space="preserve"> de la universidad. </w:t>
      </w:r>
      <w:proofErr w:type="gramStart"/>
      <w:r>
        <w:rPr>
          <w:rFonts w:ascii="Times New Roman" w:eastAsia="Times New Roman" w:hAnsi="Times New Roman" w:cs="Times New Roman"/>
        </w:rPr>
        <w:t>Plural editores</w:t>
      </w:r>
      <w:proofErr w:type="gramEnd"/>
      <w:r>
        <w:rPr>
          <w:rFonts w:ascii="Times New Roman" w:eastAsia="Times New Roman" w:hAnsi="Times New Roman" w:cs="Times New Roman"/>
        </w:rPr>
        <w:t>.</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I., y </w:t>
      </w:r>
      <w:proofErr w:type="spellStart"/>
      <w:r>
        <w:rPr>
          <w:rFonts w:ascii="Times New Roman" w:eastAsia="Times New Roman" w:hAnsi="Times New Roman" w:cs="Times New Roman"/>
        </w:rPr>
        <w:t>Pulfer</w:t>
      </w:r>
      <w:proofErr w:type="spellEnd"/>
      <w:r>
        <w:rPr>
          <w:rFonts w:ascii="Times New Roman" w:eastAsia="Times New Roman" w:hAnsi="Times New Roman" w:cs="Times New Roman"/>
        </w:rPr>
        <w:t xml:space="preserve">, D. (2018). Tecnologías y Aprendizaje: La digitalización de lo humano: silencios y omisiones en el debate pedagógico. </w:t>
      </w:r>
      <w:proofErr w:type="spellStart"/>
      <w:r>
        <w:rPr>
          <w:rFonts w:ascii="Times New Roman" w:eastAsia="Times New Roman" w:hAnsi="Times New Roman" w:cs="Times New Roman"/>
        </w:rPr>
        <w:t>Eduforics</w:t>
      </w:r>
      <w:proofErr w:type="spellEnd"/>
      <w:r>
        <w:rPr>
          <w:rFonts w:ascii="Times New Roman" w:eastAsia="Times New Roman" w:hAnsi="Times New Roman" w:cs="Times New Roman"/>
        </w:rPr>
        <w:t>.</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Dussel</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Ferrante</w:t>
      </w:r>
      <w:proofErr w:type="spellEnd"/>
      <w:r>
        <w:rPr>
          <w:rFonts w:ascii="Times New Roman" w:eastAsia="Times New Roman" w:hAnsi="Times New Roman" w:cs="Times New Roman"/>
        </w:rPr>
        <w:t xml:space="preserve">, P., y </w:t>
      </w:r>
      <w:proofErr w:type="spellStart"/>
      <w:r>
        <w:rPr>
          <w:rFonts w:ascii="Times New Roman" w:eastAsia="Times New Roman" w:hAnsi="Times New Roman" w:cs="Times New Roman"/>
        </w:rPr>
        <w:t>Pulfer</w:t>
      </w:r>
      <w:proofErr w:type="spellEnd"/>
      <w:r>
        <w:rPr>
          <w:rFonts w:ascii="Times New Roman" w:eastAsia="Times New Roman" w:hAnsi="Times New Roman" w:cs="Times New Roman"/>
        </w:rPr>
        <w:t>, D.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(2020). Pensar la educación en tiempos de pandemia: entre la emergencia, el compromiso y la espera. UNIPE.</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Falcón, P. (Comp.) (2020). La universidad entre la crisis y la oportunidad. EUDEBA / Universidad Nacional de Córdoba.</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Gervacio</w:t>
      </w:r>
      <w:proofErr w:type="spellEnd"/>
      <w:r>
        <w:rPr>
          <w:rFonts w:ascii="Times New Roman" w:eastAsia="Times New Roman" w:hAnsi="Times New Roman" w:cs="Times New Roman"/>
        </w:rPr>
        <w:t xml:space="preserve"> Jiménez, H., y Castillo Elías, B. (2022). Impactos socioemocionales, estrategias y retos docentes en el nivel medio superior durante el confinamiento por COVID-19. Revista RIDE, 12(24).</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Guber</w:t>
      </w:r>
      <w:proofErr w:type="spellEnd"/>
      <w:r>
        <w:rPr>
          <w:rFonts w:ascii="Times New Roman" w:eastAsia="Times New Roman" w:hAnsi="Times New Roman" w:cs="Times New Roman"/>
        </w:rPr>
        <w:t>, R. (2004). El salvaje metropolitano. Paidós.</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Lazarte, A., y otros (2020). Metodología de investigación cualitativa. Universidad Nacional de Misiones.</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Maggio</w:t>
      </w:r>
      <w:proofErr w:type="spellEnd"/>
      <w:r>
        <w:rPr>
          <w:rFonts w:ascii="Times New Roman" w:eastAsia="Times New Roman" w:hAnsi="Times New Roman" w:cs="Times New Roman"/>
        </w:rPr>
        <w:t>, M. (2020). Prácticas educativas reinventadas: orientar a los docentes en la irrupción de nuevas formas de enseñanza en contextos de emergencia. UNICEF.</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Miguel Román, J. A. (2020). La educación superior en tiempos de pandemia: una visión desde dentro del proceso formativo. RLEE Nueva Época, Volumen I - Número Especial, pp. 13-40.</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Prieto Castillo, D. (2020). Volver a la pedagogía. Revista Innovaciones Educativas, 22 (Número Especial).</w:t>
      </w:r>
    </w:p>
    <w:p w:rsidR="003D7A98" w:rsidRDefault="008F5318"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Prieto Castillo, D., y Gutiérrez Pérez, F. (2007). La mediación pedagógica. La Crujía.</w:t>
      </w:r>
    </w:p>
    <w:p w:rsidR="003D7A98"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Puiggrós</w:t>
      </w:r>
      <w:proofErr w:type="spellEnd"/>
      <w:r>
        <w:rPr>
          <w:rFonts w:ascii="Times New Roman" w:eastAsia="Times New Roman" w:hAnsi="Times New Roman" w:cs="Times New Roman"/>
        </w:rPr>
        <w:t>, A. (2020). Balance del estado de la educación en época de pandemia en América Latina: el caso de Argentina. Documento de trabajo.</w:t>
      </w:r>
    </w:p>
    <w:p w:rsidR="003D7A98" w:rsidRDefault="00F93E74" w:rsidP="00F93E74">
      <w:pPr>
        <w:spacing w:line="240" w:lineRule="auto"/>
        <w:jc w:val="both"/>
        <w:rPr>
          <w:rFonts w:ascii="Times New Roman" w:eastAsia="Times New Roman" w:hAnsi="Times New Roman" w:cs="Times New Roman"/>
        </w:rPr>
      </w:pPr>
      <w:r>
        <w:rPr>
          <w:rFonts w:ascii="Times New Roman" w:eastAsia="Times New Roman" w:hAnsi="Times New Roman" w:cs="Times New Roman"/>
        </w:rPr>
        <w:t>U</w:t>
      </w:r>
      <w:r w:rsidR="008F5318">
        <w:rPr>
          <w:rFonts w:ascii="Times New Roman" w:eastAsia="Times New Roman" w:hAnsi="Times New Roman" w:cs="Times New Roman"/>
        </w:rPr>
        <w:t>NESCO-IESALC (2020). COVID-19 y educación superior: de los efectos inmediatos al día después. https://www.iesalc.unesco.org</w:t>
      </w:r>
    </w:p>
    <w:p w:rsidR="003D7A98" w:rsidRPr="002A25AB" w:rsidRDefault="008F5318" w:rsidP="00F93E74">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Vigotsky</w:t>
      </w:r>
      <w:proofErr w:type="spellEnd"/>
      <w:r>
        <w:rPr>
          <w:rFonts w:ascii="Times New Roman" w:eastAsia="Times New Roman" w:hAnsi="Times New Roman" w:cs="Times New Roman"/>
        </w:rPr>
        <w:t>, L. (2004). Teoría de las emociones. Es</w:t>
      </w:r>
      <w:r w:rsidR="002A25AB">
        <w:rPr>
          <w:rFonts w:ascii="Times New Roman" w:eastAsia="Times New Roman" w:hAnsi="Times New Roman" w:cs="Times New Roman"/>
        </w:rPr>
        <w:t>tudio teórico-psicológico. Akal.</w:t>
      </w:r>
    </w:p>
    <w:p w:rsidR="003D7A98" w:rsidRDefault="003D7A98" w:rsidP="00851204">
      <w:pPr>
        <w:spacing w:line="240" w:lineRule="auto"/>
        <w:rPr>
          <w:rFonts w:ascii="Times New Roman" w:eastAsia="Times New Roman" w:hAnsi="Times New Roman" w:cs="Times New Roman"/>
        </w:rPr>
      </w:pPr>
    </w:p>
    <w:sectPr w:rsidR="003D7A98">
      <w:headerReference w:type="default" r:id="rId8"/>
      <w:footerReference w:type="default" r:id="rId9"/>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910" w:rsidRDefault="008A1910">
      <w:pPr>
        <w:spacing w:after="0" w:line="240" w:lineRule="auto"/>
      </w:pPr>
      <w:r>
        <w:separator/>
      </w:r>
    </w:p>
  </w:endnote>
  <w:endnote w:type="continuationSeparator" w:id="0">
    <w:p w:rsidR="008A1910" w:rsidRDefault="008A1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9B889F7-EFBE-46B5-B8F1-DAFEC249ED44}"/>
    <w:embedItalic r:id="rId2" w:fontKey="{839687A9-EC96-4C4B-B9B9-7BD759CF7E5A}"/>
  </w:font>
  <w:font w:name="Cambria">
    <w:panose1 w:val="02040503050406030204"/>
    <w:charset w:val="00"/>
    <w:family w:val="roman"/>
    <w:pitch w:val="variable"/>
    <w:sig w:usb0="E00006FF" w:usb1="420024FF" w:usb2="02000000" w:usb3="00000000" w:csb0="0000019F" w:csb1="00000000"/>
    <w:embedRegular r:id="rId3" w:fontKey="{822AE4AB-C5C6-4D19-9EAF-A00F2C2745C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A98" w:rsidRDefault="008F5318">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rsidR="003D7A98" w:rsidRDefault="003D7A9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910" w:rsidRDefault="008A1910">
      <w:pPr>
        <w:spacing w:after="0" w:line="240" w:lineRule="auto"/>
      </w:pPr>
      <w:r>
        <w:separator/>
      </w:r>
    </w:p>
  </w:footnote>
  <w:footnote w:type="continuationSeparator" w:id="0">
    <w:p w:rsidR="008A1910" w:rsidRDefault="008A1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A98" w:rsidRDefault="008F5318">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F0439"/>
    <w:multiLevelType w:val="multilevel"/>
    <w:tmpl w:val="51523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A98"/>
    <w:rsid w:val="002A25AB"/>
    <w:rsid w:val="003D7A98"/>
    <w:rsid w:val="006126CF"/>
    <w:rsid w:val="007B101C"/>
    <w:rsid w:val="00851204"/>
    <w:rsid w:val="008A1910"/>
    <w:rsid w:val="008F5318"/>
    <w:rsid w:val="00E525EB"/>
    <w:rsid w:val="00F93E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D261"/>
  <w15:docId w15:val="{638DD35E-0195-4D7A-87A7-747A0C1C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Pr>
  </w:style>
  <w:style w:type="paragraph" w:customStyle="1" w:styleId="Default">
    <w:name w:val="Default"/>
    <w:rsid w:val="00851204"/>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3aUznq0lxZDxfV6cSO8CKTQdA==">CgMxLjAyDmguZGUxM3YyeHg5NjdmMg1oLm1weTdsbnU5ZnU4Mg5oLm56amh0amN3dGkyazIOaC42dG9xamd2c2Q4MDEyDmguOTM1MnJnYzI0NnF5Mg5oLnAxYXh6Y3dtM3lkOTIOaC5kYjNtM21pd3lpc3gyDmgub3B3ZzJiNTQ3ODE0Mg5oLmdlMWx0OWY4bDN1dTIOaC4xYzZ3ZWFzcWZ5cjAyDmgub3dlYWpqbzlzaW83Mg1oLnluYjNwc3JjNXpoMg5oLmN6ZDNwY3c2ODNtcjIOaC54dWVwMDhpcHFnOXUyDmgubW4zc2F0c2o2cWRqMg5oLnI3Mmo1a3J2aDBnNDIOaC54ZGxvNHFvcXl4aGsyDmguZG5lMXhwa2dsYXUwMg5oLnc3cWJzaWZwa244bDgAciExVjJNM1Y3WUJQeVktYWJGUWttXzE5YkxlS0dIYWllM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8051</Words>
  <Characters>44282</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Wrobel</dc:creator>
  <cp:lastModifiedBy>Claudia Wrobel</cp:lastModifiedBy>
  <cp:revision>6</cp:revision>
  <dcterms:created xsi:type="dcterms:W3CDTF">2026-06-29T22:59:00Z</dcterms:created>
  <dcterms:modified xsi:type="dcterms:W3CDTF">2026-06-29T23:51:00Z</dcterms:modified>
</cp:coreProperties>
</file>