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6048D" w:rsidRDefault="00D6048D">
      <w:pPr>
        <w:jc w:val="center"/>
        <w:rPr>
          <w:rFonts w:ascii="Times New Roman" w:eastAsia="Times New Roman" w:hAnsi="Times New Roman" w:cs="Times New Roman"/>
        </w:rPr>
      </w:pPr>
    </w:p>
    <w:p w14:paraId="00000002" w14:textId="77777777" w:rsidR="00D6048D" w:rsidRPr="00A73CCE" w:rsidRDefault="00CC59DB">
      <w:pPr>
        <w:jc w:val="center"/>
        <w:rPr>
          <w:rFonts w:ascii="Times New Roman" w:eastAsia="Times New Roman" w:hAnsi="Times New Roman" w:cs="Times New Roman"/>
          <w:b/>
          <w:bCs/>
          <w:lang w:val="es-AR"/>
        </w:rPr>
      </w:pPr>
      <w:r w:rsidRPr="00A73CCE">
        <w:rPr>
          <w:rFonts w:ascii="Times New Roman" w:eastAsia="Times New Roman" w:hAnsi="Times New Roman" w:cs="Times New Roman"/>
          <w:b/>
          <w:bCs/>
          <w:lang w:val="es-AR"/>
        </w:rPr>
        <w:t>Inteligencia Artificial Generativa y desarrollo profesional docente: una propuesta para promover la reflexión metacognitiva en futuros profesores de ciencias.</w:t>
      </w:r>
    </w:p>
    <w:p w14:paraId="00000003" w14:textId="77777777" w:rsidR="00D6048D" w:rsidRPr="00A73CCE" w:rsidRDefault="00CC59DB">
      <w:pPr>
        <w:jc w:val="center"/>
        <w:rPr>
          <w:rFonts w:ascii="Times New Roman" w:eastAsia="Times New Roman" w:hAnsi="Times New Roman" w:cs="Times New Roman"/>
          <w:b/>
          <w:bCs/>
          <w:lang w:val="es-AR"/>
        </w:rPr>
      </w:pPr>
      <w:r w:rsidRPr="00A73CCE">
        <w:rPr>
          <w:rFonts w:ascii="Times New Roman" w:eastAsia="Times New Roman" w:hAnsi="Times New Roman" w:cs="Times New Roman"/>
          <w:b/>
          <w:bCs/>
          <w:lang w:val="es-AR"/>
        </w:rPr>
        <w:t xml:space="preserve"> </w:t>
      </w:r>
    </w:p>
    <w:p w14:paraId="00000004" w14:textId="77777777" w:rsidR="00D6048D" w:rsidRPr="00A73CCE" w:rsidRDefault="00D6048D">
      <w:pPr>
        <w:jc w:val="center"/>
        <w:rPr>
          <w:rFonts w:ascii="Times New Roman" w:eastAsia="Times New Roman" w:hAnsi="Times New Roman" w:cs="Times New Roman"/>
          <w:lang w:val="es-AR"/>
        </w:rPr>
      </w:pPr>
    </w:p>
    <w:p w14:paraId="00000005" w14:textId="77777777" w:rsidR="00D6048D" w:rsidRPr="00A73CCE" w:rsidRDefault="00CC59DB">
      <w:pPr>
        <w:spacing w:after="0" w:line="240" w:lineRule="auto"/>
        <w:jc w:val="right"/>
        <w:rPr>
          <w:rFonts w:ascii="Times New Roman" w:eastAsia="Times New Roman" w:hAnsi="Times New Roman" w:cs="Times New Roman"/>
          <w:lang w:val="es-AR"/>
        </w:rPr>
      </w:pPr>
      <w:r w:rsidRPr="00A73CCE">
        <w:rPr>
          <w:rFonts w:ascii="Times New Roman" w:eastAsia="Times New Roman" w:hAnsi="Times New Roman" w:cs="Times New Roman"/>
          <w:lang w:val="es-AR"/>
        </w:rPr>
        <w:t>Di Mauro, María Florencia</w:t>
      </w:r>
    </w:p>
    <w:p w14:paraId="00000006" w14:textId="77777777" w:rsidR="00D6048D" w:rsidRPr="00A73CCE" w:rsidRDefault="00CC59DB">
      <w:pPr>
        <w:spacing w:after="0" w:line="240" w:lineRule="auto"/>
        <w:ind w:left="2160" w:firstLine="720"/>
        <w:jc w:val="center"/>
        <w:rPr>
          <w:rFonts w:ascii="Times New Roman" w:eastAsia="Times New Roman" w:hAnsi="Times New Roman" w:cs="Times New Roman"/>
          <w:lang w:val="es-AR"/>
        </w:rPr>
      </w:pPr>
      <w:r w:rsidRPr="00A73CCE">
        <w:rPr>
          <w:rFonts w:ascii="Times New Roman" w:eastAsia="Times New Roman" w:hAnsi="Times New Roman" w:cs="Times New Roman"/>
          <w:lang w:val="es-AR"/>
        </w:rPr>
        <w:t xml:space="preserve">Departamento de Educación Científica, FCEyN, UNMdP. </w:t>
      </w:r>
    </w:p>
    <w:p w14:paraId="00000007" w14:textId="77777777" w:rsidR="00D6048D" w:rsidRDefault="00CC59D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flordimauro@gmail.com</w:t>
      </w:r>
    </w:p>
    <w:p w14:paraId="00000008" w14:textId="77777777" w:rsidR="00D6048D" w:rsidRDefault="00D6048D">
      <w:pPr>
        <w:rPr>
          <w:rFonts w:ascii="Times New Roman" w:eastAsia="Times New Roman" w:hAnsi="Times New Roman" w:cs="Times New Roman"/>
        </w:rPr>
      </w:pPr>
    </w:p>
    <w:p w14:paraId="00000009" w14:textId="77777777" w:rsidR="00D6048D" w:rsidRDefault="00CC59D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Funes, Leonardo</w:t>
      </w:r>
    </w:p>
    <w:p w14:paraId="0000000A" w14:textId="77777777" w:rsidR="00D6048D" w:rsidRDefault="00CC59D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Departamento de Educación Científica, FCEyN, UNMdP.</w:t>
      </w:r>
    </w:p>
    <w:p w14:paraId="0000000B" w14:textId="77777777" w:rsidR="00D6048D" w:rsidRDefault="00CC59DB">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leofunes@gmail.com</w:t>
      </w:r>
    </w:p>
    <w:p w14:paraId="0000000C" w14:textId="77777777" w:rsidR="00D6048D" w:rsidRDefault="00D6048D">
      <w:pPr>
        <w:spacing w:after="0" w:line="240" w:lineRule="auto"/>
        <w:jc w:val="right"/>
        <w:rPr>
          <w:rFonts w:ascii="Times New Roman" w:eastAsia="Times New Roman" w:hAnsi="Times New Roman" w:cs="Times New Roman"/>
        </w:rPr>
      </w:pPr>
    </w:p>
    <w:p w14:paraId="0000000D" w14:textId="77777777" w:rsidR="00D6048D" w:rsidRDefault="00CC59DB">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Ferrante, J</w:t>
      </w:r>
      <w:sdt>
        <w:sdtPr>
          <w:tag w:val="goog_rdk_0"/>
          <w:id w:val="-605237463"/>
        </w:sdtPr>
        <w:sdtEndPr/>
        <w:sdtContent/>
      </w:sdt>
      <w:r>
        <w:rPr>
          <w:rFonts w:ascii="Times New Roman" w:eastAsia="Times New Roman" w:hAnsi="Times New Roman" w:cs="Times New Roman"/>
        </w:rPr>
        <w:t>uan</w:t>
      </w:r>
      <w:bookmarkStart w:id="0" w:name="_GoBack"/>
      <w:bookmarkEnd w:id="0"/>
    </w:p>
    <w:p w14:paraId="0000000E" w14:textId="77777777" w:rsidR="00D6048D" w:rsidRDefault="00CC59DB">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t xml:space="preserve">                                                Departamento de Educación Científica, FCEyN, UNMdP.</w:t>
      </w:r>
    </w:p>
    <w:p w14:paraId="0000000F" w14:textId="77777777" w:rsidR="00D6048D" w:rsidRDefault="00CC59DB">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ferrantejuan@gmail.c</w:t>
      </w:r>
      <w:r>
        <w:rPr>
          <w:rFonts w:ascii="Times New Roman" w:eastAsia="Times New Roman" w:hAnsi="Times New Roman" w:cs="Times New Roman"/>
        </w:rPr>
        <w:t>om</w:t>
      </w:r>
    </w:p>
    <w:p w14:paraId="00000010" w14:textId="77777777" w:rsidR="00D6048D" w:rsidRDefault="00D6048D">
      <w:pPr>
        <w:rPr>
          <w:rFonts w:ascii="Times New Roman" w:eastAsia="Times New Roman" w:hAnsi="Times New Roman" w:cs="Times New Roman"/>
          <w:b/>
          <w:bCs/>
        </w:rPr>
      </w:pPr>
    </w:p>
    <w:p w14:paraId="00000011" w14:textId="77777777" w:rsidR="00D6048D" w:rsidRDefault="00CC59DB">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14:paraId="00000012"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La irrupción de la Inteligencia Artificial Generativa (IAG) en la educación plantea un gran desafío en la formación de profesores de ciencias. Los docentes en formación pueden asumir a la tecnología como una autoridad epistémica incuestionable,</w:t>
      </w:r>
      <w:r>
        <w:rPr>
          <w:rFonts w:ascii="Times New Roman" w:eastAsia="Times New Roman" w:hAnsi="Times New Roman" w:cs="Times New Roman"/>
        </w:rPr>
        <w:t xml:space="preserve"> cayendo en lo que Swindell et al. (2024) denominan "trabajo de consumo", donde se terceriza el pensamiento crítico frente a las afirmaciones algorítmicas entendidas como verdades irrefutables. Para evitar este sedentarismo cognitivo, la formación del prof</w:t>
      </w:r>
      <w:r>
        <w:rPr>
          <w:rFonts w:ascii="Times New Roman" w:eastAsia="Times New Roman" w:hAnsi="Times New Roman" w:cs="Times New Roman"/>
        </w:rPr>
        <w:t>esorado en ciencias debe promover un uso orientado hacia lo que Swindell et al (2024) llaman "acción humanizadora". Bajo este marco, el presente trabajo tuvo como objetivo caracterizar la interacción con IA  de los estudiantes del profesorado en ciencias d</w:t>
      </w:r>
      <w:r>
        <w:rPr>
          <w:rFonts w:ascii="Times New Roman" w:eastAsia="Times New Roman" w:hAnsi="Times New Roman" w:cs="Times New Roman"/>
        </w:rPr>
        <w:t>urante una propuesta de evaluación reflexiva de sus propias producciones en el marco de una materia del área pedagógica-didáctica a modo de promover el desarrollo profesional docente en la formación inicial. Para cumplir con el objetivo se analiza una secu</w:t>
      </w:r>
      <w:r>
        <w:rPr>
          <w:rFonts w:ascii="Times New Roman" w:eastAsia="Times New Roman" w:hAnsi="Times New Roman" w:cs="Times New Roman"/>
        </w:rPr>
        <w:t>encia didáctica implementada en la asignatura Didáctica de Biología, Química y Física, diseñada intencionalmente para fomentar la vigilancia metacognitiva (Bravo et al., 2025) A partir del análisis cualitativo de las producciones escritas de una cohorte de</w:t>
      </w:r>
      <w:r>
        <w:rPr>
          <w:rFonts w:ascii="Times New Roman" w:eastAsia="Times New Roman" w:hAnsi="Times New Roman" w:cs="Times New Roman"/>
        </w:rPr>
        <w:t xml:space="preserve"> ocho estudiantes, se indagan las respuestas a dos actividades que exigen contrastar el razonamiento humano con el de la IAG. En la primera, los estudiantes solicitaron a la IAG que analizara sus propias propuestas didácticas a la luz de los lineamientos d</w:t>
      </w:r>
      <w:r>
        <w:rPr>
          <w:rFonts w:ascii="Times New Roman" w:eastAsia="Times New Roman" w:hAnsi="Times New Roman" w:cs="Times New Roman"/>
        </w:rPr>
        <w:t xml:space="preserve">el Diseño Curricular oficial, debiendo luego fundamentar su nivel de acuerdo con lo propuesto por IAG. En la segunda, formularon interrogantes a la IAG sobre la enseñanza escolar de modelos científicos y debieron refutar o matizar las respuestas basándose </w:t>
      </w:r>
      <w:r>
        <w:rPr>
          <w:rFonts w:ascii="Times New Roman" w:eastAsia="Times New Roman" w:hAnsi="Times New Roman" w:cs="Times New Roman"/>
        </w:rPr>
        <w:t xml:space="preserve">en la bibliografía abordada en las clases. Los resultados revelan que, si bien la IAG tiende a </w:t>
      </w:r>
      <w:r>
        <w:rPr>
          <w:rFonts w:ascii="Times New Roman" w:eastAsia="Times New Roman" w:hAnsi="Times New Roman" w:cs="Times New Roman"/>
        </w:rPr>
        <w:lastRenderedPageBreak/>
        <w:t>actuar como un "espejo benevolente" que sobre-interpreta y simplifica las intenciones didácticas, las consignas de contraste permiten a los estudiantes ejercer r</w:t>
      </w:r>
      <w:r>
        <w:rPr>
          <w:rFonts w:ascii="Times New Roman" w:eastAsia="Times New Roman" w:hAnsi="Times New Roman" w:cs="Times New Roman"/>
        </w:rPr>
        <w:t>esistencia epistémica. Lejos de aceptar pasivamente las respuestas, los estudiantes lograron identificar el enfoque reduccionista de la IAG, cuestionar definiciones superficiales de conceptos complejos (como la transposición didáctica) y contraargumentar u</w:t>
      </w:r>
      <w:r>
        <w:rPr>
          <w:rFonts w:ascii="Times New Roman" w:eastAsia="Times New Roman" w:hAnsi="Times New Roman" w:cs="Times New Roman"/>
        </w:rPr>
        <w:t>tilizando perspectivas históricas y epistemológicas de la ciencia abordadas en clase. Se concluye que el diseño de consignas que exigen la interacción crítica de las respuestas de la IAG es fundamental para el desarrollo profesional docente. Así, el diseño</w:t>
      </w:r>
      <w:r>
        <w:rPr>
          <w:rFonts w:ascii="Times New Roman" w:eastAsia="Times New Roman" w:hAnsi="Times New Roman" w:cs="Times New Roman"/>
        </w:rPr>
        <w:t xml:space="preserve"> de dispositivos donde la IAG no funcione como una verdad absoluta que fomente la dependencia, resulta central como un instrumento de contraste que movilice el propio desarrollo reflexivo orientado hacia una acción humanizadora como proponen Swindell et al</w:t>
      </w:r>
      <w:r>
        <w:rPr>
          <w:rFonts w:ascii="Times New Roman" w:eastAsia="Times New Roman" w:hAnsi="Times New Roman" w:cs="Times New Roman"/>
        </w:rPr>
        <w:t>.(2024).</w:t>
      </w:r>
    </w:p>
    <w:p w14:paraId="00000013" w14:textId="77777777" w:rsidR="00D6048D" w:rsidRDefault="00D6048D">
      <w:pPr>
        <w:spacing w:line="240" w:lineRule="auto"/>
        <w:jc w:val="both"/>
        <w:rPr>
          <w:rFonts w:ascii="Times New Roman" w:eastAsia="Times New Roman" w:hAnsi="Times New Roman" w:cs="Times New Roman"/>
          <w:b/>
          <w:bCs/>
        </w:rPr>
      </w:pPr>
    </w:p>
    <w:p w14:paraId="00000014"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Palabras clave: </w:t>
      </w:r>
      <w:r>
        <w:rPr>
          <w:rFonts w:ascii="Times New Roman" w:eastAsia="Times New Roman" w:hAnsi="Times New Roman" w:cs="Times New Roman"/>
        </w:rPr>
        <w:t>Inteligencia Artificial Generativa, Formación Docente, Didáctica de las Ciencias, contraste epistémico</w:t>
      </w:r>
    </w:p>
    <w:p w14:paraId="00000015" w14:textId="77777777" w:rsidR="00D6048D" w:rsidRDefault="00D6048D">
      <w:pPr>
        <w:spacing w:line="240" w:lineRule="auto"/>
        <w:jc w:val="both"/>
        <w:rPr>
          <w:rFonts w:ascii="Times New Roman" w:eastAsia="Times New Roman" w:hAnsi="Times New Roman" w:cs="Times New Roman"/>
        </w:rPr>
      </w:pPr>
    </w:p>
    <w:p w14:paraId="00000016"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00000017"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La irrupción de la Inteligencia Artificial Generativa (IAG) ha transformado de manera acelerada los escenarios educativos, impactando profundamente tanto en las prácticas científicas (Erduran y Levrini, 2024) como en los modelos organizativos y de enseñanz</w:t>
      </w:r>
      <w:r>
        <w:rPr>
          <w:rFonts w:ascii="Times New Roman" w:eastAsia="Times New Roman" w:hAnsi="Times New Roman" w:cs="Times New Roman"/>
        </w:rPr>
        <w:t>a (Álvarez Merelo y Cepeda Morante, 2024). Si bien la literatura reciente destaca el enorme potencial de estas herramientas para asistir en el diseño instructivo y personalizar el aprendizaje (González-González, 2023), la investigación en torno a cómo prep</w:t>
      </w:r>
      <w:r>
        <w:rPr>
          <w:rFonts w:ascii="Times New Roman" w:eastAsia="Times New Roman" w:hAnsi="Times New Roman" w:cs="Times New Roman"/>
        </w:rPr>
        <w:t>arar a los docentes para integrar estas tecnologías desde una postura crítica aún es incipiente.</w:t>
      </w:r>
    </w:p>
    <w:p w14:paraId="00000018"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Gran parte de los debates actuales en torno a la IAG en la educación superior se han centrado en la integridad académica, el riesgo de plagio o la mera eficien</w:t>
      </w:r>
      <w:r>
        <w:rPr>
          <w:rFonts w:ascii="Times New Roman" w:eastAsia="Times New Roman" w:hAnsi="Times New Roman" w:cs="Times New Roman"/>
        </w:rPr>
        <w:t>cia en la automatización de tareas rutinarias. Sin embargo, se ha prestado mucha menor atención al impacto profundo que estas herramientas tienen sobre la construcción del Conocimiento Didáctico del Contenido (CDC) y la identidad profesional. En la enseñan</w:t>
      </w:r>
      <w:r>
        <w:rPr>
          <w:rFonts w:ascii="Times New Roman" w:eastAsia="Times New Roman" w:hAnsi="Times New Roman" w:cs="Times New Roman"/>
        </w:rPr>
        <w:t xml:space="preserve">za de las Ciencias Naturales, en particular, el aprendizaje no consiste simplemente en la acumulación de datos, sino en la apropiación de modelos explicativos, la indagación y la evaluación crítica de la evidencia. Delegar estas dimensiones a un algoritmo </w:t>
      </w:r>
      <w:r>
        <w:rPr>
          <w:rFonts w:ascii="Times New Roman" w:eastAsia="Times New Roman" w:hAnsi="Times New Roman" w:cs="Times New Roman"/>
        </w:rPr>
        <w:t>sin el escrutinio adecuado compromete la esencia misma de la educación científica.</w:t>
      </w:r>
    </w:p>
    <w:p w14:paraId="00000019"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En la formación inicial de profesores de Ciencias Naturales (Biología, Química y Física), la integración de la IAG plantea, por lo tanto, un desafío epistemológico y didácti</w:t>
      </w:r>
      <w:r>
        <w:rPr>
          <w:rFonts w:ascii="Times New Roman" w:eastAsia="Times New Roman" w:hAnsi="Times New Roman" w:cs="Times New Roman"/>
        </w:rPr>
        <w:t>co ineludible. Como advierten Funes y Ferrante (2025), en un trabajo que estudia los enfoques de aprendizaje mediados por la IAG, ésta no es vista por futuros docentes como una herramienta neutra, sino un agente mediador que modifica sus intenciones pedagó</w:t>
      </w:r>
      <w:r>
        <w:rPr>
          <w:rFonts w:ascii="Times New Roman" w:eastAsia="Times New Roman" w:hAnsi="Times New Roman" w:cs="Times New Roman"/>
        </w:rPr>
        <w:t xml:space="preserve">gicas. La fluidez conversacional de estos sistemas puede generar una ilusión de objetividad. Esta ilusión se ve fuertemente potenciada por el tono asertivo, gramaticalmente impecable y de aparente autoridad con el que los Grandes Modelos de Lenguaje (LLM) </w:t>
      </w:r>
      <w:r>
        <w:rPr>
          <w:rFonts w:ascii="Times New Roman" w:eastAsia="Times New Roman" w:hAnsi="Times New Roman" w:cs="Times New Roman"/>
        </w:rPr>
        <w:t xml:space="preserve">generan sus respuestas. En áreas vinculadas a las ciencias exactas y </w:t>
      </w:r>
      <w:r>
        <w:rPr>
          <w:rFonts w:ascii="Times New Roman" w:eastAsia="Times New Roman" w:hAnsi="Times New Roman" w:cs="Times New Roman"/>
        </w:rPr>
        <w:lastRenderedPageBreak/>
        <w:t>naturales, donde históricamente ha predominado una visión positivista que busca la "respuesta correcta", los estudiantes son especialmente vulnerables a aceptar las afirmaciones de la máq</w:t>
      </w:r>
      <w:r>
        <w:rPr>
          <w:rFonts w:ascii="Times New Roman" w:eastAsia="Times New Roman" w:hAnsi="Times New Roman" w:cs="Times New Roman"/>
        </w:rPr>
        <w:t>uina como verdades definitivas, ignorando que dichos modelos pueden incurrir en alucinaciones o reproducir graves sesgos y simplificaciones conceptuales.</w:t>
      </w:r>
    </w:p>
    <w:p w14:paraId="0000001A"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Sin la mediación adecuada, existe un alto riesgo de que los docentes en formación asuman a la máquina </w:t>
      </w:r>
      <w:r>
        <w:rPr>
          <w:rFonts w:ascii="Times New Roman" w:eastAsia="Times New Roman" w:hAnsi="Times New Roman" w:cs="Times New Roman"/>
        </w:rPr>
        <w:t>como una autoridad epistémica incuestionable. Este uso irreflexivo puede derivar en un "sedentarismo cognitivo" (Serrano y Moreno-García, 2024), donde los estudiantes delegan tareas complejas a la máquina, favoreciendo un procesamiento pasivo de la informa</w:t>
      </w:r>
      <w:r>
        <w:rPr>
          <w:rFonts w:ascii="Times New Roman" w:eastAsia="Times New Roman" w:hAnsi="Times New Roman" w:cs="Times New Roman"/>
        </w:rPr>
        <w:t>ción y comprometiendo el desarrollo de competencias clave para su futura labor profesional (Cabellos et al., 2026). Si los futuros educadores naturalizan este vínculo de dependencia algorítmica durante su propia etapa formativa, resulta inminente el riesgo</w:t>
      </w:r>
      <w:r>
        <w:rPr>
          <w:rFonts w:ascii="Times New Roman" w:eastAsia="Times New Roman" w:hAnsi="Times New Roman" w:cs="Times New Roman"/>
        </w:rPr>
        <w:t xml:space="preserve"> de que, una vez insertos en el sistema educativo, reproduzcan lógicas de enseñanza transaccionales y mecánicas, perpetuando un modelo educativo despojado de creatividad.</w:t>
      </w:r>
    </w:p>
    <w:p w14:paraId="0000001B"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Frente a esta problemática, resulta imperativo repensar el tipo de interacción que se</w:t>
      </w:r>
      <w:r>
        <w:rPr>
          <w:rFonts w:ascii="Times New Roman" w:eastAsia="Times New Roman" w:hAnsi="Times New Roman" w:cs="Times New Roman"/>
        </w:rPr>
        <w:t xml:space="preserve"> fomenta con la tecnología. No se trata de prohibir ni de resistir de manera tecnofóbica el avance de la IAG, sino de diseñar escenarios didácticos que provoquen una genuina fricción cognitiva, desplazando a la IA de su rol de "oráculo" para ubicarla como </w:t>
      </w:r>
      <w:r>
        <w:rPr>
          <w:rFonts w:ascii="Times New Roman" w:eastAsia="Times New Roman" w:hAnsi="Times New Roman" w:cs="Times New Roman"/>
        </w:rPr>
        <w:t xml:space="preserve">un interlocutor falible. El presente trabajo tuvo como objetivo caracterizar la interacción con IAG de los estudiantes del profesorado en ciencias durante una propuesta de evaluación reflexiva de sus propias producciones. La experiencia se llevó a cabo en </w:t>
      </w:r>
      <w:r>
        <w:rPr>
          <w:rFonts w:ascii="Times New Roman" w:eastAsia="Times New Roman" w:hAnsi="Times New Roman" w:cs="Times New Roman"/>
        </w:rPr>
        <w:t>el marco de una materia del área pedagógica-didáctica, con el propósito de promover el desarrollo profesional docente. A través del análisis de actividades que exigen contrastar el razonamiento humano con las devoluciones de la IA, se busca aportar evidenc</w:t>
      </w:r>
      <w:r>
        <w:rPr>
          <w:rFonts w:ascii="Times New Roman" w:eastAsia="Times New Roman" w:hAnsi="Times New Roman" w:cs="Times New Roman"/>
        </w:rPr>
        <w:t>ia empírica sobre cómo diseñar dispositivos donde la IAG deje de operar como una verdad absoluta y se convierta en un instrumento que movilice el desarrollo reflexivo.</w:t>
      </w:r>
    </w:p>
    <w:p w14:paraId="0000001C"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t>Marco Teórico</w:t>
      </w:r>
    </w:p>
    <w:p w14:paraId="0000001D"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Para comprender las dinámicas de interacción entre los docentes en formaci</w:t>
      </w:r>
      <w:r>
        <w:rPr>
          <w:rFonts w:ascii="Times New Roman" w:eastAsia="Times New Roman" w:hAnsi="Times New Roman" w:cs="Times New Roman"/>
        </w:rPr>
        <w:t>ón y la inteligencia artificial, este trabajo se fundamenta en la articulación de tres perspectivas teóricas centrales: el enfoque ético-pedagógico del uso de la IAG, el desarrollo de la metacognición en la didáctica de las ciencias y el ejercicio del juic</w:t>
      </w:r>
      <w:r>
        <w:rPr>
          <w:rFonts w:ascii="Times New Roman" w:eastAsia="Times New Roman" w:hAnsi="Times New Roman" w:cs="Times New Roman"/>
        </w:rPr>
        <w:t>io evaluativo en la formación profesional.</w:t>
      </w:r>
    </w:p>
    <w:p w14:paraId="0000001E"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La perspectiva filosófico-educativa propuesta por Swindell et al. (2024) sostiene que el uso acrítico de la IA conduce a lo que denominan "Trabajo de consumo". Bajo esta modalidad, los usuarios externalizan el pen</w:t>
      </w:r>
      <w:r>
        <w:rPr>
          <w:rFonts w:ascii="Times New Roman" w:eastAsia="Times New Roman" w:hAnsi="Times New Roman" w:cs="Times New Roman"/>
        </w:rPr>
        <w:t>samiento y se someten a los "regímenes de verdad" algorítmicos. La IA, al presentar información generada probabilísticamente con un tono de absoluta certeza, fomentan una dependencia que vacía a la práctica educativa de su propósito reflexivo. Esto coincid</w:t>
      </w:r>
      <w:r>
        <w:rPr>
          <w:rFonts w:ascii="Times New Roman" w:eastAsia="Times New Roman" w:hAnsi="Times New Roman" w:cs="Times New Roman"/>
        </w:rPr>
        <w:t>e con lo que Funes y Ferrante (2025) catalogan como el riesgo inminente de una "educación artificial".</w:t>
      </w:r>
    </w:p>
    <w:p w14:paraId="0000001F"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Para contrarrestar esto, Swindell et al. (2024) proponen orientar el uso de la tecnología hacia una "Acción humanizadora". Inspirada en la pedagogía crít</w:t>
      </w:r>
      <w:r>
        <w:rPr>
          <w:rFonts w:ascii="Times New Roman" w:eastAsia="Times New Roman" w:hAnsi="Times New Roman" w:cs="Times New Roman"/>
        </w:rPr>
        <w:t xml:space="preserve">ica, esta perspectiva </w:t>
      </w:r>
      <w:r>
        <w:rPr>
          <w:rFonts w:ascii="Times New Roman" w:eastAsia="Times New Roman" w:hAnsi="Times New Roman" w:cs="Times New Roman"/>
        </w:rPr>
        <w:lastRenderedPageBreak/>
        <w:t>sostiene que la IA debe promover la concientización, la agencia y la co-creación. Ahora bien, el modo en que los estudiantes asumen este desafío está fuertemente mediado por sus creencias pedagógicas. Como muestran Cabellos et al. (20</w:t>
      </w:r>
      <w:r>
        <w:rPr>
          <w:rFonts w:ascii="Times New Roman" w:eastAsia="Times New Roman" w:hAnsi="Times New Roman" w:cs="Times New Roman"/>
        </w:rPr>
        <w:t>26), los estudiantes con concepciones reproductivas tienden a darle un uso utilitarista a la IAG (para obtener resultados rápidos, alineándose con el trabajo de consumo), mientras que aquellos con creencias constructivistas la utilizan con fines epistémico</w:t>
      </w:r>
      <w:r>
        <w:rPr>
          <w:rFonts w:ascii="Times New Roman" w:eastAsia="Times New Roman" w:hAnsi="Times New Roman" w:cs="Times New Roman"/>
        </w:rPr>
        <w:t>s, activando conocimientos previos y reconstruyéndolos críticamente.</w:t>
      </w:r>
    </w:p>
    <w:p w14:paraId="00000020"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En el ámbito de las ciencias, el aprendizaje de las mismas mediado por tecnología requiere concebir a la IAG como una "prótesis cognitiva" (Bravo et al., 2025). Si bien estas prótesis amp</w:t>
      </w:r>
      <w:r>
        <w:rPr>
          <w:rFonts w:ascii="Times New Roman" w:eastAsia="Times New Roman" w:hAnsi="Times New Roman" w:cs="Times New Roman"/>
        </w:rPr>
        <w:t>lían las capacidades de procesamiento, la IAG tiende a producir respuestas que, aunque verosímiles, suelen basarse en modelos explicativos reduccionistas, omitiendo la complejidad multivariada propia de los fenómenos didácticos. Para que los futuros profes</w:t>
      </w:r>
      <w:r>
        <w:rPr>
          <w:rFonts w:ascii="Times New Roman" w:eastAsia="Times New Roman" w:hAnsi="Times New Roman" w:cs="Times New Roman"/>
        </w:rPr>
        <w:t>ores no asimilen pasivamente estos sesgos, es indispensable el desarrollo de una "vigilancia metacognitiva" (Bravo et al., 2025).</w:t>
      </w:r>
    </w:p>
    <w:p w14:paraId="00000021"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Esta vigilancia no surge de manera espontánea, sino que debe ser enseñada a través de la "retroalimentación metacognitiva" (Di</w:t>
      </w:r>
      <w:r>
        <w:rPr>
          <w:rFonts w:ascii="Times New Roman" w:eastAsia="Times New Roman" w:hAnsi="Times New Roman" w:cs="Times New Roman"/>
        </w:rPr>
        <w:t xml:space="preserve"> Mauro et al., 2025). Al enfrentar a los futuros docentes al desafío de comparar sus producciones didácticas con las generadas por la IAG, se fomenta el tránsito hacia niveles de reflexión más profundos, aquellos que interpelan directamente las creencias y</w:t>
      </w:r>
      <w:r>
        <w:rPr>
          <w:rFonts w:ascii="Times New Roman" w:eastAsia="Times New Roman" w:hAnsi="Times New Roman" w:cs="Times New Roman"/>
        </w:rPr>
        <w:t xml:space="preserve"> la identidad profesional (Korthagen y Nuijten, 2022), forzándolos a escrutar el resultado algorítmico y refutarlo si es necesario.</w:t>
      </w:r>
    </w:p>
    <w:p w14:paraId="00000022"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El ejercicio de esta vigilancia nos conduce a una demanda insoslayable en el panorama educativo actual: la necesidad de supe</w:t>
      </w:r>
      <w:r>
        <w:rPr>
          <w:rFonts w:ascii="Times New Roman" w:eastAsia="Times New Roman" w:hAnsi="Times New Roman" w:cs="Times New Roman"/>
        </w:rPr>
        <w:t>rar la mera instrucción técnica para avanzar hacia una genuina Alfabetización en Inteligencia Artificial (AIA). En una reciente revisión sistemática, Tan, Cheng y Ling (2025) advierten sobre un marcado desequilibrio en la literatura: se investiga extensame</w:t>
      </w:r>
      <w:r>
        <w:rPr>
          <w:rFonts w:ascii="Times New Roman" w:eastAsia="Times New Roman" w:hAnsi="Times New Roman" w:cs="Times New Roman"/>
        </w:rPr>
        <w:t xml:space="preserve">nte cómo la IA asiste en la enseñanza, pero hay un vacío crítico respecto a cómo formar a los docentes para que la integren de manera reflexiva en su desarrollo profesional. Los autores señalan que el conocimiento tecnológico sólo adquiere valor cuando se </w:t>
      </w:r>
      <w:r>
        <w:rPr>
          <w:rFonts w:ascii="Times New Roman" w:eastAsia="Times New Roman" w:hAnsi="Times New Roman" w:cs="Times New Roman"/>
        </w:rPr>
        <w:t>amalgama con el conocimiento pedagógico y disciplinar.</w:t>
      </w:r>
    </w:p>
    <w:p w14:paraId="00000023"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contexto de sobreabundancia de información generada por el uso de la IA, recobra un protagonismo central el concepto de "juicio evaluativo". Adaptado a la era de la inteligencia artificial gene</w:t>
      </w:r>
      <w:r>
        <w:rPr>
          <w:rFonts w:ascii="Times New Roman" w:eastAsia="Times New Roman" w:hAnsi="Times New Roman" w:cs="Times New Roman"/>
        </w:rPr>
        <w:t>rativa por Bearman et al. (2024), el juicio evaluativo se define como la capacidad indispensable de los estudiantes para tomar decisiones fundamentadas sobre la calidad del trabajo propio y ajeno, incluyendo el producido por la IA, en base a estándares dis</w:t>
      </w:r>
      <w:r>
        <w:rPr>
          <w:rFonts w:ascii="Times New Roman" w:eastAsia="Times New Roman" w:hAnsi="Times New Roman" w:cs="Times New Roman"/>
        </w:rPr>
        <w:t>ciplinares. Formar docentes con juicio evaluativo implica enseñarles a reconocer que la fluidez de un texto generado con IA no es sinónimo de rigor didáctico ni de exactitud científica.</w:t>
      </w:r>
    </w:p>
    <w:p w14:paraId="00000024"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t>Metodología</w:t>
      </w:r>
    </w:p>
    <w:p w14:paraId="00000025"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El presente estudio se enmarca en un enfoque cualitativo d</w:t>
      </w:r>
      <w:r>
        <w:rPr>
          <w:rFonts w:ascii="Times New Roman" w:eastAsia="Times New Roman" w:hAnsi="Times New Roman" w:cs="Times New Roman"/>
        </w:rPr>
        <w:t>e alcance descriptivo-interpretativo, cuyo propósito es analizar la interacción, reflexión y toma de decisiones de los futuros docentes frente al uso de herramientas de IAG al momento de enfrentar la tarea de elaborar una secuencia didáctica para nivel sec</w:t>
      </w:r>
      <w:r>
        <w:rPr>
          <w:rFonts w:ascii="Times New Roman" w:eastAsia="Times New Roman" w:hAnsi="Times New Roman" w:cs="Times New Roman"/>
        </w:rPr>
        <w:t xml:space="preserve">undario. </w:t>
      </w:r>
    </w:p>
    <w:p w14:paraId="00000026"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Contexto de la investigación</w:t>
      </w:r>
    </w:p>
    <w:p w14:paraId="00000027"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La investigación se llevó a cabo en el marco de la asignatura Didáctica de la Biología, la Química y la Física, correspondiente al tramo de formación pedagógico-didáctica de los Profesorados en Ciencias de la Facultad</w:t>
      </w:r>
      <w:r>
        <w:rPr>
          <w:rFonts w:ascii="Times New Roman" w:eastAsia="Times New Roman" w:hAnsi="Times New Roman" w:cs="Times New Roman"/>
        </w:rPr>
        <w:t xml:space="preserve"> de Ciencias Exactas y Naturales de la Universidad Nacional de Mar del Plata. Esta asignatura, ubicada en una etapa previa a la práctica pre profesional, fue seleccionada como contexto de estudio por constituir el primer espacio de la formación pedagógica </w:t>
      </w:r>
      <w:r>
        <w:rPr>
          <w:rFonts w:ascii="Times New Roman" w:eastAsia="Times New Roman" w:hAnsi="Times New Roman" w:cs="Times New Roman"/>
        </w:rPr>
        <w:t>en el que los futuros docentes asumen el rol de diseñadores y selectores de métodos y estrategias de enseñanza. En este sentido, la propuesta busca que los estudiantes experimenten, en su propio proceso formativo, enfoques vinculados con modelos constructi</w:t>
      </w:r>
      <w:r>
        <w:rPr>
          <w:rFonts w:ascii="Times New Roman" w:eastAsia="Times New Roman" w:hAnsi="Times New Roman" w:cs="Times New Roman"/>
        </w:rPr>
        <w:t>vistas de enseñanza y desarrollen herramientas para fundamentar sus decisiones didácticas.</w:t>
      </w:r>
    </w:p>
    <w:p w14:paraId="00000028"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La dinámica de trabajo de la asignatura se organiza en torno al diseño progresivo de una unidad didáctica sobre un tema específico brindado por la cátedra, de Física</w:t>
      </w:r>
      <w:r>
        <w:rPr>
          <w:rFonts w:ascii="Times New Roman" w:eastAsia="Times New Roman" w:hAnsi="Times New Roman" w:cs="Times New Roman"/>
        </w:rPr>
        <w:t>/Química/Biología para nivel secundario. Al iniciar la cursada, los estudiantes elaboran una primera versión de una secuencia de actividades para la enseñanza y el aprendizaje del contenido seleccionado, que funciona como punto de partida para el trabajo p</w:t>
      </w:r>
      <w:r>
        <w:rPr>
          <w:rFonts w:ascii="Times New Roman" w:eastAsia="Times New Roman" w:hAnsi="Times New Roman" w:cs="Times New Roman"/>
        </w:rPr>
        <w:t>osterior. A medida que avanzan en el recorrido de los distintos temas abordados en clase, dicha propuesta inicial es sometida a sucesivos procesos de análisis, retroalimentación y reformulación.</w:t>
      </w:r>
    </w:p>
    <w:p w14:paraId="00000029"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Las características de este espacio formativo resultaron especialmente relevantes para los propósitos de la investigación. Dado que la asignatura se centra en procesos continuos de diseño, revisión y fundamentación de decisiones didácticas sobre produccion</w:t>
      </w:r>
      <w:r>
        <w:rPr>
          <w:rFonts w:ascii="Times New Roman" w:eastAsia="Times New Roman" w:hAnsi="Times New Roman" w:cs="Times New Roman"/>
        </w:rPr>
        <w:t>es propias, constituye un escenario privilegiado para analizar cómo los futuros docentes interactúan con herramientas de inteligencia artificial generativa al momento de evaluar, justificar y reconstruir sus propuestas de enseñanza. En este marco, la incor</w:t>
      </w:r>
      <w:r>
        <w:rPr>
          <w:rFonts w:ascii="Times New Roman" w:eastAsia="Times New Roman" w:hAnsi="Times New Roman" w:cs="Times New Roman"/>
        </w:rPr>
        <w:t>poración de actividades que exigieron contrastar las devoluciones de la IAG con el análisis personal y con los marcos teóricos trabajados en clase se integró de manera coherente con la lógica habitual de la asignatura, orientada a promover procesos de refl</w:t>
      </w:r>
      <w:r>
        <w:rPr>
          <w:rFonts w:ascii="Times New Roman" w:eastAsia="Times New Roman" w:hAnsi="Times New Roman" w:cs="Times New Roman"/>
        </w:rPr>
        <w:t>exión metacognitiva y desarrollo profesional docente.</w:t>
      </w:r>
    </w:p>
    <w:p w14:paraId="0000002A" w14:textId="77777777" w:rsidR="00D6048D" w:rsidRDefault="00CC59DB">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Participantes</w:t>
      </w:r>
    </w:p>
    <w:p w14:paraId="0000002B"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Los datos de análisis se obtuvieron a partir de las respuestas de una cohorte del año  2025 de ocho estudiantes que se encontraban cursando la asignatura al momento de la implementación de</w:t>
      </w:r>
      <w:r>
        <w:rPr>
          <w:rFonts w:ascii="Times New Roman" w:eastAsia="Times New Roman" w:hAnsi="Times New Roman" w:cs="Times New Roman"/>
        </w:rPr>
        <w:t xml:space="preserve"> la propuesta. Por simplicidad y con el objetivo de preservar el anonimato de los participantes, cada caso fue identificado mediante la codificación E1, E2,…, E8 (Estudiante 1, etc.).</w:t>
      </w:r>
    </w:p>
    <w:p w14:paraId="0000002C"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t>Instrumento de recolección de datos</w:t>
      </w:r>
    </w:p>
    <w:p w14:paraId="0000002D"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Para recolectar los datos, se diseñó</w:t>
      </w:r>
      <w:r>
        <w:rPr>
          <w:rFonts w:ascii="Times New Roman" w:eastAsia="Times New Roman" w:hAnsi="Times New Roman" w:cs="Times New Roman"/>
        </w:rPr>
        <w:t xml:space="preserve"> una secuencia de trabajos prácticos (TPs) que incluyó consignas intencionalmente estructuradas para forzar el contraste epistémico entre el razonamiento del estudiante y el de la IAG. El diseño de tal intervención didáctica asumió a la IAG no como un mero</w:t>
      </w:r>
      <w:r>
        <w:rPr>
          <w:rFonts w:ascii="Times New Roman" w:eastAsia="Times New Roman" w:hAnsi="Times New Roman" w:cs="Times New Roman"/>
        </w:rPr>
        <w:t xml:space="preserve"> generador de contenidos, sino como una herramienta para la </w:t>
      </w:r>
      <w:r>
        <w:rPr>
          <w:rFonts w:ascii="Times New Roman" w:eastAsia="Times New Roman" w:hAnsi="Times New Roman" w:cs="Times New Roman"/>
        </w:rPr>
        <w:lastRenderedPageBreak/>
        <w:t>retroalimentación metacognitiva, aspecto central en la asignatura como lo describe el artículo de Di Mauro et al. (2025).</w:t>
      </w:r>
    </w:p>
    <w:p w14:paraId="0000002E"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t>Para este análisis se seleccionaron dos actividades clave:</w:t>
      </w:r>
    </w:p>
    <w:p w14:paraId="0000002F"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Actividad 1 (Ev</w:t>
      </w:r>
      <w:r>
        <w:rPr>
          <w:rFonts w:ascii="Times New Roman" w:eastAsia="Times New Roman" w:hAnsi="Times New Roman" w:cs="Times New Roman"/>
        </w:rPr>
        <w:t>aluación didáctica mediada por IA): Se solicitó a los estudiantes que cargaran en el modelo Gemini el Diseño Curricular oficial de la jurisdicción (específicamente el apartado "Finalidades de la enseñanza") junto con una propuesta didáctica inicial diseñad</w:t>
      </w:r>
      <w:r>
        <w:rPr>
          <w:rFonts w:ascii="Times New Roman" w:eastAsia="Times New Roman" w:hAnsi="Times New Roman" w:cs="Times New Roman"/>
        </w:rPr>
        <w:t>a previamente por ellos mismos. El "prompt" exigido obligaba a la IAG a analizar de qué manera la propuesta del estudiante reflejaba las finalidades curriculares. El núcleo de la tarea radicó en el inciso posterior, donde el estudiante debía responder: ¿Es</w:t>
      </w:r>
      <w:r>
        <w:rPr>
          <w:rFonts w:ascii="Times New Roman" w:eastAsia="Times New Roman" w:hAnsi="Times New Roman" w:cs="Times New Roman"/>
        </w:rPr>
        <w:t>tás de acuerdo con el análisis realizado por la IAG según tu lectura del apartado del diseño? Fundamentá. Esta consigna buscó evaluar la capacidad del futuro docente para resistir el "espejo benevolente" de la IAG y promover la metacognición frente a la ta</w:t>
      </w:r>
      <w:r>
        <w:rPr>
          <w:rFonts w:ascii="Times New Roman" w:eastAsia="Times New Roman" w:hAnsi="Times New Roman" w:cs="Times New Roman"/>
        </w:rPr>
        <w:t>rea.</w:t>
      </w:r>
    </w:p>
    <w:p w14:paraId="00000030"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Actividad 2 (Contraste epistémico sobre modelización): A partir del abordaje teórico en clase sobre la enseñanza basada en modelos y modelización científica, se pidió a los estudiantes que seleccionaran una duda genuina y se la plantearan a una IAG. P</w:t>
      </w:r>
      <w:r>
        <w:rPr>
          <w:rFonts w:ascii="Times New Roman" w:eastAsia="Times New Roman" w:hAnsi="Times New Roman" w:cs="Times New Roman"/>
        </w:rPr>
        <w:t>osteriormente, debían realizar una reflexión crítica opinando sobre la pertinencia, profundidad y validez de la respuesta algorítmica, utilizando la bibliografía de la cátedra como marco de referencia. El objetivo fue identificar la capacidad de "vigilanci</w:t>
      </w:r>
      <w:r>
        <w:rPr>
          <w:rFonts w:ascii="Times New Roman" w:eastAsia="Times New Roman" w:hAnsi="Times New Roman" w:cs="Times New Roman"/>
        </w:rPr>
        <w:t>a metacognitiva" frente a posibles reduccionismos o sesgos de la IAG.</w:t>
      </w:r>
    </w:p>
    <w:p w14:paraId="00000031"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t>Procedimiento de análisis de datos</w:t>
      </w:r>
    </w:p>
    <w:p w14:paraId="00000032"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Los datos recolectados, consistentes en las producciones escritas elaboradas por los ocho estudiantes durante el desarrollo de las actividades propuestas, fueron sometidos a un análisis de contenido cualitativo (Krippendorff, 2018), orientado a identificar</w:t>
      </w:r>
      <w:r>
        <w:rPr>
          <w:rFonts w:ascii="Times New Roman" w:eastAsia="Times New Roman" w:hAnsi="Times New Roman" w:cs="Times New Roman"/>
        </w:rPr>
        <w:t xml:space="preserve"> patrones vinculados con la interacción entre los futuros docentes y la inteligencia artificial generativa.</w:t>
      </w:r>
    </w:p>
    <w:p w14:paraId="00000033"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Se llevó a cabo un proceso de codificación predominantemente deductivo, construido a partir de categorías derivadas del marco teórico. En particular</w:t>
      </w:r>
      <w:r>
        <w:rPr>
          <w:rFonts w:ascii="Times New Roman" w:eastAsia="Times New Roman" w:hAnsi="Times New Roman" w:cs="Times New Roman"/>
        </w:rPr>
        <w:t>, se analizaron indicios vinculados con: (a) las formas de relación establecidas con la IAG, diferenciando usos orientados al consumo acrítico de respuestas respecto de usos asociados a procesos de acción humanizadora (Swindell et al., 2024); (b) la presen</w:t>
      </w:r>
      <w:r>
        <w:rPr>
          <w:rFonts w:ascii="Times New Roman" w:eastAsia="Times New Roman" w:hAnsi="Times New Roman" w:cs="Times New Roman"/>
        </w:rPr>
        <w:t>cia de procesos de vigilancia metacognitiva (Bravo et al., 2025), evidenciados en situaciones donde los estudiantes monitoreaban, cuestionaban o reformulaban las respuestas obtenidas; y (c) manifestaciones de reflexión didáctica expresadas en la fundamenta</w:t>
      </w:r>
      <w:r>
        <w:rPr>
          <w:rFonts w:ascii="Times New Roman" w:eastAsia="Times New Roman" w:hAnsi="Times New Roman" w:cs="Times New Roman"/>
        </w:rPr>
        <w:t>ción, revisión y reconstrucción de decisiones pedagógicas a partir del contraste entre las devoluciones algorítmicas y los marcos conceptuales trabajados en la asignatura.</w:t>
      </w:r>
    </w:p>
    <w:p w14:paraId="00000034"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El análisis se centró especialmente en identificar, a partir de cómo los estudiantes</w:t>
      </w:r>
      <w:r>
        <w:rPr>
          <w:rFonts w:ascii="Times New Roman" w:eastAsia="Times New Roman" w:hAnsi="Times New Roman" w:cs="Times New Roman"/>
        </w:rPr>
        <w:t xml:space="preserve"> justificaban su nivel de acuerdo o desacuerdo con las respuestas generadas por la IAG y  qué criterios movilizaban para validarlas o refutarlas, de qué manera dichas interacciones contribuían al desarrollo profesional docente. </w:t>
      </w:r>
    </w:p>
    <w:p w14:paraId="00000035"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Resultados</w:t>
      </w:r>
    </w:p>
    <w:p w14:paraId="00000036"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A partir del aná</w:t>
      </w:r>
      <w:r>
        <w:rPr>
          <w:rFonts w:ascii="Times New Roman" w:eastAsia="Times New Roman" w:hAnsi="Times New Roman" w:cs="Times New Roman"/>
        </w:rPr>
        <w:t>lisis de las producciones escritas de los ocho estudiantes, se pudo identificar la tendencia de la herramienta a dar respuestas complacientes o superficiales frente al análisis de las secuencias didácticas y, frente a esto, la evidencia de la vigilancia me</w:t>
      </w:r>
      <w:r>
        <w:rPr>
          <w:rFonts w:ascii="Times New Roman" w:eastAsia="Times New Roman" w:hAnsi="Times New Roman" w:cs="Times New Roman"/>
        </w:rPr>
        <w:t>tacognitiva por parte de los futuros docentes (Bravo, et al. 2025) para no quedarse con esa primera respuesta, analizando críticamente mediante una acción humanizadora (Swindell et al., 2024) lo que la IAG les devuelve para lograr un aprendizaje genuino.</w:t>
      </w:r>
    </w:p>
    <w:p w14:paraId="00000037"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rPr>
        <w:t>n la primera actividad, se pidió a los estudiantes que le dieran las secuencias didácticas elaboradas a la IAG para que esta evaluara si cumplían con las finalidades del Diseño Curricular. Lo primero que se nota es un comportamiento muy marcado en la herra</w:t>
      </w:r>
      <w:r>
        <w:rPr>
          <w:rFonts w:ascii="Times New Roman" w:eastAsia="Times New Roman" w:hAnsi="Times New Roman" w:cs="Times New Roman"/>
        </w:rPr>
        <w:t>mienta: la IAG tiende a ser extremadamente benevolente. Suele sobreinterpretar las actividades de los alumnos, buscando forzadamente la manera de decir que una tarea sencilla cumple con objetivos como la formación ciudadana o el desarrollo profesional. Fre</w:t>
      </w:r>
      <w:r>
        <w:rPr>
          <w:rFonts w:ascii="Times New Roman" w:eastAsia="Times New Roman" w:hAnsi="Times New Roman" w:cs="Times New Roman"/>
        </w:rPr>
        <w:t>nte a esta devolución tan positiva, lo más fácil para un estudiante hubiera sido aceptar los halagos y entregar el trabajo (un claro ejemplo de trabajo de consumo). Sin embargo, al pedirles que fundamenten si estaban de acuerdo o no, se activó la reflexión</w:t>
      </w:r>
      <w:r>
        <w:rPr>
          <w:rFonts w:ascii="Times New Roman" w:eastAsia="Times New Roman" w:hAnsi="Times New Roman" w:cs="Times New Roman"/>
        </w:rPr>
        <w:t xml:space="preserve"> sobre su propia práctica (Korthagen y Nuijten, 2022).</w:t>
      </w:r>
    </w:p>
    <w:p w14:paraId="00000038"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Un caso muy claro es el de E1. La inteligencia artificial felicitó sus actividades (que eran juegos sobre el cuerpo humano) afirmando que promovían "</w:t>
      </w:r>
      <w:r>
        <w:rPr>
          <w:rFonts w:ascii="Times New Roman" w:eastAsia="Times New Roman" w:hAnsi="Times New Roman" w:cs="Times New Roman"/>
          <w:i/>
          <w:iCs/>
        </w:rPr>
        <w:t>la investigación y la participación activa</w:t>
      </w:r>
      <w:r>
        <w:rPr>
          <w:rFonts w:ascii="Times New Roman" w:eastAsia="Times New Roman" w:hAnsi="Times New Roman" w:cs="Times New Roman"/>
        </w:rPr>
        <w:t>". Al prom</w:t>
      </w:r>
      <w:r>
        <w:rPr>
          <w:rFonts w:ascii="Times New Roman" w:eastAsia="Times New Roman" w:hAnsi="Times New Roman" w:cs="Times New Roman"/>
        </w:rPr>
        <w:t>over un análisis crítico de esta devolución, el estudiante toma distancia y hace una autocrítica sólida y argumentada sobre su propio diseño, reconociendo que lo lúdico no garantiza el aprendizaje ni promueve las finalidades de investigación y participació</w:t>
      </w:r>
      <w:r>
        <w:rPr>
          <w:rFonts w:ascii="Times New Roman" w:eastAsia="Times New Roman" w:hAnsi="Times New Roman" w:cs="Times New Roman"/>
        </w:rPr>
        <w:t>n activa mencionadas:</w:t>
      </w:r>
    </w:p>
    <w:p w14:paraId="00000039" w14:textId="77777777" w:rsidR="00D6048D" w:rsidRDefault="00CC59DB">
      <w:pPr>
        <w:spacing w:line="240" w:lineRule="auto"/>
        <w:ind w:left="566" w:right="866"/>
        <w:jc w:val="both"/>
        <w:rPr>
          <w:rFonts w:ascii="Times New Roman" w:eastAsia="Times New Roman" w:hAnsi="Times New Roman" w:cs="Times New Roman"/>
          <w:i/>
          <w:iCs/>
        </w:rPr>
      </w:pPr>
      <w:r>
        <w:rPr>
          <w:rFonts w:ascii="Times New Roman" w:eastAsia="Times New Roman" w:hAnsi="Times New Roman" w:cs="Times New Roman"/>
          <w:b/>
          <w:bCs/>
        </w:rPr>
        <w:t>"</w:t>
      </w:r>
      <w:r>
        <w:rPr>
          <w:rFonts w:ascii="Times New Roman" w:eastAsia="Times New Roman" w:hAnsi="Times New Roman" w:cs="Times New Roman"/>
          <w:i/>
          <w:iCs/>
        </w:rPr>
        <w:t>Luego de los temas vistos en clase, considero que mis actividades si bien fueron a modo de juegos, estos juegos se basaron en tener conocimientos previos. Es decir, los alumnos tuvieron que estudiar, memorizar los temas. Mis activida</w:t>
      </w:r>
      <w:r>
        <w:rPr>
          <w:rFonts w:ascii="Times New Roman" w:eastAsia="Times New Roman" w:hAnsi="Times New Roman" w:cs="Times New Roman"/>
          <w:i/>
          <w:iCs/>
        </w:rPr>
        <w:t>des tienen una base muy propedéutica disfrazada de algo lúdico. Se premiaba al que más conocimientos memorizaba pero eso no significaba que haya aprendido realmente." (E1)</w:t>
      </w:r>
    </w:p>
    <w:p w14:paraId="0000003A"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En una línea similar, E5 se da cuenta de que la IAG le está atribuyendo a su secuenc</w:t>
      </w:r>
      <w:r>
        <w:rPr>
          <w:rFonts w:ascii="Times New Roman" w:eastAsia="Times New Roman" w:hAnsi="Times New Roman" w:cs="Times New Roman"/>
        </w:rPr>
        <w:t>ia de clases intenciones que no tuvo. En lugar de tomar acríticamente esa lectura favorable de la IAG, decide reconocer los límites de su planificación:</w:t>
      </w:r>
    </w:p>
    <w:p w14:paraId="0000003B" w14:textId="77777777" w:rsidR="00D6048D" w:rsidRDefault="00CC59DB">
      <w:pPr>
        <w:spacing w:line="240" w:lineRule="auto"/>
        <w:ind w:left="566" w:right="866"/>
        <w:jc w:val="both"/>
        <w:rPr>
          <w:rFonts w:ascii="Times New Roman" w:eastAsia="Times New Roman" w:hAnsi="Times New Roman" w:cs="Times New Roman"/>
          <w:i/>
          <w:iCs/>
        </w:rPr>
      </w:pPr>
      <w:r>
        <w:rPr>
          <w:rFonts w:ascii="Times New Roman" w:eastAsia="Times New Roman" w:hAnsi="Times New Roman" w:cs="Times New Roman"/>
          <w:b/>
          <w:bCs/>
        </w:rPr>
        <w:t>"</w:t>
      </w:r>
      <w:r>
        <w:rPr>
          <w:rFonts w:ascii="Times New Roman" w:eastAsia="Times New Roman" w:hAnsi="Times New Roman" w:cs="Times New Roman"/>
          <w:i/>
          <w:iCs/>
        </w:rPr>
        <w:t>El desarrollo de la capacidad de aprendizaje autónomo, la preparación para la vida profesional y la fo</w:t>
      </w:r>
      <w:r>
        <w:rPr>
          <w:rFonts w:ascii="Times New Roman" w:eastAsia="Times New Roman" w:hAnsi="Times New Roman" w:cs="Times New Roman"/>
          <w:i/>
          <w:iCs/>
        </w:rPr>
        <w:t>rmación de ciudadanos responsables, no son finalidades que en mi propuesta didáctica se hagan evidentes. El análisis de la IAG menciona sugerencias a modo de ejemplos [...] Concuerdo con que no están presentes explícitamente en las actividades que propuse.</w:t>
      </w:r>
      <w:r>
        <w:rPr>
          <w:rFonts w:ascii="Times New Roman" w:eastAsia="Times New Roman" w:hAnsi="Times New Roman" w:cs="Times New Roman"/>
          <w:i/>
          <w:iCs/>
        </w:rPr>
        <w:t>" (E5)</w:t>
      </w:r>
    </w:p>
    <w:p w14:paraId="0000003C"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También observamos casos donde el diálogo con la IAG sirvió para ajustar la propuesta. E8 lee el análisis de la IA, acuerda en que le falta vincular su clase con el mundo del trabajo y le pide sugerencias a Gemini. La IA le propone ideas genéricas s</w:t>
      </w:r>
      <w:r>
        <w:rPr>
          <w:rFonts w:ascii="Times New Roman" w:eastAsia="Times New Roman" w:hAnsi="Times New Roman" w:cs="Times New Roman"/>
        </w:rPr>
        <w:t xml:space="preserve">obre procesos </w:t>
      </w:r>
      <w:r>
        <w:rPr>
          <w:rFonts w:ascii="Times New Roman" w:eastAsia="Times New Roman" w:hAnsi="Times New Roman" w:cs="Times New Roman"/>
        </w:rPr>
        <w:lastRenderedPageBreak/>
        <w:t>industriales, a partir de lo cual el estudiante toma esas ideas, pero aclara que su objetivo real como docente es otro:</w:t>
      </w:r>
    </w:p>
    <w:p w14:paraId="0000003D" w14:textId="77777777" w:rsidR="00D6048D" w:rsidRDefault="00CC59DB">
      <w:pPr>
        <w:spacing w:line="240" w:lineRule="auto"/>
        <w:ind w:left="566" w:right="866"/>
        <w:jc w:val="both"/>
        <w:rPr>
          <w:rFonts w:ascii="Times New Roman" w:eastAsia="Times New Roman" w:hAnsi="Times New Roman" w:cs="Times New Roman"/>
          <w:i/>
          <w:iCs/>
        </w:rPr>
      </w:pPr>
      <w:r>
        <w:rPr>
          <w:rFonts w:ascii="Times New Roman" w:eastAsia="Times New Roman" w:hAnsi="Times New Roman" w:cs="Times New Roman"/>
          <w:i/>
          <w:iCs/>
        </w:rPr>
        <w:t>"Considero que la finalidad más marcada en las actividades que inicialmente propuse [...] es la profundización y velar por</w:t>
      </w:r>
      <w:r>
        <w:rPr>
          <w:rFonts w:ascii="Times New Roman" w:eastAsia="Times New Roman" w:hAnsi="Times New Roman" w:cs="Times New Roman"/>
          <w:i/>
          <w:iCs/>
        </w:rPr>
        <w:t xml:space="preserve"> el entendimiento de los conceptos [...]. De todas formas estas últimas dos finalidades [formación ciudadana y mundo del trabajo], serán necesario ser reforzadas en la propuesta didáctica." (E8)</w:t>
      </w:r>
    </w:p>
    <w:p w14:paraId="0000003E"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Por último, a veces ese "espejo" optimista de la IA sirvió pa</w:t>
      </w:r>
      <w:r>
        <w:rPr>
          <w:rFonts w:ascii="Times New Roman" w:eastAsia="Times New Roman" w:hAnsi="Times New Roman" w:cs="Times New Roman"/>
        </w:rPr>
        <w:t>ra explicitar finalidades implícitas. E3 se sorprendió al ver que sus actividades sí cumplían con ciertas finalidades que él había incluido de forma intuitiva, sin planificarlas del todo:</w:t>
      </w:r>
    </w:p>
    <w:p w14:paraId="0000003F" w14:textId="77777777" w:rsidR="00D6048D" w:rsidRDefault="00CC59DB">
      <w:pPr>
        <w:spacing w:line="240" w:lineRule="auto"/>
        <w:ind w:left="566" w:right="866"/>
        <w:jc w:val="both"/>
        <w:rPr>
          <w:rFonts w:ascii="Times New Roman" w:eastAsia="Times New Roman" w:hAnsi="Times New Roman" w:cs="Times New Roman"/>
          <w:i/>
          <w:iCs/>
        </w:rPr>
      </w:pPr>
      <w:r>
        <w:rPr>
          <w:rFonts w:ascii="Times New Roman" w:eastAsia="Times New Roman" w:hAnsi="Times New Roman" w:cs="Times New Roman"/>
          <w:i/>
          <w:iCs/>
        </w:rPr>
        <w:t xml:space="preserve">"La verdad que no me esperaba tan buen análisis por parte de la IAG </w:t>
      </w:r>
      <w:r>
        <w:rPr>
          <w:rFonts w:ascii="Times New Roman" w:eastAsia="Times New Roman" w:hAnsi="Times New Roman" w:cs="Times New Roman"/>
          <w:i/>
          <w:iCs/>
        </w:rPr>
        <w:t>[...]. Me hizo ser consciente de cosas que yo no contemplaba o no le hubiera dado ese significado e intención; lo cual a su vez me hace pensar en esos puntos cuando desarrolle nuevas actividades y secuencias." (E3)</w:t>
      </w:r>
    </w:p>
    <w:p w14:paraId="00000040"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En todos estos ejemplos, se observó que l</w:t>
      </w:r>
      <w:r>
        <w:rPr>
          <w:rFonts w:ascii="Times New Roman" w:eastAsia="Times New Roman" w:hAnsi="Times New Roman" w:cs="Times New Roman"/>
        </w:rPr>
        <w:t>a interacción con la IA no reemplazó la acción del futuro docente. Al contrario, operó como una instancia más de reflexión sobre su propia clase, poniendo en juego los contenidos teóricos de la materia y reconociendo errores y posibles oportunidades de mej</w:t>
      </w:r>
      <w:r>
        <w:rPr>
          <w:rFonts w:ascii="Times New Roman" w:eastAsia="Times New Roman" w:hAnsi="Times New Roman" w:cs="Times New Roman"/>
        </w:rPr>
        <w:t>ora. De esta manera, dicha interacción operó como un dispositivo que ayudaría a promover la toma de decisiones didácticas fundamentadas.</w:t>
      </w:r>
    </w:p>
    <w:p w14:paraId="00000041"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El segundo análisis surgió cuando los alumnos hicieron preguntas teóricas a la IAG sobre cómo enseñar ciencias, puntual</w:t>
      </w:r>
      <w:r>
        <w:rPr>
          <w:rFonts w:ascii="Times New Roman" w:eastAsia="Times New Roman" w:hAnsi="Times New Roman" w:cs="Times New Roman"/>
        </w:rPr>
        <w:t>mente, sobre el uso de modelos científicos, tema abordado en la materia y estudiado por un investigador del grupo GIECmar, autor de este trabajo (Ferrante, 2025). En este caso quedó en evidencia que, cuando los estudiantes tuvieron un buen sustento teórico</w:t>
      </w:r>
      <w:r>
        <w:rPr>
          <w:rFonts w:ascii="Times New Roman" w:eastAsia="Times New Roman" w:hAnsi="Times New Roman" w:cs="Times New Roman"/>
        </w:rPr>
        <w:t>, lograron una interacción más crítica con lo propuesto por la IA pudiendo reconocer su propio fundamento didáctico frente a las salidas de la IA y no aceptarlas acríticamente.</w:t>
      </w:r>
    </w:p>
    <w:p w14:paraId="00000042"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Por ejemplo, E6 le preguntó a la IA cómo usar la transposición didáctica para c</w:t>
      </w:r>
      <w:r>
        <w:rPr>
          <w:rFonts w:ascii="Times New Roman" w:eastAsia="Times New Roman" w:hAnsi="Times New Roman" w:cs="Times New Roman"/>
        </w:rPr>
        <w:t>rear modelos. La respuesta a partir de su prompt es bastante pragmática y le sugiere "simplificar conceptos complejos". El estudiante, apoyándose en lo que estudió, le repregunta a la IA indicándole que, según él considera, enseñar ciencias no es simplemen</w:t>
      </w:r>
      <w:r>
        <w:rPr>
          <w:rFonts w:ascii="Times New Roman" w:eastAsia="Times New Roman" w:hAnsi="Times New Roman" w:cs="Times New Roman"/>
        </w:rPr>
        <w:t>te hacer las cosas más fáciles, enriqueciendo las iteraciones. Esto se observa en su reflexión:</w:t>
      </w:r>
    </w:p>
    <w:p w14:paraId="00000043" w14:textId="77777777" w:rsidR="00D6048D" w:rsidRDefault="00CC59DB">
      <w:pPr>
        <w:spacing w:line="240" w:lineRule="auto"/>
        <w:ind w:left="566" w:right="866"/>
        <w:jc w:val="both"/>
        <w:rPr>
          <w:rFonts w:ascii="Times New Roman" w:eastAsia="Times New Roman" w:hAnsi="Times New Roman" w:cs="Times New Roman"/>
          <w:i/>
          <w:iCs/>
        </w:rPr>
      </w:pPr>
      <w:r>
        <w:rPr>
          <w:rFonts w:ascii="Times New Roman" w:eastAsia="Times New Roman" w:hAnsi="Times New Roman" w:cs="Times New Roman"/>
          <w:i/>
          <w:iCs/>
        </w:rPr>
        <w:t>"La respuesta es un buen punto de partida [...], pero me gustaría profundizar en algunos puntos clave. La transposición didáctica no se limita a simplificar, si</w:t>
      </w:r>
      <w:r>
        <w:rPr>
          <w:rFonts w:ascii="Times New Roman" w:eastAsia="Times New Roman" w:hAnsi="Times New Roman" w:cs="Times New Roman"/>
          <w:i/>
          <w:iCs/>
        </w:rPr>
        <w:t xml:space="preserve">no a reconstruir el conocimiento científico conectándolo con la realidad de los alumnos. [...] El lenguaje científico debe 'traducirse' a un lenguaje accesible y familiar. La tecnología educativa debe potenciar el aprendizaje significativo, no simplemente </w:t>
      </w:r>
      <w:r>
        <w:rPr>
          <w:rFonts w:ascii="Times New Roman" w:eastAsia="Times New Roman" w:hAnsi="Times New Roman" w:cs="Times New Roman"/>
          <w:i/>
          <w:iCs/>
        </w:rPr>
        <w:t>diversificarlo." (E6)</w:t>
      </w:r>
    </w:p>
    <w:p w14:paraId="00000044"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E8 muestra una resistencia similar a la simplificación de la ciencia, pero desde la historia de la ciencia. Le pregunta a la IA cómo evitar que los alumnos tengan errores conceptuales al usar modelos en clase. La IA le da una receta m</w:t>
      </w:r>
      <w:r>
        <w:rPr>
          <w:rFonts w:ascii="Times New Roman" w:eastAsia="Times New Roman" w:hAnsi="Times New Roman" w:cs="Times New Roman"/>
        </w:rPr>
        <w:t>ecánica: "</w:t>
      </w:r>
      <w:r>
        <w:rPr>
          <w:rFonts w:ascii="Times New Roman" w:eastAsia="Times New Roman" w:hAnsi="Times New Roman" w:cs="Times New Roman"/>
          <w:i/>
          <w:iCs/>
        </w:rPr>
        <w:t>mostrar más de un modelo del mismo fenómeno</w:t>
      </w:r>
      <w:r>
        <w:rPr>
          <w:rFonts w:ascii="Times New Roman" w:eastAsia="Times New Roman" w:hAnsi="Times New Roman" w:cs="Times New Roman"/>
        </w:rPr>
        <w:t>". El estudiante rechaza esta idea argumentando que no se trata de cantidad, sino de mostrar cómo evolucionan las ideas en el tiempo:</w:t>
      </w:r>
    </w:p>
    <w:p w14:paraId="00000045" w14:textId="77777777" w:rsidR="00D6048D" w:rsidRDefault="00CC59DB">
      <w:pPr>
        <w:spacing w:line="240" w:lineRule="auto"/>
        <w:ind w:left="566" w:right="582"/>
        <w:jc w:val="both"/>
        <w:rPr>
          <w:rFonts w:ascii="Times New Roman" w:eastAsia="Times New Roman" w:hAnsi="Times New Roman" w:cs="Times New Roman"/>
          <w:i/>
          <w:iCs/>
        </w:rPr>
      </w:pPr>
      <w:r>
        <w:rPr>
          <w:rFonts w:ascii="Times New Roman" w:eastAsia="Times New Roman" w:hAnsi="Times New Roman" w:cs="Times New Roman"/>
          <w:i/>
          <w:iCs/>
        </w:rPr>
        <w:t>"Estoy de acuerdo con algunas cosas de las que propone. Aunque no con</w:t>
      </w:r>
      <w:r>
        <w:rPr>
          <w:rFonts w:ascii="Times New Roman" w:eastAsia="Times New Roman" w:hAnsi="Times New Roman" w:cs="Times New Roman"/>
          <w:i/>
          <w:iCs/>
        </w:rPr>
        <w:t>sidero que la muestra de más de un modelo del mismo fenómeno evite el desarrollo de errores conceptuales [...]. Considero más valioso la muestra del cambio de los modelos a través del paso del tiempo y de los nuevos conocimientos, es decir cómo el conocimi</w:t>
      </w:r>
      <w:r>
        <w:rPr>
          <w:rFonts w:ascii="Times New Roman" w:eastAsia="Times New Roman" w:hAnsi="Times New Roman" w:cs="Times New Roman"/>
          <w:i/>
          <w:iCs/>
        </w:rPr>
        <w:t>ento se va profundizando o actualizando..." (E8)</w:t>
      </w:r>
    </w:p>
    <w:p w14:paraId="00000046"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Del mismo modo, E4 hizo hincapié en el cuidado que hay que tener con los modelos para no promover errores o obstáculos epistemológicos en los estudiantes. Considera que la IA los plantea como herramientas út</w:t>
      </w:r>
      <w:r>
        <w:rPr>
          <w:rFonts w:ascii="Times New Roman" w:eastAsia="Times New Roman" w:hAnsi="Times New Roman" w:cs="Times New Roman"/>
        </w:rPr>
        <w:t>iles, pero agrega una advertencia didáctica fundamental: el modelo no es la realidad.</w:t>
      </w:r>
    </w:p>
    <w:p w14:paraId="00000047" w14:textId="77777777" w:rsidR="00D6048D" w:rsidRDefault="00CC59DB">
      <w:pPr>
        <w:spacing w:line="240" w:lineRule="auto"/>
        <w:ind w:left="566" w:right="582"/>
        <w:jc w:val="both"/>
        <w:rPr>
          <w:rFonts w:ascii="Times New Roman" w:eastAsia="Times New Roman" w:hAnsi="Times New Roman" w:cs="Times New Roman"/>
        </w:rPr>
      </w:pPr>
      <w:r>
        <w:rPr>
          <w:rFonts w:ascii="Times New Roman" w:eastAsia="Times New Roman" w:hAnsi="Times New Roman" w:cs="Times New Roman"/>
          <w:i/>
          <w:iCs/>
        </w:rPr>
        <w:t xml:space="preserve">"También me parece importante que se reconozca que los modelos tienen limitaciones [...], siendo en mi opinión necesario resaltar a los estudiantes lo que realmente son, </w:t>
      </w:r>
      <w:r>
        <w:rPr>
          <w:rFonts w:ascii="Times New Roman" w:eastAsia="Times New Roman" w:hAnsi="Times New Roman" w:cs="Times New Roman"/>
          <w:i/>
          <w:iCs/>
        </w:rPr>
        <w:t>herramientas simplificadores de la realidad, que nos ayudan a interpretar eventos o ideas, pero no son la realidad pura." (E4)</w:t>
      </w:r>
    </w:p>
    <w:p w14:paraId="00000048"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Además de utilizar los fundamentos teóricos abordados en la materia, algunos  estudiantes evaluaron las respuestas de la IA usand</w:t>
      </w:r>
      <w:r>
        <w:rPr>
          <w:rFonts w:ascii="Times New Roman" w:eastAsia="Times New Roman" w:hAnsi="Times New Roman" w:cs="Times New Roman"/>
        </w:rPr>
        <w:t xml:space="preserve">o su sentido común y su conocimiento de lo que podría pasar en un aula. E7, por ejemplo, recibe de la IA la sugerencia de armar una "torre de destilación fraccionada" con materiales caseros. El alumno reconoce rápidamente que la idea propuesta, a pesar de </w:t>
      </w:r>
      <w:r>
        <w:rPr>
          <w:rFonts w:ascii="Times New Roman" w:eastAsia="Times New Roman" w:hAnsi="Times New Roman" w:cs="Times New Roman"/>
        </w:rPr>
        <w:t>resultar interesante, es inviable en la práctica docente:</w:t>
      </w:r>
    </w:p>
    <w:p w14:paraId="00000049" w14:textId="77777777" w:rsidR="00D6048D" w:rsidRDefault="00CC59DB">
      <w:pPr>
        <w:spacing w:line="240" w:lineRule="auto"/>
        <w:ind w:left="566" w:right="582"/>
        <w:jc w:val="both"/>
        <w:rPr>
          <w:rFonts w:ascii="Times New Roman" w:eastAsia="Times New Roman" w:hAnsi="Times New Roman" w:cs="Times New Roman"/>
          <w:i/>
          <w:iCs/>
        </w:rPr>
      </w:pPr>
      <w:r>
        <w:rPr>
          <w:rFonts w:ascii="Times New Roman" w:eastAsia="Times New Roman" w:hAnsi="Times New Roman" w:cs="Times New Roman"/>
        </w:rPr>
        <w:t>"</w:t>
      </w:r>
      <w:r>
        <w:rPr>
          <w:rFonts w:ascii="Times New Roman" w:eastAsia="Times New Roman" w:hAnsi="Times New Roman" w:cs="Times New Roman"/>
          <w:i/>
          <w:iCs/>
        </w:rPr>
        <w:t>Creo que el primer modelo, el de la torre de destilación fraccionada, podría ser un poco difícil tanto de hacer como de mostrar en el aula. Tal vez sería más conveniente utilizar imágenes reales o un video explicativo.” (E7)</w:t>
      </w:r>
    </w:p>
    <w:p w14:paraId="0000004A"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Finalmente, este tipo de tareas ayuda a los alumnos a leer de forma crítica y no dejarse engañar por textos que parecen bien escritos pero que presentan respuestas ambiguas sin responder a la pregunta específica generada, E1, por ejemplo, se da cuenta de q</w:t>
      </w:r>
      <w:r>
        <w:rPr>
          <w:rFonts w:ascii="Times New Roman" w:eastAsia="Times New Roman" w:hAnsi="Times New Roman" w:cs="Times New Roman"/>
        </w:rPr>
        <w:t>ue la IA, por un lado, no le da la respuesta esperada, pero por otro lado, le propone aspectos que considera adecuados a tener en cuenta, como lo es la contextualización de una propuesta didáctica:</w:t>
      </w:r>
    </w:p>
    <w:p w14:paraId="0000004B" w14:textId="77777777" w:rsidR="00D6048D" w:rsidRDefault="00CC59DB">
      <w:pPr>
        <w:spacing w:line="240" w:lineRule="auto"/>
        <w:ind w:left="566" w:right="582"/>
        <w:jc w:val="both"/>
        <w:rPr>
          <w:rFonts w:ascii="Times New Roman" w:eastAsia="Times New Roman" w:hAnsi="Times New Roman" w:cs="Times New Roman"/>
          <w:i/>
          <w:iCs/>
        </w:rPr>
      </w:pPr>
      <w:r>
        <w:rPr>
          <w:rFonts w:ascii="Times New Roman" w:eastAsia="Times New Roman" w:hAnsi="Times New Roman" w:cs="Times New Roman"/>
          <w:i/>
          <w:iCs/>
        </w:rPr>
        <w:t>"No responde del todo mí pregunta ya que en un apartado me</w:t>
      </w:r>
      <w:r>
        <w:rPr>
          <w:rFonts w:ascii="Times New Roman" w:eastAsia="Times New Roman" w:hAnsi="Times New Roman" w:cs="Times New Roman"/>
          <w:i/>
          <w:iCs/>
        </w:rPr>
        <w:t>nciona “elija el tipo de modelo adecuado” Sin embargo, coincido en que es importante conocer “la audiencia” en este caso “los alumnos” conocer el curso para saber qué modelos se adaptarían mejor dependiendo si es un curso más participativo y activo o sus i</w:t>
      </w:r>
      <w:r>
        <w:rPr>
          <w:rFonts w:ascii="Times New Roman" w:eastAsia="Times New Roman" w:hAnsi="Times New Roman" w:cs="Times New Roman"/>
          <w:i/>
          <w:iCs/>
        </w:rPr>
        <w:t>ntereses…así como también que sea acorde a la edad de los alumnos" (E1)</w:t>
      </w:r>
    </w:p>
    <w:p w14:paraId="0000004C"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En síntesis, estos resultados muestran que cuando a los estudiantes se les ofrece un dispositivo planificado, en el marco de una asignatura como la descripta, para promover el uso crít</w:t>
      </w:r>
      <w:r>
        <w:rPr>
          <w:rFonts w:ascii="Times New Roman" w:eastAsia="Times New Roman" w:hAnsi="Times New Roman" w:cs="Times New Roman"/>
        </w:rPr>
        <w:t xml:space="preserve">ico de la IA con consignas adecuadas, no asumen a la IA como una autoridad absoluta. Utilizan los saberes sobre la enseñanza de las ciencias, la epistemología y la realidad del aula propuestos por la asignatura para filtrar, corregir y complementar lo que </w:t>
      </w:r>
      <w:r>
        <w:rPr>
          <w:rFonts w:ascii="Times New Roman" w:eastAsia="Times New Roman" w:hAnsi="Times New Roman" w:cs="Times New Roman"/>
        </w:rPr>
        <w:t>la IA les ofrece, logrando así un verdadero crecimiento profesional.</w:t>
      </w:r>
    </w:p>
    <w:p w14:paraId="0000004D"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t>Discusión y conclusiones</w:t>
      </w:r>
    </w:p>
    <w:p w14:paraId="0000004E"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La integración de la IAG en la formación docente representa un desafío que excede la mera alfabetización tecnológica; constituye, fundamentalmente, un reto episte</w:t>
      </w:r>
      <w:r>
        <w:rPr>
          <w:rFonts w:ascii="Times New Roman" w:eastAsia="Times New Roman" w:hAnsi="Times New Roman" w:cs="Times New Roman"/>
        </w:rPr>
        <w:t>mológico y didáctico. El objetivo de este trabajo fue caracterizar la interacción con la IAG de estudiantes del profesorado en ciencias, a través de un diseño didáctico que buscó evitar la dependencia algorítmica y promover el desarrollo profesional reflex</w:t>
      </w:r>
      <w:r>
        <w:rPr>
          <w:rFonts w:ascii="Times New Roman" w:eastAsia="Times New Roman" w:hAnsi="Times New Roman" w:cs="Times New Roman"/>
        </w:rPr>
        <w:t>ivo.</w:t>
      </w:r>
    </w:p>
    <w:p w14:paraId="0000004F"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Estudios anteriores como los presentados por Bravo et al (2025) muestran que el riesgo del "sedentarismo cognitivo" (Serrano y Moreno-García, 2024) y la posibilidad de un "trabajo de consumo" (Swindell et al., 2024) son escenarios muy probables si no </w:t>
      </w:r>
      <w:r>
        <w:rPr>
          <w:rFonts w:ascii="Times New Roman" w:eastAsia="Times New Roman" w:hAnsi="Times New Roman" w:cs="Times New Roman"/>
        </w:rPr>
        <w:t>se propone un abordaje crítico de los resultados de la IAG. Como se observó en las respuestas iniciales obtenidas al interactuar con IAG, suelen operar como un "espejo benevolente", sobre-interpretando positivamente las planificaciones de los alumnos o, en</w:t>
      </w:r>
      <w:r>
        <w:rPr>
          <w:rFonts w:ascii="Times New Roman" w:eastAsia="Times New Roman" w:hAnsi="Times New Roman" w:cs="Times New Roman"/>
        </w:rPr>
        <w:t xml:space="preserve"> su defecto, arrojando definiciones didácticas muy literales y modelos científicos reduccionistas (Bravo et al., 2025). Si la consigna docente se limitara a "pedirle a la IA que resuelva o evalúe", el futuro profesor quedaría relegado a un rol pasivo, acep</w:t>
      </w:r>
      <w:r>
        <w:rPr>
          <w:rFonts w:ascii="Times New Roman" w:eastAsia="Times New Roman" w:hAnsi="Times New Roman" w:cs="Times New Roman"/>
        </w:rPr>
        <w:t>tando acríticamente estos pedidos como una verdad indiscutible.</w:t>
      </w:r>
    </w:p>
    <w:p w14:paraId="00000050"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Sin embargo, el hallazgo central de este estudio fue que una propuesta de formación docente centrada en la reflexión sobre el uso de la IA que podría considerarse un factor clave para converti</w:t>
      </w:r>
      <w:r>
        <w:rPr>
          <w:rFonts w:ascii="Times New Roman" w:eastAsia="Times New Roman" w:hAnsi="Times New Roman" w:cs="Times New Roman"/>
        </w:rPr>
        <w:t xml:space="preserve">r esta posible pasividad en una oportunidad de aprendizaje. Al trabajar con los estudiantes mediante un proceso continuo de retroalimentación metacognitiva (Di Mauro et al., 2025) pidiéndoles que fundamenten su nivel de acuerdo con la IAG y que contrasten </w:t>
      </w:r>
      <w:r>
        <w:rPr>
          <w:rFonts w:ascii="Times New Roman" w:eastAsia="Times New Roman" w:hAnsi="Times New Roman" w:cs="Times New Roman"/>
        </w:rPr>
        <w:t xml:space="preserve">sus respuestas con el marco teórico de la asignatura, se logró activar la "vigilancia metacognitiva" (Bravo et al., 2025). </w:t>
      </w:r>
    </w:p>
    <w:p w14:paraId="00000051"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El ejercicio de evaluar críticamente la confiabilidad de las propuestas de la IAG no es otra cosa que la puesta en acto del juicio e</w:t>
      </w:r>
      <w:r>
        <w:rPr>
          <w:rFonts w:ascii="Times New Roman" w:eastAsia="Times New Roman" w:hAnsi="Times New Roman" w:cs="Times New Roman"/>
        </w:rPr>
        <w:t>valuativo (Bearman et al., 2024). Lejos de tercerizar su capacidad de evaluación de sus propias secuencias didácticas, los futuros docentes utilizaron las respuestas de la IA como un artefacto de contraste para  identificar errores de sus propias secuencia</w:t>
      </w:r>
      <w:r>
        <w:rPr>
          <w:rFonts w:ascii="Times New Roman" w:eastAsia="Times New Roman" w:hAnsi="Times New Roman" w:cs="Times New Roman"/>
        </w:rPr>
        <w:t>s;  cuestionar definiciones superficiales de la IAG; y evaluar la viabilidad áulica de las propuestas proporcionadas por la IAG. Al hacerlo, demostraron haber consolidado habilidades relacionadas con la alfabetización en Inteligencia Artificial orientada a</w:t>
      </w:r>
      <w:r>
        <w:rPr>
          <w:rFonts w:ascii="Times New Roman" w:eastAsia="Times New Roman" w:hAnsi="Times New Roman" w:cs="Times New Roman"/>
        </w:rPr>
        <w:t xml:space="preserve"> la pedagogía, dando respuesta a la falencia en la formación profesional docente advertida recientemente por Tan, Cheng y Ling (2025) y a su vez, fortalecieron el aprendizaje de contenidos propios de la asignatura logrando niveles de reflexión más complejo</w:t>
      </w:r>
      <w:r>
        <w:rPr>
          <w:rFonts w:ascii="Times New Roman" w:eastAsia="Times New Roman" w:hAnsi="Times New Roman" w:cs="Times New Roman"/>
        </w:rPr>
        <w:t>s (Korthagen y Nuijten, 2022), potenciando que los estudiantes asuman una "Acción humanizadora" (Funes et al., 2025; Swindell et al., 2024) al interactuar con la IA.</w:t>
      </w:r>
    </w:p>
    <w:p w14:paraId="00000052"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 pesar de los hallazgos obtenidos, es necesario señalar algunas limitaciones del presente</w:t>
      </w:r>
      <w:r>
        <w:rPr>
          <w:rFonts w:ascii="Times New Roman" w:eastAsia="Times New Roman" w:hAnsi="Times New Roman" w:cs="Times New Roman"/>
        </w:rPr>
        <w:t xml:space="preserve"> estudio. Al tratarse de una investigación cualitativa con una muestra reducida y circunscrita a una única asignatura, los resultados tienen un carácter exploratorio. Esto abre la puerta a futuras líneas de investigación que busquen ampliar la muestra y, s</w:t>
      </w:r>
      <w:r>
        <w:rPr>
          <w:rFonts w:ascii="Times New Roman" w:eastAsia="Times New Roman" w:hAnsi="Times New Roman" w:cs="Times New Roman"/>
        </w:rPr>
        <w:t>obre todo, realizar estudios longitudinales que sigan a estos docentes en formación durante sus prácticas de residencia en las escuelas. Sería sumamente valioso observar si esta "vigilancia metacognitiva" lograda en el diseño de secuencias se promueve y se</w:t>
      </w:r>
      <w:r>
        <w:rPr>
          <w:rFonts w:ascii="Times New Roman" w:eastAsia="Times New Roman" w:hAnsi="Times New Roman" w:cs="Times New Roman"/>
        </w:rPr>
        <w:t xml:space="preserve"> sostiene durante la implementación y reflexión de propuestas didácticas situadas. Asimismo, resulta de interés indagar cómo operan estas interacciones con la IA en dinámicas grupales o discusiones orales, explorando nuevas estrategias didácticas para la f</w:t>
      </w:r>
      <w:r>
        <w:rPr>
          <w:rFonts w:ascii="Times New Roman" w:eastAsia="Times New Roman" w:hAnsi="Times New Roman" w:cs="Times New Roman"/>
        </w:rPr>
        <w:t>ormación docente.</w:t>
      </w:r>
    </w:p>
    <w:p w14:paraId="00000053"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En conclusión, la educación en la era de la inteligencia artificial no debe centrarse en enseñar a formular mejores instrucciones (prompts), sino en enseñar a iterar buscando mejores instrucciones, pudiendo lograr así una instancia más de</w:t>
      </w:r>
      <w:r>
        <w:rPr>
          <w:rFonts w:ascii="Times New Roman" w:eastAsia="Times New Roman" w:hAnsi="Times New Roman" w:cs="Times New Roman"/>
        </w:rPr>
        <w:t xml:space="preserve"> crecimiento profesional. Para el desarrollo profesional docente, la IAG no debe funcionar como un oráculo irrefutable ni como un atajo que fomente la dependencia, sino como un mediador intelectual, un instrumento de contraste que obligue al estudiante a m</w:t>
      </w:r>
      <w:r>
        <w:rPr>
          <w:rFonts w:ascii="Times New Roman" w:eastAsia="Times New Roman" w:hAnsi="Times New Roman" w:cs="Times New Roman"/>
        </w:rPr>
        <w:t xml:space="preserve">ovilizar sus saberes epistemológicos, disciplinares y didácticos. Solo a través del diseño intencional de dispositivos que exijan resistencia epistémica e interacción crítica, se podrán formar profesores de ciencias capaces de ser profesionales educativos </w:t>
      </w:r>
      <w:r>
        <w:rPr>
          <w:rFonts w:ascii="Times New Roman" w:eastAsia="Times New Roman" w:hAnsi="Times New Roman" w:cs="Times New Roman"/>
        </w:rPr>
        <w:t>en aulas donde la tecnología potencie, y no suplante, el pensamiento humano.</w:t>
      </w:r>
    </w:p>
    <w:p w14:paraId="00000054" w14:textId="77777777" w:rsidR="00D6048D" w:rsidRDefault="00CC59DB">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w:t>
      </w:r>
    </w:p>
    <w:p w14:paraId="00000055"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Álvarez Merelo, J. C., y Cepeda Morante, L. J. (2024). El impacto de la inteligencia artificial en la enseñanza y el aprendizaje. LATAM Revista Latinoam</w:t>
      </w:r>
      <w:r>
        <w:rPr>
          <w:rFonts w:ascii="Times New Roman" w:eastAsia="Times New Roman" w:hAnsi="Times New Roman" w:cs="Times New Roman"/>
        </w:rPr>
        <w:t>ericana de Ciencias Sociales y Humanidades, 5(3), 599–610. https://doi.org/10.56712/latam.v5i3.2061</w:t>
      </w:r>
    </w:p>
    <w:p w14:paraId="00000056"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Bearman, M., Tai, J., Dawson, P., Boud, D., y Ajjawi, R. (2024). Developing evaluative judgement for a time of generative artificial intelligence. Assessmen</w:t>
      </w:r>
      <w:r>
        <w:rPr>
          <w:rFonts w:ascii="Times New Roman" w:eastAsia="Times New Roman" w:hAnsi="Times New Roman" w:cs="Times New Roman"/>
        </w:rPr>
        <w:t>t &amp; Evaluation in Higher Education, 49(5), 1-13.</w:t>
      </w:r>
    </w:p>
    <w:p w14:paraId="00000057"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Bravo, B., Pérez, G., Inorreta, Y., y Jara, Y. (2025). Uso de inteligencia artificial generativa para resolver problemas de física en ingeniería. Enseñanza de las Ciencias, 43(3), 73-91. </w:t>
      </w:r>
      <w:hyperlink r:id="rId7">
        <w:r>
          <w:rPr>
            <w:rFonts w:ascii="Times New Roman" w:eastAsia="Times New Roman" w:hAnsi="Times New Roman" w:cs="Times New Roman"/>
            <w:color w:val="1155CC"/>
            <w:u w:val="single"/>
          </w:rPr>
          <w:t>https://doi.org/10.5565/rev/ensciencias.6332</w:t>
        </w:r>
      </w:hyperlink>
      <w:r>
        <w:rPr>
          <w:rFonts w:ascii="Times New Roman" w:eastAsia="Times New Roman" w:hAnsi="Times New Roman" w:cs="Times New Roman"/>
        </w:rPr>
        <w:t>.</w:t>
      </w:r>
    </w:p>
    <w:p w14:paraId="00000058" w14:textId="77777777" w:rsidR="00D6048D" w:rsidRDefault="00D6048D">
      <w:pPr>
        <w:spacing w:line="240" w:lineRule="auto"/>
        <w:jc w:val="both"/>
        <w:rPr>
          <w:rFonts w:ascii="Times New Roman" w:eastAsia="Times New Roman" w:hAnsi="Times New Roman" w:cs="Times New Roman"/>
        </w:rPr>
      </w:pPr>
    </w:p>
    <w:p w14:paraId="00000059"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Cabellos, B., de Aldama, C., y Pozo, J. I. (2026). Creencias del alumnado de Formación Profesional sobre el uso de la inteligencia artificial generativa en la enseña</w:t>
      </w:r>
      <w:r>
        <w:rPr>
          <w:rFonts w:ascii="Times New Roman" w:eastAsia="Times New Roman" w:hAnsi="Times New Roman" w:cs="Times New Roman"/>
        </w:rPr>
        <w:t xml:space="preserve">nza y el aprendizaje. RED. Revista de Educación a Distancia, 26(83). </w:t>
      </w:r>
      <w:hyperlink r:id="rId8">
        <w:r>
          <w:rPr>
            <w:rFonts w:ascii="Times New Roman" w:eastAsia="Times New Roman" w:hAnsi="Times New Roman" w:cs="Times New Roman"/>
            <w:color w:val="1155CC"/>
            <w:u w:val="single"/>
          </w:rPr>
          <w:t>http://dx.doi.org/10.6018/red.671331</w:t>
        </w:r>
      </w:hyperlink>
    </w:p>
    <w:p w14:paraId="0000005A"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Di Mauro, F., Funes, L., y García, M. B. (2025). La retroalimentación metacognitiva como práct</w:t>
      </w:r>
      <w:r>
        <w:rPr>
          <w:rFonts w:ascii="Times New Roman" w:eastAsia="Times New Roman" w:hAnsi="Times New Roman" w:cs="Times New Roman"/>
        </w:rPr>
        <w:t>ica central para el aprendizaje: Una propuesta para la formación docente. Revista Nuevas Perspectivas, 4(7), 1-16.</w:t>
      </w:r>
    </w:p>
    <w:p w14:paraId="0000005B"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Erduran, S., y Levrini, O. (2024). The impact of artificial intelligence on scientific practices: an emergent area of research for science ed</w:t>
      </w:r>
      <w:r>
        <w:rPr>
          <w:rFonts w:ascii="Times New Roman" w:eastAsia="Times New Roman" w:hAnsi="Times New Roman" w:cs="Times New Roman"/>
        </w:rPr>
        <w:t xml:space="preserve">ucation. International Journal of Science Education, 46(18), 1982-1989. </w:t>
      </w:r>
      <w:hyperlink r:id="rId9">
        <w:r>
          <w:rPr>
            <w:rFonts w:ascii="Times New Roman" w:eastAsia="Times New Roman" w:hAnsi="Times New Roman" w:cs="Times New Roman"/>
            <w:color w:val="1155CC"/>
            <w:u w:val="single"/>
          </w:rPr>
          <w:t>https://doi.org/10.1080/09500693.2024.2306604</w:t>
        </w:r>
      </w:hyperlink>
    </w:p>
    <w:p w14:paraId="0000005C" w14:textId="77777777" w:rsidR="00D6048D" w:rsidRDefault="00CC59DB">
      <w:pPr>
        <w:spacing w:line="240" w:lineRule="auto"/>
        <w:jc w:val="both"/>
        <w:rPr>
          <w:rFonts w:ascii="Times New Roman" w:eastAsia="Times New Roman" w:hAnsi="Times New Roman" w:cs="Times New Roman"/>
          <w:color w:val="FF0000"/>
        </w:rPr>
      </w:pPr>
      <w:r>
        <w:rPr>
          <w:rFonts w:ascii="Times New Roman" w:eastAsia="Times New Roman" w:hAnsi="Times New Roman" w:cs="Times New Roman"/>
        </w:rPr>
        <w:t xml:space="preserve">Ferrante, J. (2025). </w:t>
      </w:r>
      <w:r>
        <w:rPr>
          <w:rFonts w:ascii="Times New Roman" w:eastAsia="Times New Roman" w:hAnsi="Times New Roman" w:cs="Times New Roman"/>
          <w:i/>
          <w:iCs/>
        </w:rPr>
        <w:t xml:space="preserve">Los procesos reflexivos en la formación inicial del </w:t>
      </w:r>
      <w:r>
        <w:rPr>
          <w:rFonts w:ascii="Times New Roman" w:eastAsia="Times New Roman" w:hAnsi="Times New Roman" w:cs="Times New Roman"/>
          <w:i/>
          <w:iCs/>
        </w:rPr>
        <w:t>Profesorado en Matemática: un estudio interpretativo sobre modelos y modelización</w:t>
      </w:r>
      <w:r>
        <w:rPr>
          <w:rFonts w:ascii="Times New Roman" w:eastAsia="Times New Roman" w:hAnsi="Times New Roman" w:cs="Times New Roman"/>
        </w:rPr>
        <w:t xml:space="preserve"> [tesis de maestría, Universidad Nacional de Rosario]. Repositorio Institucional UN.</w:t>
      </w:r>
    </w:p>
    <w:p w14:paraId="0000005D" w14:textId="77777777" w:rsidR="00D6048D" w:rsidRDefault="00CC59DB">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Funes, L., y Ferrante, J. (2025, 4 y 5 de septiembre). </w:t>
      </w:r>
      <w:r>
        <w:rPr>
          <w:rFonts w:ascii="Times New Roman" w:eastAsia="Times New Roman" w:hAnsi="Times New Roman" w:cs="Times New Roman"/>
          <w:i/>
          <w:iCs/>
        </w:rPr>
        <w:t>¿Educación artificial o humanizadora? Primeros hallazgos sobre enfoques de aprendizaje de futuros docentes frente a la inteligencia artificial generativa</w:t>
      </w:r>
      <w:r>
        <w:rPr>
          <w:rFonts w:ascii="Times New Roman" w:eastAsia="Times New Roman" w:hAnsi="Times New Roman" w:cs="Times New Roman"/>
        </w:rPr>
        <w:t xml:space="preserve"> [Ponencia]. 5° Jornada de TIC e Innovación en el Aula, EAD, Universidad Nacional de La Plata, La Plata</w:t>
      </w:r>
      <w:r>
        <w:rPr>
          <w:rFonts w:ascii="Times New Roman" w:eastAsia="Times New Roman" w:hAnsi="Times New Roman" w:cs="Times New Roman"/>
        </w:rPr>
        <w:t>, Argentina.</w:t>
      </w:r>
    </w:p>
    <w:p w14:paraId="0000005E" w14:textId="77777777" w:rsidR="00D6048D" w:rsidRDefault="00CC59DB">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Funes, L., Ferrante, J., y García, M. B. (2025). Inteligencia artificial generativa en educación. Repensando el desarrollo profesional docente desde la autonomía y la acción. En I. J. Idoyaga &amp; J. E. Maeyoshimoto (Eds.), </w:t>
      </w:r>
      <w:r>
        <w:rPr>
          <w:rFonts w:ascii="Times New Roman" w:eastAsia="Times New Roman" w:hAnsi="Times New Roman" w:cs="Times New Roman"/>
          <w:i/>
          <w:iCs/>
        </w:rPr>
        <w:t>Diálogo interamericano</w:t>
      </w:r>
      <w:r>
        <w:rPr>
          <w:rFonts w:ascii="Times New Roman" w:eastAsia="Times New Roman" w:hAnsi="Times New Roman" w:cs="Times New Roman"/>
          <w:i/>
          <w:iCs/>
        </w:rPr>
        <w:t xml:space="preserve"> sobre inteligencia artificial en educación científica</w:t>
      </w:r>
      <w:r>
        <w:rPr>
          <w:rFonts w:ascii="Times New Roman" w:eastAsia="Times New Roman" w:hAnsi="Times New Roman" w:cs="Times New Roman"/>
        </w:rPr>
        <w:t xml:space="preserve"> (pp. 77-91). IIES ADUBA.</w:t>
      </w:r>
    </w:p>
    <w:p w14:paraId="0000005F"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González-González, C. S. (2023). El impacto de la inteligencia artificial en la educación: transformación de la forma de enseñar y de aprender. Revista Qurriculum, 36, 51-60. </w:t>
      </w:r>
      <w:hyperlink r:id="rId10">
        <w:r>
          <w:rPr>
            <w:rFonts w:ascii="Times New Roman" w:eastAsia="Times New Roman" w:hAnsi="Times New Roman" w:cs="Times New Roman"/>
            <w:color w:val="1155CC"/>
            <w:u w:val="single"/>
          </w:rPr>
          <w:t>https://doi.org/10.25145/j.qurricul.2023.36.03</w:t>
        </w:r>
      </w:hyperlink>
    </w:p>
    <w:p w14:paraId="00000060"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Korthagen, F., y Nuijten, E. (2022). The power of reflection in teacher education and professional development: Strategies for in-depth teacher </w:t>
      </w:r>
      <w:r>
        <w:rPr>
          <w:rFonts w:ascii="Times New Roman" w:eastAsia="Times New Roman" w:hAnsi="Times New Roman" w:cs="Times New Roman"/>
        </w:rPr>
        <w:t>learning. Routledge. https://doi.org/10.4324/9781003221432</w:t>
      </w:r>
    </w:p>
    <w:p w14:paraId="00000061"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Long, D. y Magerko, B. (2020). What is AI Literacy? Competencies and Design Considerations. Proceedings of the 2020 CHI Conference on Human Factors in Computing Systems (CHI '20), 1–16. Association</w:t>
      </w:r>
      <w:r>
        <w:rPr>
          <w:rFonts w:ascii="Times New Roman" w:eastAsia="Times New Roman" w:hAnsi="Times New Roman" w:cs="Times New Roman"/>
        </w:rPr>
        <w:t xml:space="preserve"> for Computing Machinery. </w:t>
      </w:r>
      <w:hyperlink r:id="rId11">
        <w:r>
          <w:rPr>
            <w:rFonts w:ascii="Times New Roman" w:eastAsia="Times New Roman" w:hAnsi="Times New Roman" w:cs="Times New Roman"/>
            <w:color w:val="1155CC"/>
            <w:u w:val="single"/>
          </w:rPr>
          <w:t>https://doi.org/10.1145/3313831.337672</w:t>
        </w:r>
      </w:hyperlink>
      <w:r>
        <w:rPr>
          <w:rFonts w:ascii="Times New Roman" w:eastAsia="Times New Roman" w:hAnsi="Times New Roman" w:cs="Times New Roman"/>
        </w:rPr>
        <w:t>.</w:t>
      </w:r>
    </w:p>
    <w:p w14:paraId="00000062" w14:textId="77777777" w:rsidR="00D6048D" w:rsidRPr="00A73CCE" w:rsidRDefault="00CC59DB">
      <w:pPr>
        <w:spacing w:line="240" w:lineRule="auto"/>
        <w:jc w:val="both"/>
        <w:rPr>
          <w:rFonts w:ascii="Times New Roman" w:eastAsia="Times New Roman" w:hAnsi="Times New Roman" w:cs="Times New Roman"/>
          <w:lang w:val="es-AR"/>
        </w:rPr>
      </w:pPr>
      <w:r>
        <w:rPr>
          <w:rFonts w:ascii="Times New Roman" w:eastAsia="Times New Roman" w:hAnsi="Times New Roman" w:cs="Times New Roman"/>
        </w:rPr>
        <w:t xml:space="preserve">Serrano, J. L., &amp; Moreno-García, J. (2024). </w:t>
      </w:r>
      <w:r w:rsidRPr="00A73CCE">
        <w:rPr>
          <w:rFonts w:ascii="Times New Roman" w:eastAsia="Times New Roman" w:hAnsi="Times New Roman" w:cs="Times New Roman"/>
          <w:lang w:val="es-AR"/>
        </w:rPr>
        <w:t xml:space="preserve">Inteligencia artificial y personalización del aprendizaje: ¿innovación educativa o promesas recicladas? EDUTEC. Revista Electrónica de Tecnología Educativa, 89, 1-17. </w:t>
      </w:r>
      <w:hyperlink r:id="rId12">
        <w:r w:rsidRPr="00A73CCE">
          <w:rPr>
            <w:rFonts w:ascii="Times New Roman" w:eastAsia="Times New Roman" w:hAnsi="Times New Roman" w:cs="Times New Roman"/>
            <w:color w:val="1155CC"/>
            <w:u w:val="single"/>
            <w:lang w:val="es-AR"/>
          </w:rPr>
          <w:t>https://doi.org/10.21556/edutec.2024.89.3577</w:t>
        </w:r>
      </w:hyperlink>
    </w:p>
    <w:p w14:paraId="00000063"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Swindell, A., Greeley, L., Farag, A., y Verdone, B. (2024). Against Artificial Education: Towards an Ethical Framework for Generative Artificial Intelligence (AI) Use in Education. Online Lear</w:t>
      </w:r>
      <w:r>
        <w:rPr>
          <w:rFonts w:ascii="Times New Roman" w:eastAsia="Times New Roman" w:hAnsi="Times New Roman" w:cs="Times New Roman"/>
        </w:rPr>
        <w:t>ning, 28(2), 7-27. https://doi.org/10.24059/olj.v28i2.4438</w:t>
      </w:r>
    </w:p>
    <w:p w14:paraId="00000064" w14:textId="77777777" w:rsidR="00D6048D" w:rsidRDefault="00CC59DB">
      <w:pPr>
        <w:spacing w:line="240" w:lineRule="auto"/>
        <w:jc w:val="both"/>
        <w:rPr>
          <w:rFonts w:ascii="Times New Roman" w:eastAsia="Times New Roman" w:hAnsi="Times New Roman" w:cs="Times New Roman"/>
        </w:rPr>
      </w:pPr>
      <w:r>
        <w:rPr>
          <w:rFonts w:ascii="Times New Roman" w:eastAsia="Times New Roman" w:hAnsi="Times New Roman" w:cs="Times New Roman"/>
        </w:rPr>
        <w:t>Tan, X., Cheng, G., y Ling, M. H. (2025). Artificial intelligence in teaching and teacher professional development: A systematic review. Computers and Education: Artificial Intelligence, 8, 100355.</w:t>
      </w:r>
      <w:r>
        <w:rPr>
          <w:rFonts w:ascii="Times New Roman" w:eastAsia="Times New Roman" w:hAnsi="Times New Roman" w:cs="Times New Roman"/>
        </w:rPr>
        <w:t xml:space="preserve"> </w:t>
      </w:r>
      <w:hyperlink r:id="rId13">
        <w:r>
          <w:rPr>
            <w:rFonts w:ascii="Times New Roman" w:eastAsia="Times New Roman" w:hAnsi="Times New Roman" w:cs="Times New Roman"/>
            <w:color w:val="1155CC"/>
            <w:u w:val="single"/>
          </w:rPr>
          <w:t>https://doi.org/10.1016/j.caeai.2024.100355</w:t>
        </w:r>
      </w:hyperlink>
    </w:p>
    <w:p w14:paraId="00000065" w14:textId="77777777" w:rsidR="00D6048D" w:rsidRDefault="00D6048D">
      <w:pPr>
        <w:spacing w:line="240" w:lineRule="auto"/>
        <w:jc w:val="both"/>
        <w:rPr>
          <w:rFonts w:ascii="Times New Roman" w:eastAsia="Times New Roman" w:hAnsi="Times New Roman" w:cs="Times New Roman"/>
        </w:rPr>
      </w:pPr>
    </w:p>
    <w:sectPr w:rsidR="00D6048D">
      <w:headerReference w:type="default" r:id="rId14"/>
      <w:footerReference w:type="default" r:id="rId15"/>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98993" w14:textId="77777777" w:rsidR="00CC59DB" w:rsidRDefault="00CC59DB">
      <w:pPr>
        <w:spacing w:after="0" w:line="240" w:lineRule="auto"/>
      </w:pPr>
      <w:r>
        <w:separator/>
      </w:r>
    </w:p>
  </w:endnote>
  <w:endnote w:type="continuationSeparator" w:id="0">
    <w:p w14:paraId="384EE7CC" w14:textId="77777777" w:rsidR="00CC59DB" w:rsidRDefault="00CC5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FFD290FB-F931-4CA9-8048-447DC84AC3D1}"/>
    <w:embedItalic r:id="rId2" w:fontKey="{2AEFA367-3854-4114-A881-FA26363BDC39}"/>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92D42825-4517-4CD0-88C6-770136F4A198}"/>
  </w:font>
  <w:font w:name="Cambria">
    <w:panose1 w:val="02040503050406030204"/>
    <w:charset w:val="00"/>
    <w:family w:val="roman"/>
    <w:pitch w:val="variable"/>
    <w:sig w:usb0="E00006FF" w:usb1="420024FF" w:usb2="02000000" w:usb3="00000000" w:csb0="0000019F" w:csb1="00000000"/>
    <w:embedRegular r:id="rId4" w:fontKey="{0E75332E-EC02-4D36-A5E0-4DE09CE65A3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7" w14:textId="77777777" w:rsidR="00D6048D" w:rsidRDefault="00CC59DB">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0000068" w14:textId="77777777" w:rsidR="00D6048D" w:rsidRDefault="00D6048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EC8B1" w14:textId="77777777" w:rsidR="00CC59DB" w:rsidRDefault="00CC59DB">
      <w:pPr>
        <w:spacing w:after="0" w:line="240" w:lineRule="auto"/>
      </w:pPr>
      <w:r>
        <w:separator/>
      </w:r>
    </w:p>
  </w:footnote>
  <w:footnote w:type="continuationSeparator" w:id="0">
    <w:p w14:paraId="58B39520" w14:textId="77777777" w:rsidR="00CC59DB" w:rsidRDefault="00CC59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6" w14:textId="77777777" w:rsidR="00D6048D" w:rsidRDefault="00CC59DB">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48D"/>
    <w:rsid w:val="00A73CCE"/>
    <w:rsid w:val="00CC59DB"/>
    <w:rsid w:val="00D60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B02AF2-12C9-44F7-89D7-B8DEFC77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73C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3C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x.doi.org/10.6018/red.671331" TargetMode="External"/><Relationship Id="rId13" Type="http://schemas.openxmlformats.org/officeDocument/2006/relationships/hyperlink" Target="https://doi.org/10.1016/j.caeai.2024.100355" TargetMode="External"/><Relationship Id="rId3" Type="http://schemas.openxmlformats.org/officeDocument/2006/relationships/settings" Target="settings.xml"/><Relationship Id="rId7" Type="http://schemas.openxmlformats.org/officeDocument/2006/relationships/hyperlink" Target="https://doi.org/10.5565/rev/ensciencias.6332" TargetMode="External"/><Relationship Id="rId12" Type="http://schemas.openxmlformats.org/officeDocument/2006/relationships/hyperlink" Target="https://doi.org/10.21556/edutec.2024.89.357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145/3313831.33767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25145/j.qurricul.2023.36.03" TargetMode="External"/><Relationship Id="rId4" Type="http://schemas.openxmlformats.org/officeDocument/2006/relationships/webSettings" Target="webSettings.xml"/><Relationship Id="rId9" Type="http://schemas.openxmlformats.org/officeDocument/2006/relationships/hyperlink" Target="https://doi.org/10.1080/09500693.2024.2306604"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tDvFj/Z7ohJ2s47k09SCapGbvA==">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5446</Words>
  <Characters>31046</Characters>
  <Application>Microsoft Office Word</Application>
  <DocSecurity>0</DocSecurity>
  <Lines>258</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2026-06-30T16:43:00Z</dcterms:created>
  <dcterms:modified xsi:type="dcterms:W3CDTF">2026-06-30T16:43:00Z</dcterms:modified>
</cp:coreProperties>
</file>