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0AD377" w14:textId="77777777" w:rsidR="00F53DFC" w:rsidRPr="00F53DFC" w:rsidRDefault="00F53DFC" w:rsidP="00F53DFC">
      <w:pPr>
        <w:pStyle w:val="Ttulo2"/>
        <w:shd w:val="clear" w:color="auto" w:fill="FFFFFF"/>
        <w:spacing w:before="0" w:after="120" w:line="240" w:lineRule="auto"/>
        <w:jc w:val="center"/>
        <w:rPr>
          <w:rFonts w:ascii="Times New Roman" w:hAnsi="Times New Roman" w:cs="Times New Roman"/>
          <w:color w:val="auto"/>
          <w:sz w:val="24"/>
          <w:szCs w:val="24"/>
          <w:lang w:val="es-AR"/>
        </w:rPr>
      </w:pPr>
      <w:r w:rsidRPr="00F53DFC">
        <w:rPr>
          <w:rStyle w:val="js-mathjax"/>
          <w:rFonts w:ascii="Times New Roman" w:hAnsi="Times New Roman" w:cs="Times New Roman"/>
          <w:b/>
          <w:bCs/>
          <w:color w:val="auto"/>
          <w:sz w:val="24"/>
          <w:szCs w:val="24"/>
        </w:rPr>
        <w:t>La pedagogía de la pregunta en tiempos de inteligencia artificial: desafíos emergentes para la enseñanza y el aprendizaje en el nivel superior</w:t>
      </w:r>
    </w:p>
    <w:p w14:paraId="4FDB3483" w14:textId="77777777" w:rsidR="00C802F5" w:rsidRPr="00F53DFC" w:rsidRDefault="00C802F5" w:rsidP="00F53DFC">
      <w:pPr>
        <w:jc w:val="center"/>
        <w:rPr>
          <w:rFonts w:ascii="Times New Roman" w:hAnsi="Times New Roman" w:cs="Times New Roman"/>
        </w:rPr>
      </w:pPr>
    </w:p>
    <w:p w14:paraId="43C49479" w14:textId="77777777" w:rsidR="005F3B2E" w:rsidRPr="00BA642E" w:rsidRDefault="005F3B2E" w:rsidP="001923DC">
      <w:pPr>
        <w:jc w:val="center"/>
        <w:rPr>
          <w:rFonts w:ascii="Times New Roman" w:hAnsi="Times New Roman" w:cs="Times New Roman"/>
        </w:rPr>
      </w:pPr>
    </w:p>
    <w:p w14:paraId="4E738780" w14:textId="457C2137" w:rsidR="005F3B2E" w:rsidRPr="00BA642E" w:rsidRDefault="005F3B2E" w:rsidP="005F3B2E">
      <w:pPr>
        <w:spacing w:after="0" w:line="240" w:lineRule="auto"/>
        <w:jc w:val="right"/>
        <w:rPr>
          <w:rFonts w:ascii="Times New Roman" w:hAnsi="Times New Roman" w:cs="Times New Roman"/>
        </w:rPr>
      </w:pPr>
      <w:r w:rsidRPr="00BA642E">
        <w:rPr>
          <w:rFonts w:ascii="Times New Roman" w:hAnsi="Times New Roman" w:cs="Times New Roman"/>
        </w:rPr>
        <w:t>Apellido y Nombre Autor 1</w:t>
      </w:r>
      <w:r w:rsidR="00F53DFC">
        <w:rPr>
          <w:rFonts w:ascii="Times New Roman" w:hAnsi="Times New Roman" w:cs="Times New Roman"/>
        </w:rPr>
        <w:t xml:space="preserve"> Gallardo, Guillermo</w:t>
      </w:r>
    </w:p>
    <w:p w14:paraId="6C2AECCA" w14:textId="0E4677A9" w:rsidR="005F3B2E" w:rsidRPr="00BA642E" w:rsidRDefault="005F3B2E" w:rsidP="005F3B2E">
      <w:pPr>
        <w:spacing w:after="0" w:line="240" w:lineRule="auto"/>
        <w:jc w:val="right"/>
        <w:rPr>
          <w:rFonts w:ascii="Times New Roman" w:hAnsi="Times New Roman" w:cs="Times New Roman"/>
        </w:rPr>
      </w:pPr>
      <w:r w:rsidRPr="00BA642E">
        <w:rPr>
          <w:rFonts w:ascii="Times New Roman" w:hAnsi="Times New Roman" w:cs="Times New Roman"/>
        </w:rPr>
        <w:t>Pertenencia Institucional Autor 1</w:t>
      </w:r>
      <w:r w:rsidR="00F53DFC">
        <w:rPr>
          <w:rFonts w:ascii="Times New Roman" w:hAnsi="Times New Roman" w:cs="Times New Roman"/>
        </w:rPr>
        <w:t xml:space="preserve"> Universidad Nacional de Cuyo</w:t>
      </w:r>
    </w:p>
    <w:p w14:paraId="7D0026CD" w14:textId="4CF9D7C2" w:rsidR="005F3B2E" w:rsidRPr="00BA642E" w:rsidRDefault="005F3B2E" w:rsidP="005F3B2E">
      <w:pPr>
        <w:spacing w:after="0" w:line="240" w:lineRule="auto"/>
        <w:jc w:val="right"/>
        <w:rPr>
          <w:rFonts w:ascii="Times New Roman" w:hAnsi="Times New Roman" w:cs="Times New Roman"/>
        </w:rPr>
      </w:pPr>
      <w:r w:rsidRPr="00BA642E">
        <w:rPr>
          <w:rFonts w:ascii="Times New Roman" w:hAnsi="Times New Roman" w:cs="Times New Roman"/>
        </w:rPr>
        <w:t>Mail Autor 1</w:t>
      </w:r>
      <w:r w:rsidR="00F53DFC">
        <w:rPr>
          <w:rFonts w:ascii="Times New Roman" w:hAnsi="Times New Roman" w:cs="Times New Roman"/>
        </w:rPr>
        <w:t xml:space="preserve"> gallardo.guillermo@gmail.com</w:t>
      </w:r>
    </w:p>
    <w:p w14:paraId="1FA0F857" w14:textId="77777777" w:rsidR="005F3B2E" w:rsidRPr="00BA642E" w:rsidRDefault="005F3B2E" w:rsidP="005F3B2E">
      <w:pPr>
        <w:rPr>
          <w:rFonts w:ascii="Times New Roman" w:hAnsi="Times New Roman" w:cs="Times New Roman"/>
        </w:rPr>
      </w:pPr>
    </w:p>
    <w:p w14:paraId="1275A9C7" w14:textId="38EF64E8" w:rsidR="005F3B2E" w:rsidRPr="00BA642E" w:rsidRDefault="005F3B2E" w:rsidP="005F3B2E">
      <w:pPr>
        <w:spacing w:after="0" w:line="240" w:lineRule="auto"/>
        <w:jc w:val="right"/>
        <w:rPr>
          <w:rFonts w:ascii="Times New Roman" w:hAnsi="Times New Roman" w:cs="Times New Roman"/>
        </w:rPr>
      </w:pPr>
      <w:r w:rsidRPr="00BA642E">
        <w:rPr>
          <w:rFonts w:ascii="Times New Roman" w:hAnsi="Times New Roman" w:cs="Times New Roman"/>
        </w:rPr>
        <w:t>Apellido y Nombre Autor 2</w:t>
      </w:r>
      <w:r w:rsidR="00F53DFC">
        <w:rPr>
          <w:rFonts w:ascii="Times New Roman" w:hAnsi="Times New Roman" w:cs="Times New Roman"/>
        </w:rPr>
        <w:t xml:space="preserve"> </w:t>
      </w:r>
      <w:proofErr w:type="spellStart"/>
      <w:r w:rsidR="00F53DFC">
        <w:rPr>
          <w:rFonts w:ascii="Times New Roman" w:hAnsi="Times New Roman" w:cs="Times New Roman"/>
        </w:rPr>
        <w:t>Merciel</w:t>
      </w:r>
      <w:proofErr w:type="spellEnd"/>
      <w:r w:rsidR="00F53DFC">
        <w:rPr>
          <w:rFonts w:ascii="Times New Roman" w:hAnsi="Times New Roman" w:cs="Times New Roman"/>
        </w:rPr>
        <w:t>, José Francisco</w:t>
      </w:r>
    </w:p>
    <w:p w14:paraId="46FEEBE4" w14:textId="5AFBCA2E" w:rsidR="005F3B2E" w:rsidRPr="00BA642E" w:rsidRDefault="005F3B2E" w:rsidP="005F3B2E">
      <w:pPr>
        <w:spacing w:after="0" w:line="240" w:lineRule="auto"/>
        <w:jc w:val="right"/>
        <w:rPr>
          <w:rFonts w:ascii="Times New Roman" w:hAnsi="Times New Roman" w:cs="Times New Roman"/>
        </w:rPr>
      </w:pPr>
      <w:r w:rsidRPr="00BA642E">
        <w:rPr>
          <w:rFonts w:ascii="Times New Roman" w:hAnsi="Times New Roman" w:cs="Times New Roman"/>
        </w:rPr>
        <w:t>Pertenencia Institucional Autor 2</w:t>
      </w:r>
      <w:r w:rsidR="00F53DFC">
        <w:rPr>
          <w:rFonts w:ascii="Times New Roman" w:hAnsi="Times New Roman" w:cs="Times New Roman"/>
        </w:rPr>
        <w:t>Instituto de Educación Superior 9-029 Luján de Cuyo</w:t>
      </w:r>
    </w:p>
    <w:p w14:paraId="3CAC774D" w14:textId="17099908" w:rsidR="005F3B2E" w:rsidRPr="00BA642E" w:rsidRDefault="005F3B2E" w:rsidP="005F3B2E">
      <w:pPr>
        <w:spacing w:after="0" w:line="240" w:lineRule="auto"/>
        <w:jc w:val="right"/>
        <w:rPr>
          <w:rFonts w:ascii="Times New Roman" w:hAnsi="Times New Roman" w:cs="Times New Roman"/>
        </w:rPr>
      </w:pPr>
      <w:r w:rsidRPr="00BA642E">
        <w:rPr>
          <w:rFonts w:ascii="Times New Roman" w:hAnsi="Times New Roman" w:cs="Times New Roman"/>
        </w:rPr>
        <w:t>Mail Autor 2</w:t>
      </w:r>
      <w:r w:rsidR="00F53DFC">
        <w:rPr>
          <w:rFonts w:ascii="Times New Roman" w:hAnsi="Times New Roman" w:cs="Times New Roman"/>
        </w:rPr>
        <w:t xml:space="preserve"> josemerciel@gmail.com</w:t>
      </w:r>
    </w:p>
    <w:p w14:paraId="640847CC" w14:textId="77777777" w:rsidR="005F3B2E" w:rsidRPr="00BA642E" w:rsidRDefault="005F3B2E" w:rsidP="005F3B2E">
      <w:pPr>
        <w:spacing w:after="0" w:line="240" w:lineRule="auto"/>
        <w:jc w:val="right"/>
        <w:rPr>
          <w:rFonts w:ascii="Times New Roman" w:hAnsi="Times New Roman" w:cs="Times New Roman"/>
        </w:rPr>
      </w:pPr>
    </w:p>
    <w:p w14:paraId="3F6986E9" w14:textId="43CDABF4" w:rsidR="005F3B2E" w:rsidRPr="00BA642E" w:rsidRDefault="00C802F5" w:rsidP="00F53DFC">
      <w:pPr>
        <w:tabs>
          <w:tab w:val="center" w:pos="4252"/>
          <w:tab w:val="right" w:pos="8504"/>
        </w:tabs>
        <w:spacing w:after="0" w:line="240" w:lineRule="auto"/>
        <w:jc w:val="right"/>
        <w:rPr>
          <w:rFonts w:ascii="Times New Roman" w:hAnsi="Times New Roman" w:cs="Times New Roman"/>
        </w:rPr>
      </w:pPr>
      <w:r w:rsidRPr="00BA642E">
        <w:rPr>
          <w:rFonts w:ascii="Times New Roman" w:hAnsi="Times New Roman" w:cs="Times New Roman"/>
        </w:rPr>
        <w:tab/>
      </w:r>
      <w:r w:rsidR="005F3B2E" w:rsidRPr="00BA642E">
        <w:rPr>
          <w:rFonts w:ascii="Times New Roman" w:hAnsi="Times New Roman" w:cs="Times New Roman"/>
        </w:rPr>
        <w:t>Apellido y Nombre Autor 3</w:t>
      </w:r>
      <w:r w:rsidR="00F53DFC">
        <w:rPr>
          <w:rFonts w:ascii="Times New Roman" w:hAnsi="Times New Roman" w:cs="Times New Roman"/>
        </w:rPr>
        <w:t xml:space="preserve"> </w:t>
      </w:r>
      <w:proofErr w:type="spellStart"/>
      <w:r w:rsidR="00F53DFC">
        <w:rPr>
          <w:rFonts w:ascii="Times New Roman" w:hAnsi="Times New Roman" w:cs="Times New Roman"/>
        </w:rPr>
        <w:t>Gatto</w:t>
      </w:r>
      <w:proofErr w:type="spellEnd"/>
      <w:r w:rsidR="00F53DFC">
        <w:rPr>
          <w:rFonts w:ascii="Times New Roman" w:hAnsi="Times New Roman" w:cs="Times New Roman"/>
        </w:rPr>
        <w:t xml:space="preserve"> </w:t>
      </w:r>
      <w:proofErr w:type="spellStart"/>
      <w:r w:rsidR="00F53DFC">
        <w:rPr>
          <w:rFonts w:ascii="Times New Roman" w:hAnsi="Times New Roman" w:cs="Times New Roman"/>
        </w:rPr>
        <w:t>D’Andrea</w:t>
      </w:r>
      <w:proofErr w:type="spellEnd"/>
      <w:r w:rsidR="00F53DFC">
        <w:rPr>
          <w:rFonts w:ascii="Times New Roman" w:hAnsi="Times New Roman" w:cs="Times New Roman"/>
        </w:rPr>
        <w:t>, Alejandra</w:t>
      </w:r>
    </w:p>
    <w:p w14:paraId="4E696C7D" w14:textId="38815B26" w:rsidR="005F3B2E" w:rsidRPr="00BA642E" w:rsidRDefault="005F3B2E" w:rsidP="005F3B2E">
      <w:pPr>
        <w:spacing w:after="0" w:line="240" w:lineRule="auto"/>
        <w:jc w:val="right"/>
        <w:rPr>
          <w:rFonts w:ascii="Times New Roman" w:hAnsi="Times New Roman" w:cs="Times New Roman"/>
        </w:rPr>
      </w:pPr>
      <w:r w:rsidRPr="00BA642E">
        <w:rPr>
          <w:rFonts w:ascii="Times New Roman" w:hAnsi="Times New Roman" w:cs="Times New Roman"/>
        </w:rPr>
        <w:t>Pertenencia Institucional Autor 3</w:t>
      </w:r>
      <w:r w:rsidR="00F53DFC">
        <w:rPr>
          <w:rFonts w:ascii="Times New Roman" w:hAnsi="Times New Roman" w:cs="Times New Roman"/>
        </w:rPr>
        <w:t xml:space="preserve"> Universidad Nacional de Cuyo – Facultad de Ciencias Políticas y Sociales</w:t>
      </w:r>
    </w:p>
    <w:p w14:paraId="3D73DB11" w14:textId="65D993CF" w:rsidR="005F3B2E" w:rsidRPr="00BA642E" w:rsidRDefault="005F3B2E" w:rsidP="005F3B2E">
      <w:pPr>
        <w:spacing w:after="0" w:line="240" w:lineRule="auto"/>
        <w:jc w:val="right"/>
        <w:rPr>
          <w:rFonts w:ascii="Times New Roman" w:hAnsi="Times New Roman" w:cs="Times New Roman"/>
        </w:rPr>
      </w:pPr>
      <w:r w:rsidRPr="00BA642E">
        <w:rPr>
          <w:rFonts w:ascii="Times New Roman" w:hAnsi="Times New Roman" w:cs="Times New Roman"/>
        </w:rPr>
        <w:t>Mail Autor 3</w:t>
      </w:r>
      <w:r w:rsidR="00F53DFC" w:rsidRPr="00F53DFC">
        <w:t xml:space="preserve"> </w:t>
      </w:r>
      <w:r w:rsidR="00F53DFC" w:rsidRPr="00F53DFC">
        <w:rPr>
          <w:rFonts w:ascii="Times New Roman" w:hAnsi="Times New Roman" w:cs="Times New Roman"/>
        </w:rPr>
        <w:t>mgattodandrea@yahoo.com.ar</w:t>
      </w:r>
    </w:p>
    <w:p w14:paraId="1B43FD84" w14:textId="77777777" w:rsidR="001923DC" w:rsidRPr="00BA642E" w:rsidRDefault="001923DC" w:rsidP="001923DC">
      <w:pPr>
        <w:jc w:val="center"/>
        <w:rPr>
          <w:rFonts w:ascii="Times New Roman" w:hAnsi="Times New Roman" w:cs="Times New Roman"/>
        </w:rPr>
      </w:pPr>
    </w:p>
    <w:p w14:paraId="45878761" w14:textId="77777777" w:rsidR="00F53DFC" w:rsidRDefault="00BA642E" w:rsidP="007B5B5F">
      <w:pPr>
        <w:spacing w:line="240" w:lineRule="auto"/>
        <w:jc w:val="both"/>
        <w:rPr>
          <w:rFonts w:ascii="Times New Roman" w:hAnsi="Times New Roman" w:cs="Times New Roman"/>
          <w:b/>
          <w:bCs/>
          <w:lang w:val="en-US"/>
        </w:rPr>
      </w:pPr>
      <w:r w:rsidRPr="009F1E6A">
        <w:rPr>
          <w:rFonts w:ascii="Times New Roman" w:hAnsi="Times New Roman" w:cs="Times New Roman"/>
          <w:b/>
          <w:bCs/>
          <w:lang w:val="es-ES_tradnl"/>
        </w:rPr>
        <w:t>Resumen</w:t>
      </w:r>
      <w:r w:rsidRPr="007B5B5F">
        <w:rPr>
          <w:rFonts w:ascii="Times New Roman" w:hAnsi="Times New Roman" w:cs="Times New Roman"/>
          <w:b/>
          <w:bCs/>
          <w:lang w:val="en-US"/>
        </w:rPr>
        <w:t>:</w:t>
      </w:r>
      <w:r w:rsidR="007B5B5F" w:rsidRPr="007B5B5F">
        <w:rPr>
          <w:rFonts w:ascii="Times New Roman" w:hAnsi="Times New Roman" w:cs="Times New Roman"/>
          <w:b/>
          <w:bCs/>
          <w:lang w:val="en-US"/>
        </w:rPr>
        <w:t xml:space="preserve"> </w:t>
      </w:r>
    </w:p>
    <w:p w14:paraId="04A3953C" w14:textId="77777777" w:rsidR="00F53DFC" w:rsidRDefault="00F53DFC" w:rsidP="00F53DFC">
      <w:pPr>
        <w:spacing w:after="120" w:line="240" w:lineRule="auto"/>
        <w:jc w:val="both"/>
        <w:rPr>
          <w:rFonts w:ascii="Times New Roman" w:eastAsia="Times New Roman" w:hAnsi="Times New Roman" w:cs="Times New Roman"/>
          <w:lang w:val="es-AR" w:eastAsia="es-AR"/>
        </w:rPr>
      </w:pPr>
      <w:r>
        <w:rPr>
          <w:rFonts w:ascii="Times New Roman" w:eastAsia="Times New Roman" w:hAnsi="Times New Roman" w:cs="Times New Roman"/>
          <w:lang w:eastAsia="es-AR"/>
        </w:rPr>
        <w:t xml:space="preserve">La investigación “La pedagogía de la pregunta y la inteligencia artificial en la educación superior: prácticas docentes y desafíos emergentes” se orientó a analizar la relación entre el uso de preguntas como estrategia pedagógica y la incorporación de herramientas de inteligencia artificial (IA) en los procesos de enseñanza y aprendizaje en educación superior. Partimos del supuesto que la pedagogía de la pregunta, inspirada en el pensamiento de Paulo Freire, constituye una herramienta central para promover el pensamiento crítico, la reflexión y la construcción colectiva del conocimiento en contextos educativos atravesados por transformaciones tecnológicas aceleradas. El objetivo general consistió en explorar cómo se utilizan las preguntas en las prácticas docentes, identificar las percepciones de docentes y estudiantes sobre el potencial de la inteligencia artificial para acompañar procesos de aprendizaje y reconocer las condiciones institucionales necesarias para integrar estas tecnologías de manera significativa. Entre los objetivos específicos figuran analizar los niveles de complejidad de las preguntas formuladas en el aula, describir las valoraciones de docentes, estudiantes y egresados sobre el uso de IA en la educación superior e identificar barreras y oportunidades para su incorporación crítica en la práctica pedagógica. La metodología sigue un enfoque mixto a partir de los datos de entrevistas semiestructuradas, encuestas autoadministradas y narrativas pedagógicas. Las entrevistas permitieron comprender percepciones docentes y experiencias vinculadas con el uso de preguntas y tecnologías digitales, mientras que las narrativas pedagógicas aportaron una mirada situada sobre los desafíos de enseñar y aprender en contextos educativos mediados por tecnologías emergentes. Las encuestas se aplicaron a una muestra de docentes (n=42) y estudiantes (n=115) de un Instituto de Educación Superior de Mendoza. Los resultados evidencian que el 52 % de las y los </w:t>
      </w:r>
      <w:r>
        <w:rPr>
          <w:rFonts w:ascii="Times New Roman" w:eastAsia="Times New Roman" w:hAnsi="Times New Roman" w:cs="Times New Roman"/>
          <w:lang w:eastAsia="es-AR"/>
        </w:rPr>
        <w:lastRenderedPageBreak/>
        <w:t>docentes reconoce utilizar principalmente preguntas fácticas orientadas a la comprobación de contenidos, mientras que el 28 % formula preguntas de análisis y el 20 % promueve preguntas de síntesis o creación. El 54 % de las y los estudiantes percibe que las preguntas en clase se orientan a verificar saberes básicos, aunque un 31 % identifica experiencias de análisis y un 15 % reconoce instancias de síntesis o creatividad. En relación con la inteligencia artificial, el 32 % de las y los docentes afirma utilizar herramientas de IA en sus clases, mientras que el 58 % manifiesta interés en incorporarlas. Entre las y los estudiantes, el 85 % considera que la IA puede contribuir a formular mejores preguntas y obtener retroalimentación inmediata para el aprendizaje, pero emergen preocupaciones vinculadas con la confiabilidad de la información y con el riesgo de un uso acrítico. El estudio muestra que la educación superior atraviesa un proceso de transición en el que convergen tradiciones pedagógicas críticas y tecnologías emergentes. Los resultados permiten afirmar que la articulación entre pedagogía de la pregunta e inteligencia artificial puede fortalecer prácticas educativas dialógicas y promover aprendizajes más autónomos y reflexivos, siempre que su integración se acompañe de procesos de alfabetización digital crítica, formación docente específica y políticas institucionales orientadas a un uso ético y pedagógicamente significativo de las tecnologías.</w:t>
      </w:r>
    </w:p>
    <w:p w14:paraId="64725F4E" w14:textId="77777777" w:rsidR="00F53DFC" w:rsidRDefault="00BA642E" w:rsidP="007B5B5F">
      <w:pPr>
        <w:spacing w:line="240" w:lineRule="auto"/>
        <w:jc w:val="both"/>
        <w:rPr>
          <w:rFonts w:ascii="Times New Roman" w:hAnsi="Times New Roman" w:cs="Times New Roman"/>
          <w:b/>
          <w:bCs/>
        </w:rPr>
      </w:pPr>
      <w:r w:rsidRPr="007B5B5F">
        <w:rPr>
          <w:rFonts w:ascii="Times New Roman" w:hAnsi="Times New Roman" w:cs="Times New Roman"/>
          <w:b/>
          <w:bCs/>
        </w:rPr>
        <w:t xml:space="preserve">Palabras clave: </w:t>
      </w:r>
    </w:p>
    <w:p w14:paraId="623E0B73" w14:textId="77777777" w:rsidR="00F53DFC" w:rsidRDefault="00F53DFC" w:rsidP="00F53DFC">
      <w:pPr>
        <w:shd w:val="clear" w:color="auto" w:fill="FFFFFF"/>
        <w:spacing w:after="120" w:line="240" w:lineRule="auto"/>
        <w:jc w:val="both"/>
        <w:rPr>
          <w:rFonts w:ascii="Times New Roman" w:eastAsia="Times New Roman" w:hAnsi="Times New Roman" w:cs="Times New Roman"/>
          <w:lang w:val="es-AR" w:eastAsia="es-AR"/>
        </w:rPr>
      </w:pPr>
      <w:r>
        <w:rPr>
          <w:rFonts w:ascii="Times New Roman" w:eastAsia="Times New Roman" w:hAnsi="Times New Roman" w:cs="Times New Roman"/>
          <w:lang w:eastAsia="es-AR"/>
        </w:rPr>
        <w:t>Pedagogía de la Pregunta, Inteligencia Artificial, Educación Superior</w:t>
      </w:r>
    </w:p>
    <w:p w14:paraId="6A5547A1" w14:textId="36B7FAC2"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468FC109" w14:textId="77777777" w:rsidR="00F53DFC" w:rsidRDefault="00F53DFC" w:rsidP="00F53DFC">
      <w:pPr>
        <w:pStyle w:val="Sinespaciado"/>
        <w:spacing w:after="1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En los últimos años la educación superior se ha visto interpelada por transformaciones sociales, culturales y tecnológicas que desafían sus prácticas tradicionales. El aula de hoy combina docentes formados en modelos del siglo XX, algunos noveles en las últimas décadas, estudiantes y egresados nativos digitales y una creciente presencia de tecnologías que median los procesos de aprendizaje. Estas tensiones se expresan en la necesidad de revisar enfoques pedagógicos para responder a demandas de formación más flexibles, inclusivas y tecnológicamente actualizadas.</w:t>
      </w:r>
    </w:p>
    <w:p w14:paraId="13ED4818" w14:textId="77777777" w:rsidR="00F53DFC" w:rsidRDefault="00F53DFC" w:rsidP="00F53DFC">
      <w:pPr>
        <w:pStyle w:val="Sinespaciado"/>
        <w:spacing w:after="1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En particular, la Pedagogía de la pregunta, propuesta por Paulo Freire (2008) como motor de pensamiento crítico y diálogo horizontal, mantiene vigencia como herramienta para construir saberes significativos y promover autonomía. Sin embargo, evidencias preliminares y observaciones docentes indican que su implementación suele quedar reducida a preguntas de tipo fáctico o reproductivo, con escasa planificación para estimular niveles de análisis, reflexión o creatividad.</w:t>
      </w:r>
    </w:p>
    <w:p w14:paraId="10F381AF" w14:textId="77777777" w:rsidR="00F53DFC" w:rsidRDefault="00F53DFC" w:rsidP="00F53DFC">
      <w:pPr>
        <w:pStyle w:val="Sinespaciado"/>
        <w:spacing w:after="1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Paralelamente, la irrupción de la Inteligencia Artificial (IA) en el ámbito educativo abre posibilidades inéditas: personalizar el aprendizaje, proveer retroalimentación inmediata y acompañar la indagación de estudiantes. No obstante, su adopción enfrenta barreras relacionadas con brechas de acceso y uso, falta de formación docente específica, escasa alfabetización digital crítica y preocupaciones éticas. Aunque se reconoce el potencial de la IA para enriquecer procesos dialógicos, aún no hay estudios locales que describan cómo docentes, estudiantes y egresados perciben y se apropian de estas tecnologías en clave pedagógica.</w:t>
      </w:r>
    </w:p>
    <w:p w14:paraId="68C2DC8E" w14:textId="77777777" w:rsidR="00F53DFC" w:rsidRDefault="00F53DFC" w:rsidP="00F53DFC">
      <w:pPr>
        <w:pStyle w:val="Sinespaciado"/>
        <w:spacing w:after="120"/>
        <w:jc w:val="both"/>
        <w:rPr>
          <w:rFonts w:ascii="Times New Roman" w:hAnsi="Times New Roman" w:cs="Times New Roman"/>
          <w:sz w:val="24"/>
          <w:szCs w:val="24"/>
          <w:lang w:val="es-ES_tradnl"/>
        </w:rPr>
      </w:pPr>
      <w:r>
        <w:rPr>
          <w:rFonts w:ascii="Times New Roman" w:hAnsi="Times New Roman" w:cs="Times New Roman"/>
          <w:sz w:val="24"/>
          <w:szCs w:val="24"/>
          <w:lang w:val="es-ES_tradnl"/>
        </w:rPr>
        <w:lastRenderedPageBreak/>
        <w:t>En este escenario, comprender cómo articular la tradición crítica de la Pedagogía de la pregunta con el uso reflexivo y contextualizado de IA es clave para diseñar propuestas formativas que fortalezcan aprendizajes significativos, reduzcan desigualdades y preparen a futuros profesionales para entornos laborales cada vez más mediados por tecnologías emergentes.</w:t>
      </w:r>
    </w:p>
    <w:p w14:paraId="16942674" w14:textId="77777777" w:rsidR="00F53DFC" w:rsidRDefault="00F53DFC" w:rsidP="00F53DFC">
      <w:pPr>
        <w:pStyle w:val="Sinespaciado"/>
        <w:spacing w:after="1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La investigación se fundamenta en la convicción de que el conocimiento se construye de manera dialógica y crítica, en consonancia con la Pedagogía de la pregunta propuesta por Paulo Freire y Antonio Faundez (2013). Según los autores, la educación es un acto de valor que no puede temer el debate, siendo el análisis de la realidad y la discusión creadora elementos esenciales de la práctica pedagógica. Este enfoque concibe al aula como un espacio en el que estudiantes y docentes construyen saberes a partir de preguntas significativas que promueven reflexión y autonomía, superando modelos transmisivos y jerárquicos.</w:t>
      </w:r>
    </w:p>
    <w:p w14:paraId="4C93F513" w14:textId="77777777" w:rsidR="00F53DFC" w:rsidRDefault="00F53DFC" w:rsidP="00F53DFC">
      <w:pPr>
        <w:pStyle w:val="Sinespaciado"/>
        <w:spacing w:after="1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Freire (1985) plantea que la pedagogía de la pregunta es la pedagogía de quienes saben que saben poco y que saben que pueden saber más si se preguntan. Este planteo ha sido retomado y actualizado en contextos latinoamericanos por Garzón Vivas (2020), quien afirma que la pregunta es una herramienta disruptiva frente a la educación bancaria y posibilita una alfabetización digital crítica que empodere al estudiante como sujeto activo del conocimiento.</w:t>
      </w:r>
    </w:p>
    <w:p w14:paraId="632DB7EF" w14:textId="77777777" w:rsidR="00F53DFC" w:rsidRDefault="00F53DFC" w:rsidP="00F53DFC">
      <w:pPr>
        <w:pStyle w:val="Sinespaciado"/>
        <w:spacing w:after="1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El estudio también se apoya en el constructivismo social de Vygotsky (2003), quien sostiene que toda función en el desarrollo cultural aparece dos veces: primero a nivel social y luego a nivel individual. Esta mirada sustenta la idea de que el aprendizaje ocurre mediante la interacción y el diálogo, lo que otorga sentido al uso de la pregunta como motor de construcción colectiva de saberes.</w:t>
      </w:r>
    </w:p>
    <w:p w14:paraId="62931CEE" w14:textId="77777777" w:rsidR="00F53DFC" w:rsidRDefault="00F53DFC" w:rsidP="00F53DFC">
      <w:pPr>
        <w:pStyle w:val="Sinespaciado"/>
        <w:spacing w:after="1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A su vez, la expansión de las Tecnologías de la Información y la Comunicación (TIC) y, más recientemente, de la Inteligencia Artificial transforma profundamente las formas de acceder y procesar conocimiento. </w:t>
      </w:r>
      <w:proofErr w:type="spellStart"/>
      <w:r>
        <w:rPr>
          <w:rFonts w:ascii="Times New Roman" w:hAnsi="Times New Roman" w:cs="Times New Roman"/>
          <w:sz w:val="24"/>
          <w:szCs w:val="24"/>
          <w:lang w:val="es-ES_tradnl"/>
        </w:rPr>
        <w:t>Burbules</w:t>
      </w:r>
      <w:proofErr w:type="spellEnd"/>
      <w:r>
        <w:rPr>
          <w:rFonts w:ascii="Times New Roman" w:hAnsi="Times New Roman" w:cs="Times New Roman"/>
          <w:sz w:val="24"/>
          <w:szCs w:val="24"/>
          <w:lang w:val="es-ES_tradnl"/>
        </w:rPr>
        <w:t xml:space="preserve"> y Callister (2001) advierten que la tecnología no es neutra, sino que moldea y es moldeada por quienes la usan, subrayando la necesidad de abordajes pedagógicos críticos frente a la digitalización educativa. Del mismo modo, Dussel (2020) señala que no se trata solo de acceso a dispositivos, sino de apropiación cultural y pedagógica de la tecnología, para que no amplíe </w:t>
      </w:r>
      <w:proofErr w:type="gramStart"/>
      <w:r>
        <w:rPr>
          <w:rFonts w:ascii="Times New Roman" w:hAnsi="Times New Roman" w:cs="Times New Roman"/>
          <w:sz w:val="24"/>
          <w:szCs w:val="24"/>
          <w:lang w:val="es-ES_tradnl"/>
        </w:rPr>
        <w:t>desigualdades</w:t>
      </w:r>
      <w:proofErr w:type="gramEnd"/>
      <w:r>
        <w:rPr>
          <w:rFonts w:ascii="Times New Roman" w:hAnsi="Times New Roman" w:cs="Times New Roman"/>
          <w:sz w:val="24"/>
          <w:szCs w:val="24"/>
          <w:lang w:val="es-ES_tradnl"/>
        </w:rPr>
        <w:t xml:space="preserve"> sino que genere inclusión.</w:t>
      </w:r>
    </w:p>
    <w:p w14:paraId="40C9B9BE" w14:textId="77777777" w:rsidR="00F53DFC" w:rsidRDefault="00F53DFC" w:rsidP="00F53DFC">
      <w:pPr>
        <w:pStyle w:val="Sinespaciado"/>
        <w:spacing w:after="1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En relación con la IA, Román-González, Moreno-León y Robles (2019) destacan su potencial para adaptar contenidos y actividades a las características del estudiante y ofrecer retroalimentación inmediata que favorece la autonomía. Sin embargo, Sánchez-Vera y Prendes-Espinosa (2022) advierten que el uso de la inteligencia artificial en educación debe acompañarse de marcos éticos y pedagógicos claros que eviten la deshumanización del proceso de enseñanza-aprendizaje.</w:t>
      </w:r>
    </w:p>
    <w:p w14:paraId="15E77B5A" w14:textId="77777777" w:rsidR="00F53DFC" w:rsidRDefault="00F53DFC" w:rsidP="00F53DFC">
      <w:pPr>
        <w:pStyle w:val="Sinespaciado"/>
        <w:spacing w:after="1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El concepto de alfabetización digital crítica es clave para integrar estas perspectivas. Dussel (2020) subraya que ser crítico en entornos digitales supone no solo saber usar la tecnología, sino también interrogar sus lógicas y efectos en el conocimiento. Esta mirada resulta fundamental en contextos donde coexisten brechas de acceso y de sentido: </w:t>
      </w:r>
      <w:r>
        <w:rPr>
          <w:rFonts w:ascii="Times New Roman" w:hAnsi="Times New Roman" w:cs="Times New Roman"/>
          <w:sz w:val="24"/>
          <w:szCs w:val="24"/>
          <w:lang w:val="es-ES_tradnl"/>
        </w:rPr>
        <w:lastRenderedPageBreak/>
        <w:t>disponer de dispositivos y conectividad no garantiza participación plena si no se desarrollan capacidades para analizar y producir información de forma autónoma y ética.</w:t>
      </w:r>
    </w:p>
    <w:p w14:paraId="6C73F08D" w14:textId="77777777" w:rsidR="00F53DFC" w:rsidRDefault="00F53DFC" w:rsidP="00F53DFC">
      <w:pPr>
        <w:pStyle w:val="Sinespaciado"/>
        <w:spacing w:after="1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Por otra parte, los compromisos internacionales como la Agenda Educación 2030 impulsan una educación que garantice inclusión, equidad y aprendizaje a lo largo de la vida. La Recomendación sobre la Ética de la Inteligencia Artificial de la UNESCO (2021) advierte sobre la necesidad de regulaciones y de formación docente que aseguren que la IA esté al servicio del aprendizaje y no a la inversa.</w:t>
      </w:r>
    </w:p>
    <w:p w14:paraId="36E04EA7" w14:textId="77777777" w:rsidR="00F53DFC" w:rsidRDefault="00F53DFC" w:rsidP="00F53DFC">
      <w:pPr>
        <w:pStyle w:val="Sinespaciado"/>
        <w:spacing w:after="1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El objetivo general fue explorar la intersección entre la Pedagogía de la pregunta y la Inteligencia Artificial, identificando oportunidades, desafíos y condiciones para su integración efectiva en el contexto de la educación superior.</w:t>
      </w:r>
    </w:p>
    <w:p w14:paraId="56363934" w14:textId="77777777" w:rsidR="00F53DFC" w:rsidRDefault="00F53DFC" w:rsidP="00F53DFC">
      <w:pPr>
        <w:pStyle w:val="Sinespaciado"/>
        <w:spacing w:after="1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Los objetivos específicos fueron: (1) analizar el uso y el nivel de complejidad de las preguntas que docentes formulan en sus prácticas de enseñanza; (2) describir percepciones y expectativas de docentes, estudiantes y egresados sobre la incorporación de IA para promover aprendizaje crítico y autónomo; (3) identificar las barreras y los recursos institucionales que condicionan la adopción pedagógica de la Inteligencia Artificial desde una perspectiva de alfabetización digital crítica; y (4) formular recomendaciones para fortalecer la formación docente y el diseño de entornos de aprendizaje mediados por IA.</w:t>
      </w:r>
    </w:p>
    <w:p w14:paraId="2FD138AD" w14:textId="65FB0755"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Desarrollo</w:t>
      </w:r>
    </w:p>
    <w:p w14:paraId="4A578C96" w14:textId="77777777" w:rsidR="009F1E6A" w:rsidRDefault="009F1E6A" w:rsidP="009F1E6A">
      <w:pPr>
        <w:pStyle w:val="Sinespaciado"/>
        <w:spacing w:after="1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La investigación se planteó con un diseño mixto, de carácter exploratorio y descriptivo, buscando articular la riqueza interpretativa del enfoque cualitativo con la posibilidad de caracterizar tendencias y percepciones en una población amplia mediante estrategias cuantitativas.</w:t>
      </w:r>
    </w:p>
    <w:p w14:paraId="1BB92565" w14:textId="77777777" w:rsidR="009F1E6A" w:rsidRDefault="009F1E6A" w:rsidP="009F1E6A">
      <w:pPr>
        <w:pStyle w:val="Sinespaciado"/>
        <w:spacing w:after="1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Fase cualitativa</w:t>
      </w:r>
    </w:p>
    <w:p w14:paraId="28DC516F" w14:textId="77777777" w:rsidR="009F1E6A" w:rsidRDefault="009F1E6A" w:rsidP="009F1E6A">
      <w:pPr>
        <w:pStyle w:val="Sinespaciado"/>
        <w:spacing w:after="1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Se realizaron entrevistas semiestructuradas a tres grupos: docentes de distintas carreras, seleccionados intencionalmente por su experiencia en innovación pedagógica o interés manifiesto en tecnologías digitales; especialistas externos en educación e IA, invitados para aportar una mirada experta y contextualizada; y egresados recientes, con el fin de recoger percepciones sobre la pertinencia de la formación recibida frente a entornos laborales cada vez más mediados por tecnología.</w:t>
      </w:r>
    </w:p>
    <w:p w14:paraId="272CDC94" w14:textId="77777777" w:rsidR="009F1E6A" w:rsidRDefault="009F1E6A" w:rsidP="009F1E6A">
      <w:pPr>
        <w:pStyle w:val="Sinespaciado"/>
        <w:spacing w:after="1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Las entrevistas siguieron una guía flexible con ejes vinculados al uso de preguntas en la práctica docente, el potencial de la IA para apoyar el aprendizaje y las condiciones necesarias para su integración. Todas fueron registradas en audio, transcritas y analizadas mediante codificación temática, siguiendo las fases propuestas por Braun y Clarke (2006): familiarización con los datos, generación de códigos iniciales, búsqueda y revisión de temas, definición y denominación de categorías.</w:t>
      </w:r>
    </w:p>
    <w:p w14:paraId="7F16D7A7" w14:textId="77777777" w:rsidR="009F1E6A" w:rsidRDefault="009F1E6A" w:rsidP="009F1E6A">
      <w:pPr>
        <w:pStyle w:val="Sinespaciado"/>
        <w:spacing w:after="1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Un componente adicional clave fue la incorporación de narrativas pedagógicas producidas por estudiantes de la formación docente durante 2024 y 2025. Estas narrativas constituyen relatos en primera persona que documentan experiencias de enseñanza, desafíos en la construcción de la pregunta, condiciones de acceso a tecnologías y reflexiones sobre el rol docente en un contexto de tecnologías emergentes. El análisis de </w:t>
      </w:r>
      <w:r>
        <w:rPr>
          <w:rFonts w:ascii="Times New Roman" w:hAnsi="Times New Roman" w:cs="Times New Roman"/>
          <w:sz w:val="24"/>
          <w:szCs w:val="24"/>
          <w:lang w:val="es-ES_tradnl"/>
        </w:rPr>
        <w:lastRenderedPageBreak/>
        <w:t>estas narrativas siguió el mismo proceso de codificación temática, con doble lectura y discusión entre integrantes del equipo para identificar patrones y casos disonantes.</w:t>
      </w:r>
    </w:p>
    <w:p w14:paraId="2A5C2338" w14:textId="77777777" w:rsidR="009F1E6A" w:rsidRDefault="009F1E6A" w:rsidP="009F1E6A">
      <w:pPr>
        <w:pStyle w:val="Sinespaciado"/>
        <w:spacing w:after="1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Fase cuantitativa</w:t>
      </w:r>
    </w:p>
    <w:p w14:paraId="2BBFF76F" w14:textId="77777777" w:rsidR="009F1E6A" w:rsidRDefault="009F1E6A" w:rsidP="009F1E6A">
      <w:pPr>
        <w:pStyle w:val="Sinespaciado"/>
        <w:spacing w:after="1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Se aplicaron encuestas autoadministradas a docentes, estudiantes y egresados. El cuestionario combinó preguntas cerradas (escala Likert y opción múltiple) y abiertas, orientadas a relevar el tipo de preguntas que predominan en la enseñanza, el nivel de conocimiento y uso de IA, y percepciones sobre su impacto potencial en la personalización del aprendizaje. La muestra se conformó a partir de una convocatoria institucional abierta, logrando representatividad de las principales carreras y cohortes. Los datos se procesaron mediante estadística descriptiva para describir tendencias y detectar áreas de mejora.</w:t>
      </w:r>
    </w:p>
    <w:p w14:paraId="7E8419DD" w14:textId="77777777" w:rsidR="009F1E6A" w:rsidRDefault="009F1E6A" w:rsidP="009F1E6A">
      <w:pPr>
        <w:pStyle w:val="Sinespaciado"/>
        <w:spacing w:after="1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Triangulación y consideraciones éticas</w:t>
      </w:r>
    </w:p>
    <w:p w14:paraId="2CE12A7F" w14:textId="77777777" w:rsidR="009F1E6A" w:rsidRDefault="009F1E6A" w:rsidP="009F1E6A">
      <w:pPr>
        <w:pStyle w:val="Sinespaciado"/>
        <w:spacing w:after="1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Se realizó un proceso de triangulación entre hallazgos cualitativos y cuantitativos para aumentar la validez interna y ofrecer una comprensión integrada del fenómeno estudiado. Todas las instancias de recolección de información se desarrollaron siguiendo principios éticos de respeto, voluntariedad y confidencialidad. Cada participante recibió un documento de consentimiento informado donde se explicó el propósito de la investigación, el carácter no obligatorio de su participación y el compromiso de uso exclusivamente académico de la información.</w:t>
      </w:r>
    </w:p>
    <w:p w14:paraId="552823AD" w14:textId="6F6114AC" w:rsidR="009F1E6A" w:rsidRPr="009F1E6A" w:rsidRDefault="009F1E6A" w:rsidP="009F1E6A">
      <w:pPr>
        <w:pStyle w:val="Sinespaciado"/>
        <w:spacing w:after="120"/>
        <w:jc w:val="both"/>
        <w:rPr>
          <w:rFonts w:ascii="Times New Roman" w:hAnsi="Times New Roman" w:cs="Times New Roman"/>
          <w:b/>
          <w:bCs/>
          <w:sz w:val="24"/>
          <w:szCs w:val="24"/>
          <w:lang w:val="es-ES_tradnl"/>
        </w:rPr>
      </w:pPr>
      <w:bookmarkStart w:id="0" w:name="_Hlk233727396"/>
      <w:r w:rsidRPr="009F1E6A">
        <w:rPr>
          <w:rFonts w:ascii="Times New Roman" w:hAnsi="Times New Roman" w:cs="Times New Roman"/>
          <w:b/>
          <w:bCs/>
          <w:sz w:val="24"/>
          <w:szCs w:val="24"/>
          <w:lang w:val="es-ES_tradnl"/>
        </w:rPr>
        <w:t>R</w:t>
      </w:r>
      <w:r>
        <w:rPr>
          <w:rFonts w:ascii="Times New Roman" w:hAnsi="Times New Roman" w:cs="Times New Roman"/>
          <w:b/>
          <w:bCs/>
          <w:sz w:val="24"/>
          <w:szCs w:val="24"/>
          <w:lang w:val="es-ES_tradnl"/>
        </w:rPr>
        <w:t>esultados</w:t>
      </w:r>
    </w:p>
    <w:bookmarkEnd w:id="0"/>
    <w:p w14:paraId="45D03892" w14:textId="77777777" w:rsidR="00D52F39" w:rsidRPr="00FC73EE" w:rsidRDefault="00D52F39" w:rsidP="00D52F39">
      <w:pPr>
        <w:spacing w:after="120" w:line="240" w:lineRule="auto"/>
        <w:jc w:val="both"/>
        <w:rPr>
          <w:rFonts w:ascii="Times New Roman" w:eastAsia="Times New Roman" w:hAnsi="Times New Roman" w:cs="Times New Roman"/>
          <w:lang w:eastAsia="es-AR"/>
        </w:rPr>
      </w:pPr>
      <w:r w:rsidRPr="00FC73EE">
        <w:rPr>
          <w:rFonts w:ascii="Times New Roman" w:eastAsia="Times New Roman" w:hAnsi="Times New Roman" w:cs="Times New Roman"/>
          <w:lang w:eastAsia="es-AR"/>
        </w:rPr>
        <w:t>El análisis de la información obtenida permitió identificar tendencias convergentes entre los datos cuantitativos, las entrevistas semiestructuradas y las narrativas pedagógicas elaboradas por las y los participantes. La integración de estas fuentes posibilitó una comprensión más amplia del fenómeno estudiado, no solo describiendo las frecuencias observadas, sino también recuperando los sentidos que docentes, estudiantes y futuras personas egresadas atribuyen a la formulación de preguntas y al uso de la Inteligencia Artificial (IA) en los procesos de enseñanza y aprendizaje. Los resultados se organizaron en tres ejes estrechamente vinculados con los objetivos y las preguntas de investigación: (1) el uso actual de la pregunta en la práctica docente; (2) las percepciones sobre la Inteligencia Artificial en educación; y (3) las condiciones institucionales y formativas para integrar la IA con una pedagogía centrada en la pregunta.</w:t>
      </w:r>
    </w:p>
    <w:p w14:paraId="60172576" w14:textId="77777777" w:rsidR="00D52F39" w:rsidRPr="00FC73EE" w:rsidRDefault="00D52F39" w:rsidP="00D52F39">
      <w:pPr>
        <w:spacing w:after="120" w:line="240" w:lineRule="auto"/>
        <w:jc w:val="both"/>
        <w:outlineLvl w:val="2"/>
        <w:rPr>
          <w:rFonts w:ascii="Times New Roman" w:eastAsia="Times New Roman" w:hAnsi="Times New Roman" w:cs="Times New Roman"/>
          <w:b/>
          <w:bCs/>
          <w:lang w:eastAsia="es-AR"/>
        </w:rPr>
      </w:pPr>
      <w:r w:rsidRPr="00FC73EE">
        <w:rPr>
          <w:rFonts w:ascii="Times New Roman" w:eastAsia="Times New Roman" w:hAnsi="Times New Roman" w:cs="Times New Roman"/>
          <w:b/>
          <w:bCs/>
          <w:lang w:eastAsia="es-AR"/>
        </w:rPr>
        <w:t>1. Uso actual de la pregunta en la práctica docente</w:t>
      </w:r>
    </w:p>
    <w:p w14:paraId="73050A56" w14:textId="77777777" w:rsidR="00D52F39" w:rsidRPr="00FC73EE" w:rsidRDefault="00D52F39" w:rsidP="00D52F39">
      <w:pPr>
        <w:spacing w:after="120" w:line="240" w:lineRule="auto"/>
        <w:jc w:val="both"/>
        <w:rPr>
          <w:rFonts w:ascii="Times New Roman" w:eastAsia="Times New Roman" w:hAnsi="Times New Roman" w:cs="Times New Roman"/>
          <w:lang w:eastAsia="es-AR"/>
        </w:rPr>
      </w:pPr>
      <w:r w:rsidRPr="00FC73EE">
        <w:rPr>
          <w:rFonts w:ascii="Times New Roman" w:eastAsia="Times New Roman" w:hAnsi="Times New Roman" w:cs="Times New Roman"/>
          <w:lang w:eastAsia="es-AR"/>
        </w:rPr>
        <w:t>Los datos obtenidos mediante la encuesta aplicada a docentes (n = 42) muestran que la formulación de preguntas continúa orientándose mayoritariamente hacia la comprobación de conocimientos previamente adquiridos. En efecto, el 52 % de las personas encuestadas manifestó utilizar principalmente preguntas de carácter fáctico o reproductivo, mientras que un 28 % indicó privilegiar interrogantes orientados al análisis y un 20 % afirmó promover preguntas destinadas a la síntesis, la creatividad o la elaboración de nuevas respuestas (Tabla 1). Estos resultados permiten advertir que, si bien la función verificadora de la pregunta sigue ocupando un lugar central dentro de las prácticas de enseñanza, comienzan a observarse experiencias que buscan favorecer procesos cognitivos de mayor complejidad.</w:t>
      </w:r>
    </w:p>
    <w:p w14:paraId="236A89B8" w14:textId="77777777" w:rsidR="00D52F39" w:rsidRPr="00FC73EE" w:rsidRDefault="00D52F39" w:rsidP="00D52F39">
      <w:pPr>
        <w:spacing w:after="120" w:line="240" w:lineRule="auto"/>
        <w:jc w:val="both"/>
        <w:rPr>
          <w:rFonts w:ascii="Times New Roman" w:eastAsia="Times New Roman" w:hAnsi="Times New Roman" w:cs="Times New Roman"/>
          <w:lang w:eastAsia="es-AR"/>
        </w:rPr>
      </w:pPr>
      <w:r w:rsidRPr="00FC73EE">
        <w:rPr>
          <w:rFonts w:ascii="Times New Roman" w:eastAsia="Times New Roman" w:hAnsi="Times New Roman" w:cs="Times New Roman"/>
          <w:lang w:eastAsia="es-AR"/>
        </w:rPr>
        <w:lastRenderedPageBreak/>
        <w:t>La información aportada por estudiantes (n = 115) presenta una tendencia similar. El 54 % considera que la mayor parte de las preguntas formuladas durante las clases se orienta a verificar conocimientos básicos o recordar contenidos trabajados previamente, mientras que un 31 % identifica situaciones en las que las preguntas promueven el análisis de problemas y apenas un 15 % reconoce experiencias vinculadas con la producción de nuevas ideas o la elaboración de respuestas originales (Tabla 2). La proximidad entre las respuestas de docentes y estudiantes constituye un indicador relevante, ya que evidencia una percepción compartida acerca del modo en que la pregunta ocupa actualmente un lugar dentro de las dinámicas pedagógicas.</w:t>
      </w:r>
    </w:p>
    <w:p w14:paraId="493210B7" w14:textId="77777777" w:rsidR="00D52F39" w:rsidRPr="00FC73EE" w:rsidRDefault="00D52F39" w:rsidP="00D52F39">
      <w:pPr>
        <w:spacing w:after="120" w:line="240" w:lineRule="auto"/>
        <w:jc w:val="both"/>
        <w:rPr>
          <w:rFonts w:ascii="Times New Roman" w:eastAsia="Times New Roman" w:hAnsi="Times New Roman" w:cs="Times New Roman"/>
          <w:lang w:eastAsia="es-AR"/>
        </w:rPr>
      </w:pPr>
      <w:r w:rsidRPr="00FC73EE">
        <w:rPr>
          <w:rFonts w:ascii="Times New Roman" w:eastAsia="Times New Roman" w:hAnsi="Times New Roman" w:cs="Times New Roman"/>
          <w:lang w:eastAsia="es-AR"/>
        </w:rPr>
        <w:t>Más allá de las frecuencias observadas, la integración de la información cualitativa permite comprender que el uso de la pregunta no depende únicamente de las decisiones individuales de cada docente, sino también de condiciones propias de los contextos institucionales en los que se desarrolla la enseñanza. La codificación de las entrevistas permitió identificar tres aspectos recurrentes que aparecen como condicionantes de esta práctica: el elevado número de estudiantes por curso, las limitaciones temporales propias de las clases y la necesidad de contar con estrategias específicas para enseñar a formular preguntas de calidad.</w:t>
      </w:r>
    </w:p>
    <w:p w14:paraId="20B81127" w14:textId="77777777" w:rsidR="00D52F39" w:rsidRPr="00FC73EE" w:rsidRDefault="00D52F39" w:rsidP="00D52F39">
      <w:pPr>
        <w:spacing w:after="120" w:line="240" w:lineRule="auto"/>
        <w:jc w:val="both"/>
        <w:rPr>
          <w:rFonts w:ascii="Times New Roman" w:eastAsia="Times New Roman" w:hAnsi="Times New Roman" w:cs="Times New Roman"/>
          <w:lang w:eastAsia="es-AR"/>
        </w:rPr>
      </w:pPr>
      <w:r w:rsidRPr="00FC73EE">
        <w:rPr>
          <w:rFonts w:ascii="Times New Roman" w:eastAsia="Times New Roman" w:hAnsi="Times New Roman" w:cs="Times New Roman"/>
          <w:lang w:eastAsia="es-AR"/>
        </w:rPr>
        <w:t>Las personas entrevistadas coinciden en señalar que el trabajo con grupos numerosos dificulta sostener intercambios prolongados y brindar retroalimentación individualizada. En consecuencia, muchas veces se privilegian preguntas breves destinadas a verificar la comprensión inmediata de los contenidos, en detrimento de otras que requieren mayores tiempos de reflexión, discusión y argumentación. Esta situación no es interpretada como una falta de valoración de la pregunta, sino como una tensión permanente entre las posibilidades pedagógicas deseadas y las condiciones concretas del trabajo docente.</w:t>
      </w:r>
    </w:p>
    <w:p w14:paraId="5076C262" w14:textId="77777777" w:rsidR="00D52F39" w:rsidRPr="00FC73EE" w:rsidRDefault="00D52F39" w:rsidP="00D52F39">
      <w:pPr>
        <w:spacing w:after="120" w:line="240" w:lineRule="auto"/>
        <w:jc w:val="both"/>
        <w:rPr>
          <w:rFonts w:ascii="Times New Roman" w:eastAsia="Times New Roman" w:hAnsi="Times New Roman" w:cs="Times New Roman"/>
          <w:lang w:eastAsia="es-AR"/>
        </w:rPr>
      </w:pPr>
      <w:r w:rsidRPr="00FC73EE">
        <w:rPr>
          <w:rFonts w:ascii="Times New Roman" w:eastAsia="Times New Roman" w:hAnsi="Times New Roman" w:cs="Times New Roman"/>
          <w:lang w:eastAsia="es-AR"/>
        </w:rPr>
        <w:t>Al mismo tiempo, las entrevistas muestran que existe un reconocimiento creciente acerca del valor formativo de enseñar a preguntar. Diversas personas participantes sostienen que formular preguntas constituye una habilidad que debe desarrollarse progresivamente y que no puede suponerse como una competencia ya adquirida por el estudiantado. Desde esta perspectiva, la pregunta deja de ser entendida únicamente como un recurso de evaluación para transformarse en una herramienta que favorece la construcción del conocimiento, la reflexión crítica y el aprendizaje autónomo.</w:t>
      </w:r>
    </w:p>
    <w:p w14:paraId="770C12CC" w14:textId="77777777" w:rsidR="00D52F39" w:rsidRPr="00FC73EE" w:rsidRDefault="00D52F39" w:rsidP="00D52F39">
      <w:pPr>
        <w:spacing w:after="120" w:line="240" w:lineRule="auto"/>
        <w:jc w:val="both"/>
        <w:rPr>
          <w:rFonts w:ascii="Times New Roman" w:eastAsia="Times New Roman" w:hAnsi="Times New Roman" w:cs="Times New Roman"/>
          <w:lang w:eastAsia="es-AR"/>
        </w:rPr>
      </w:pPr>
      <w:r w:rsidRPr="00FC73EE">
        <w:rPr>
          <w:rFonts w:ascii="Times New Roman" w:eastAsia="Times New Roman" w:hAnsi="Times New Roman" w:cs="Times New Roman"/>
          <w:lang w:eastAsia="es-AR"/>
        </w:rPr>
        <w:t>Las narrativas pedagógicas profundizan esta interpretación al recuperar experiencias concretas desarrolladas durante las prácticas de formación docente. Una futura docente describe la implementación de juegos didácticos acompañados por preguntas abiertas que buscaban estimular la participación activa del grupo. Aunque reconoce las dificultades derivadas del tamaño del curso, también destaca que este tipo de estrategias permitió generar mayor interés, promover el intercambio entre pares y construir respuestas colectivas. Otra narrativa expresa el deseo de convertirse en una docente capaz de adaptar las preguntas a las necesidades, ritmos e intereses de cada estudiante, evidenciando una concepción de la enseñanza centrada en el acompañamiento y no exclusivamente en la transmisión de contenidos.</w:t>
      </w:r>
    </w:p>
    <w:p w14:paraId="253A1D36" w14:textId="77777777" w:rsidR="00D52F39" w:rsidRPr="00FC73EE" w:rsidRDefault="00D52F39" w:rsidP="00D52F39">
      <w:pPr>
        <w:spacing w:after="120" w:line="240" w:lineRule="auto"/>
        <w:jc w:val="both"/>
        <w:rPr>
          <w:rFonts w:ascii="Times New Roman" w:eastAsia="Times New Roman" w:hAnsi="Times New Roman" w:cs="Times New Roman"/>
          <w:lang w:eastAsia="es-AR"/>
        </w:rPr>
      </w:pPr>
      <w:r w:rsidRPr="00FC73EE">
        <w:rPr>
          <w:rFonts w:ascii="Times New Roman" w:eastAsia="Times New Roman" w:hAnsi="Times New Roman" w:cs="Times New Roman"/>
          <w:lang w:eastAsia="es-AR"/>
        </w:rPr>
        <w:t xml:space="preserve">Estos relatos permiten advertir que, aun cuando las prácticas tradicionales continúan siendo predominantes, existe un proceso gradual de transformación pedagógica </w:t>
      </w:r>
      <w:r w:rsidRPr="00FC73EE">
        <w:rPr>
          <w:rFonts w:ascii="Times New Roman" w:eastAsia="Times New Roman" w:hAnsi="Times New Roman" w:cs="Times New Roman"/>
          <w:lang w:eastAsia="es-AR"/>
        </w:rPr>
        <w:lastRenderedPageBreak/>
        <w:t>impulsado por nuevas formas de comprender la enseñanza. En este escenario, la pregunta comienza a adquirir un papel más amplio, asociado al diálogo, la problematización y la construcción conjunta del conocimiento. No obstante, dicho proceso aparece todavía como incipiente y desigual, dependiendo en gran medida de las oportunidades de formación, las características de las asignaturas y las condiciones institucionales en las que se desarrolla la actividad docente.</w:t>
      </w:r>
    </w:p>
    <w:p w14:paraId="417F7942" w14:textId="77777777" w:rsidR="00D52F39" w:rsidRPr="00FC73EE" w:rsidRDefault="00D52F39" w:rsidP="00D52F39">
      <w:pPr>
        <w:spacing w:after="120" w:line="240" w:lineRule="auto"/>
        <w:jc w:val="both"/>
        <w:rPr>
          <w:rFonts w:ascii="Times New Roman" w:eastAsia="Times New Roman" w:hAnsi="Times New Roman" w:cs="Times New Roman"/>
          <w:lang w:eastAsia="es-AR"/>
        </w:rPr>
      </w:pPr>
      <w:r w:rsidRPr="00FC73EE">
        <w:rPr>
          <w:rFonts w:ascii="Times New Roman" w:eastAsia="Times New Roman" w:hAnsi="Times New Roman" w:cs="Times New Roman"/>
          <w:lang w:eastAsia="es-AR"/>
        </w:rPr>
        <w:t>En conjunto, los resultados permiten sostener que la pedagogía de la pregunta se encuentra presente en las instituciones analizadas, aunque todavía no constituye una práctica sistemática ni homogénea. Se observan experiencias innovadoras y una valoración positiva de sus potencialidades, pero persisten condicionantes organizacionales y metodológicos que dificultan su consolidación como eje transversal de la enseñanza.</w:t>
      </w:r>
    </w:p>
    <w:p w14:paraId="525BAE3F" w14:textId="77777777" w:rsidR="00D52F39" w:rsidRPr="00FC73EE" w:rsidRDefault="00D52F39" w:rsidP="00D52F39">
      <w:pPr>
        <w:spacing w:after="120" w:line="240" w:lineRule="auto"/>
        <w:jc w:val="both"/>
        <w:outlineLvl w:val="2"/>
        <w:rPr>
          <w:rFonts w:ascii="Times New Roman" w:eastAsia="Times New Roman" w:hAnsi="Times New Roman" w:cs="Times New Roman"/>
          <w:b/>
          <w:bCs/>
          <w:lang w:eastAsia="es-AR"/>
        </w:rPr>
      </w:pPr>
      <w:r w:rsidRPr="00FC73EE">
        <w:rPr>
          <w:rFonts w:ascii="Times New Roman" w:eastAsia="Times New Roman" w:hAnsi="Times New Roman" w:cs="Times New Roman"/>
          <w:b/>
          <w:bCs/>
          <w:lang w:eastAsia="es-AR"/>
        </w:rPr>
        <w:t>2. Percepciones sobre la Inteligencia Artificial en educación</w:t>
      </w:r>
    </w:p>
    <w:p w14:paraId="2238757D" w14:textId="77777777" w:rsidR="00D52F39" w:rsidRPr="00FC73EE" w:rsidRDefault="00D52F39" w:rsidP="00D52F39">
      <w:pPr>
        <w:spacing w:after="120" w:line="240" w:lineRule="auto"/>
        <w:jc w:val="both"/>
        <w:rPr>
          <w:rFonts w:ascii="Times New Roman" w:eastAsia="Times New Roman" w:hAnsi="Times New Roman" w:cs="Times New Roman"/>
          <w:lang w:eastAsia="es-AR"/>
        </w:rPr>
      </w:pPr>
      <w:r w:rsidRPr="00FC73EE">
        <w:rPr>
          <w:rFonts w:ascii="Times New Roman" w:eastAsia="Times New Roman" w:hAnsi="Times New Roman" w:cs="Times New Roman"/>
          <w:lang w:eastAsia="es-AR"/>
        </w:rPr>
        <w:t>El segundo eje de análisis se orientó a comprender las percepciones que docentes, estudiantes y personas egresadas poseen respecto de la incorporación de la Inteligencia Artificial en los procesos educativos. Los resultados muestran un escenario caracterizado por una disposición mayoritariamente favorable hacia estas tecnologías, aunque acompañada de interrogantes, precauciones y demandas de formación específica para garantizar un uso pedagógico pertinente.</w:t>
      </w:r>
    </w:p>
    <w:p w14:paraId="6B0004A4" w14:textId="77777777" w:rsidR="00D52F39" w:rsidRPr="00FC73EE" w:rsidRDefault="00D52F39" w:rsidP="00D52F39">
      <w:pPr>
        <w:spacing w:after="120" w:line="240" w:lineRule="auto"/>
        <w:jc w:val="both"/>
        <w:rPr>
          <w:rFonts w:ascii="Times New Roman" w:eastAsia="Times New Roman" w:hAnsi="Times New Roman" w:cs="Times New Roman"/>
          <w:lang w:eastAsia="es-AR"/>
        </w:rPr>
      </w:pPr>
      <w:r w:rsidRPr="00FC73EE">
        <w:rPr>
          <w:rFonts w:ascii="Times New Roman" w:eastAsia="Times New Roman" w:hAnsi="Times New Roman" w:cs="Times New Roman"/>
          <w:lang w:eastAsia="es-AR"/>
        </w:rPr>
        <w:t>Desde el punto de vista institucional, el contexto analizado presenta condiciones iniciales que podrían favorecer la incorporación de herramientas basadas en IA. Aproximadamente el 80 % del cuerpo docente acredita un nivel B2 en competencias digitales y la totalidad de las carreras desarrolla parte de sus actividades académicas mediante modalidades híbridas, con un 30 % de virtualidad. Estos datos indican que existe una infraestructura pedagógica y tecnológica relativamente consolidada sobre la cual podrían implementarse nuevas estrategias de enseñanza mediadas por Inteligencia Artificial.</w:t>
      </w:r>
    </w:p>
    <w:p w14:paraId="7ABEE54F" w14:textId="77777777" w:rsidR="00D52F39" w:rsidRPr="00FC73EE" w:rsidRDefault="00D52F39" w:rsidP="00D52F39">
      <w:pPr>
        <w:spacing w:after="120" w:line="240" w:lineRule="auto"/>
        <w:jc w:val="both"/>
        <w:rPr>
          <w:rFonts w:ascii="Times New Roman" w:eastAsia="Times New Roman" w:hAnsi="Times New Roman" w:cs="Times New Roman"/>
          <w:lang w:eastAsia="es-AR"/>
        </w:rPr>
      </w:pPr>
      <w:r w:rsidRPr="00FC73EE">
        <w:rPr>
          <w:rFonts w:ascii="Times New Roman" w:eastAsia="Times New Roman" w:hAnsi="Times New Roman" w:cs="Times New Roman"/>
          <w:lang w:eastAsia="es-AR"/>
        </w:rPr>
        <w:t>Sin embargo, la utilización efectiva de estas herramientas continúa siendo limitada. Solo el 32 % de las y los docentes manifiesta emplear aplicaciones de IA en sus prácticas de enseñanza, mientras que el 58 % expresa interés en incorporarlas, aunque reconoce no haber dado aún ese paso. Finalmente, un 10 % mantiene una posición de resistencia frente a estas tecnologías (Tabla 3). Esta distribución permite inferir que la principal barrera para la adopción de la IA no radica necesariamente en el rechazo hacia la innovación tecnológica, sino en la ausencia de experiencias formativas que permitan transformar el interés en prácticas concretas.</w:t>
      </w:r>
    </w:p>
    <w:p w14:paraId="087010E6" w14:textId="77777777" w:rsidR="00D52F39" w:rsidRPr="00FC73EE" w:rsidRDefault="00D52F39" w:rsidP="00D52F39">
      <w:pPr>
        <w:spacing w:after="120" w:line="240" w:lineRule="auto"/>
        <w:jc w:val="both"/>
        <w:rPr>
          <w:rFonts w:ascii="Times New Roman" w:eastAsia="Times New Roman" w:hAnsi="Times New Roman" w:cs="Times New Roman"/>
          <w:lang w:eastAsia="es-AR"/>
        </w:rPr>
      </w:pPr>
      <w:r w:rsidRPr="00FC73EE">
        <w:rPr>
          <w:rFonts w:ascii="Times New Roman" w:eastAsia="Times New Roman" w:hAnsi="Times New Roman" w:cs="Times New Roman"/>
          <w:lang w:eastAsia="es-AR"/>
        </w:rPr>
        <w:t>La perspectiva del estudiantado y de las personas egresadas refuerza esta interpretación. Los datos obtenidos muestran una valoración ampliamente positiva acerca del potencial educativo de la Inteligencia Artificial. El 85 % considera que estas herramientas pueden contribuir a formular mejores preguntas, facilitar la búsqueda de información, ofrecer retroalimentación inmediata y enriquecer los procesos de aprendizaje (Tabla 4). Esta apreciación evidencia que la IA no es concebida únicamente como un recurso tecnológico, sino como una posible mediadora para promover aprendizajes más autónomos, personalizados y reflexivos.</w:t>
      </w:r>
    </w:p>
    <w:p w14:paraId="4E44EB25" w14:textId="77777777" w:rsidR="00D52F39" w:rsidRPr="00FC73EE" w:rsidRDefault="00D52F39" w:rsidP="00D52F39">
      <w:pPr>
        <w:spacing w:after="120" w:line="240" w:lineRule="auto"/>
        <w:jc w:val="both"/>
        <w:rPr>
          <w:rFonts w:ascii="Times New Roman" w:eastAsia="Times New Roman" w:hAnsi="Times New Roman" w:cs="Times New Roman"/>
          <w:lang w:eastAsia="es-AR"/>
        </w:rPr>
      </w:pPr>
      <w:r w:rsidRPr="00FC73EE">
        <w:rPr>
          <w:rFonts w:ascii="Times New Roman" w:eastAsia="Times New Roman" w:hAnsi="Times New Roman" w:cs="Times New Roman"/>
          <w:lang w:eastAsia="es-AR"/>
        </w:rPr>
        <w:lastRenderedPageBreak/>
        <w:t>No obstante, esta valoración favorable no implica una aceptación acrítica. Una proporción significativa de participantes manifestó preocupaciones relacionadas con la confiabilidad de la información generada por sistemas de IA (22 %) y con el riesgo de que su utilización sustituya procesos personales de análisis, interpretación y construcción del conocimiento (18 %). Estos datos muestran que la percepción sobre la Inteligencia Artificial se caracteriza por una combinación de entusiasmo y cautela, en la que conviven expectativas de innovación con la conciencia de los desafíos éticos y pedagógicos que estas tecnologías plantean.</w:t>
      </w:r>
    </w:p>
    <w:p w14:paraId="44FDCEFF" w14:textId="77777777" w:rsidR="00D52F39" w:rsidRPr="00FC73EE" w:rsidRDefault="00D52F39" w:rsidP="00D52F39">
      <w:pPr>
        <w:spacing w:after="120" w:line="240" w:lineRule="auto"/>
        <w:jc w:val="both"/>
        <w:rPr>
          <w:rFonts w:ascii="Times New Roman" w:eastAsia="Times New Roman" w:hAnsi="Times New Roman" w:cs="Times New Roman"/>
          <w:lang w:eastAsia="es-AR"/>
        </w:rPr>
      </w:pPr>
      <w:r w:rsidRPr="00FC73EE">
        <w:rPr>
          <w:rFonts w:ascii="Times New Roman" w:eastAsia="Times New Roman" w:hAnsi="Times New Roman" w:cs="Times New Roman"/>
          <w:lang w:eastAsia="es-AR"/>
        </w:rPr>
        <w:t>Las entrevistas permiten profundizar en estas percepciones al mostrar que docentes y estudiantes no expresan posiciones polarizadas entre aceptación o rechazo, sino perspectivas más complejas. En términos generales, ambas poblaciones reconocen que la IA constituye una herramienta con importantes posibilidades para enriquecer la enseñanza, especialmente cuando se utiliza para estimular la formulación de preguntas, promover el pensamiento crítico o diversificar las estrategias de aprendizaje. Sin embargo, también coinciden en señalar que el verdadero desafío no consiste en incorporar tecnología por sí misma, sino en desarrollar criterios que permitan decidir cuándo, cómo y con qué finalidad utilizarla.</w:t>
      </w:r>
    </w:p>
    <w:p w14:paraId="57FADD55" w14:textId="77777777" w:rsidR="00D52F39" w:rsidRPr="00FC73EE" w:rsidRDefault="00D52F39" w:rsidP="00D52F39">
      <w:pPr>
        <w:spacing w:after="120" w:line="240" w:lineRule="auto"/>
        <w:jc w:val="both"/>
        <w:rPr>
          <w:rFonts w:ascii="Times New Roman" w:eastAsia="Times New Roman" w:hAnsi="Times New Roman" w:cs="Times New Roman"/>
          <w:lang w:eastAsia="es-AR"/>
        </w:rPr>
      </w:pPr>
      <w:r w:rsidRPr="00FC73EE">
        <w:rPr>
          <w:rFonts w:ascii="Times New Roman" w:eastAsia="Times New Roman" w:hAnsi="Times New Roman" w:cs="Times New Roman"/>
          <w:lang w:eastAsia="es-AR"/>
        </w:rPr>
        <w:t>En este sentido, varios testimonios destacan que la IA podría convertirse en un apoyo para ampliar las oportunidades de aprendizaje siempre que su utilización esté acompañada por procesos permanentes de reflexión pedagógica. Las personas entrevistadas señalan que la formulación de preguntas continúa siendo una responsabilidad esencial del docente y que ninguna herramienta tecnológica puede reemplazar la sensibilidad necesaria para interpretar las necesidades, intereses y características particulares de cada grupo de estudiantes.</w:t>
      </w:r>
    </w:p>
    <w:p w14:paraId="4E09F7C5" w14:textId="77777777" w:rsidR="00D52F39" w:rsidRPr="00FC73EE" w:rsidRDefault="00D52F39" w:rsidP="00D52F39">
      <w:pPr>
        <w:spacing w:after="120" w:line="240" w:lineRule="auto"/>
        <w:jc w:val="both"/>
        <w:rPr>
          <w:rFonts w:ascii="Times New Roman" w:eastAsia="Times New Roman" w:hAnsi="Times New Roman" w:cs="Times New Roman"/>
          <w:lang w:eastAsia="es-AR"/>
        </w:rPr>
      </w:pPr>
      <w:r w:rsidRPr="00FC73EE">
        <w:rPr>
          <w:rFonts w:ascii="Times New Roman" w:eastAsia="Times New Roman" w:hAnsi="Times New Roman" w:cs="Times New Roman"/>
          <w:lang w:eastAsia="es-AR"/>
        </w:rPr>
        <w:t>Asimismo, las narrativas pedagógicas recuperan experiencias concretas que muestran cómo las futuras personas docentes comienzan a incorporar estas herramientas dentro de su propia formación profesional. En varios relatos aparece la IA como un recurso utilizado para planificar actividades, generar propuestas iniciales o explorar alternativas metodológicas, aunque posteriormente esas producciones son revisadas, adaptadas y contextualizadas según los objetivos de enseñanza. Esta forma de utilización evidencia una comprensión de la Inteligencia Artificial como herramienta de apoyo y no como sustituto del trabajo intelectual o pedagógico.</w:t>
      </w:r>
    </w:p>
    <w:p w14:paraId="6F731E00" w14:textId="77777777" w:rsidR="00D52F39" w:rsidRPr="00FC73EE" w:rsidRDefault="00D52F39" w:rsidP="00D52F39">
      <w:pPr>
        <w:spacing w:after="120" w:line="240" w:lineRule="auto"/>
        <w:jc w:val="both"/>
        <w:rPr>
          <w:rFonts w:ascii="Times New Roman" w:eastAsia="Times New Roman" w:hAnsi="Times New Roman" w:cs="Times New Roman"/>
          <w:lang w:eastAsia="es-AR"/>
        </w:rPr>
      </w:pPr>
      <w:r w:rsidRPr="00FC73EE">
        <w:rPr>
          <w:rFonts w:ascii="Times New Roman" w:eastAsia="Times New Roman" w:hAnsi="Times New Roman" w:cs="Times New Roman"/>
          <w:lang w:eastAsia="es-AR"/>
        </w:rPr>
        <w:t>Otro aspecto recurrente en las narrativas refiere a las desigualdades existentes en el acceso y aprovechamiento de estas tecnologías. Algunas personas describen experiencias marcadas por dificultades de conectividad o por la imposibilidad de utilizar determinadas aplicaciones fuera de la institución educativa. Estos relatos permiten comprender que las posibilidades de integración de la IA no dependen exclusivamente de las competencias digitales individuales, sino también de las condiciones materiales que hacen posible su utilización cotidiana.</w:t>
      </w:r>
    </w:p>
    <w:p w14:paraId="2E52D33F" w14:textId="77777777" w:rsidR="00D52F39" w:rsidRPr="00FC73EE" w:rsidRDefault="00D52F39" w:rsidP="00D52F39">
      <w:pPr>
        <w:spacing w:after="120" w:line="240" w:lineRule="auto"/>
        <w:jc w:val="both"/>
        <w:rPr>
          <w:rFonts w:ascii="Times New Roman" w:eastAsia="Times New Roman" w:hAnsi="Times New Roman" w:cs="Times New Roman"/>
          <w:lang w:eastAsia="es-AR"/>
        </w:rPr>
      </w:pPr>
      <w:r w:rsidRPr="00FC73EE">
        <w:rPr>
          <w:rFonts w:ascii="Times New Roman" w:eastAsia="Times New Roman" w:hAnsi="Times New Roman" w:cs="Times New Roman"/>
          <w:lang w:eastAsia="es-AR"/>
        </w:rPr>
        <w:t xml:space="preserve">En conjunto, los resultados de este segundo eje muestran que existe una disposición ampliamente favorable hacia la incorporación de la Inteligencia Artificial en los procesos educativos. Sin embargo, esta apertura aparece acompañada por una demanda explícita de formación crítica, alfabetización digital y orientaciones pedagógicas que permitan </w:t>
      </w:r>
      <w:r w:rsidRPr="00FC73EE">
        <w:rPr>
          <w:rFonts w:ascii="Times New Roman" w:eastAsia="Times New Roman" w:hAnsi="Times New Roman" w:cs="Times New Roman"/>
          <w:lang w:eastAsia="es-AR"/>
        </w:rPr>
        <w:lastRenderedPageBreak/>
        <w:t>aprovechar las potencialidades de estas herramientas sin perder de vista la centralidad del pensamiento reflexivo, la autonomía intelectual y la construcción colectiva del conocimiento.</w:t>
      </w:r>
    </w:p>
    <w:p w14:paraId="3A7EEB6F" w14:textId="77777777" w:rsidR="00D52F39" w:rsidRPr="00FC73EE" w:rsidRDefault="00D52F39" w:rsidP="00D52F39">
      <w:pPr>
        <w:spacing w:after="120" w:line="240" w:lineRule="auto"/>
        <w:jc w:val="both"/>
        <w:outlineLvl w:val="2"/>
        <w:rPr>
          <w:rFonts w:ascii="Times New Roman" w:eastAsia="Times New Roman" w:hAnsi="Times New Roman" w:cs="Times New Roman"/>
          <w:b/>
          <w:bCs/>
          <w:lang w:eastAsia="es-AR"/>
        </w:rPr>
      </w:pPr>
      <w:r w:rsidRPr="00FC73EE">
        <w:rPr>
          <w:rFonts w:ascii="Times New Roman" w:eastAsia="Times New Roman" w:hAnsi="Times New Roman" w:cs="Times New Roman"/>
          <w:b/>
          <w:bCs/>
          <w:lang w:eastAsia="es-AR"/>
        </w:rPr>
        <w:t>3. Condiciones institucionales y formativas para integrar la Inteligencia Artificial y la pedagogía de la pregunta</w:t>
      </w:r>
    </w:p>
    <w:p w14:paraId="321AC91B" w14:textId="77777777" w:rsidR="00D52F39" w:rsidRPr="00FC73EE" w:rsidRDefault="00D52F39" w:rsidP="00D52F39">
      <w:pPr>
        <w:spacing w:after="120" w:line="240" w:lineRule="auto"/>
        <w:jc w:val="both"/>
        <w:rPr>
          <w:rFonts w:ascii="Times New Roman" w:eastAsia="Times New Roman" w:hAnsi="Times New Roman" w:cs="Times New Roman"/>
          <w:lang w:eastAsia="es-AR"/>
        </w:rPr>
      </w:pPr>
      <w:r w:rsidRPr="00FC73EE">
        <w:rPr>
          <w:rFonts w:ascii="Times New Roman" w:eastAsia="Times New Roman" w:hAnsi="Times New Roman" w:cs="Times New Roman"/>
          <w:lang w:eastAsia="es-AR"/>
        </w:rPr>
        <w:t>El tercer eje de análisis estuvo orientado a identificar las condiciones institucionales y formativas que favorecen o limitan la integración de la Inteligencia Artificial con una pedagogía centrada en la formulación de preguntas. Los resultados muestran que las instituciones participantes cuentan con avances importantes en materia de transformación digital, aunque todavía persisten desafíos vinculados con la capacitación específica, las políticas institucionales y las condiciones de acceso de la población estudiantil.</w:t>
      </w:r>
    </w:p>
    <w:p w14:paraId="48A1EB19" w14:textId="77777777" w:rsidR="00D52F39" w:rsidRPr="00FC73EE" w:rsidRDefault="00D52F39" w:rsidP="00D52F39">
      <w:pPr>
        <w:spacing w:after="120" w:line="240" w:lineRule="auto"/>
        <w:jc w:val="both"/>
        <w:rPr>
          <w:rFonts w:ascii="Times New Roman" w:eastAsia="Times New Roman" w:hAnsi="Times New Roman" w:cs="Times New Roman"/>
          <w:lang w:eastAsia="es-AR"/>
        </w:rPr>
      </w:pPr>
      <w:r w:rsidRPr="00FC73EE">
        <w:rPr>
          <w:rFonts w:ascii="Times New Roman" w:eastAsia="Times New Roman" w:hAnsi="Times New Roman" w:cs="Times New Roman"/>
          <w:lang w:eastAsia="es-AR"/>
        </w:rPr>
        <w:t>Los datos de la encuesta indican que el 72 % del cuerpo docente participó durante los últimos dos años en instancias de capacitación relacionadas con tecnologías educativas, enseñanza híbrida o utilización de plataformas virtuales. Este porcentaje refleja un compromiso institucional con la actualización profesional y evidencia que existe una trayectoria previa de formación en competencias digitales. Sin embargo, cuando se analiza el contenido de dichas propuestas, emerge una limitación relevante: el 28 % de las personas participantes considera que esas capacitaciones no abordaron de manera suficiente la Inteligencia Artificial ni ofrecieron orientaciones concretas para articularla con estrategias pedagógicas centradas en la pregunta y el pensamiento crítico (Tabla 5).</w:t>
      </w:r>
    </w:p>
    <w:p w14:paraId="06C4F334" w14:textId="77777777" w:rsidR="00D52F39" w:rsidRPr="00FC73EE" w:rsidRDefault="00D52F39" w:rsidP="00D52F39">
      <w:pPr>
        <w:spacing w:after="120" w:line="240" w:lineRule="auto"/>
        <w:jc w:val="both"/>
        <w:rPr>
          <w:rFonts w:ascii="Times New Roman" w:eastAsia="Times New Roman" w:hAnsi="Times New Roman" w:cs="Times New Roman"/>
          <w:lang w:eastAsia="es-AR"/>
        </w:rPr>
      </w:pPr>
      <w:r w:rsidRPr="00FC73EE">
        <w:rPr>
          <w:rFonts w:ascii="Times New Roman" w:eastAsia="Times New Roman" w:hAnsi="Times New Roman" w:cs="Times New Roman"/>
          <w:lang w:eastAsia="es-AR"/>
        </w:rPr>
        <w:t>Esta situación permite advertir que la formación tecnológica desarrollada hasta el momento ha estado orientada principalmente al manejo de plataformas, recursos digitales o modalidades híbridas de enseñanza, mientras que la incorporación de herramientas basadas en Inteligencia Artificial constituye todavía un campo emergente que requiere propuestas formativas específicas. En consecuencia, el interés manifestado por gran parte del profesorado aún no logra traducirse plenamente en innovaciones sistemáticas dentro de las prácticas de enseñanza.</w:t>
      </w:r>
    </w:p>
    <w:p w14:paraId="4CB2D28E" w14:textId="77777777" w:rsidR="00D52F39" w:rsidRPr="00FC73EE" w:rsidRDefault="00D52F39" w:rsidP="00D52F39">
      <w:pPr>
        <w:spacing w:after="120" w:line="240" w:lineRule="auto"/>
        <w:jc w:val="both"/>
        <w:rPr>
          <w:rFonts w:ascii="Times New Roman" w:eastAsia="Times New Roman" w:hAnsi="Times New Roman" w:cs="Times New Roman"/>
          <w:lang w:eastAsia="es-AR"/>
        </w:rPr>
      </w:pPr>
      <w:r w:rsidRPr="00FC73EE">
        <w:rPr>
          <w:rFonts w:ascii="Times New Roman" w:eastAsia="Times New Roman" w:hAnsi="Times New Roman" w:cs="Times New Roman"/>
          <w:lang w:eastAsia="es-AR"/>
        </w:rPr>
        <w:t>Desde la perspectiva estudiantil también aparecen condiciones que influyen directamente sobre las posibilidades de integración tecnológica. Casi una cuarta parte de las personas encuestadas (24 %) informa dificultades de conectividad en sus hogares, situación que limita el acceso continuo a plataformas digitales y aplicaciones de Inteligencia Artificial. Aunque esta proporción no representa a la mayoría de la muestra, constituye un indicador significativo de persistencia de brechas digitales que pueden generar desigualdades en las oportunidades de aprendizaje.</w:t>
      </w:r>
    </w:p>
    <w:p w14:paraId="03446210" w14:textId="77777777" w:rsidR="00D52F39" w:rsidRPr="00FC73EE" w:rsidRDefault="00D52F39" w:rsidP="00D52F39">
      <w:pPr>
        <w:spacing w:after="120" w:line="240" w:lineRule="auto"/>
        <w:jc w:val="both"/>
        <w:rPr>
          <w:rFonts w:ascii="Times New Roman" w:eastAsia="Times New Roman" w:hAnsi="Times New Roman" w:cs="Times New Roman"/>
          <w:lang w:eastAsia="es-AR"/>
        </w:rPr>
      </w:pPr>
      <w:r w:rsidRPr="00FC73EE">
        <w:rPr>
          <w:rFonts w:ascii="Times New Roman" w:eastAsia="Times New Roman" w:hAnsi="Times New Roman" w:cs="Times New Roman"/>
          <w:lang w:eastAsia="es-AR"/>
        </w:rPr>
        <w:t xml:space="preserve">Las entrevistas complementan esta información al destacar que la disponibilidad de infraestructura tecnológica constituye una condición necesaria, pero no suficiente, para transformar las prácticas educativas. Diversos testimonios señalan que resulta imprescindible avanzar hacia políticas institucionales claras que orienten el uso ético, responsable y pedagógicamente pertinente de la Inteligencia Artificial. En este sentido, docentes y estudiantes coinciden en la necesidad de contar con lineamientos compartidos acerca de aspectos como la transparencia en el uso de estas herramientas, la evaluación </w:t>
      </w:r>
      <w:r w:rsidRPr="00FC73EE">
        <w:rPr>
          <w:rFonts w:ascii="Times New Roman" w:eastAsia="Times New Roman" w:hAnsi="Times New Roman" w:cs="Times New Roman"/>
          <w:lang w:eastAsia="es-AR"/>
        </w:rPr>
        <w:lastRenderedPageBreak/>
        <w:t>de producciones realizadas con asistencia de IA, la protección de datos y la promoción de la integridad académica.</w:t>
      </w:r>
    </w:p>
    <w:p w14:paraId="7172B66F" w14:textId="77777777" w:rsidR="00D52F39" w:rsidRPr="00FC73EE" w:rsidRDefault="00D52F39" w:rsidP="00D52F39">
      <w:pPr>
        <w:spacing w:after="120" w:line="240" w:lineRule="auto"/>
        <w:jc w:val="both"/>
        <w:rPr>
          <w:rFonts w:ascii="Times New Roman" w:eastAsia="Times New Roman" w:hAnsi="Times New Roman" w:cs="Times New Roman"/>
          <w:lang w:eastAsia="es-AR"/>
        </w:rPr>
      </w:pPr>
      <w:r w:rsidRPr="00FC73EE">
        <w:rPr>
          <w:rFonts w:ascii="Times New Roman" w:eastAsia="Times New Roman" w:hAnsi="Times New Roman" w:cs="Times New Roman"/>
          <w:lang w:eastAsia="es-AR"/>
        </w:rPr>
        <w:t>Otro aspecto que emerge con fuerza en el análisis cualitativo es la importancia del acompañamiento institucional durante los procesos de innovación. Las personas entrevistadas expresan que la incorporación de nuevas tecnologías genera incertidumbres que difícilmente puedan resolverse de manera individual. En consecuencia, plantean la necesidad de construir espacios colectivos de intercambio entre docentes, instancias de actualización permanente y comunidades de aprendizaje que permitan compartir experiencias, resolver dificultades y construir criterios comunes para el uso pedagógico de la Inteligencia Artificial.</w:t>
      </w:r>
    </w:p>
    <w:p w14:paraId="58CDAA20" w14:textId="77777777" w:rsidR="00D52F39" w:rsidRPr="00FC73EE" w:rsidRDefault="00D52F39" w:rsidP="00D52F39">
      <w:pPr>
        <w:spacing w:after="120" w:line="240" w:lineRule="auto"/>
        <w:jc w:val="both"/>
        <w:rPr>
          <w:rFonts w:ascii="Times New Roman" w:eastAsia="Times New Roman" w:hAnsi="Times New Roman" w:cs="Times New Roman"/>
          <w:lang w:eastAsia="es-AR"/>
        </w:rPr>
      </w:pPr>
      <w:r w:rsidRPr="00FC73EE">
        <w:rPr>
          <w:rFonts w:ascii="Times New Roman" w:eastAsia="Times New Roman" w:hAnsi="Times New Roman" w:cs="Times New Roman"/>
          <w:lang w:eastAsia="es-AR"/>
        </w:rPr>
        <w:t>Las narrativas pedagógicas recuperan situaciones concretas que ilustran estas necesidades. Algunas describen experiencias de estrés derivadas de la inestabilidad de la conexión a internet o de la falta de dispositivos adecuados para desarrollar determinadas actividades académicas. Otras muestran cómo la existencia de docentes con sólidas competencias digitales favorece la experimentación con nuevas metodologías, siempre que exista respaldo institucional para sostener esos procesos de innovación. En conjunto, estos relatos ponen de manifiesto que la transformación educativa depende de la articulación entre recursos tecnológicos, formación profesional y políticas institucionales consistentes.</w:t>
      </w:r>
    </w:p>
    <w:p w14:paraId="65046A76" w14:textId="77777777" w:rsidR="00D52F39" w:rsidRPr="00FC73EE" w:rsidRDefault="00D52F39" w:rsidP="00D52F39">
      <w:pPr>
        <w:spacing w:after="120" w:line="240" w:lineRule="auto"/>
        <w:jc w:val="both"/>
        <w:rPr>
          <w:rFonts w:ascii="Times New Roman" w:eastAsia="Times New Roman" w:hAnsi="Times New Roman" w:cs="Times New Roman"/>
          <w:lang w:eastAsia="es-AR"/>
        </w:rPr>
      </w:pPr>
      <w:r w:rsidRPr="00FC73EE">
        <w:rPr>
          <w:rFonts w:ascii="Times New Roman" w:eastAsia="Times New Roman" w:hAnsi="Times New Roman" w:cs="Times New Roman"/>
          <w:lang w:eastAsia="es-AR"/>
        </w:rPr>
        <w:t>La integración de los resultados provenientes de las distintas técnicas de recolección permite caracterizar el escenario actual como un proceso de transición. Las instituciones cuentan con un cuerpo docente que, en términos generales, posee un nivel adecuado de competencias digitales y manifiesta interés por incorporar nuevas herramientas tecnológicas. Paralelamente, el estudiantado expresa una actitud favorable hacia la utilización de la Inteligencia Artificial y reconoce sus potencialidades para enriquecer el aprendizaje. No obstante, estas condiciones favorables todavía no se traducen en una incorporación sistemática de la IA dentro de las prácticas pedagógicas orientadas al desarrollo de preguntas de alto nivel cognitivo.</w:t>
      </w:r>
    </w:p>
    <w:p w14:paraId="75750CBA" w14:textId="77777777" w:rsidR="00D52F39" w:rsidRPr="00FC73EE" w:rsidRDefault="00D52F39" w:rsidP="00D52F39">
      <w:pPr>
        <w:spacing w:after="120" w:line="240" w:lineRule="auto"/>
        <w:jc w:val="both"/>
        <w:rPr>
          <w:rFonts w:ascii="Times New Roman" w:eastAsia="Times New Roman" w:hAnsi="Times New Roman" w:cs="Times New Roman"/>
          <w:lang w:eastAsia="es-AR"/>
        </w:rPr>
      </w:pPr>
      <w:r>
        <w:rPr>
          <w:rFonts w:ascii="Times New Roman" w:eastAsia="Times New Roman" w:hAnsi="Times New Roman" w:cs="Times New Roman"/>
          <w:lang w:eastAsia="es-AR"/>
        </w:rPr>
        <w:t xml:space="preserve">Los </w:t>
      </w:r>
      <w:r w:rsidRPr="00FC73EE">
        <w:rPr>
          <w:rFonts w:ascii="Times New Roman" w:eastAsia="Times New Roman" w:hAnsi="Times New Roman" w:cs="Times New Roman"/>
          <w:lang w:eastAsia="es-AR"/>
        </w:rPr>
        <w:t>tres ejes analizados convergen en una misma dirección. Por un lado, las prácticas docentes continúan mostrando un predominio de preguntas orientadas a la recuperación de información, aunque comienzan a observarse experiencias que promueven el análisis, la argumentación y la creatividad. Por otro, la Inteligencia Artificial es percibida como una herramienta con importantes posibilidades para fortalecer los procesos educativos, siempre que su incorporación esté guiada por criterios pedagógicos, éticos y críticos. Finalmente, las condiciones institucionales muestran avances significativos en materia de digitalización y formación docente, pero también evidencian la necesidad de consolidar políticas de capacitación continua, fortalecer la infraestructura tecnológica y generar marcos institucionales que acompañen la innovación.</w:t>
      </w:r>
    </w:p>
    <w:p w14:paraId="26762FF0" w14:textId="77777777" w:rsidR="00D52F39" w:rsidRPr="00FC73EE" w:rsidRDefault="00D52F39" w:rsidP="00D52F39">
      <w:pPr>
        <w:spacing w:after="120" w:line="240" w:lineRule="auto"/>
        <w:jc w:val="both"/>
        <w:rPr>
          <w:rFonts w:ascii="Times New Roman" w:eastAsia="Times New Roman" w:hAnsi="Times New Roman" w:cs="Times New Roman"/>
          <w:lang w:eastAsia="es-AR"/>
        </w:rPr>
      </w:pPr>
      <w:r w:rsidRPr="00FC73EE">
        <w:rPr>
          <w:rFonts w:ascii="Times New Roman" w:eastAsia="Times New Roman" w:hAnsi="Times New Roman" w:cs="Times New Roman"/>
          <w:lang w:eastAsia="es-AR"/>
        </w:rPr>
        <w:t xml:space="preserve">En conjunto, los resultados describen un escenario dinámico en el que convergen fortalezas, desafíos y oportunidades para avanzar hacia prácticas educativas capaces de integrar la pedagogía de la pregunta con el uso crítico y reflexivo de la Inteligencia Artificial. Más que una transformación plenamente consolidada, la evidencia da cuenta de un proceso en construcción, sostenido por el interés de la comunidad educativa y por </w:t>
      </w:r>
      <w:r w:rsidRPr="00FC73EE">
        <w:rPr>
          <w:rFonts w:ascii="Times New Roman" w:eastAsia="Times New Roman" w:hAnsi="Times New Roman" w:cs="Times New Roman"/>
          <w:lang w:eastAsia="es-AR"/>
        </w:rPr>
        <w:lastRenderedPageBreak/>
        <w:t>el reconocimiento de que las tecnologías digitales adquieren verdadero sentido cuando se encuentran al servicio del desarrollo del pensamiento, del diálogo y de la formación integral de las personas.</w:t>
      </w:r>
    </w:p>
    <w:p w14:paraId="4F09DC76" w14:textId="68C1944D" w:rsidR="009F1E6A" w:rsidRPr="009F1E6A" w:rsidRDefault="009F1E6A" w:rsidP="009F1E6A">
      <w:pPr>
        <w:pStyle w:val="Sinespaciado"/>
        <w:spacing w:after="120"/>
        <w:jc w:val="both"/>
        <w:rPr>
          <w:rFonts w:ascii="Times New Roman" w:hAnsi="Times New Roman" w:cs="Times New Roman"/>
          <w:b/>
          <w:bCs/>
          <w:sz w:val="24"/>
          <w:szCs w:val="24"/>
          <w:lang w:val="es-ES_tradnl"/>
        </w:rPr>
      </w:pPr>
      <w:r w:rsidRPr="009F1E6A">
        <w:rPr>
          <w:rFonts w:ascii="Times New Roman" w:hAnsi="Times New Roman" w:cs="Times New Roman"/>
          <w:b/>
          <w:bCs/>
          <w:sz w:val="24"/>
          <w:szCs w:val="24"/>
          <w:lang w:val="es-ES_tradnl"/>
        </w:rPr>
        <w:t>D</w:t>
      </w:r>
      <w:r>
        <w:rPr>
          <w:rFonts w:ascii="Times New Roman" w:hAnsi="Times New Roman" w:cs="Times New Roman"/>
          <w:b/>
          <w:bCs/>
          <w:sz w:val="24"/>
          <w:szCs w:val="24"/>
          <w:lang w:val="es-ES_tradnl"/>
        </w:rPr>
        <w:t>iscusión</w:t>
      </w:r>
    </w:p>
    <w:p w14:paraId="485B8AE3" w14:textId="77777777" w:rsidR="009F1E6A" w:rsidRDefault="009F1E6A" w:rsidP="009F1E6A">
      <w:pPr>
        <w:pStyle w:val="Sinespaciado"/>
        <w:spacing w:after="1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El estudio revela que la institución atraviesa un momento de transición pedagógica donde confluyen la tradición crítica de la Pedagogía de la pregunta y la irrupción de la Inteligencia Artificial como recurso emergente. Los resultados muestran que, si bien aún predomina la formulación de preguntas fácticas y reproductivas, se observa un movimiento sostenido hacia interrogantes de mayor complejidad cognitiva. Esta tendencia, aunque incipiente, abre la posibilidad de consolidar prácticas más dialógicas y reflexivas.</w:t>
      </w:r>
    </w:p>
    <w:p w14:paraId="7AEBEF24" w14:textId="77777777" w:rsidR="009F1E6A" w:rsidRDefault="009F1E6A" w:rsidP="009F1E6A">
      <w:pPr>
        <w:pStyle w:val="Sinespaciado"/>
        <w:spacing w:after="1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La sólida base digital del plantel docente constituye una fortaleza significativa. Este dato contradice visiones que asocian la educación superior con rezago tecnológico y permite afirmar que existe un capital digital que puede ser aprovechado para innovar pedagógicamente. Sin embargo, el uso efectivo de IA en la práctica docente continúa siendo limitado. Esta brecha entre disposición y práctica efectiva coincide con el planteo de </w:t>
      </w:r>
      <w:proofErr w:type="spellStart"/>
      <w:r>
        <w:rPr>
          <w:rFonts w:ascii="Times New Roman" w:hAnsi="Times New Roman" w:cs="Times New Roman"/>
          <w:sz w:val="24"/>
          <w:szCs w:val="24"/>
          <w:lang w:val="es-ES_tradnl"/>
        </w:rPr>
        <w:t>Burbules</w:t>
      </w:r>
      <w:proofErr w:type="spellEnd"/>
      <w:r>
        <w:rPr>
          <w:rFonts w:ascii="Times New Roman" w:hAnsi="Times New Roman" w:cs="Times New Roman"/>
          <w:sz w:val="24"/>
          <w:szCs w:val="24"/>
          <w:lang w:val="es-ES_tradnl"/>
        </w:rPr>
        <w:t xml:space="preserve"> (2020), quien advierte que la disponibilidad tecnológica no implica automáticamente innovación pedagógica.</w:t>
      </w:r>
    </w:p>
    <w:p w14:paraId="48423FA0" w14:textId="77777777" w:rsidR="009F1E6A" w:rsidRDefault="009F1E6A" w:rsidP="009F1E6A">
      <w:pPr>
        <w:pStyle w:val="Sinespaciado"/>
        <w:spacing w:after="1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Las percepciones de estudiantes y egresados complementan esta mirada: la valoración positiva de la IA como recurso para formular mejores preguntas y recibir retroalimentación inmediata se acompaña de preocupaciones legítimas acerca de la confiabilidad de la información y la posible sustitución de procesos críticos. Estas tensiones resuenan con lo que dice la UNESCO (2021) sobre la necesidad de garantizar que la IA en educación sea inclusiva, equitativa, transparente y respetuosa de los derechos humanos.</w:t>
      </w:r>
    </w:p>
    <w:p w14:paraId="308FA73B" w14:textId="77777777" w:rsidR="009F1E6A" w:rsidRDefault="009F1E6A" w:rsidP="009F1E6A">
      <w:pPr>
        <w:pStyle w:val="Sinespaciado"/>
        <w:spacing w:after="1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La incorporación de las narrativas pedagógicas permitió ampliar y complejizar la comprensión de los resultados cuantitativos, aportando la voz directa de quienes experimentan los desafíos de preguntar y enseñar en contextos híbridos. Estos relatos muestran que la preferencia por preguntas fácticas no es una decisión pedagógica superficial, sino una respuesta adaptativa a estructuras de aula con alta densidad de estudiantes, tiempos restringidos para retroalimentar y presión curricular.</w:t>
      </w:r>
    </w:p>
    <w:p w14:paraId="120F4E90" w14:textId="77777777" w:rsidR="009F1E6A" w:rsidRDefault="009F1E6A" w:rsidP="009F1E6A">
      <w:pPr>
        <w:pStyle w:val="Sinespaciado"/>
        <w:spacing w:after="1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El estudio también aporta una mirada territorial que resulta insoslayable. Persisten desigualdades de conectividad que afectan de manera directa las posibilidades de acceso a recursos digitales, especialmente en áreas rurales. Tal como señala Dussel (2018), la brecha digital no se agota en la tenencia de dispositivos, sino que comprende condiciones de uso, continuidad de la conexión y apropiación cultural de las tecnologías.</w:t>
      </w:r>
    </w:p>
    <w:p w14:paraId="7045B2C4" w14:textId="77777777" w:rsidR="009F1E6A" w:rsidRDefault="009F1E6A" w:rsidP="009F1E6A">
      <w:pPr>
        <w:pStyle w:val="Sinespaciado"/>
        <w:spacing w:after="1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Los resultados representan un insumo valioso para orientar la innovación pedagógica y la formación docente. La evidencia indica que la integración de IA debe ir acompañada de un desarrollo profesional específico, capaz de articular la tradición </w:t>
      </w:r>
      <w:proofErr w:type="spellStart"/>
      <w:r>
        <w:rPr>
          <w:rFonts w:ascii="Times New Roman" w:hAnsi="Times New Roman" w:cs="Times New Roman"/>
          <w:sz w:val="24"/>
          <w:szCs w:val="24"/>
          <w:lang w:val="es-ES_tradnl"/>
        </w:rPr>
        <w:t>freireana</w:t>
      </w:r>
      <w:proofErr w:type="spellEnd"/>
      <w:r>
        <w:rPr>
          <w:rFonts w:ascii="Times New Roman" w:hAnsi="Times New Roman" w:cs="Times New Roman"/>
          <w:sz w:val="24"/>
          <w:szCs w:val="24"/>
          <w:lang w:val="es-ES_tradnl"/>
        </w:rPr>
        <w:t xml:space="preserve"> con el potencial de tecnologías emergentes. La generación de lineamientos éticos aparece como condición central para evitar usos superficiales de la IA y, al mismo tiempo, prevenir el reemplazo de la reflexión humana por respuestas automáticas.</w:t>
      </w:r>
    </w:p>
    <w:p w14:paraId="12CE0BCB" w14:textId="6A82741F"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lastRenderedPageBreak/>
        <w:t>Conclusiones</w:t>
      </w:r>
    </w:p>
    <w:p w14:paraId="0DEA43FA" w14:textId="77777777" w:rsidR="009F1E6A" w:rsidRDefault="009F1E6A" w:rsidP="009F1E6A">
      <w:pPr>
        <w:pStyle w:val="Sinespaciado"/>
        <w:spacing w:after="1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La integración de IA puede convertirse en una aliada del pensamiento crítico y la autonomía estudiantil si se acompaña de políticas de equidad digital, formación docente situada y principios éticos claros.</w:t>
      </w:r>
    </w:p>
    <w:p w14:paraId="6F3E80EB" w14:textId="77777777" w:rsidR="009F1E6A" w:rsidRDefault="009F1E6A" w:rsidP="009F1E6A">
      <w:pPr>
        <w:pStyle w:val="Sinespaciado"/>
        <w:spacing w:after="1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Los hallazgos principales indican que: (1) predominan las preguntas de tipo fáctico en la práctica docente, aunque existe un movimiento creciente hacia preguntas de mayor complejidad cognitiva; (2) existe una base digital docente sólida, pero el uso efectivo de IA es aún limitado; (3) estudiantes y egresados valoran positivamente el potencial de la IA, pero demandan formación en alfabetización digital crítica; y (4) persisten brechas de conectividad que requieren políticas de equidad tecnológica.</w:t>
      </w:r>
    </w:p>
    <w:p w14:paraId="4BE4B2ED" w14:textId="77777777" w:rsidR="009F1E6A" w:rsidRDefault="009F1E6A" w:rsidP="009F1E6A">
      <w:pPr>
        <w:pStyle w:val="Sinespaciado"/>
        <w:spacing w:after="1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Esta investigación contribuye al campo de la pedagogía crítica y la innovación tecnológica en educación superior, aportando evidencia empírica sobre cómo articular tradiciones pedagógicas emancipadoras con herramientas emergentes de forma situada y responsable. Se espera que estos hallazgos sirvan de insumo para otras instituciones que enfrentan desafíos similares en la integración crítica de tecnologías digitales.</w:t>
      </w:r>
    </w:p>
    <w:p w14:paraId="544B704F" w14:textId="77777777" w:rsidR="00BC236F" w:rsidRPr="00BA642E" w:rsidRDefault="00BC236F" w:rsidP="007B5B5F">
      <w:pPr>
        <w:spacing w:line="240" w:lineRule="auto"/>
        <w:jc w:val="both"/>
        <w:rPr>
          <w:rFonts w:ascii="Times New Roman" w:hAnsi="Times New Roman" w:cs="Times New Roman"/>
        </w:rPr>
      </w:pPr>
    </w:p>
    <w:p w14:paraId="39B57161" w14:textId="69DC08D7"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Referencias Bibliográficas (APA 7)</w:t>
      </w:r>
    </w:p>
    <w:p w14:paraId="60A1C975" w14:textId="77777777" w:rsidR="009F1E6A" w:rsidRDefault="009F1E6A" w:rsidP="009F1E6A">
      <w:pPr>
        <w:pStyle w:val="Sinespaciado"/>
        <w:spacing w:after="120"/>
        <w:ind w:left="567" w:hanging="567"/>
        <w:jc w:val="both"/>
        <w:rPr>
          <w:rFonts w:ascii="Times New Roman" w:hAnsi="Times New Roman" w:cs="Times New Roman"/>
          <w:sz w:val="24"/>
          <w:szCs w:val="24"/>
          <w:lang w:val="es-ES_tradnl"/>
        </w:rPr>
      </w:pPr>
      <w:proofErr w:type="spellStart"/>
      <w:r>
        <w:rPr>
          <w:rFonts w:ascii="Times New Roman" w:hAnsi="Times New Roman" w:cs="Times New Roman"/>
          <w:sz w:val="24"/>
          <w:szCs w:val="24"/>
          <w:lang w:val="es-ES_tradnl"/>
        </w:rPr>
        <w:t>Burbules</w:t>
      </w:r>
      <w:proofErr w:type="spellEnd"/>
      <w:r>
        <w:rPr>
          <w:rFonts w:ascii="Times New Roman" w:hAnsi="Times New Roman" w:cs="Times New Roman"/>
          <w:sz w:val="24"/>
          <w:szCs w:val="24"/>
          <w:lang w:val="es-ES_tradnl"/>
        </w:rPr>
        <w:t xml:space="preserve">, N. C. (2020). </w:t>
      </w:r>
      <w:r>
        <w:rPr>
          <w:rFonts w:ascii="Times New Roman" w:hAnsi="Times New Roman" w:cs="Times New Roman"/>
          <w:i/>
          <w:sz w:val="24"/>
          <w:szCs w:val="24"/>
          <w:lang w:val="es-ES_tradnl"/>
        </w:rPr>
        <w:t>La enseñanza en la era digital: De la tecnología a la pedagogía</w:t>
      </w:r>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Noveduc</w:t>
      </w:r>
      <w:proofErr w:type="spellEnd"/>
      <w:r>
        <w:rPr>
          <w:rFonts w:ascii="Times New Roman" w:hAnsi="Times New Roman" w:cs="Times New Roman"/>
          <w:sz w:val="24"/>
          <w:szCs w:val="24"/>
          <w:lang w:val="es-ES_tradnl"/>
        </w:rPr>
        <w:t>.</w:t>
      </w:r>
    </w:p>
    <w:p w14:paraId="39BA6732" w14:textId="77777777" w:rsidR="009F1E6A" w:rsidRDefault="009F1E6A" w:rsidP="009F1E6A">
      <w:pPr>
        <w:pStyle w:val="Sinespaciado"/>
        <w:spacing w:after="120"/>
        <w:ind w:left="567" w:hanging="567"/>
        <w:jc w:val="both"/>
        <w:rPr>
          <w:rFonts w:ascii="Times New Roman" w:hAnsi="Times New Roman" w:cs="Times New Roman"/>
          <w:sz w:val="24"/>
          <w:szCs w:val="24"/>
          <w:lang w:val="es-ES_tradnl"/>
        </w:rPr>
      </w:pPr>
      <w:proofErr w:type="spellStart"/>
      <w:r>
        <w:rPr>
          <w:rFonts w:ascii="Times New Roman" w:hAnsi="Times New Roman" w:cs="Times New Roman"/>
          <w:sz w:val="24"/>
          <w:szCs w:val="24"/>
          <w:lang w:val="es-ES_tradnl"/>
        </w:rPr>
        <w:t>Burbules</w:t>
      </w:r>
      <w:proofErr w:type="spellEnd"/>
      <w:r>
        <w:rPr>
          <w:rFonts w:ascii="Times New Roman" w:hAnsi="Times New Roman" w:cs="Times New Roman"/>
          <w:sz w:val="24"/>
          <w:szCs w:val="24"/>
          <w:lang w:val="es-ES_tradnl"/>
        </w:rPr>
        <w:t xml:space="preserve">, N. C., &amp; Callister, T. A. (2001). </w:t>
      </w:r>
      <w:r>
        <w:rPr>
          <w:rFonts w:ascii="Times New Roman" w:hAnsi="Times New Roman" w:cs="Times New Roman"/>
          <w:i/>
          <w:sz w:val="24"/>
          <w:szCs w:val="24"/>
          <w:lang w:val="es-ES_tradnl"/>
        </w:rPr>
        <w:t>Educación: Riesgos y promesas de las nuevas tecnologías de la información.</w:t>
      </w:r>
      <w:r>
        <w:rPr>
          <w:rFonts w:ascii="Times New Roman" w:hAnsi="Times New Roman" w:cs="Times New Roman"/>
          <w:sz w:val="24"/>
          <w:szCs w:val="24"/>
          <w:lang w:val="es-ES_tradnl"/>
        </w:rPr>
        <w:t xml:space="preserve"> Granica.</w:t>
      </w:r>
    </w:p>
    <w:p w14:paraId="3F15ACE6" w14:textId="77777777" w:rsidR="009F1E6A" w:rsidRDefault="009F1E6A" w:rsidP="009F1E6A">
      <w:pPr>
        <w:pStyle w:val="Sinespaciado"/>
        <w:spacing w:after="120"/>
        <w:ind w:left="567" w:hanging="567"/>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Dussel, I. (2018). </w:t>
      </w:r>
      <w:r>
        <w:rPr>
          <w:rFonts w:ascii="Times New Roman" w:hAnsi="Times New Roman" w:cs="Times New Roman"/>
          <w:i/>
          <w:sz w:val="24"/>
          <w:szCs w:val="24"/>
          <w:lang w:val="es-ES_tradnl"/>
        </w:rPr>
        <w:t>Educación y tecnologías digitales: Entre la inclusión y la innovación.</w:t>
      </w:r>
      <w:r>
        <w:rPr>
          <w:rFonts w:ascii="Times New Roman" w:hAnsi="Times New Roman" w:cs="Times New Roman"/>
          <w:sz w:val="24"/>
          <w:szCs w:val="24"/>
          <w:lang w:val="es-ES_tradnl"/>
        </w:rPr>
        <w:t xml:space="preserve"> Paidós.</w:t>
      </w:r>
    </w:p>
    <w:p w14:paraId="3D96D530" w14:textId="77777777" w:rsidR="009F1E6A" w:rsidRDefault="009F1E6A" w:rsidP="009F1E6A">
      <w:pPr>
        <w:pStyle w:val="Sinespaciado"/>
        <w:spacing w:after="120"/>
        <w:ind w:left="567" w:hanging="567"/>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Dussel, I. (2020). La escuela en la pandemia. Reflexiones sobre lo escolar en tiempos dislocados. </w:t>
      </w:r>
      <w:r>
        <w:rPr>
          <w:rFonts w:ascii="Times New Roman" w:hAnsi="Times New Roman" w:cs="Times New Roman"/>
          <w:i/>
          <w:sz w:val="24"/>
          <w:szCs w:val="24"/>
          <w:lang w:val="es-ES_tradnl"/>
        </w:rPr>
        <w:t>Praxis educativa</w:t>
      </w:r>
      <w:r>
        <w:rPr>
          <w:rFonts w:ascii="Times New Roman" w:hAnsi="Times New Roman" w:cs="Times New Roman"/>
          <w:sz w:val="24"/>
          <w:szCs w:val="24"/>
          <w:lang w:val="es-ES_tradnl"/>
        </w:rPr>
        <w:t>, 15, e2016482. https://doi.org/10.5212/PraxEduc.v.15.16482.090</w:t>
      </w:r>
    </w:p>
    <w:p w14:paraId="5E7D5FE9" w14:textId="77777777" w:rsidR="009F1E6A" w:rsidRDefault="009F1E6A" w:rsidP="009F1E6A">
      <w:pPr>
        <w:pStyle w:val="Sinespaciado"/>
        <w:spacing w:after="120"/>
        <w:ind w:left="567" w:hanging="567"/>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Freire, P. (1985). </w:t>
      </w:r>
      <w:r>
        <w:rPr>
          <w:rFonts w:ascii="Times New Roman" w:hAnsi="Times New Roman" w:cs="Times New Roman"/>
          <w:i/>
          <w:sz w:val="24"/>
          <w:szCs w:val="24"/>
          <w:lang w:val="es-ES_tradnl"/>
        </w:rPr>
        <w:t>Por una pedagogía de la pregunta. Crítica a una educación basada en respuestas a preguntas inexistentes</w:t>
      </w:r>
      <w:r>
        <w:rPr>
          <w:rFonts w:ascii="Times New Roman" w:hAnsi="Times New Roman" w:cs="Times New Roman"/>
          <w:sz w:val="24"/>
          <w:szCs w:val="24"/>
          <w:lang w:val="es-ES_tradnl"/>
        </w:rPr>
        <w:t>. Siglo XXI Editores.</w:t>
      </w:r>
    </w:p>
    <w:p w14:paraId="0AD566CF" w14:textId="77777777" w:rsidR="009F1E6A" w:rsidRDefault="009F1E6A" w:rsidP="009F1E6A">
      <w:pPr>
        <w:pStyle w:val="Sinespaciado"/>
        <w:spacing w:after="120"/>
        <w:ind w:left="567" w:hanging="567"/>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Freire, P. (1993). </w:t>
      </w:r>
      <w:r>
        <w:rPr>
          <w:rFonts w:ascii="Times New Roman" w:hAnsi="Times New Roman" w:cs="Times New Roman"/>
          <w:i/>
          <w:sz w:val="24"/>
          <w:szCs w:val="24"/>
          <w:lang w:val="es-ES_tradnl"/>
        </w:rPr>
        <w:t xml:space="preserve">Pedagogía de la esperanza: Un reencuentro con la pedagogía del oprimido </w:t>
      </w:r>
      <w:r>
        <w:rPr>
          <w:rFonts w:ascii="Times New Roman" w:hAnsi="Times New Roman" w:cs="Times New Roman"/>
          <w:sz w:val="24"/>
          <w:szCs w:val="24"/>
          <w:lang w:val="es-ES_tradnl"/>
        </w:rPr>
        <w:t>(6ª ed.). Siglo XXI Editores.</w:t>
      </w:r>
    </w:p>
    <w:p w14:paraId="37D5BBA9" w14:textId="77777777" w:rsidR="009F1E6A" w:rsidRDefault="009F1E6A" w:rsidP="009F1E6A">
      <w:pPr>
        <w:pStyle w:val="Sinespaciado"/>
        <w:spacing w:after="1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Freire, P. (2008). </w:t>
      </w:r>
      <w:r>
        <w:rPr>
          <w:rFonts w:ascii="Times New Roman" w:hAnsi="Times New Roman" w:cs="Times New Roman"/>
          <w:i/>
          <w:sz w:val="24"/>
          <w:szCs w:val="24"/>
          <w:lang w:val="es-ES_tradnl"/>
        </w:rPr>
        <w:t>La educación como práctica de la libertad</w:t>
      </w:r>
      <w:r>
        <w:rPr>
          <w:rFonts w:ascii="Times New Roman" w:hAnsi="Times New Roman" w:cs="Times New Roman"/>
          <w:sz w:val="24"/>
          <w:szCs w:val="24"/>
          <w:lang w:val="es-ES_tradnl"/>
        </w:rPr>
        <w:t>. Siglo XXI Editores.</w:t>
      </w:r>
    </w:p>
    <w:p w14:paraId="1D8D1F88" w14:textId="77777777" w:rsidR="009F1E6A" w:rsidRDefault="009F1E6A" w:rsidP="009F1E6A">
      <w:pPr>
        <w:pStyle w:val="Sinespaciado"/>
        <w:spacing w:after="120"/>
        <w:ind w:left="567" w:hanging="567"/>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Freire, P., &amp; Faundez, A. (2013). </w:t>
      </w:r>
      <w:r>
        <w:rPr>
          <w:rFonts w:ascii="Times New Roman" w:hAnsi="Times New Roman" w:cs="Times New Roman"/>
          <w:i/>
          <w:sz w:val="24"/>
          <w:szCs w:val="24"/>
          <w:lang w:val="es-ES_tradnl"/>
        </w:rPr>
        <w:t>Por una pedagogía de la pregunta. Crítica a una educación basada en respuestas a preguntas inexistentes</w:t>
      </w:r>
      <w:r>
        <w:rPr>
          <w:rFonts w:ascii="Times New Roman" w:hAnsi="Times New Roman" w:cs="Times New Roman"/>
          <w:sz w:val="24"/>
          <w:szCs w:val="24"/>
          <w:lang w:val="es-ES_tradnl"/>
        </w:rPr>
        <w:t>. Siglo XXI Editores.</w:t>
      </w:r>
    </w:p>
    <w:p w14:paraId="49FF75C7" w14:textId="77777777" w:rsidR="009F1E6A" w:rsidRDefault="009F1E6A" w:rsidP="009F1E6A">
      <w:pPr>
        <w:pStyle w:val="Sinespaciado"/>
        <w:spacing w:after="120"/>
        <w:ind w:left="567" w:hanging="567"/>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Garzón Vivas, C. (2020). La pregunta como herramienta disruptiva en educación digital. </w:t>
      </w:r>
      <w:r>
        <w:rPr>
          <w:rFonts w:ascii="Times New Roman" w:hAnsi="Times New Roman" w:cs="Times New Roman"/>
          <w:i/>
          <w:sz w:val="24"/>
          <w:szCs w:val="24"/>
          <w:lang w:val="es-ES_tradnl"/>
        </w:rPr>
        <w:t>Revista Educación y Tecnología</w:t>
      </w:r>
      <w:r>
        <w:rPr>
          <w:rFonts w:ascii="Times New Roman" w:hAnsi="Times New Roman" w:cs="Times New Roman"/>
          <w:sz w:val="24"/>
          <w:szCs w:val="24"/>
          <w:lang w:val="es-ES_tradnl"/>
        </w:rPr>
        <w:t>, 12(3), 1-15.</w:t>
      </w:r>
    </w:p>
    <w:p w14:paraId="6856372C" w14:textId="77777777" w:rsidR="009F1E6A" w:rsidRDefault="009F1E6A" w:rsidP="009F1E6A">
      <w:pPr>
        <w:pStyle w:val="Sinespaciado"/>
        <w:spacing w:after="120"/>
        <w:jc w:val="both"/>
        <w:rPr>
          <w:rFonts w:ascii="Times New Roman" w:hAnsi="Times New Roman" w:cs="Times New Roman"/>
          <w:sz w:val="24"/>
          <w:szCs w:val="24"/>
          <w:lang w:val="es-ES_tradnl"/>
        </w:rPr>
      </w:pPr>
      <w:proofErr w:type="spellStart"/>
      <w:r>
        <w:rPr>
          <w:rFonts w:ascii="Times New Roman" w:hAnsi="Times New Roman" w:cs="Times New Roman"/>
          <w:sz w:val="24"/>
          <w:szCs w:val="24"/>
          <w:lang w:val="es-ES_tradnl"/>
        </w:rPr>
        <w:t>Maggio</w:t>
      </w:r>
      <w:proofErr w:type="spellEnd"/>
      <w:r>
        <w:rPr>
          <w:rFonts w:ascii="Times New Roman" w:hAnsi="Times New Roman" w:cs="Times New Roman"/>
          <w:sz w:val="24"/>
          <w:szCs w:val="24"/>
          <w:lang w:val="es-ES_tradnl"/>
        </w:rPr>
        <w:t xml:space="preserve">, M. (2018). </w:t>
      </w:r>
      <w:r>
        <w:rPr>
          <w:rFonts w:ascii="Times New Roman" w:hAnsi="Times New Roman" w:cs="Times New Roman"/>
          <w:i/>
          <w:sz w:val="24"/>
          <w:szCs w:val="24"/>
          <w:lang w:val="es-ES_tradnl"/>
        </w:rPr>
        <w:t>Reinventar la clase en la universidad</w:t>
      </w:r>
      <w:r>
        <w:rPr>
          <w:rFonts w:ascii="Times New Roman" w:hAnsi="Times New Roman" w:cs="Times New Roman"/>
          <w:sz w:val="24"/>
          <w:szCs w:val="24"/>
          <w:lang w:val="es-ES_tradnl"/>
        </w:rPr>
        <w:t>. Paidós.</w:t>
      </w:r>
    </w:p>
    <w:p w14:paraId="4E8F71B1" w14:textId="77777777" w:rsidR="009F1E6A" w:rsidRDefault="009F1E6A" w:rsidP="009F1E6A">
      <w:pPr>
        <w:pStyle w:val="Sinespaciado"/>
        <w:spacing w:after="120"/>
        <w:ind w:left="567" w:hanging="567"/>
        <w:jc w:val="both"/>
        <w:rPr>
          <w:rFonts w:ascii="Times New Roman" w:hAnsi="Times New Roman" w:cs="Times New Roman"/>
          <w:sz w:val="24"/>
          <w:szCs w:val="24"/>
          <w:lang w:val="es-ES_tradnl"/>
        </w:rPr>
      </w:pPr>
      <w:r>
        <w:rPr>
          <w:rFonts w:ascii="Times New Roman" w:hAnsi="Times New Roman" w:cs="Times New Roman"/>
          <w:sz w:val="24"/>
          <w:szCs w:val="24"/>
          <w:lang w:val="es-ES_tradnl"/>
        </w:rPr>
        <w:lastRenderedPageBreak/>
        <w:t>Organización de las Naciones Unidas para la Educación, la Ciencia y la Cultura [UNESCO]. (2021). Recomendación sobre la ética de la inteligencia artificial. UNESCO. https://unesdoc.unesco.org/ark:/48223/pf0000381137</w:t>
      </w:r>
    </w:p>
    <w:p w14:paraId="700983EA" w14:textId="77777777" w:rsidR="009F1E6A" w:rsidRDefault="009F1E6A" w:rsidP="009F1E6A">
      <w:pPr>
        <w:pStyle w:val="Sinespaciado"/>
        <w:spacing w:after="120"/>
        <w:jc w:val="both"/>
        <w:rPr>
          <w:rFonts w:ascii="Times New Roman" w:hAnsi="Times New Roman" w:cs="Times New Roman"/>
          <w:sz w:val="24"/>
          <w:szCs w:val="24"/>
          <w:lang w:val="es-ES_tradnl"/>
        </w:rPr>
      </w:pPr>
      <w:r>
        <w:rPr>
          <w:rFonts w:ascii="Times New Roman" w:hAnsi="Times New Roman" w:cs="Times New Roman"/>
          <w:sz w:val="24"/>
          <w:szCs w:val="24"/>
          <w:lang w:val="es-ES_tradnl"/>
        </w:rPr>
        <w:t>Rivas, A. (2015). América Latina después de PISA: Lecciones aprendidas de la educación en siete países. CIPPEC-Natura.</w:t>
      </w:r>
    </w:p>
    <w:p w14:paraId="3816A870" w14:textId="77777777" w:rsidR="009F1E6A" w:rsidRDefault="009F1E6A" w:rsidP="009F1E6A">
      <w:pPr>
        <w:pStyle w:val="Sinespaciado"/>
        <w:spacing w:after="120"/>
        <w:ind w:left="567" w:hanging="567"/>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Román-González, M., Moreno-León, J., &amp; Robles, G. (2019). </w:t>
      </w:r>
      <w:proofErr w:type="spellStart"/>
      <w:r>
        <w:rPr>
          <w:rFonts w:ascii="Times New Roman" w:hAnsi="Times New Roman" w:cs="Times New Roman"/>
          <w:sz w:val="24"/>
          <w:szCs w:val="24"/>
          <w:lang w:val="es-ES_tradnl"/>
        </w:rPr>
        <w:t>Combining</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assessment</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tools</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for</w:t>
      </w:r>
      <w:proofErr w:type="spellEnd"/>
      <w:r>
        <w:rPr>
          <w:rFonts w:ascii="Times New Roman" w:hAnsi="Times New Roman" w:cs="Times New Roman"/>
          <w:sz w:val="24"/>
          <w:szCs w:val="24"/>
          <w:lang w:val="es-ES_tradnl"/>
        </w:rPr>
        <w:t xml:space="preserve"> a </w:t>
      </w:r>
      <w:proofErr w:type="spellStart"/>
      <w:r>
        <w:rPr>
          <w:rFonts w:ascii="Times New Roman" w:hAnsi="Times New Roman" w:cs="Times New Roman"/>
          <w:sz w:val="24"/>
          <w:szCs w:val="24"/>
          <w:lang w:val="es-ES_tradnl"/>
        </w:rPr>
        <w:t>comprehensive</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evaluation</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of</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computational</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thinking</w:t>
      </w:r>
      <w:proofErr w:type="spellEnd"/>
      <w:r>
        <w:rPr>
          <w:rFonts w:ascii="Times New Roman" w:hAnsi="Times New Roman" w:cs="Times New Roman"/>
          <w:sz w:val="24"/>
          <w:szCs w:val="24"/>
          <w:lang w:val="es-ES_tradnl"/>
        </w:rPr>
        <w:t xml:space="preserve"> </w:t>
      </w:r>
      <w:proofErr w:type="spellStart"/>
      <w:r>
        <w:rPr>
          <w:rFonts w:ascii="Times New Roman" w:hAnsi="Times New Roman" w:cs="Times New Roman"/>
          <w:sz w:val="24"/>
          <w:szCs w:val="24"/>
          <w:lang w:val="es-ES_tradnl"/>
        </w:rPr>
        <w:t>interventions</w:t>
      </w:r>
      <w:proofErr w:type="spellEnd"/>
      <w:r>
        <w:rPr>
          <w:rFonts w:ascii="Times New Roman" w:hAnsi="Times New Roman" w:cs="Times New Roman"/>
          <w:sz w:val="24"/>
          <w:szCs w:val="24"/>
          <w:lang w:val="es-ES_tradnl"/>
        </w:rPr>
        <w:t xml:space="preserve">. En J. Kong, K. </w:t>
      </w:r>
      <w:proofErr w:type="spellStart"/>
      <w:r>
        <w:rPr>
          <w:rFonts w:ascii="Times New Roman" w:hAnsi="Times New Roman" w:cs="Times New Roman"/>
          <w:sz w:val="24"/>
          <w:szCs w:val="24"/>
          <w:lang w:val="es-ES_tradnl"/>
        </w:rPr>
        <w:t>Kwong</w:t>
      </w:r>
      <w:proofErr w:type="spellEnd"/>
      <w:r>
        <w:rPr>
          <w:rFonts w:ascii="Times New Roman" w:hAnsi="Times New Roman" w:cs="Times New Roman"/>
          <w:sz w:val="24"/>
          <w:szCs w:val="24"/>
          <w:lang w:val="es-ES_tradnl"/>
        </w:rPr>
        <w:t xml:space="preserve"> &amp; R. Lau (Eds.), </w:t>
      </w:r>
      <w:proofErr w:type="spellStart"/>
      <w:r>
        <w:rPr>
          <w:rFonts w:ascii="Times New Roman" w:hAnsi="Times New Roman" w:cs="Times New Roman"/>
          <w:i/>
          <w:sz w:val="24"/>
          <w:szCs w:val="24"/>
          <w:lang w:val="es-ES_tradnl"/>
        </w:rPr>
        <w:t>Computational</w:t>
      </w:r>
      <w:proofErr w:type="spellEnd"/>
      <w:r>
        <w:rPr>
          <w:rFonts w:ascii="Times New Roman" w:hAnsi="Times New Roman" w:cs="Times New Roman"/>
          <w:i/>
          <w:sz w:val="24"/>
          <w:szCs w:val="24"/>
          <w:lang w:val="es-ES_tradnl"/>
        </w:rPr>
        <w:t xml:space="preserve"> </w:t>
      </w:r>
      <w:proofErr w:type="spellStart"/>
      <w:r>
        <w:rPr>
          <w:rFonts w:ascii="Times New Roman" w:hAnsi="Times New Roman" w:cs="Times New Roman"/>
          <w:i/>
          <w:sz w:val="24"/>
          <w:szCs w:val="24"/>
          <w:lang w:val="es-ES_tradnl"/>
        </w:rPr>
        <w:t>thinking</w:t>
      </w:r>
      <w:proofErr w:type="spellEnd"/>
      <w:r>
        <w:rPr>
          <w:rFonts w:ascii="Times New Roman" w:hAnsi="Times New Roman" w:cs="Times New Roman"/>
          <w:i/>
          <w:sz w:val="24"/>
          <w:szCs w:val="24"/>
          <w:lang w:val="es-ES_tradnl"/>
        </w:rPr>
        <w:t xml:space="preserve"> </w:t>
      </w:r>
      <w:proofErr w:type="spellStart"/>
      <w:r>
        <w:rPr>
          <w:rFonts w:ascii="Times New Roman" w:hAnsi="Times New Roman" w:cs="Times New Roman"/>
          <w:i/>
          <w:sz w:val="24"/>
          <w:szCs w:val="24"/>
          <w:lang w:val="es-ES_tradnl"/>
        </w:rPr>
        <w:t>education</w:t>
      </w:r>
      <w:proofErr w:type="spellEnd"/>
      <w:r>
        <w:rPr>
          <w:rFonts w:ascii="Times New Roman" w:hAnsi="Times New Roman" w:cs="Times New Roman"/>
          <w:sz w:val="24"/>
          <w:szCs w:val="24"/>
          <w:lang w:val="es-ES_tradnl"/>
        </w:rPr>
        <w:t xml:space="preserve"> (pp. 79–98). Springer.</w:t>
      </w:r>
    </w:p>
    <w:p w14:paraId="5848910D" w14:textId="77777777" w:rsidR="009F1E6A" w:rsidRDefault="009F1E6A" w:rsidP="009F1E6A">
      <w:pPr>
        <w:pStyle w:val="Sinespaciado"/>
        <w:spacing w:after="120"/>
        <w:ind w:left="567" w:hanging="567"/>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Sánchez-Vera, M., &amp; Prendes-Espinosa, M. (2022). Investigar en tecnología educativa: un viaje desde los medios hasta las TIC. </w:t>
      </w:r>
      <w:r>
        <w:rPr>
          <w:rFonts w:ascii="Times New Roman" w:hAnsi="Times New Roman" w:cs="Times New Roman"/>
          <w:i/>
          <w:sz w:val="24"/>
          <w:szCs w:val="24"/>
          <w:lang w:val="es-ES_tradnl"/>
        </w:rPr>
        <w:t>Hallazgos</w:t>
      </w:r>
      <w:r>
        <w:rPr>
          <w:rFonts w:ascii="Times New Roman" w:hAnsi="Times New Roman" w:cs="Times New Roman"/>
          <w:sz w:val="24"/>
          <w:szCs w:val="24"/>
          <w:lang w:val="es-ES_tradnl"/>
        </w:rPr>
        <w:t>, 19(37). https://doi.org/10.15332/2422409X.6325</w:t>
      </w:r>
    </w:p>
    <w:p w14:paraId="72F17AAF" w14:textId="77777777" w:rsidR="009F1E6A" w:rsidRDefault="009F1E6A" w:rsidP="009F1E6A">
      <w:pPr>
        <w:pStyle w:val="Sinespaciado"/>
        <w:spacing w:after="120"/>
        <w:jc w:val="both"/>
        <w:rPr>
          <w:rFonts w:ascii="Times New Roman" w:hAnsi="Times New Roman" w:cs="Times New Roman"/>
          <w:sz w:val="24"/>
          <w:szCs w:val="24"/>
          <w:lang w:val="es-ES_tradnl"/>
        </w:rPr>
      </w:pPr>
      <w:proofErr w:type="spellStart"/>
      <w:r>
        <w:rPr>
          <w:rFonts w:ascii="Times New Roman" w:hAnsi="Times New Roman" w:cs="Times New Roman"/>
          <w:sz w:val="24"/>
          <w:szCs w:val="24"/>
          <w:lang w:val="es-ES_tradnl"/>
        </w:rPr>
        <w:t>Vigotsky</w:t>
      </w:r>
      <w:proofErr w:type="spellEnd"/>
      <w:r>
        <w:rPr>
          <w:rFonts w:ascii="Times New Roman" w:hAnsi="Times New Roman" w:cs="Times New Roman"/>
          <w:sz w:val="24"/>
          <w:szCs w:val="24"/>
          <w:lang w:val="es-ES_tradnl"/>
        </w:rPr>
        <w:t xml:space="preserve">, L. (2003). </w:t>
      </w:r>
      <w:r>
        <w:rPr>
          <w:rFonts w:ascii="Times New Roman" w:hAnsi="Times New Roman" w:cs="Times New Roman"/>
          <w:i/>
          <w:sz w:val="24"/>
          <w:szCs w:val="24"/>
          <w:lang w:val="es-ES_tradnl"/>
        </w:rPr>
        <w:t>El desarrollo de las funciones psicológicas superiores</w:t>
      </w:r>
      <w:r>
        <w:rPr>
          <w:rFonts w:ascii="Times New Roman" w:hAnsi="Times New Roman" w:cs="Times New Roman"/>
          <w:sz w:val="24"/>
          <w:szCs w:val="24"/>
          <w:lang w:val="es-ES_tradnl"/>
        </w:rPr>
        <w:t>. Crítica.</w:t>
      </w:r>
    </w:p>
    <w:p w14:paraId="34FC790C" w14:textId="2C17A7BA" w:rsidR="009F1E6A" w:rsidRDefault="009F1E6A" w:rsidP="009F1E6A">
      <w:pPr>
        <w:pStyle w:val="Sinespaciado"/>
        <w:spacing w:after="120"/>
        <w:ind w:left="567" w:hanging="567"/>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Zuleta Araújo, O. (2005). La pedagogía de la pregunta. Una contribución para el aprendizaje. </w:t>
      </w:r>
      <w:r>
        <w:rPr>
          <w:rFonts w:ascii="Times New Roman" w:hAnsi="Times New Roman" w:cs="Times New Roman"/>
          <w:i/>
          <w:sz w:val="24"/>
          <w:szCs w:val="24"/>
          <w:lang w:val="es-ES_tradnl"/>
        </w:rPr>
        <w:t>Educere,</w:t>
      </w:r>
      <w:r>
        <w:rPr>
          <w:rFonts w:ascii="Times New Roman" w:hAnsi="Times New Roman" w:cs="Times New Roman"/>
          <w:sz w:val="24"/>
          <w:szCs w:val="24"/>
          <w:lang w:val="es-ES_tradnl"/>
        </w:rPr>
        <w:t xml:space="preserve"> 9(28), 115-119.</w:t>
      </w:r>
    </w:p>
    <w:p w14:paraId="228A46BD" w14:textId="2DC89508" w:rsidR="001B5F31" w:rsidRDefault="001B5F31" w:rsidP="009F1E6A">
      <w:pPr>
        <w:pStyle w:val="Sinespaciado"/>
        <w:spacing w:after="120"/>
        <w:ind w:left="567" w:hanging="567"/>
        <w:jc w:val="both"/>
        <w:rPr>
          <w:rFonts w:ascii="Times New Roman" w:hAnsi="Times New Roman" w:cs="Times New Roman"/>
          <w:sz w:val="24"/>
          <w:szCs w:val="24"/>
          <w:lang w:val="es-ES_tradnl"/>
        </w:rPr>
      </w:pPr>
    </w:p>
    <w:p w14:paraId="030A1B9E" w14:textId="35D2295B" w:rsidR="001B5F31" w:rsidRDefault="001B5F31" w:rsidP="009F1E6A">
      <w:pPr>
        <w:pStyle w:val="Sinespaciado"/>
        <w:spacing w:after="120"/>
        <w:ind w:left="567" w:hanging="567"/>
        <w:jc w:val="both"/>
        <w:rPr>
          <w:rFonts w:ascii="Times New Roman" w:hAnsi="Times New Roman" w:cs="Times New Roman"/>
          <w:sz w:val="24"/>
          <w:szCs w:val="24"/>
          <w:lang w:val="es-ES_tradnl"/>
        </w:rPr>
      </w:pPr>
    </w:p>
    <w:p w14:paraId="63669E43" w14:textId="77777777" w:rsidR="001B5F31" w:rsidRPr="00BA642E" w:rsidRDefault="001B5F31" w:rsidP="001B5F31">
      <w:pPr>
        <w:spacing w:line="240" w:lineRule="auto"/>
        <w:jc w:val="both"/>
        <w:rPr>
          <w:rFonts w:ascii="Times New Roman" w:hAnsi="Times New Roman" w:cs="Times New Roman"/>
        </w:rPr>
      </w:pPr>
      <w:r w:rsidRPr="00134F0E">
        <w:rPr>
          <w:rFonts w:ascii="Times New Roman" w:hAnsi="Times New Roman" w:cs="Times New Roman"/>
        </w:rPr>
        <w:t xml:space="preserve">En el desarrollo del presente informe se utilizaron herramientas de inteligencia artificial generativa, específicamente </w:t>
      </w:r>
      <w:proofErr w:type="spellStart"/>
      <w:r w:rsidRPr="00134F0E">
        <w:rPr>
          <w:rFonts w:ascii="Times New Roman" w:hAnsi="Times New Roman" w:cs="Times New Roman"/>
        </w:rPr>
        <w:t>ChatGPT</w:t>
      </w:r>
      <w:proofErr w:type="spellEnd"/>
      <w:r w:rsidRPr="00134F0E">
        <w:rPr>
          <w:rFonts w:ascii="Times New Roman" w:hAnsi="Times New Roman" w:cs="Times New Roman"/>
        </w:rPr>
        <w:t xml:space="preserve"> (</w:t>
      </w:r>
      <w:proofErr w:type="spellStart"/>
      <w:r w:rsidRPr="00134F0E">
        <w:rPr>
          <w:rFonts w:ascii="Times New Roman" w:hAnsi="Times New Roman" w:cs="Times New Roman"/>
        </w:rPr>
        <w:t>OpenAI</w:t>
      </w:r>
      <w:proofErr w:type="spellEnd"/>
      <w:r w:rsidRPr="00134F0E">
        <w:rPr>
          <w:rFonts w:ascii="Times New Roman" w:hAnsi="Times New Roman" w:cs="Times New Roman"/>
        </w:rPr>
        <w:t>), Claude (</w:t>
      </w:r>
      <w:proofErr w:type="spellStart"/>
      <w:r w:rsidRPr="00134F0E">
        <w:rPr>
          <w:rFonts w:ascii="Times New Roman" w:hAnsi="Times New Roman" w:cs="Times New Roman"/>
        </w:rPr>
        <w:t>Anthropic</w:t>
      </w:r>
      <w:proofErr w:type="spellEnd"/>
      <w:r w:rsidRPr="00134F0E">
        <w:rPr>
          <w:rFonts w:ascii="Times New Roman" w:hAnsi="Times New Roman" w:cs="Times New Roman"/>
        </w:rPr>
        <w:t xml:space="preserve">) y </w:t>
      </w:r>
      <w:proofErr w:type="spellStart"/>
      <w:r w:rsidRPr="00134F0E">
        <w:rPr>
          <w:rFonts w:ascii="Times New Roman" w:hAnsi="Times New Roman" w:cs="Times New Roman"/>
        </w:rPr>
        <w:t>NotebookLM</w:t>
      </w:r>
      <w:proofErr w:type="spellEnd"/>
      <w:r w:rsidRPr="00134F0E">
        <w:rPr>
          <w:rFonts w:ascii="Times New Roman" w:hAnsi="Times New Roman" w:cs="Times New Roman"/>
        </w:rPr>
        <w:t xml:space="preserve"> (Google), como apoyo en determinadas tareas del proceso de investigación. Estas herramientas se emplearon para colaborar en el procesamiento y análisis de la información recopilada, asistir en la redacción y revisión del estilo académico del manuscrito, y verificar, organizar y adecuar las referencias bibliográficas conforme a las Normas APA (7.ª edición). En todos los casos, los aportes generados por estas herramientas fueron sometidos a revisión crítica, contraste con las fuentes originales y validación por parte del equipo de investigación. En consecuencia, la responsabilidad sobre el diseño metodológico, la interpretación de los datos, la selección y uso de las fuentes, las conclusiones y la versión final del informe corresponde exclusivamente al equipo de investigación.</w:t>
      </w:r>
    </w:p>
    <w:p w14:paraId="5A89614D" w14:textId="77777777" w:rsidR="001B5F31" w:rsidRDefault="001B5F31" w:rsidP="009F1E6A">
      <w:pPr>
        <w:pStyle w:val="Sinespaciado"/>
        <w:spacing w:after="120"/>
        <w:ind w:left="567" w:hanging="567"/>
        <w:jc w:val="both"/>
        <w:rPr>
          <w:rFonts w:ascii="Times New Roman" w:hAnsi="Times New Roman" w:cs="Times New Roman"/>
          <w:sz w:val="24"/>
          <w:szCs w:val="24"/>
          <w:lang w:val="es-ES_tradnl"/>
        </w:rPr>
      </w:pPr>
    </w:p>
    <w:sectPr w:rsidR="001B5F31" w:rsidSect="00701F64">
      <w:headerReference w:type="default" r:id="rId7"/>
      <w:footerReference w:type="default" r:id="rId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0881C5" w14:textId="77777777" w:rsidR="00E4486B" w:rsidRPr="00BA642E" w:rsidRDefault="00E4486B" w:rsidP="00C802F5">
      <w:pPr>
        <w:spacing w:after="0" w:line="240" w:lineRule="auto"/>
      </w:pPr>
      <w:r w:rsidRPr="00BA642E">
        <w:separator/>
      </w:r>
    </w:p>
  </w:endnote>
  <w:endnote w:type="continuationSeparator" w:id="0">
    <w:p w14:paraId="4876FF9C" w14:textId="77777777" w:rsidR="00E4486B" w:rsidRPr="00BA642E" w:rsidRDefault="00E4486B"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0A0DB8" w14:textId="77777777" w:rsidR="00E4486B" w:rsidRPr="00BA642E" w:rsidRDefault="00E4486B" w:rsidP="00C802F5">
      <w:pPr>
        <w:spacing w:after="0" w:line="240" w:lineRule="auto"/>
      </w:pPr>
      <w:r w:rsidRPr="00BA642E">
        <w:separator/>
      </w:r>
    </w:p>
  </w:footnote>
  <w:footnote w:type="continuationSeparator" w:id="0">
    <w:p w14:paraId="1AE903F4" w14:textId="77777777" w:rsidR="00E4486B" w:rsidRPr="00BA642E" w:rsidRDefault="00E4486B"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FF707A"/>
    <w:multiLevelType w:val="hybridMultilevel"/>
    <w:tmpl w:val="61F46826"/>
    <w:lvl w:ilvl="0" w:tplc="2C0A000F">
      <w:start w:val="1"/>
      <w:numFmt w:val="decimal"/>
      <w:lvlText w:val="%1."/>
      <w:lvlJc w:val="left"/>
      <w:pPr>
        <w:ind w:left="720" w:hanging="36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1B5F31"/>
    <w:rsid w:val="002327C3"/>
    <w:rsid w:val="00312392"/>
    <w:rsid w:val="004040C0"/>
    <w:rsid w:val="00437E9C"/>
    <w:rsid w:val="00550766"/>
    <w:rsid w:val="005F3B2E"/>
    <w:rsid w:val="00701F64"/>
    <w:rsid w:val="007B5B5F"/>
    <w:rsid w:val="007D233B"/>
    <w:rsid w:val="0085070B"/>
    <w:rsid w:val="008C045D"/>
    <w:rsid w:val="009F1E6A"/>
    <w:rsid w:val="00A17247"/>
    <w:rsid w:val="00BA642E"/>
    <w:rsid w:val="00BC236F"/>
    <w:rsid w:val="00C802F5"/>
    <w:rsid w:val="00C96B2C"/>
    <w:rsid w:val="00CC04C1"/>
    <w:rsid w:val="00D52F39"/>
    <w:rsid w:val="00D843EC"/>
    <w:rsid w:val="00E30EF5"/>
    <w:rsid w:val="00E4486B"/>
    <w:rsid w:val="00E70A6C"/>
    <w:rsid w:val="00F53DF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character" w:customStyle="1" w:styleId="js-mathjax">
    <w:name w:val="js-mathjax"/>
    <w:basedOn w:val="Fuentedeprrafopredeter"/>
    <w:rsid w:val="00F53DFC"/>
  </w:style>
  <w:style w:type="paragraph" w:styleId="Sinespaciado">
    <w:name w:val="No Spacing"/>
    <w:uiPriority w:val="1"/>
    <w:qFormat/>
    <w:rsid w:val="00F53DFC"/>
    <w:pPr>
      <w:spacing w:after="0" w:line="240" w:lineRule="auto"/>
    </w:pPr>
    <w:rPr>
      <w:rFonts w:eastAsiaTheme="minorEastAsia"/>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334780">
      <w:bodyDiv w:val="1"/>
      <w:marLeft w:val="0"/>
      <w:marRight w:val="0"/>
      <w:marTop w:val="0"/>
      <w:marBottom w:val="0"/>
      <w:divBdr>
        <w:top w:val="none" w:sz="0" w:space="0" w:color="auto"/>
        <w:left w:val="none" w:sz="0" w:space="0" w:color="auto"/>
        <w:bottom w:val="none" w:sz="0" w:space="0" w:color="auto"/>
        <w:right w:val="none" w:sz="0" w:space="0" w:color="auto"/>
      </w:divBdr>
    </w:div>
    <w:div w:id="257761229">
      <w:bodyDiv w:val="1"/>
      <w:marLeft w:val="0"/>
      <w:marRight w:val="0"/>
      <w:marTop w:val="0"/>
      <w:marBottom w:val="0"/>
      <w:divBdr>
        <w:top w:val="none" w:sz="0" w:space="0" w:color="auto"/>
        <w:left w:val="none" w:sz="0" w:space="0" w:color="auto"/>
        <w:bottom w:val="none" w:sz="0" w:space="0" w:color="auto"/>
        <w:right w:val="none" w:sz="0" w:space="0" w:color="auto"/>
      </w:divBdr>
    </w:div>
    <w:div w:id="799222419">
      <w:bodyDiv w:val="1"/>
      <w:marLeft w:val="0"/>
      <w:marRight w:val="0"/>
      <w:marTop w:val="0"/>
      <w:marBottom w:val="0"/>
      <w:divBdr>
        <w:top w:val="none" w:sz="0" w:space="0" w:color="auto"/>
        <w:left w:val="none" w:sz="0" w:space="0" w:color="auto"/>
        <w:bottom w:val="none" w:sz="0" w:space="0" w:color="auto"/>
        <w:right w:val="none" w:sz="0" w:space="0" w:color="auto"/>
      </w:divBdr>
    </w:div>
    <w:div w:id="805321691">
      <w:bodyDiv w:val="1"/>
      <w:marLeft w:val="0"/>
      <w:marRight w:val="0"/>
      <w:marTop w:val="0"/>
      <w:marBottom w:val="0"/>
      <w:divBdr>
        <w:top w:val="none" w:sz="0" w:space="0" w:color="auto"/>
        <w:left w:val="none" w:sz="0" w:space="0" w:color="auto"/>
        <w:bottom w:val="none" w:sz="0" w:space="0" w:color="auto"/>
        <w:right w:val="none" w:sz="0" w:space="0" w:color="auto"/>
      </w:divBdr>
    </w:div>
    <w:div w:id="849102429">
      <w:bodyDiv w:val="1"/>
      <w:marLeft w:val="0"/>
      <w:marRight w:val="0"/>
      <w:marTop w:val="0"/>
      <w:marBottom w:val="0"/>
      <w:divBdr>
        <w:top w:val="none" w:sz="0" w:space="0" w:color="auto"/>
        <w:left w:val="none" w:sz="0" w:space="0" w:color="auto"/>
        <w:bottom w:val="none" w:sz="0" w:space="0" w:color="auto"/>
        <w:right w:val="none" w:sz="0" w:space="0" w:color="auto"/>
      </w:divBdr>
    </w:div>
    <w:div w:id="2029092850">
      <w:bodyDiv w:val="1"/>
      <w:marLeft w:val="0"/>
      <w:marRight w:val="0"/>
      <w:marTop w:val="0"/>
      <w:marBottom w:val="0"/>
      <w:divBdr>
        <w:top w:val="none" w:sz="0" w:space="0" w:color="auto"/>
        <w:left w:val="none" w:sz="0" w:space="0" w:color="auto"/>
        <w:bottom w:val="none" w:sz="0" w:space="0" w:color="auto"/>
        <w:right w:val="none" w:sz="0" w:space="0" w:color="auto"/>
      </w:divBdr>
    </w:div>
    <w:div w:id="214396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13</Pages>
  <Words>6154</Words>
  <Characters>33852</Characters>
  <Application>Microsoft Office Word</Application>
  <DocSecurity>0</DocSecurity>
  <Lines>282</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CienciayTécnicaUMaza</cp:lastModifiedBy>
  <cp:revision>5</cp:revision>
  <dcterms:created xsi:type="dcterms:W3CDTF">2026-06-30T18:42:00Z</dcterms:created>
  <dcterms:modified xsi:type="dcterms:W3CDTF">2026-06-30T19:09:00Z</dcterms:modified>
</cp:coreProperties>
</file>