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9D76A" w14:textId="77777777" w:rsidR="008A14A3" w:rsidRDefault="008A14A3">
      <w:pPr>
        <w:pStyle w:val="Normal1"/>
        <w:jc w:val="center"/>
        <w:rPr>
          <w:rFonts w:ascii="Times New Roman" w:eastAsia="Times New Roman" w:hAnsi="Times New Roman" w:cs="Times New Roman"/>
        </w:rPr>
      </w:pPr>
    </w:p>
    <w:p w14:paraId="4389B2DB" w14:textId="77777777" w:rsidR="008A14A3" w:rsidRDefault="00D41BF2">
      <w:pPr>
        <w:pStyle w:val="Normal1"/>
        <w:jc w:val="center"/>
        <w:rPr>
          <w:rFonts w:ascii="Times New Roman" w:eastAsia="Times New Roman" w:hAnsi="Times New Roman" w:cs="Times New Roman"/>
          <w:b/>
          <w:bCs/>
        </w:rPr>
      </w:pPr>
      <w:r>
        <w:rPr>
          <w:rFonts w:ascii="Times New Roman" w:eastAsia="Times New Roman" w:hAnsi="Times New Roman" w:cs="Times New Roman"/>
          <w:b/>
          <w:bCs/>
        </w:rPr>
        <w:t>"Análisis cuantitativo sobre la adopción de IA en el estudiantado de UNTREF: El caso de informática I y II.”</w:t>
      </w:r>
    </w:p>
    <w:p w14:paraId="149F61FD" w14:textId="77777777" w:rsidR="008A14A3" w:rsidRDefault="008A14A3">
      <w:pPr>
        <w:pStyle w:val="Normal1"/>
        <w:jc w:val="center"/>
        <w:rPr>
          <w:rFonts w:ascii="Times New Roman" w:eastAsia="Times New Roman" w:hAnsi="Times New Roman" w:cs="Times New Roman"/>
        </w:rPr>
      </w:pPr>
    </w:p>
    <w:p w14:paraId="417EE600"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Canabal, Ariel R. </w:t>
      </w:r>
    </w:p>
    <w:p w14:paraId="3C4A6597"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Universidad Nacional de Tres de Febrero </w:t>
      </w:r>
    </w:p>
    <w:p w14:paraId="0D2838A9" w14:textId="77777777" w:rsidR="008A14A3" w:rsidRDefault="00391654">
      <w:pPr>
        <w:pStyle w:val="Normal1"/>
        <w:pBdr>
          <w:top w:val="nil"/>
          <w:left w:val="nil"/>
          <w:bottom w:val="nil"/>
          <w:right w:val="nil"/>
          <w:between w:val="nil"/>
        </w:pBdr>
        <w:spacing w:after="0" w:line="240" w:lineRule="auto"/>
        <w:jc w:val="right"/>
        <w:rPr>
          <w:rFonts w:ascii="Times New Roman" w:eastAsia="Times New Roman" w:hAnsi="Times New Roman" w:cs="Times New Roman"/>
        </w:rPr>
      </w:pPr>
      <w:hyperlink r:id="rId8">
        <w:r w:rsidR="00D41BF2">
          <w:rPr>
            <w:rFonts w:ascii="Times New Roman" w:eastAsia="Times New Roman" w:hAnsi="Times New Roman" w:cs="Times New Roman"/>
            <w:color w:val="1155CC"/>
            <w:u w:val="single"/>
          </w:rPr>
          <w:t>ariel344@gmail.com</w:t>
        </w:r>
      </w:hyperlink>
    </w:p>
    <w:p w14:paraId="5B1266F6" w14:textId="77777777" w:rsidR="008A14A3" w:rsidRDefault="008A14A3">
      <w:pPr>
        <w:pStyle w:val="Normal1"/>
        <w:pBdr>
          <w:top w:val="nil"/>
          <w:left w:val="nil"/>
          <w:bottom w:val="nil"/>
          <w:right w:val="nil"/>
          <w:between w:val="nil"/>
        </w:pBdr>
        <w:spacing w:after="0" w:line="240" w:lineRule="auto"/>
        <w:jc w:val="right"/>
        <w:rPr>
          <w:rFonts w:ascii="Times New Roman" w:eastAsia="Times New Roman" w:hAnsi="Times New Roman" w:cs="Times New Roman"/>
        </w:rPr>
      </w:pPr>
    </w:p>
    <w:p w14:paraId="6C04D4B7"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de Ansó, M. Beatriz </w:t>
      </w:r>
    </w:p>
    <w:p w14:paraId="10615929"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 Universidad Nacional de Tres de Febrero </w:t>
      </w:r>
    </w:p>
    <w:p w14:paraId="01A623EF" w14:textId="77777777" w:rsidR="008A14A3" w:rsidRDefault="00391654">
      <w:pPr>
        <w:pStyle w:val="Normal1"/>
        <w:pBdr>
          <w:top w:val="nil"/>
          <w:left w:val="nil"/>
          <w:bottom w:val="nil"/>
          <w:right w:val="nil"/>
          <w:between w:val="nil"/>
        </w:pBdr>
        <w:spacing w:after="0" w:line="240" w:lineRule="auto"/>
        <w:jc w:val="right"/>
        <w:rPr>
          <w:rFonts w:ascii="Times New Roman" w:eastAsia="Times New Roman" w:hAnsi="Times New Roman" w:cs="Times New Roman"/>
        </w:rPr>
      </w:pPr>
      <w:hyperlink r:id="rId9">
        <w:r w:rsidR="00D41BF2">
          <w:rPr>
            <w:rFonts w:ascii="Times New Roman" w:eastAsia="Times New Roman" w:hAnsi="Times New Roman" w:cs="Times New Roman"/>
            <w:color w:val="1155CC"/>
            <w:u w:val="single"/>
          </w:rPr>
          <w:t>mdeanso@untref.edu.ar</w:t>
        </w:r>
      </w:hyperlink>
    </w:p>
    <w:p w14:paraId="5DBD377A" w14:textId="77777777" w:rsidR="008A14A3" w:rsidRDefault="008A14A3">
      <w:pPr>
        <w:pStyle w:val="Normal1"/>
        <w:pBdr>
          <w:top w:val="nil"/>
          <w:left w:val="nil"/>
          <w:bottom w:val="nil"/>
          <w:right w:val="nil"/>
          <w:between w:val="nil"/>
        </w:pBdr>
        <w:spacing w:after="0" w:line="240" w:lineRule="auto"/>
        <w:jc w:val="right"/>
        <w:rPr>
          <w:rFonts w:ascii="Times New Roman" w:eastAsia="Times New Roman" w:hAnsi="Times New Roman" w:cs="Times New Roman"/>
        </w:rPr>
      </w:pPr>
    </w:p>
    <w:p w14:paraId="3F06313E"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Pizzichini, Agustín</w:t>
      </w:r>
    </w:p>
    <w:p w14:paraId="6B9BE85E"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  Universidad Nacional de Tres de Febrero</w:t>
      </w:r>
    </w:p>
    <w:p w14:paraId="572E5DFA" w14:textId="77777777" w:rsidR="008A14A3" w:rsidRDefault="00D41BF2">
      <w:pPr>
        <w:pStyle w:val="Normal1"/>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 </w:t>
      </w:r>
      <w:hyperlink r:id="rId10">
        <w:r>
          <w:rPr>
            <w:rFonts w:ascii="Times New Roman" w:eastAsia="Times New Roman" w:hAnsi="Times New Roman" w:cs="Times New Roman"/>
            <w:color w:val="1155CC"/>
            <w:u w:val="single"/>
          </w:rPr>
          <w:t>apizzichini@untref.edu.ar</w:t>
        </w:r>
      </w:hyperlink>
    </w:p>
    <w:p w14:paraId="28D8152A" w14:textId="77777777" w:rsidR="008A14A3" w:rsidRDefault="008A14A3">
      <w:pPr>
        <w:pStyle w:val="Normal1"/>
        <w:pBdr>
          <w:top w:val="nil"/>
          <w:left w:val="nil"/>
          <w:bottom w:val="nil"/>
          <w:right w:val="nil"/>
          <w:between w:val="nil"/>
        </w:pBdr>
        <w:spacing w:after="0" w:line="240" w:lineRule="auto"/>
        <w:jc w:val="right"/>
        <w:rPr>
          <w:rFonts w:ascii="Times New Roman" w:eastAsia="Times New Roman" w:hAnsi="Times New Roman" w:cs="Times New Roman"/>
        </w:rPr>
      </w:pPr>
    </w:p>
    <w:p w14:paraId="04B0C1D4" w14:textId="77777777" w:rsidR="008A14A3" w:rsidRDefault="008A14A3">
      <w:pPr>
        <w:pStyle w:val="Normal1"/>
        <w:rPr>
          <w:rFonts w:ascii="Times New Roman" w:eastAsia="Times New Roman" w:hAnsi="Times New Roman" w:cs="Times New Roman"/>
          <w:b/>
          <w:bCs/>
        </w:rPr>
      </w:pPr>
    </w:p>
    <w:p w14:paraId="0C08A621" w14:textId="77777777" w:rsidR="008A14A3" w:rsidRDefault="00D41BF2">
      <w:pPr>
        <w:pStyle w:val="Normal1"/>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42D9F7BC" w14:textId="732AC2AB" w:rsidR="008A14A3" w:rsidRPr="00902FAE" w:rsidRDefault="00D41BF2">
      <w:pPr>
        <w:pStyle w:val="Normal1"/>
        <w:spacing w:line="24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rPr>
        <w:t>En el marco de diversas producciones desarrolladas por el Equipo de Investigación en Tecnología Educativa de la UNTREF</w:t>
      </w:r>
      <w:r w:rsidR="008F62CF">
        <w:rPr>
          <w:rFonts w:ascii="Times New Roman" w:eastAsia="Times New Roman" w:hAnsi="Times New Roman" w:cs="Times New Roman"/>
        </w:rPr>
        <w:t xml:space="preserve"> (EITE)</w:t>
      </w:r>
      <w:r>
        <w:rPr>
          <w:rFonts w:ascii="Times New Roman" w:eastAsia="Times New Roman" w:hAnsi="Times New Roman" w:cs="Times New Roman"/>
        </w:rPr>
        <w:t xml:space="preserve"> y del proceso de tesis de la Maestría en Política y Administración de la Educación de uno de los ponentes, el presente trabajo se propone indagar en la complejidad de los procesos de adopción tecnológica. Se centra la mirada en un fenómeno que ha reconfigurado las prácticas pedagógicas y sociales con una vertiginosidad sin precedentes: la Inteligencia Artificial (IA). Si bien se implementaron investigaciones previas en carreras de formación docente, en esta instancia se amplía el campo de estudio para focalizarse en el caso específico de la Universidad Nacional de Tres de Febrero (UNTREF), tomando como unidad de análisis a los estudiantes de materias comunes de grado, particularmente Informática I y II, tanto en modalidades virtuales como presenciales. Tal como se ha señalado en trabajos anteriores (De Ansó, 2025), los procesos de cambio tecnológico continúan sorprendiendo por su velocidad, generando nuevas y controvertidas tensiones en el campo educativo. No obstante, la IA, aunque ya está presente en una gran cantidad de dispositivos y procesos, aún se encuentra lejos de ser utilizada en su potencial real dentro de los sistemas universitarios. En este contexto, la investigación se propone determinar el grado de uso y conocimiento de la IA por parte del estudiantado, explorar sus percepciones sobre la utilidad de los Materiales Didácticos Digitales (MDD) y evaluar el impacto de estas herramientas en el razonamiento académico. El abordaje metodológico es de carácter cuantitativo, basado en una muestra de 1.500 encuestas aplicadas a estudiantes. El instrumento de recolección de datos consistió en un cuestionario con preguntas cerradas, politómicas y de selección múltiple, estructurado en dimensiones que abarcan desde la caracterización sociodemográfica y el acceso a recursos institucionales, hasta los usos </w:t>
      </w:r>
      <w:r w:rsidRPr="00902FAE">
        <w:rPr>
          <w:rFonts w:ascii="Times New Roman" w:eastAsia="Times New Roman" w:hAnsi="Times New Roman" w:cs="Times New Roman"/>
          <w:color w:val="000000" w:themeColor="text1"/>
        </w:rPr>
        <w:lastRenderedPageBreak/>
        <w:t>pedagógicos específicos y la evaluación crítica de la IA. El análisis no se limita a la descripción de frecuencias o tasas básicas, sino que avanza hacia la construcción de indicadores complejos e índices sintéticos (como el Índice de Alfabetización Crítica de la IA y el Índice de Dependencia Tecnológica) que permiten un</w:t>
      </w:r>
      <w:r w:rsidR="00B96C8A" w:rsidRPr="00902FAE">
        <w:rPr>
          <w:rFonts w:ascii="Times New Roman" w:eastAsia="Times New Roman" w:hAnsi="Times New Roman" w:cs="Times New Roman"/>
          <w:color w:val="000000" w:themeColor="text1"/>
        </w:rPr>
        <w:t>a comprensión más profunda de una</w:t>
      </w:r>
      <w:r w:rsidRPr="00902FAE">
        <w:rPr>
          <w:rFonts w:ascii="Times New Roman" w:eastAsia="Times New Roman" w:hAnsi="Times New Roman" w:cs="Times New Roman"/>
          <w:color w:val="000000" w:themeColor="text1"/>
        </w:rPr>
        <w:t xml:space="preserve"> "cultura de datos justa" en la institución (Raffaghelli, 2023). Se busca identificar no sólo cómo los estudiantes resuelven dudas ante la ausencia del docente, sino también el nivel de confianza y la capacidad de detectar contradicciones en los contenidos generados por algoritmos. A partir de los resultados obtenidos, se pretende aportar información para la reflexión y la toma de decisiones de la gestión académica, constituyendo una mirada orientada a los datos que puedan construirse desde estas y otras materias comunes de grado a todas las carreras</w:t>
      </w:r>
      <w:r w:rsidRPr="00902FAE">
        <w:rPr>
          <w:rFonts w:ascii="Times New Roman" w:eastAsia="Times New Roman" w:hAnsi="Times New Roman" w:cs="Times New Roman"/>
          <w:b/>
          <w:bCs/>
          <w:color w:val="000000" w:themeColor="text1"/>
        </w:rPr>
        <w:t>.</w:t>
      </w:r>
    </w:p>
    <w:p w14:paraId="3F01C688" w14:textId="77777777" w:rsidR="008A14A3" w:rsidRPr="00902FAE" w:rsidRDefault="00D41BF2">
      <w:pPr>
        <w:pStyle w:val="Normal1"/>
        <w:spacing w:line="240" w:lineRule="auto"/>
        <w:jc w:val="both"/>
        <w:rPr>
          <w:rFonts w:ascii="Times New Roman" w:eastAsia="Arial" w:hAnsi="Times New Roman" w:cs="Times New Roman"/>
          <w:color w:val="000000" w:themeColor="text1"/>
          <w:sz w:val="20"/>
          <w:szCs w:val="20"/>
          <w:highlight w:val="white"/>
        </w:rPr>
      </w:pPr>
      <w:r w:rsidRPr="00902FAE">
        <w:rPr>
          <w:rFonts w:ascii="Times New Roman" w:eastAsia="Times New Roman" w:hAnsi="Times New Roman" w:cs="Times New Roman"/>
          <w:b/>
          <w:bCs/>
          <w:color w:val="000000" w:themeColor="text1"/>
        </w:rPr>
        <w:t xml:space="preserve">Palabras clave: </w:t>
      </w:r>
      <w:r w:rsidRPr="00902FAE">
        <w:rPr>
          <w:rFonts w:ascii="Times New Roman" w:eastAsia="Arial" w:hAnsi="Times New Roman" w:cs="Times New Roman"/>
          <w:color w:val="000000" w:themeColor="text1"/>
          <w:sz w:val="20"/>
          <w:szCs w:val="20"/>
          <w:highlight w:val="white"/>
        </w:rPr>
        <w:t>INTELIGENCIA ARTIFICIAL, UNIVERSIDAD, GESTIÓN ACADÉMICA, INFORMÁTICA, ESTUDIANTES DE GRADO.</w:t>
      </w:r>
    </w:p>
    <w:p w14:paraId="422A2413" w14:textId="77777777" w:rsidR="008A14A3" w:rsidRDefault="008A14A3">
      <w:pPr>
        <w:pStyle w:val="Normal1"/>
        <w:spacing w:line="240" w:lineRule="auto"/>
        <w:jc w:val="both"/>
        <w:rPr>
          <w:rFonts w:ascii="Arial" w:eastAsia="Arial" w:hAnsi="Arial" w:cs="Arial"/>
          <w:sz w:val="20"/>
          <w:szCs w:val="20"/>
          <w:highlight w:val="white"/>
        </w:rPr>
      </w:pPr>
    </w:p>
    <w:p w14:paraId="65B6D07B" w14:textId="77777777" w:rsidR="008A14A3" w:rsidRDefault="00D41BF2">
      <w:pPr>
        <w:pStyle w:val="Normal1"/>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3168E7E2" w14:textId="684F154C"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En el marco de las diversas producciones desarr</w:t>
      </w:r>
      <w:r w:rsidR="00470DD9">
        <w:rPr>
          <w:rFonts w:ascii="Times New Roman" w:eastAsia="Times New Roman" w:hAnsi="Times New Roman" w:cs="Times New Roman"/>
        </w:rPr>
        <w:t>olladas por el EITE de UNTREF</w:t>
      </w:r>
      <w:r w:rsidR="006F2D6A">
        <w:rPr>
          <w:rFonts w:ascii="Times New Roman" w:eastAsia="Times New Roman" w:hAnsi="Times New Roman" w:cs="Times New Roman"/>
        </w:rPr>
        <w:t xml:space="preserve">, </w:t>
      </w:r>
      <w:r>
        <w:rPr>
          <w:rFonts w:ascii="Times New Roman" w:eastAsia="Times New Roman" w:hAnsi="Times New Roman" w:cs="Times New Roman"/>
        </w:rPr>
        <w:t xml:space="preserve">el presente trabajo académico se propone indagar, con estricto rigor </w:t>
      </w:r>
      <w:r w:rsidR="008F62CF">
        <w:rPr>
          <w:rFonts w:ascii="Times New Roman" w:eastAsia="Times New Roman" w:hAnsi="Times New Roman" w:cs="Times New Roman"/>
        </w:rPr>
        <w:t xml:space="preserve">teórico y empírico, </w:t>
      </w:r>
      <w:r>
        <w:rPr>
          <w:rFonts w:ascii="Times New Roman" w:eastAsia="Times New Roman" w:hAnsi="Times New Roman" w:cs="Times New Roman"/>
        </w:rPr>
        <w:t>la complejidad de los procesos de adopción tecnológica, en particular de</w:t>
      </w:r>
      <w:r w:rsidR="008F62CF">
        <w:rPr>
          <w:rFonts w:ascii="Times New Roman" w:eastAsia="Times New Roman" w:hAnsi="Times New Roman" w:cs="Times New Roman"/>
        </w:rPr>
        <w:t xml:space="preserve"> la IA en la educación superior</w:t>
      </w:r>
      <w:r>
        <w:rPr>
          <w:rFonts w:ascii="Times New Roman" w:eastAsia="Times New Roman" w:hAnsi="Times New Roman" w:cs="Times New Roman"/>
        </w:rPr>
        <w:t xml:space="preserve"> (Canabal, de Ansó &amp; Pizz</w:t>
      </w:r>
      <w:r w:rsidR="00AC351F">
        <w:rPr>
          <w:rFonts w:ascii="Times New Roman" w:eastAsia="Times New Roman" w:hAnsi="Times New Roman" w:cs="Times New Roman"/>
        </w:rPr>
        <w:t>i</w:t>
      </w:r>
      <w:r>
        <w:rPr>
          <w:rFonts w:ascii="Times New Roman" w:eastAsia="Times New Roman" w:hAnsi="Times New Roman" w:cs="Times New Roman"/>
        </w:rPr>
        <w:t>chini, 2025)</w:t>
      </w:r>
      <w:r w:rsidR="008F62CF">
        <w:rPr>
          <w:rFonts w:ascii="Times New Roman" w:eastAsia="Times New Roman" w:hAnsi="Times New Roman" w:cs="Times New Roman"/>
        </w:rPr>
        <w:t>.</w:t>
      </w:r>
    </w:p>
    <w:p w14:paraId="2094A3D8" w14:textId="2C8E38EB"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actualidad, la UNTREF como institución de educación superior enfrenta un escenario de incertidumbre. Centramos nuestra mirada analítica en un fenómeno disruptivo que ha reconfigurado las prácticas pedagógicas, epistemológicas y sociales con una vertiginosidad sin precedentes en la historia de la humanidad: la irrupción de la Inteligencia </w:t>
      </w:r>
      <w:r w:rsidR="00F9215E">
        <w:rPr>
          <w:rFonts w:ascii="Times New Roman" w:eastAsia="Times New Roman" w:hAnsi="Times New Roman" w:cs="Times New Roman"/>
        </w:rPr>
        <w:t>Artificial Generativa</w:t>
      </w:r>
      <w:r>
        <w:rPr>
          <w:rFonts w:ascii="Times New Roman" w:eastAsia="Times New Roman" w:hAnsi="Times New Roman" w:cs="Times New Roman"/>
        </w:rPr>
        <w:t xml:space="preserve"> (IAGen).</w:t>
      </w:r>
    </w:p>
    <w:p w14:paraId="015E47AD" w14:textId="77777777"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Nos encontramos inmersos en una transición paradigmática que desplaza las fronteras de la cultura digital tradicional hacia una condición posmedial y poshumana, donde las inteligencias artificiales no operan como meros instrumentos de cálculo, sino como verdaderas metatecnologías y mundoambientes que median la totalidad de la experiencia humana (Costa &amp; Mónaco, 2021).</w:t>
      </w:r>
    </w:p>
    <w:p w14:paraId="18F05FCA" w14:textId="77777777"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Tal como advierten investigadores y filósofos contemporáneos, el proyecto de mecanizar la razón ha mutado en un régimen global de extractivismo del conocimiento, donde los algoritmos actúan como potentes lentes estadísticas (un "nooscopio”) que comprimen, difractan y, en ocasiones, distorsionan el vasto océano de datos producidos por la sociedad (Pasquinelli, 2021).  En este contexto, si bien nuestro equipo de investigación ha implementado indagaciones previas orientadas a las carreras de formación docente, en esta instancia resulta imperativo ampliar el campo de estudio para focalizarse en un fenómeno masivo y transversal. </w:t>
      </w:r>
    </w:p>
    <w:p w14:paraId="6AF7EEC7" w14:textId="77777777" w:rsidR="004B0E30" w:rsidRDefault="004B0E30">
      <w:pPr>
        <w:pStyle w:val="Normal1"/>
        <w:spacing w:line="240" w:lineRule="auto"/>
        <w:jc w:val="both"/>
        <w:rPr>
          <w:rFonts w:ascii="Times New Roman" w:eastAsia="Times New Roman" w:hAnsi="Times New Roman" w:cs="Times New Roman"/>
        </w:rPr>
      </w:pPr>
      <w:r w:rsidRPr="004B0E30">
        <w:rPr>
          <w:rFonts w:ascii="Times New Roman" w:eastAsia="Times New Roman" w:hAnsi="Times New Roman" w:cs="Times New Roman"/>
        </w:rPr>
        <w:t xml:space="preserve">Tomamos como unidad de análisis a los estudiantes de materias comunes de grado, particularmente de las asignaturas Informática I e Informática II de la UNTREF, abarcando sus experiencias tanto en modalidades virtuales como presenciales. Esta muestra es relevante dado que casi todas las carreras de grado de la universidad incluyen </w:t>
      </w:r>
      <w:r w:rsidRPr="004B0E30">
        <w:rPr>
          <w:rFonts w:ascii="Times New Roman" w:eastAsia="Times New Roman" w:hAnsi="Times New Roman" w:cs="Times New Roman"/>
        </w:rPr>
        <w:lastRenderedPageBreak/>
        <w:t>estas asignaturas en su estructura curricular. En consecuencia, al tratarse de asignaturas transversales a la oferta académica institucional, la población seleccionada permite conformar una muestra estadísticamente significativa que representa de manera directa el comportamiento general de las distintas trayectorias curriculares de la universidad.</w:t>
      </w:r>
    </w:p>
    <w:p w14:paraId="45667062" w14:textId="6B7E650F"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Tal como se ha señalado sistemáticamente en trabajos y ponencias anteriores de nuestro equipo de investigación (Canabal y de Ansó, 2025; Canabal y de Ansó, 2024), los procesos de cambio tecnológico continúan sorprendiendo a las estructuras académicas por su velocidad exponencial, generando nuevas, profundas y controvertidas tensiones en el campo educativo.</w:t>
      </w:r>
    </w:p>
    <w:p w14:paraId="05F2292F" w14:textId="77777777"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Las instituciones universitarias, históricamente concebidas como foros de creación del pensamiento crítico y la validación del conocimiento, hoy se ven interpeladas por un ecosistema digital donde la IA es capaz de emular representaciones simbólicas del pensamiento de orden superior, automatizando procesos de escritura, análisis y generación de contenidos (Holmes &amp; Miao, 2024).</w:t>
      </w:r>
    </w:p>
    <w:p w14:paraId="3622B1CA" w14:textId="77777777"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No obstante, y he aquí el núcleo problematizador de nuestra indagación, aunque la IA ya se encuentra presente en una vasta cantidad de dispositivos y procesos cotidianos del estudiantado, la evidencia sugiere que aún se encuentra lejos de ser utilizada en su potencial real, crítico y emancipador dentro de los sistemas universitarios.</w:t>
      </w:r>
    </w:p>
    <w:p w14:paraId="6C0B5152" w14:textId="0ACD7CFC"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Ante este diagnóstico de época, el presente artículo pretende presentar algunos primeros análisis sobre el uso y conocimien</w:t>
      </w:r>
      <w:r w:rsidR="004B0E30">
        <w:rPr>
          <w:rFonts w:ascii="Times New Roman" w:eastAsia="Times New Roman" w:hAnsi="Times New Roman" w:cs="Times New Roman"/>
        </w:rPr>
        <w:t>to de la IA</w:t>
      </w:r>
      <w:r>
        <w:rPr>
          <w:rFonts w:ascii="Times New Roman" w:eastAsia="Times New Roman" w:hAnsi="Times New Roman" w:cs="Times New Roman"/>
        </w:rPr>
        <w:t xml:space="preserve"> por parte del estudiantado universitario de la UNTREF</w:t>
      </w:r>
      <w:r w:rsidR="008F62CF">
        <w:rPr>
          <w:rFonts w:ascii="Times New Roman" w:eastAsia="Times New Roman" w:hAnsi="Times New Roman" w:cs="Times New Roman"/>
        </w:rPr>
        <w:t>.</w:t>
      </w:r>
    </w:p>
    <w:p w14:paraId="2E2F741C" w14:textId="6CBE001E" w:rsidR="00326558" w:rsidRDefault="00326558" w:rsidP="00316145">
      <w:pPr>
        <w:pStyle w:val="Normal1"/>
        <w:spacing w:line="240" w:lineRule="auto"/>
        <w:jc w:val="both"/>
        <w:rPr>
          <w:rFonts w:ascii="Times New Roman" w:eastAsia="Times New Roman" w:hAnsi="Times New Roman" w:cs="Times New Roman"/>
        </w:rPr>
      </w:pPr>
      <w:r w:rsidRPr="00326558">
        <w:rPr>
          <w:rFonts w:ascii="Times New Roman" w:eastAsia="Times New Roman" w:hAnsi="Times New Roman" w:cs="Times New Roman"/>
        </w:rPr>
        <w:t xml:space="preserve">No buscamos solo cuantificar el acceso a estas herramientas, sino explorar en profundidad la percepción del </w:t>
      </w:r>
      <w:r>
        <w:rPr>
          <w:rFonts w:ascii="Times New Roman" w:eastAsia="Times New Roman" w:hAnsi="Times New Roman" w:cs="Times New Roman"/>
        </w:rPr>
        <w:t>estudiantado sobre su utilidad (</w:t>
      </w:r>
      <w:r w:rsidRPr="00326558">
        <w:rPr>
          <w:rFonts w:ascii="Times New Roman" w:eastAsia="Times New Roman" w:hAnsi="Times New Roman" w:cs="Times New Roman"/>
        </w:rPr>
        <w:t xml:space="preserve">incluyendo la IAGen, los materiales didácticos digitales (MDD), los generadores de prompts, los asistentes virtuales y los chatbots que la universidad y su ecosistema web proporcionan (UNTREF Presencial, </w:t>
      </w:r>
      <w:r w:rsidR="00454C7F">
        <w:rPr>
          <w:rFonts w:ascii="Times New Roman" w:eastAsia="Times New Roman" w:hAnsi="Times New Roman" w:cs="Times New Roman"/>
        </w:rPr>
        <w:t>UNTREF Virtual</w:t>
      </w:r>
      <w:r>
        <w:rPr>
          <w:rFonts w:ascii="Times New Roman" w:eastAsia="Times New Roman" w:hAnsi="Times New Roman" w:cs="Times New Roman"/>
        </w:rPr>
        <w:t>, Innovar UNTREF)</w:t>
      </w:r>
      <w:r w:rsidRPr="00326558">
        <w:rPr>
          <w:rFonts w:ascii="Times New Roman" w:eastAsia="Times New Roman" w:hAnsi="Times New Roman" w:cs="Times New Roman"/>
        </w:rPr>
        <w:t>. Asimismo, nos proponemos reflexionar críticamente sobre cómo estas arquitecturas algorítmicas influyen en el razonamiento académico y en la construcción del conocimiento (Pizzichini, 2022; Canabal &amp; Pizzichini, 2025).</w:t>
      </w:r>
    </w:p>
    <w:p w14:paraId="507B1BF4" w14:textId="064C0A2F" w:rsidR="008A14A3" w:rsidRDefault="00D41BF2">
      <w:pPr>
        <w:pStyle w:val="Normal1"/>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0C8AFCA8" w14:textId="3BFCAF49" w:rsidR="008A14A3" w:rsidRDefault="00316145">
      <w:pPr>
        <w:pStyle w:val="Normal1"/>
        <w:spacing w:line="240" w:lineRule="auto"/>
        <w:jc w:val="both"/>
        <w:rPr>
          <w:rFonts w:ascii="Times New Roman" w:eastAsia="Times New Roman" w:hAnsi="Times New Roman" w:cs="Times New Roman"/>
        </w:rPr>
      </w:pPr>
      <w:r w:rsidRPr="00316145">
        <w:rPr>
          <w:rFonts w:ascii="Times New Roman" w:eastAsia="Times New Roman" w:hAnsi="Times New Roman" w:cs="Times New Roman"/>
        </w:rPr>
        <w:t>En esta ponencia, abordamos conceptos centrales como inteligencia artificial, ecosistemas digitales y materiales didácticos digitales (MDD), enfocándonos en su implementación en la</w:t>
      </w:r>
      <w:r>
        <w:rPr>
          <w:rFonts w:ascii="Times New Roman" w:eastAsia="Times New Roman" w:hAnsi="Times New Roman" w:cs="Times New Roman"/>
        </w:rPr>
        <w:t>s</w:t>
      </w:r>
      <w:r w:rsidRPr="00316145">
        <w:rPr>
          <w:rFonts w:ascii="Times New Roman" w:eastAsia="Times New Roman" w:hAnsi="Times New Roman" w:cs="Times New Roman"/>
        </w:rPr>
        <w:t xml:space="preserve"> asignatura</w:t>
      </w:r>
      <w:r>
        <w:rPr>
          <w:rFonts w:ascii="Times New Roman" w:eastAsia="Times New Roman" w:hAnsi="Times New Roman" w:cs="Times New Roman"/>
        </w:rPr>
        <w:t>s</w:t>
      </w:r>
      <w:r w:rsidRPr="00316145">
        <w:rPr>
          <w:rFonts w:ascii="Times New Roman" w:eastAsia="Times New Roman" w:hAnsi="Times New Roman" w:cs="Times New Roman"/>
        </w:rPr>
        <w:t xml:space="preserve"> Informática I y II, materia</w:t>
      </w:r>
      <w:r>
        <w:rPr>
          <w:rFonts w:ascii="Times New Roman" w:eastAsia="Times New Roman" w:hAnsi="Times New Roman" w:cs="Times New Roman"/>
        </w:rPr>
        <w:t>s</w:t>
      </w:r>
      <w:r w:rsidRPr="00316145">
        <w:rPr>
          <w:rFonts w:ascii="Times New Roman" w:eastAsia="Times New Roman" w:hAnsi="Times New Roman" w:cs="Times New Roman"/>
        </w:rPr>
        <w:t xml:space="preserve"> comunes a la mayoría de las carreras de grado de esta universidad pública del conurbano bonaerense. Para ello, articulamos el análisis a partir de un marco teórico consolidado y de los aportes que nuestro equipo de investigación ha venido desarrollando recientemente</w:t>
      </w:r>
      <w:r w:rsidR="00DF46BB">
        <w:rPr>
          <w:rFonts w:ascii="Times New Roman" w:eastAsia="Times New Roman" w:hAnsi="Times New Roman" w:cs="Times New Roman"/>
        </w:rPr>
        <w:t>.</w:t>
      </w:r>
    </w:p>
    <w:p w14:paraId="67DD629A" w14:textId="5626F146" w:rsidR="00D9364F" w:rsidRDefault="00D9364F">
      <w:pPr>
        <w:pStyle w:val="Normal1"/>
        <w:spacing w:line="240" w:lineRule="auto"/>
        <w:jc w:val="both"/>
        <w:rPr>
          <w:rFonts w:ascii="Times New Roman" w:eastAsia="Times New Roman" w:hAnsi="Times New Roman" w:cs="Times New Roman"/>
        </w:rPr>
      </w:pPr>
      <w:r w:rsidRPr="00D9364F">
        <w:rPr>
          <w:rFonts w:ascii="Times New Roman" w:eastAsia="Times New Roman" w:hAnsi="Times New Roman" w:cs="Times New Roman"/>
        </w:rPr>
        <w:t>El análisis</w:t>
      </w:r>
      <w:r>
        <w:rPr>
          <w:rFonts w:ascii="Times New Roman" w:eastAsia="Times New Roman" w:hAnsi="Times New Roman" w:cs="Times New Roman"/>
        </w:rPr>
        <w:t xml:space="preserve"> de esta ponencia</w:t>
      </w:r>
      <w:r w:rsidRPr="00D9364F">
        <w:rPr>
          <w:rFonts w:ascii="Times New Roman" w:eastAsia="Times New Roman" w:hAnsi="Times New Roman" w:cs="Times New Roman"/>
        </w:rPr>
        <w:t xml:space="preserve"> se articula a partir de un marco teórico centrado en las categ</w:t>
      </w:r>
      <w:r>
        <w:rPr>
          <w:rFonts w:ascii="Times New Roman" w:eastAsia="Times New Roman" w:hAnsi="Times New Roman" w:cs="Times New Roman"/>
        </w:rPr>
        <w:t>orías de IA</w:t>
      </w:r>
      <w:r w:rsidRPr="00D9364F">
        <w:rPr>
          <w:rFonts w:ascii="Times New Roman" w:eastAsia="Times New Roman" w:hAnsi="Times New Roman" w:cs="Times New Roman"/>
        </w:rPr>
        <w:t>, ecosistemas</w:t>
      </w:r>
      <w:r>
        <w:rPr>
          <w:rFonts w:ascii="Times New Roman" w:eastAsia="Times New Roman" w:hAnsi="Times New Roman" w:cs="Times New Roman"/>
        </w:rPr>
        <w:t xml:space="preserve"> digitales y MDD</w:t>
      </w:r>
      <w:r w:rsidRPr="00D9364F">
        <w:rPr>
          <w:rFonts w:ascii="Times New Roman" w:eastAsia="Times New Roman" w:hAnsi="Times New Roman" w:cs="Times New Roman"/>
        </w:rPr>
        <w:t>, en diálogo con las producciones recientes de nuestro equipo de investigación. Estos conceptos se operacionalizan a partir del relevamiento de las asignaturas transversales</w:t>
      </w:r>
      <w:r w:rsidR="00DC2DA3">
        <w:rPr>
          <w:rFonts w:ascii="Times New Roman" w:eastAsia="Times New Roman" w:hAnsi="Times New Roman" w:cs="Times New Roman"/>
        </w:rPr>
        <w:t xml:space="preserve"> (Informática I e Informática II), </w:t>
      </w:r>
      <w:r w:rsidRPr="00D9364F">
        <w:rPr>
          <w:rFonts w:ascii="Times New Roman" w:eastAsia="Times New Roman" w:hAnsi="Times New Roman" w:cs="Times New Roman"/>
        </w:rPr>
        <w:t xml:space="preserve">permitiendo </w:t>
      </w:r>
      <w:r w:rsidRPr="00D9364F">
        <w:rPr>
          <w:rFonts w:ascii="Times New Roman" w:eastAsia="Times New Roman" w:hAnsi="Times New Roman" w:cs="Times New Roman"/>
        </w:rPr>
        <w:lastRenderedPageBreak/>
        <w:t>contrastar los desarrollos conceptuales con las dinámicas de las trayectorias de grado institucionales.</w:t>
      </w:r>
    </w:p>
    <w:p w14:paraId="4B0B7E90" w14:textId="77777777" w:rsidR="008A14A3" w:rsidRDefault="00D41BF2">
      <w:pPr>
        <w:pStyle w:val="Normal1"/>
        <w:spacing w:line="240" w:lineRule="auto"/>
        <w:rPr>
          <w:rFonts w:ascii="Times New Roman" w:eastAsia="Times New Roman" w:hAnsi="Times New Roman" w:cs="Times New Roman"/>
        </w:rPr>
      </w:pPr>
      <w:r>
        <w:rPr>
          <w:rFonts w:ascii="Times New Roman" w:eastAsia="Times New Roman" w:hAnsi="Times New Roman" w:cs="Times New Roman"/>
          <w:b/>
          <w:bCs/>
        </w:rPr>
        <w:t>Ecosistemas digitales y Educación superior</w:t>
      </w:r>
      <w:r>
        <w:rPr>
          <w:rFonts w:ascii="Times New Roman" w:eastAsia="Times New Roman" w:hAnsi="Times New Roman" w:cs="Times New Roman"/>
        </w:rPr>
        <w:t xml:space="preserve"> </w:t>
      </w:r>
    </w:p>
    <w:p w14:paraId="130349BC" w14:textId="77777777" w:rsidR="008A14A3" w:rsidRDefault="00D41BF2">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La consolidación de una sociedad atravesada por lógicas algorítmicas y metatecnologías ha exigido una profunda reconfiguración de los entornos de educación superior, demandando una transición desde modelos analógicos hacia ecosistemas digitales complejos (Raffaghelli, 2023).</w:t>
      </w:r>
    </w:p>
    <w:p w14:paraId="00306899" w14:textId="6D48A180" w:rsidR="008A14A3" w:rsidRDefault="00DF46BB">
      <w:pPr>
        <w:pStyle w:val="Normal1"/>
        <w:spacing w:line="240" w:lineRule="auto"/>
        <w:jc w:val="both"/>
        <w:rPr>
          <w:rFonts w:ascii="Times New Roman" w:eastAsia="Times New Roman" w:hAnsi="Times New Roman" w:cs="Times New Roman"/>
          <w:color w:val="231F20"/>
        </w:rPr>
      </w:pPr>
      <w:r w:rsidRPr="00DF46BB">
        <w:rPr>
          <w:rFonts w:ascii="Times New Roman" w:eastAsia="Times New Roman" w:hAnsi="Times New Roman" w:cs="Times New Roman"/>
        </w:rPr>
        <w:t>Siguiendo a Cárdenas Arenas, Suárez Pedraza y Guerrero Alarcón (2014), concebimos el ecosistema digital como una unidad funcional donde comunidades, recursos y entornos digitales se articulan de manera sinérgica. Esta estructura se fundamenta en la interdependencia y el intercambio constante de información, los cuales son mediados por una infraestructura tecnológica que posibilita la interacción recípr</w:t>
      </w:r>
      <w:r>
        <w:rPr>
          <w:rFonts w:ascii="Times New Roman" w:eastAsia="Times New Roman" w:hAnsi="Times New Roman" w:cs="Times New Roman"/>
        </w:rPr>
        <w:t xml:space="preserve">oca entre todos sus componentes </w:t>
      </w:r>
      <w:r w:rsidR="00D41BF2">
        <w:rPr>
          <w:rFonts w:ascii="Times New Roman" w:eastAsia="Times New Roman" w:hAnsi="Times New Roman" w:cs="Times New Roman"/>
        </w:rPr>
        <w:t>(Hadzic, Chan</w:t>
      </w:r>
      <w:r>
        <w:rPr>
          <w:rFonts w:ascii="Times New Roman" w:eastAsia="Times New Roman" w:hAnsi="Times New Roman" w:cs="Times New Roman"/>
        </w:rPr>
        <w:t>g, &amp; Dillon, 2007).</w:t>
      </w:r>
      <w:r w:rsidR="00D41BF2">
        <w:rPr>
          <w:rFonts w:ascii="Times New Roman" w:eastAsia="Times New Roman" w:hAnsi="Times New Roman" w:cs="Times New Roman"/>
        </w:rPr>
        <w:t xml:space="preserve"> Algunos autores </w:t>
      </w:r>
      <w:r w:rsidR="004915F9">
        <w:rPr>
          <w:rFonts w:ascii="Times New Roman" w:eastAsia="Times New Roman" w:hAnsi="Times New Roman" w:cs="Times New Roman"/>
        </w:rPr>
        <w:t>como Area Moreira (2017) han</w:t>
      </w:r>
      <w:r w:rsidR="004915F9" w:rsidRPr="004915F9">
        <w:rPr>
          <w:rFonts w:ascii="Times New Roman" w:eastAsia="Times New Roman" w:hAnsi="Times New Roman" w:cs="Times New Roman"/>
        </w:rPr>
        <w:t xml:space="preserve"> pla</w:t>
      </w:r>
      <w:r w:rsidR="004915F9">
        <w:rPr>
          <w:rFonts w:ascii="Times New Roman" w:eastAsia="Times New Roman" w:hAnsi="Times New Roman" w:cs="Times New Roman"/>
        </w:rPr>
        <w:t xml:space="preserve">nteado que </w:t>
      </w:r>
      <w:r w:rsidR="004915F9" w:rsidRPr="004915F9">
        <w:rPr>
          <w:rFonts w:ascii="Times New Roman" w:eastAsia="Times New Roman" w:hAnsi="Times New Roman" w:cs="Times New Roman"/>
        </w:rPr>
        <w:t xml:space="preserve">el escenario </w:t>
      </w:r>
      <w:r w:rsidR="004915F9">
        <w:rPr>
          <w:rFonts w:ascii="Times New Roman" w:eastAsia="Times New Roman" w:hAnsi="Times New Roman" w:cs="Times New Roman"/>
        </w:rPr>
        <w:t xml:space="preserve">digital educativo actual, se </w:t>
      </w:r>
      <w:r w:rsidR="004915F9" w:rsidRPr="004915F9">
        <w:rPr>
          <w:rFonts w:ascii="Times New Roman" w:eastAsia="Times New Roman" w:hAnsi="Times New Roman" w:cs="Times New Roman"/>
        </w:rPr>
        <w:t>destaca por su dinamismo y crecimiento constante. Se trata de un ecosistema que aglutin</w:t>
      </w:r>
      <w:r w:rsidR="004915F9">
        <w:rPr>
          <w:rFonts w:ascii="Times New Roman" w:eastAsia="Times New Roman" w:hAnsi="Times New Roman" w:cs="Times New Roman"/>
        </w:rPr>
        <w:t xml:space="preserve">a una multiplicidad de fuentes, </w:t>
      </w:r>
      <w:r w:rsidR="004915F9" w:rsidRPr="004915F9">
        <w:rPr>
          <w:rFonts w:ascii="Times New Roman" w:eastAsia="Times New Roman" w:hAnsi="Times New Roman" w:cs="Times New Roman"/>
        </w:rPr>
        <w:t>desde blogs y port</w:t>
      </w:r>
      <w:r w:rsidR="004915F9">
        <w:rPr>
          <w:rFonts w:ascii="Times New Roman" w:eastAsia="Times New Roman" w:hAnsi="Times New Roman" w:cs="Times New Roman"/>
        </w:rPr>
        <w:t>ales hasta redes especializadas</w:t>
      </w:r>
      <w:r w:rsidR="004915F9" w:rsidRPr="004915F9">
        <w:rPr>
          <w:rFonts w:ascii="Times New Roman" w:eastAsia="Times New Roman" w:hAnsi="Times New Roman" w:cs="Times New Roman"/>
        </w:rPr>
        <w:t>, poniendo a disposición del ámbito didáctico una vasta reserva de materiales y servicios en línea</w:t>
      </w:r>
      <w:r w:rsidR="004915F9">
        <w:rPr>
          <w:rFonts w:ascii="Times New Roman" w:eastAsia="Times New Roman" w:hAnsi="Times New Roman" w:cs="Times New Roman"/>
        </w:rPr>
        <w:t>.</w:t>
      </w:r>
    </w:p>
    <w:p w14:paraId="5C296B01" w14:textId="2429162A" w:rsidR="008A14A3" w:rsidRDefault="00D41BF2">
      <w:pPr>
        <w:pStyle w:val="Normal1"/>
        <w:spacing w:line="240" w:lineRule="auto"/>
        <w:jc w:val="both"/>
        <w:rPr>
          <w:rFonts w:ascii="Times New Roman" w:eastAsia="Times New Roman" w:hAnsi="Times New Roman" w:cs="Times New Roman"/>
          <w:color w:val="FF0000"/>
        </w:rPr>
      </w:pPr>
      <w:r>
        <w:rPr>
          <w:rFonts w:ascii="Times New Roman" w:eastAsia="Times New Roman" w:hAnsi="Times New Roman" w:cs="Times New Roman"/>
        </w:rPr>
        <w:t>En este marco, desde la perspectiva del EITE, la UNTREF despliega un ecosistema digital integral que sustenta su oferta académica en ambas modalidades (presencial y virtual). Este ecosistema abarca dispositivos y constructos es</w:t>
      </w:r>
      <w:r w:rsidR="00FB1FF0">
        <w:rPr>
          <w:rFonts w:ascii="Times New Roman" w:eastAsia="Times New Roman" w:hAnsi="Times New Roman" w:cs="Times New Roman"/>
        </w:rPr>
        <w:t>tratégicos como Innovar UNTREF</w:t>
      </w:r>
      <w:r>
        <w:rPr>
          <w:rFonts w:ascii="Times New Roman" w:eastAsia="Times New Roman" w:hAnsi="Times New Roman" w:cs="Times New Roman"/>
        </w:rPr>
        <w:t>, los cuales son alimentados y dinamizados por un sistema de gestión tecnológica. Dicha arquitectura se ha visto interpelada y, simultáneamente, enriquecida por la irrupción de la IAGen. Un modo de este proceso de integración crítica es el paradigma del "conocimiento triangular integrado" (Knowledge Triangle Integration o KTI), el cual vincula de manera recursiva la investigación tecnológica, la educación superior (evidenciada en materias transversales de grado como Informática I, II, III, e Inglés) y el desarrollo de servicios digitales con valor agregado (Pizzichini, 2022). En este entramado conceptual, la IA no se concibe bajo el mito de la autonomía tecnológica o como un autómata pensante, sino como un modelo estadístico de reconocimiento de patrones y compresión de información (</w:t>
      </w:r>
      <w:r>
        <w:rPr>
          <w:rFonts w:ascii="Times New Roman" w:eastAsia="Times New Roman" w:hAnsi="Times New Roman" w:cs="Times New Roman"/>
          <w:color w:val="1B1B1C"/>
          <w:highlight w:val="white"/>
        </w:rPr>
        <w:t>Pasquinelli, 2021</w:t>
      </w:r>
      <w:r>
        <w:rPr>
          <w:rFonts w:ascii="Google Sans" w:eastAsia="Google Sans" w:hAnsi="Google Sans" w:cs="Google Sans"/>
          <w:color w:val="1B1B1C"/>
          <w:highlight w:val="white"/>
        </w:rPr>
        <w:t>)</w:t>
      </w:r>
      <w:r>
        <w:rPr>
          <w:rFonts w:ascii="Times New Roman" w:eastAsia="Times New Roman" w:hAnsi="Times New Roman" w:cs="Times New Roman"/>
        </w:rPr>
        <w:t xml:space="preserve">. </w:t>
      </w:r>
    </w:p>
    <w:p w14:paraId="79ED678B" w14:textId="18116834" w:rsidR="008A14A3" w:rsidRDefault="00FB1FF0">
      <w:pPr>
        <w:pStyle w:val="Normal1"/>
        <w:spacing w:line="240" w:lineRule="auto"/>
        <w:jc w:val="both"/>
        <w:rPr>
          <w:rFonts w:ascii="Times New Roman" w:eastAsia="Times New Roman" w:hAnsi="Times New Roman" w:cs="Times New Roman"/>
        </w:rPr>
      </w:pPr>
      <w:r>
        <w:rPr>
          <w:rFonts w:ascii="Times New Roman" w:eastAsia="Times New Roman" w:hAnsi="Times New Roman" w:cs="Times New Roman"/>
        </w:rPr>
        <w:t>Dentro del</w:t>
      </w:r>
      <w:r w:rsidRPr="00FB1FF0">
        <w:rPr>
          <w:rFonts w:ascii="Times New Roman" w:eastAsia="Times New Roman" w:hAnsi="Times New Roman" w:cs="Times New Roman"/>
        </w:rPr>
        <w:t xml:space="preserve"> marco del ecosistema d</w:t>
      </w:r>
      <w:r>
        <w:rPr>
          <w:rFonts w:ascii="Times New Roman" w:eastAsia="Times New Roman" w:hAnsi="Times New Roman" w:cs="Times New Roman"/>
        </w:rPr>
        <w:t xml:space="preserve">igital de la UNTREF, </w:t>
      </w:r>
      <w:r w:rsidR="009429D0">
        <w:rPr>
          <w:rFonts w:ascii="Times New Roman" w:eastAsia="Times New Roman" w:hAnsi="Times New Roman" w:cs="Times New Roman"/>
        </w:rPr>
        <w:t xml:space="preserve">especialmente </w:t>
      </w:r>
      <w:r>
        <w:rPr>
          <w:rFonts w:ascii="Times New Roman" w:eastAsia="Times New Roman" w:hAnsi="Times New Roman" w:cs="Times New Roman"/>
        </w:rPr>
        <w:t>el constructo Innovar</w:t>
      </w:r>
      <w:r w:rsidRPr="00FB1FF0">
        <w:rPr>
          <w:rFonts w:ascii="Times New Roman" w:eastAsia="Times New Roman" w:hAnsi="Times New Roman" w:cs="Times New Roman"/>
        </w:rPr>
        <w:t xml:space="preserve"> UNTREF actúa como un elemento dinamizador esencial. Con el propósito de reducir la dependencia de modelos comerciales y fomentar una auténtica soberanía tecnológica, su arquitectura se fundamenta en los principios del software libre y de código abierto (Canabal &amp; Pizzichini, 2025</w:t>
      </w:r>
      <w:r>
        <w:rPr>
          <w:rFonts w:ascii="Times New Roman" w:eastAsia="Times New Roman" w:hAnsi="Times New Roman" w:cs="Times New Roman"/>
        </w:rPr>
        <w:t>)</w:t>
      </w:r>
      <w:r w:rsidR="00D41BF2">
        <w:rPr>
          <w:rFonts w:ascii="Times New Roman" w:eastAsia="Times New Roman" w:hAnsi="Times New Roman" w:cs="Times New Roman"/>
        </w:rPr>
        <w:t>. Esto se sostiene en una decisión ético-política y epistémica que permite a la institución controlar el código fuente y el diseño pedagógico estructurado en cuatro capas operativas e interdependientes: la Generación (MDD), la Mediación (Ingeniería de Prompts), la Asistencia (Agentes Conversacionales) y la Auditoría.</w:t>
      </w:r>
      <w:r w:rsidR="00905F8F">
        <w:rPr>
          <w:rFonts w:ascii="Times New Roman" w:eastAsia="Times New Roman" w:hAnsi="Times New Roman" w:cs="Times New Roman"/>
        </w:rPr>
        <w:t xml:space="preserve"> </w:t>
      </w:r>
      <w:r w:rsidR="00905F8F" w:rsidRPr="00905F8F">
        <w:rPr>
          <w:rFonts w:ascii="Times New Roman" w:eastAsia="Times New Roman" w:hAnsi="Times New Roman" w:cs="Times New Roman"/>
        </w:rPr>
        <w:t>En consonancia con esta arquitectura, el EITE avanza en el desarrollo y puesta en funcionamiento del Hub IA Innovar UNTREF, una plataforma centralizada que articula e integra estos recursos locales bajo principios de soberanía tecnológica (Pizzichini, 2025)</w:t>
      </w:r>
      <w:r w:rsidR="00905F8F">
        <w:rPr>
          <w:rFonts w:ascii="Times New Roman" w:eastAsia="Times New Roman" w:hAnsi="Times New Roman" w:cs="Times New Roman"/>
        </w:rPr>
        <w:t>.</w:t>
      </w:r>
    </w:p>
    <w:p w14:paraId="23AA2E64" w14:textId="77777777" w:rsidR="008A14A3" w:rsidRDefault="00D41BF2">
      <w:pPr>
        <w:pStyle w:val="Normal1"/>
        <w:spacing w:line="240" w:lineRule="auto"/>
        <w:rPr>
          <w:rFonts w:ascii="Times New Roman" w:eastAsia="Times New Roman" w:hAnsi="Times New Roman" w:cs="Times New Roman"/>
        </w:rPr>
      </w:pPr>
      <w:r>
        <w:rPr>
          <w:rFonts w:ascii="Times New Roman" w:eastAsia="Times New Roman" w:hAnsi="Times New Roman" w:cs="Times New Roman"/>
          <w:b/>
          <w:bCs/>
        </w:rPr>
        <w:lastRenderedPageBreak/>
        <w:t>Inteligencia artificial y educación superior</w:t>
      </w:r>
    </w:p>
    <w:p w14:paraId="52C28593" w14:textId="77777777" w:rsidR="008A14A3" w:rsidRPr="003C3D84" w:rsidRDefault="00D41BF2" w:rsidP="00B149ED">
      <w:pPr>
        <w:pStyle w:val="Normal1"/>
        <w:spacing w:line="240" w:lineRule="auto"/>
        <w:rPr>
          <w:rFonts w:ascii="Times New Roman" w:eastAsia="Times New Roman" w:hAnsi="Times New Roman" w:cs="Times New Roman"/>
          <w:b/>
          <w:bCs/>
          <w:color w:val="000000" w:themeColor="text1"/>
        </w:rPr>
      </w:pPr>
      <w:r w:rsidRPr="003C3D84">
        <w:rPr>
          <w:rFonts w:ascii="Times New Roman" w:eastAsia="Times New Roman" w:hAnsi="Times New Roman" w:cs="Times New Roman"/>
          <w:b/>
          <w:bCs/>
          <w:color w:val="000000" w:themeColor="text1"/>
        </w:rPr>
        <w:t>Fundamentos Sociotécnicos de la IA en la Educación Universitaria</w:t>
      </w:r>
    </w:p>
    <w:p w14:paraId="0B8B2AAD" w14:textId="57980A1F" w:rsidR="00B149ED" w:rsidRPr="00AD3EB9" w:rsidRDefault="003C3D84" w:rsidP="00B149ED">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La</w:t>
      </w:r>
      <w:r w:rsidR="00D41BF2" w:rsidRPr="00AD3EB9">
        <w:rPr>
          <w:rFonts w:ascii="Times New Roman" w:eastAsia="Times New Roman" w:hAnsi="Times New Roman" w:cs="Times New Roman"/>
          <w:color w:val="000000" w:themeColor="text1"/>
        </w:rPr>
        <w:t xml:space="preserve"> IAGen ha provocado una reconfiguración sin precedentes en la educación superior, exigiendo el paso de instituciones meramente digitalizadas a entornos profundamente "datificados" Raffaghelli (2023). En el ámbito académico, la IA no debe concebirse como un simple dispositivo instrumental, sino como una "metatecnología</w:t>
      </w:r>
      <w:r w:rsidR="005514B3" w:rsidRPr="00AD3EB9">
        <w:rPr>
          <w:rFonts w:ascii="Times New Roman" w:eastAsia="Times New Roman" w:hAnsi="Times New Roman" w:cs="Times New Roman"/>
          <w:color w:val="000000" w:themeColor="text1"/>
        </w:rPr>
        <w:t>” de</w:t>
      </w:r>
      <w:r w:rsidR="00D41BF2" w:rsidRPr="00AD3EB9">
        <w:rPr>
          <w:rFonts w:ascii="Times New Roman" w:eastAsia="Times New Roman" w:hAnsi="Times New Roman" w:cs="Times New Roman"/>
          <w:color w:val="000000" w:themeColor="text1"/>
        </w:rPr>
        <w:t xml:space="preserve"> propósito general que no solo procesa datos, sino que reproduce y gestiona el tejido social. </w:t>
      </w:r>
      <w:r w:rsidR="001B1928" w:rsidRPr="00AD3EB9">
        <w:rPr>
          <w:rFonts w:ascii="Times New Roman" w:eastAsia="Times New Roman" w:hAnsi="Times New Roman" w:cs="Times New Roman"/>
          <w:color w:val="000000" w:themeColor="text1"/>
        </w:rPr>
        <w:t xml:space="preserve">Floridi (2011) ya la había señalado como “metatecnologias”, a aquellas tecnologías que operan y regulan a otras tecnologías. </w:t>
      </w:r>
    </w:p>
    <w:p w14:paraId="74F0F341" w14:textId="77777777" w:rsidR="00B149ED" w:rsidRPr="00AD3EB9" w:rsidRDefault="00D41BF2" w:rsidP="00B149ED">
      <w:pPr>
        <w:pStyle w:val="Normal1"/>
        <w:spacing w:line="240" w:lineRule="auto"/>
        <w:ind w:left="709" w:hanging="709"/>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Autores como Sadin (2020) piensan la IA no como una innovación más entre otras, “sino que representa más bien un “principio técnico universal” basado sobre una misma sis</w:t>
      </w:r>
      <w:r w:rsidR="009F416B" w:rsidRPr="00AD3EB9">
        <w:rPr>
          <w:rFonts w:ascii="Times New Roman" w:eastAsia="Times New Roman" w:hAnsi="Times New Roman" w:cs="Times New Roman"/>
          <w:color w:val="000000" w:themeColor="text1"/>
        </w:rPr>
        <w:t xml:space="preserve">témica: el análisis robotizado - </w:t>
      </w:r>
      <w:r w:rsidRPr="00AD3EB9">
        <w:rPr>
          <w:rFonts w:ascii="Times New Roman" w:eastAsia="Times New Roman" w:hAnsi="Times New Roman" w:cs="Times New Roman"/>
          <w:color w:val="000000" w:themeColor="text1"/>
        </w:rPr>
        <w:t>gene</w:t>
      </w:r>
      <w:r w:rsidR="009F416B" w:rsidRPr="00AD3EB9">
        <w:rPr>
          <w:rFonts w:ascii="Times New Roman" w:eastAsia="Times New Roman" w:hAnsi="Times New Roman" w:cs="Times New Roman"/>
          <w:color w:val="000000" w:themeColor="text1"/>
        </w:rPr>
        <w:t>ralmente operado en tiempo real -</w:t>
      </w:r>
      <w:r w:rsidRPr="00AD3EB9">
        <w:rPr>
          <w:rFonts w:ascii="Times New Roman" w:eastAsia="Times New Roman" w:hAnsi="Times New Roman" w:cs="Times New Roman"/>
          <w:color w:val="000000" w:themeColor="text1"/>
        </w:rPr>
        <w:t xml:space="preserve"> de situaciones de diverso orden, la formulación instantánea de ecuaciones, supuestamente las más acordes, y en general con vistas a emprender las acciones adecuadas correspondientes, sea por medio de intervenciones humanas o de modo autónomo por </w:t>
      </w:r>
      <w:r w:rsidR="00794E15" w:rsidRPr="00AD3EB9">
        <w:rPr>
          <w:rFonts w:ascii="Times New Roman" w:eastAsia="Times New Roman" w:hAnsi="Times New Roman" w:cs="Times New Roman"/>
          <w:color w:val="000000" w:themeColor="text1"/>
        </w:rPr>
        <w:t>los sistemas mismos·” (p</w:t>
      </w:r>
      <w:r w:rsidR="001B1928" w:rsidRPr="00AD3EB9">
        <w:rPr>
          <w:rFonts w:ascii="Times New Roman" w:eastAsia="Times New Roman" w:hAnsi="Times New Roman" w:cs="Times New Roman"/>
          <w:color w:val="000000" w:themeColor="text1"/>
        </w:rPr>
        <w:t>. 20)</w:t>
      </w:r>
      <w:r w:rsidRPr="00AD3EB9">
        <w:rPr>
          <w:rFonts w:ascii="Times New Roman" w:eastAsia="Times New Roman" w:hAnsi="Times New Roman" w:cs="Times New Roman"/>
          <w:color w:val="000000" w:themeColor="text1"/>
        </w:rPr>
        <w:t xml:space="preserve"> </w:t>
      </w:r>
    </w:p>
    <w:p w14:paraId="39A020C3" w14:textId="261FFB21" w:rsidR="00E0773B" w:rsidRPr="00AD3EB9" w:rsidRDefault="00E0773B" w:rsidP="00B149ED">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Frente al avance de una racionalidad puramente tecnocrática, la cual tiende a reducir la educación a los parámetros de mercado de las corporaciones hegemónicas, sostenemos que la educación superior debe adoptar una racionalidad pedagógica y democrática centrada en la soberanía digital. Esto implica, entre otras estrategias, el fomento del software libre, el alojamiento de infraestructuras locales (servidores propios) y la gestión soberana de los datos estudiantiles, evitando así la extracción y mercantilización de la información por parte de terceros (Canabal, de Ansó &amp; Pizzichini, 2025).</w:t>
      </w:r>
    </w:p>
    <w:p w14:paraId="1DFC59CC" w14:textId="77777777" w:rsidR="000779E2" w:rsidRPr="00AD3EB9" w:rsidRDefault="00E0773B" w:rsidP="00B149ED">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A partir de la noción de 'gubernamentalidad algorítmica' propuesta por Rouvroy y Berns (2013), Tirado Serrano y Blasco Ejarque (2025) explican que esta racionalidad trasciende lo normativo y lo político. Se fundamenta en el procesamiento masivo de datos para predecir, modelar y condicionar el comportamiento ciudadano, operando como un mecanismo que predetermina futuros cursos de acción</w:t>
      </w:r>
      <w:r w:rsidR="000779E2" w:rsidRPr="00AD3EB9">
        <w:rPr>
          <w:rFonts w:ascii="Times New Roman" w:eastAsia="Times New Roman" w:hAnsi="Times New Roman" w:cs="Times New Roman"/>
          <w:color w:val="000000" w:themeColor="text1"/>
        </w:rPr>
        <w:t>.</w:t>
      </w:r>
    </w:p>
    <w:p w14:paraId="584380B3" w14:textId="47301CC7" w:rsidR="008A14A3" w:rsidRPr="00AD3EB9" w:rsidRDefault="00D41BF2" w:rsidP="00B3237F">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En el contexto de la apropiación por las instituciones y las personas de esta metatecnología que llamamos IA se pone en discusión el desarrollo y el uso de otros conceptos claves que son los MDD.</w:t>
      </w:r>
      <w:r w:rsidR="00B3237F" w:rsidRPr="00AD3EB9">
        <w:rPr>
          <w:rFonts w:ascii="Times New Roman" w:eastAsia="Times New Roman" w:hAnsi="Times New Roman" w:cs="Times New Roman"/>
          <w:color w:val="000000" w:themeColor="text1"/>
        </w:rPr>
        <w:t xml:space="preserve"> </w:t>
      </w:r>
      <w:r w:rsidRPr="00AD3EB9">
        <w:rPr>
          <w:rFonts w:ascii="Times New Roman" w:eastAsia="Times New Roman" w:hAnsi="Times New Roman" w:cs="Times New Roman"/>
          <w:color w:val="000000" w:themeColor="text1"/>
        </w:rPr>
        <w:t xml:space="preserve">Los </w:t>
      </w:r>
      <w:r w:rsidR="00794E15" w:rsidRPr="00AD3EB9">
        <w:rPr>
          <w:rFonts w:ascii="Times New Roman" w:eastAsia="Times New Roman" w:hAnsi="Times New Roman" w:cs="Times New Roman"/>
          <w:color w:val="000000" w:themeColor="text1"/>
        </w:rPr>
        <w:t>MDD</w:t>
      </w:r>
      <w:r w:rsidRPr="00AD3EB9">
        <w:rPr>
          <w:rFonts w:ascii="Times New Roman" w:eastAsia="Times New Roman" w:hAnsi="Times New Roman" w:cs="Times New Roman"/>
          <w:color w:val="000000" w:themeColor="text1"/>
        </w:rPr>
        <w:t xml:space="preserve"> no son objetos simples, pero tienen propósitos </w:t>
      </w:r>
      <w:r w:rsidR="00B3237F" w:rsidRPr="00AD3EB9">
        <w:rPr>
          <w:rFonts w:ascii="Times New Roman" w:eastAsia="Times New Roman" w:hAnsi="Times New Roman" w:cs="Times New Roman"/>
          <w:color w:val="000000" w:themeColor="text1"/>
        </w:rPr>
        <w:t>claros, en</w:t>
      </w:r>
      <w:r w:rsidRPr="00AD3EB9">
        <w:rPr>
          <w:rFonts w:ascii="Times New Roman" w:eastAsia="Times New Roman" w:hAnsi="Times New Roman" w:cs="Times New Roman"/>
          <w:color w:val="000000" w:themeColor="text1"/>
        </w:rPr>
        <w:t xml:space="preserve"> este sentido Area Moreira (2003) señala “todo material didáctico digital debe estar al servicio del planteamiento pedagógico del curso o programa en el que se usará y debe ser utilizado como un medio o recurso para el logro de objetivos educativos” (</w:t>
      </w:r>
      <w:r w:rsidR="00794E15" w:rsidRPr="00AD3EB9">
        <w:rPr>
          <w:rFonts w:ascii="Times New Roman" w:eastAsia="Times New Roman" w:hAnsi="Times New Roman" w:cs="Times New Roman"/>
          <w:color w:val="000000" w:themeColor="text1"/>
        </w:rPr>
        <w:t>p</w:t>
      </w:r>
      <w:r w:rsidR="00B149ED" w:rsidRPr="00AD3EB9">
        <w:rPr>
          <w:rFonts w:ascii="Times New Roman" w:eastAsia="Times New Roman" w:hAnsi="Times New Roman" w:cs="Times New Roman"/>
          <w:color w:val="000000" w:themeColor="text1"/>
        </w:rPr>
        <w:t>.</w:t>
      </w:r>
      <w:r w:rsidRPr="00AD3EB9">
        <w:rPr>
          <w:rFonts w:ascii="Times New Roman" w:eastAsia="Times New Roman" w:hAnsi="Times New Roman" w:cs="Times New Roman"/>
          <w:color w:val="000000" w:themeColor="text1"/>
        </w:rPr>
        <w:t xml:space="preserve"> 36). Con una mirada más profunda, hoy tendríamos que discutir conceptualizaciones como la planteada por Area Moreira (2017) donde reflexiona sobre MDD como objeto artefactual, tanto en su condición de in-materialidad como por la vinculación entre lo humano y la máquina que es constitutivo de sí mismo.  </w:t>
      </w:r>
    </w:p>
    <w:p w14:paraId="30AD3542" w14:textId="77777777" w:rsidR="008A14A3" w:rsidRPr="00AD3EB9" w:rsidRDefault="00D41BF2" w:rsidP="00B149ED">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El impacto de</w:t>
      </w:r>
      <w:r w:rsidR="00B149ED" w:rsidRPr="00AD3EB9">
        <w:rPr>
          <w:rFonts w:ascii="Times New Roman" w:eastAsia="Times New Roman" w:hAnsi="Times New Roman" w:cs="Times New Roman"/>
          <w:color w:val="000000" w:themeColor="text1"/>
        </w:rPr>
        <w:t xml:space="preserve"> la IA transforma la producción</w:t>
      </w:r>
      <w:r w:rsidRPr="00AD3EB9">
        <w:rPr>
          <w:rFonts w:ascii="Times New Roman" w:eastAsia="Times New Roman" w:hAnsi="Times New Roman" w:cs="Times New Roman"/>
          <w:color w:val="000000" w:themeColor="text1"/>
        </w:rPr>
        <w:t xml:space="preserve"> y apropiación del conocimiento universitario a través de los MDD. La IAGen facilita la transición de documentos estáticos hacia objetos de aprendizaje dinámicos y adaptativos, permitiendo el codiseño </w:t>
      </w:r>
      <w:r w:rsidRPr="00AD3EB9">
        <w:rPr>
          <w:rFonts w:ascii="Times New Roman" w:eastAsia="Times New Roman" w:hAnsi="Times New Roman" w:cs="Times New Roman"/>
          <w:color w:val="000000" w:themeColor="text1"/>
        </w:rPr>
        <w:lastRenderedPageBreak/>
        <w:t>de currículos y de contenidos entre el equipo docente, los estudiantes y los propios algoritmos.</w:t>
      </w:r>
    </w:p>
    <w:p w14:paraId="7FE103D5" w14:textId="7EC91FF9" w:rsidR="008A14A3" w:rsidRPr="00AD3EB9" w:rsidRDefault="00D41BF2" w:rsidP="00B149ED">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Sin embargo, el uso de la IAGen en este nivel enfrenta el grave desafío epistemológico del "loro estocástico": los Modelos de Lenguaje de Gran Tamaño (LLMs) generan respuestas hilvanando probabilidades estadísticas sin una comprensión real del mundo físico o social, lo que puede derivar en la invención de información (alucinaciones) o en la homogeneización estandarizada del saber. Para mitigar estos riesgos, resulta imperativa la transición hacia modelos de tipo "EdGPT", los cuales consisten en modelos fundacionales pre entrenados y refinados con datos educativos específicos, curados y de alta calidad para responder a requerimientos pedagógicos situados (</w:t>
      </w:r>
      <w:r w:rsidR="00E04DBC" w:rsidRPr="00AD3EB9">
        <w:rPr>
          <w:rFonts w:ascii="Times New Roman" w:eastAsia="Times New Roman" w:hAnsi="Times New Roman" w:cs="Times New Roman"/>
          <w:color w:val="000000" w:themeColor="text1"/>
        </w:rPr>
        <w:t>Holmes &amp; Miao, 2024</w:t>
      </w:r>
      <w:r w:rsidRPr="00AD3EB9">
        <w:rPr>
          <w:rFonts w:ascii="Times New Roman" w:eastAsia="Times New Roman" w:hAnsi="Times New Roman" w:cs="Times New Roman"/>
          <w:color w:val="000000" w:themeColor="text1"/>
        </w:rPr>
        <w:t>).</w:t>
      </w:r>
      <w:r w:rsidR="00820541" w:rsidRPr="00AD3EB9">
        <w:rPr>
          <w:rFonts w:ascii="Times New Roman" w:eastAsia="Times New Roman" w:hAnsi="Times New Roman" w:cs="Times New Roman"/>
          <w:color w:val="000000" w:themeColor="text1"/>
        </w:rPr>
        <w:t xml:space="preserve"> En esta línea, el Constructo Innovar UNTREF implementa una arquitectura basada en embeddings y transformers dentro de su propio ecosistema, integrando un sistema RAG (Generación Aumentada por Recuperación) que garantiza la precisión de las respuestas al anclarse exclusivamente en fuentes validadas, reduciendo así las alucinaciones algorítmicas (Pizzichini,</w:t>
      </w:r>
      <w:r w:rsidR="000604C8" w:rsidRPr="00AD3EB9">
        <w:rPr>
          <w:rFonts w:ascii="Times New Roman" w:eastAsia="Times New Roman" w:hAnsi="Times New Roman" w:cs="Times New Roman"/>
          <w:color w:val="000000" w:themeColor="text1"/>
        </w:rPr>
        <w:t xml:space="preserve"> 2025)</w:t>
      </w:r>
      <w:r w:rsidR="005514B3">
        <w:rPr>
          <w:rFonts w:ascii="Times New Roman" w:eastAsia="Times New Roman" w:hAnsi="Times New Roman" w:cs="Times New Roman"/>
          <w:color w:val="000000" w:themeColor="text1"/>
        </w:rPr>
        <w:t>.</w:t>
      </w:r>
    </w:p>
    <w:p w14:paraId="765D00EE" w14:textId="77777777" w:rsidR="008A14A3" w:rsidRPr="00AD3EB9" w:rsidRDefault="00D41BF2" w:rsidP="00B149ED">
      <w:pPr>
        <w:pStyle w:val="Normal1"/>
        <w:spacing w:line="240" w:lineRule="auto"/>
        <w:rPr>
          <w:rFonts w:ascii="Times New Roman" w:eastAsia="Times New Roman" w:hAnsi="Times New Roman" w:cs="Times New Roman"/>
          <w:b/>
          <w:bCs/>
          <w:color w:val="000000" w:themeColor="text1"/>
        </w:rPr>
      </w:pPr>
      <w:r w:rsidRPr="00AD3EB9">
        <w:rPr>
          <w:rFonts w:ascii="Times New Roman" w:eastAsia="Times New Roman" w:hAnsi="Times New Roman" w:cs="Times New Roman"/>
          <w:b/>
          <w:bCs/>
          <w:color w:val="000000" w:themeColor="text1"/>
        </w:rPr>
        <w:t>IA, Datificación y mediación algorítmica</w:t>
      </w:r>
    </w:p>
    <w:p w14:paraId="68F9A2B8" w14:textId="71878B36" w:rsidR="008A14A3" w:rsidRPr="00AD3EB9" w:rsidRDefault="005326E7" w:rsidP="00B149ED">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La IA actúa sobre la dinámica misma</w:t>
      </w:r>
      <w:r w:rsidR="00D41BF2" w:rsidRPr="00AD3EB9">
        <w:rPr>
          <w:rFonts w:ascii="Times New Roman" w:eastAsia="Times New Roman" w:hAnsi="Times New Roman" w:cs="Times New Roman"/>
          <w:color w:val="000000" w:themeColor="text1"/>
        </w:rPr>
        <w:t xml:space="preserve"> de la sociedad, procesando y reproduciendo lo social a través de la extracción de datos, lo que exige una mirada crítica que evite la subordinación a la "gubernamentalidad algorítmica" impulsada por corporaciones hegemónicas (Castro &amp; Mónaco, 2024).</w:t>
      </w:r>
    </w:p>
    <w:p w14:paraId="4BE45B36" w14:textId="77777777" w:rsidR="00B37F41" w:rsidRPr="00AD3EB9" w:rsidRDefault="00D41BF2" w:rsidP="00B149ED">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El concepto de datificacion fue introducido y popularizado en 2013 por Viktor Mayer - Schonberger y Kenneth Cukier en su bestseller “Big data. A revolution that will transform how  we  live,  work,  and  think”,  quienes señalan y luego desarrollan a lo largo de</w:t>
      </w:r>
      <w:r w:rsidR="00B37F41" w:rsidRPr="00AD3EB9">
        <w:rPr>
          <w:rFonts w:ascii="Times New Roman" w:eastAsia="Times New Roman" w:hAnsi="Times New Roman" w:cs="Times New Roman"/>
          <w:color w:val="000000" w:themeColor="text1"/>
        </w:rPr>
        <w:t xml:space="preserve"> todo su libro, la idea de que </w:t>
      </w:r>
    </w:p>
    <w:p w14:paraId="128C15D0" w14:textId="77777777" w:rsidR="00B37F41" w:rsidRPr="00AD3EB9" w:rsidRDefault="00D41BF2" w:rsidP="00B37F41">
      <w:pPr>
        <w:pStyle w:val="Normal1"/>
        <w:pBdr>
          <w:top w:val="nil"/>
          <w:left w:val="nil"/>
          <w:bottom w:val="nil"/>
          <w:right w:val="nil"/>
          <w:between w:val="nil"/>
        </w:pBdr>
        <w:spacing w:line="240" w:lineRule="auto"/>
        <w:ind w:left="709"/>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Datificar se refiere a recopilar información sobre cuanto existe bajo el sol —incluyendo cosas que en modo alguno solíamos considerar información antes, como la localización de una persona, las vibraciones de un motor o la tensión que soporta un puente—, y transformarla a formato de datos para cuantificarla. Esto nos permite usar la información de modos nuevos, como en el análisis predictivo: detectar que un motor es proclive a un fallo mecánico basándonos en el calor o en las vibraciones que emite. Lo que se consigue así es liberar el valor latente</w:t>
      </w:r>
      <w:r w:rsidR="00B37F41" w:rsidRPr="00AD3EB9">
        <w:rPr>
          <w:rFonts w:ascii="Times New Roman" w:eastAsia="Times New Roman" w:hAnsi="Times New Roman" w:cs="Times New Roman"/>
          <w:color w:val="000000" w:themeColor="text1"/>
        </w:rPr>
        <w:t xml:space="preserve"> e implícito de la información.</w:t>
      </w:r>
      <w:r w:rsidRPr="00AD3EB9">
        <w:rPr>
          <w:rFonts w:ascii="Times New Roman" w:eastAsia="Times New Roman" w:hAnsi="Times New Roman" w:cs="Times New Roman"/>
          <w:color w:val="000000" w:themeColor="text1"/>
        </w:rPr>
        <w:t xml:space="preserve"> (</w:t>
      </w:r>
      <w:r w:rsidR="00B37F41" w:rsidRPr="00AD3EB9">
        <w:rPr>
          <w:rFonts w:ascii="Times New Roman" w:eastAsia="Times New Roman" w:hAnsi="Times New Roman" w:cs="Times New Roman"/>
          <w:color w:val="000000" w:themeColor="text1"/>
        </w:rPr>
        <w:t>p.</w:t>
      </w:r>
      <w:r w:rsidRPr="00AD3EB9">
        <w:rPr>
          <w:rFonts w:ascii="Times New Roman" w:eastAsia="Times New Roman" w:hAnsi="Times New Roman" w:cs="Times New Roman"/>
          <w:color w:val="000000" w:themeColor="text1"/>
        </w:rPr>
        <w:t xml:space="preserve">14). </w:t>
      </w:r>
    </w:p>
    <w:p w14:paraId="232D9552" w14:textId="77777777" w:rsidR="000B7797" w:rsidRPr="00AD3EB9" w:rsidRDefault="00D41BF2" w:rsidP="00B37F41">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Posteriormente otros autores como Bibri y Krogstie (2020) citado por  Becerra, Mezzadra y Gambino (2025</w:t>
      </w:r>
      <w:r w:rsidR="0007604B" w:rsidRPr="00AD3EB9">
        <w:rPr>
          <w:rFonts w:ascii="Times New Roman" w:eastAsia="Times New Roman" w:hAnsi="Times New Roman" w:cs="Times New Roman"/>
          <w:color w:val="000000" w:themeColor="text1"/>
        </w:rPr>
        <w:t>)</w:t>
      </w:r>
      <w:r w:rsidRPr="00AD3EB9">
        <w:rPr>
          <w:rFonts w:ascii="Times New Roman" w:eastAsia="Times New Roman" w:hAnsi="Times New Roman" w:cs="Times New Roman"/>
          <w:color w:val="000000" w:themeColor="text1"/>
        </w:rPr>
        <w:t xml:space="preserve"> señalan : “En términos generales, la datificación se refiere a  las  herramientas,  procesos,  métodos,  técnicas  y  tecnologías  colectivas  que  se  utilizan  para transformar una ciudad</w:t>
      </w:r>
      <w:r w:rsidR="000B7797" w:rsidRPr="00AD3EB9">
        <w:rPr>
          <w:rFonts w:ascii="Times New Roman" w:eastAsia="Times New Roman" w:hAnsi="Times New Roman" w:cs="Times New Roman"/>
          <w:color w:val="000000" w:themeColor="text1"/>
        </w:rPr>
        <w:t xml:space="preserve"> en una empresa basada en datos”</w:t>
      </w:r>
      <w:r w:rsidRPr="00AD3EB9">
        <w:rPr>
          <w:rFonts w:ascii="Times New Roman" w:eastAsia="Times New Roman" w:hAnsi="Times New Roman" w:cs="Times New Roman"/>
          <w:color w:val="000000" w:themeColor="text1"/>
        </w:rPr>
        <w:t xml:space="preserve"> (p.5</w:t>
      </w:r>
      <w:r w:rsidR="0007604B" w:rsidRPr="00AD3EB9">
        <w:rPr>
          <w:rFonts w:ascii="Times New Roman" w:eastAsia="Times New Roman" w:hAnsi="Times New Roman" w:cs="Times New Roman"/>
          <w:color w:val="000000" w:themeColor="text1"/>
        </w:rPr>
        <w:t xml:space="preserve">). </w:t>
      </w:r>
      <w:r w:rsidRPr="00AD3EB9">
        <w:rPr>
          <w:rFonts w:ascii="Times New Roman" w:eastAsia="Times New Roman" w:hAnsi="Times New Roman" w:cs="Times New Roman"/>
          <w:color w:val="000000" w:themeColor="text1"/>
        </w:rPr>
        <w:t>Sin embargo desde nuestra mirada, como la de muchos otros autores</w:t>
      </w:r>
      <w:r w:rsidR="000B7797" w:rsidRPr="00AD3EB9">
        <w:rPr>
          <w:rFonts w:ascii="Times New Roman" w:eastAsia="Times New Roman" w:hAnsi="Times New Roman" w:cs="Times New Roman"/>
          <w:color w:val="000000" w:themeColor="text1"/>
        </w:rPr>
        <w:t>, estos procesos de datificació</w:t>
      </w:r>
      <w:r w:rsidRPr="00AD3EB9">
        <w:rPr>
          <w:rFonts w:ascii="Times New Roman" w:eastAsia="Times New Roman" w:hAnsi="Times New Roman" w:cs="Times New Roman"/>
          <w:color w:val="000000" w:themeColor="text1"/>
        </w:rPr>
        <w:t>n no son ingenuos, sino que responden a interese</w:t>
      </w:r>
      <w:r w:rsidR="000B7797" w:rsidRPr="00AD3EB9">
        <w:rPr>
          <w:rFonts w:ascii="Times New Roman" w:eastAsia="Times New Roman" w:hAnsi="Times New Roman" w:cs="Times New Roman"/>
          <w:color w:val="000000" w:themeColor="text1"/>
        </w:rPr>
        <w:t>s económicos, ideológicos y políticos determinados. E</w:t>
      </w:r>
      <w:r w:rsidRPr="00AD3EB9">
        <w:rPr>
          <w:rFonts w:ascii="Times New Roman" w:eastAsia="Times New Roman" w:hAnsi="Times New Roman" w:cs="Times New Roman"/>
          <w:color w:val="000000" w:themeColor="text1"/>
        </w:rPr>
        <w:t>n este sentido enfoques como el señalado por Mejías &amp; Couldry</w:t>
      </w:r>
      <w:r w:rsidR="000B7797" w:rsidRPr="00AD3EB9">
        <w:rPr>
          <w:rFonts w:ascii="Times New Roman" w:eastAsia="Times New Roman" w:hAnsi="Times New Roman" w:cs="Times New Roman"/>
          <w:color w:val="000000" w:themeColor="text1"/>
        </w:rPr>
        <w:t xml:space="preserve"> (2019) plantean </w:t>
      </w:r>
    </w:p>
    <w:p w14:paraId="26C62C94" w14:textId="15B85E7A" w:rsidR="000B7797" w:rsidRPr="00AD3EB9" w:rsidRDefault="00D41BF2" w:rsidP="00DA7794">
      <w:pPr>
        <w:pStyle w:val="Normal1"/>
        <w:pBdr>
          <w:top w:val="nil"/>
          <w:left w:val="nil"/>
          <w:bottom w:val="nil"/>
          <w:right w:val="nil"/>
          <w:between w:val="nil"/>
        </w:pBdr>
        <w:spacing w:line="240" w:lineRule="auto"/>
        <w:ind w:left="709"/>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lastRenderedPageBreak/>
        <w:t>El colonialismo de datos combina las prácticas extractivas depredadoras del colonialismo histórico con los métodos abstractos de cuantificación provenientes de la computación. Comprender los datos masivos desde el Sur Global significa entender la actual dependencia del capitalismo en este nuevo tipo de apropiación que funciona en cada punto del espacio donde las personas o las cosas están vinculadas a las infraestructuras de conexión. La escala de esta transformación significa que es prematuro avizorar las formas del capitalismo que su</w:t>
      </w:r>
      <w:r w:rsidR="00DA7794" w:rsidRPr="00AD3EB9">
        <w:rPr>
          <w:rFonts w:ascii="Times New Roman" w:eastAsia="Times New Roman" w:hAnsi="Times New Roman" w:cs="Times New Roman"/>
          <w:color w:val="000000" w:themeColor="text1"/>
        </w:rPr>
        <w:t>rgirán de ella a escala global</w:t>
      </w:r>
      <w:r w:rsidR="009E61E9">
        <w:rPr>
          <w:rFonts w:ascii="Times New Roman" w:eastAsia="Times New Roman" w:hAnsi="Times New Roman" w:cs="Times New Roman"/>
          <w:color w:val="000000" w:themeColor="text1"/>
        </w:rPr>
        <w:t xml:space="preserve"> (</w:t>
      </w:r>
      <w:r w:rsidR="005A5C77">
        <w:rPr>
          <w:rFonts w:ascii="Times New Roman" w:eastAsia="Times New Roman" w:hAnsi="Times New Roman" w:cs="Times New Roman"/>
          <w:color w:val="000000" w:themeColor="text1"/>
        </w:rPr>
        <w:t>p</w:t>
      </w:r>
      <w:r w:rsidR="009E61E9">
        <w:rPr>
          <w:rFonts w:ascii="Times New Roman" w:eastAsia="Times New Roman" w:hAnsi="Times New Roman" w:cs="Times New Roman"/>
          <w:color w:val="000000" w:themeColor="text1"/>
        </w:rPr>
        <w:t>. 26)</w:t>
      </w:r>
      <w:r w:rsidR="005A5C77">
        <w:rPr>
          <w:rFonts w:ascii="Times New Roman" w:eastAsia="Times New Roman" w:hAnsi="Times New Roman" w:cs="Times New Roman"/>
          <w:color w:val="000000" w:themeColor="text1"/>
        </w:rPr>
        <w:t>.</w:t>
      </w:r>
    </w:p>
    <w:p w14:paraId="1BA8EFAD" w14:textId="77777777" w:rsidR="008A14A3" w:rsidRPr="00AD3EB9" w:rsidRDefault="00D41BF2" w:rsidP="00B37F41">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 xml:space="preserve">El interés por los beneficios que se pueden obtener de los datos de cada capa de la vida cotidiana de toda la humanidad, aún sigue siendo un territorio a explorar y a explotar por las compañías digitales, sin entrar en la discusión sobre la libertad y la intimidad, que está latente en toda esta conceptualización. </w:t>
      </w:r>
    </w:p>
    <w:p w14:paraId="3AFF8562" w14:textId="77777777" w:rsidR="008A14A3" w:rsidRPr="00AD3EB9" w:rsidRDefault="00D41BF2" w:rsidP="00B149ED">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La mediación algorítmica en la educación superior encuentra uno de sus ejes más disruptivos en los agentes conversacionales (asistentes virtuales o chatbots) y la formulación de comandos de entrada (Ingeniería de Prompts). Operando como un "adversario socrático", la IAGen estimula el descubrimiento de nuevos conocimientos y cuestiona los saberes previos del estudiantado en metodologías de aprendizaje activo o basado en proyectos. Pero también puede anular procesos no sólo creativos sino de búsqueda crítica de fuentes, implantando modelos de respuesta irreflexiva y anulando saberes muchas veces construidos a partir de experiencias y estudios académicamente validados.</w:t>
      </w:r>
    </w:p>
    <w:p w14:paraId="77ACC9A7" w14:textId="77777777" w:rsidR="008A14A3" w:rsidRPr="00AD3EB9" w:rsidRDefault="00D41BF2" w:rsidP="00B149ED">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La "ingeniería de prompts" entendida como “la técnica empleada para guiar y controlar el comportamiento de los sistemas de inteligencia artificial mediante el uso de instrucciones específicas” (Torrealba Dugarte, 2024), no debe enseñarse ni asimilarse como una mera instrucción técnica. Por el contrario, se erige como una competencia metacognitiva de orden superior que demanda al estudiante articular cadenas coherentes de razonamiento lógico, emplear lenguaje claro, contextualizar el problema y aplicar restricciones éticas. La educación superior debe formar audiencias críticas capaces de interrogar rigurosamente a la máquina, evadiendo la trampa intelectual que supone el acto de "escribir sin pensar" cediendo la agencia a un algoritmo.</w:t>
      </w:r>
    </w:p>
    <w:p w14:paraId="3AC10FB1" w14:textId="43344D07" w:rsidR="008A14A3" w:rsidRPr="00AD3EB9" w:rsidRDefault="00D41BF2" w:rsidP="00B149ED">
      <w:pPr>
        <w:pStyle w:val="Normal1"/>
        <w:spacing w:line="240" w:lineRule="auto"/>
        <w:jc w:val="both"/>
        <w:rPr>
          <w:rFonts w:ascii="Times New Roman" w:eastAsia="Times New Roman" w:hAnsi="Times New Roman" w:cs="Times New Roman"/>
          <w:color w:val="000000" w:themeColor="text1"/>
          <w:highlight w:val="white"/>
        </w:rPr>
      </w:pPr>
      <w:r w:rsidRPr="00AD3EB9">
        <w:rPr>
          <w:rFonts w:ascii="Times New Roman" w:eastAsia="Times New Roman" w:hAnsi="Times New Roman" w:cs="Times New Roman"/>
          <w:color w:val="000000" w:themeColor="text1"/>
        </w:rPr>
        <w:t xml:space="preserve">No podemos terminar este apartado sin señalar </w:t>
      </w:r>
      <w:r w:rsidR="00555568" w:rsidRPr="00AD3EB9">
        <w:rPr>
          <w:rFonts w:ascii="Times New Roman" w:eastAsia="Times New Roman" w:hAnsi="Times New Roman" w:cs="Times New Roman"/>
          <w:color w:val="000000" w:themeColor="text1"/>
        </w:rPr>
        <w:t>que</w:t>
      </w:r>
      <w:r w:rsidRPr="00AD3EB9">
        <w:rPr>
          <w:rFonts w:ascii="Times New Roman" w:eastAsia="Times New Roman" w:hAnsi="Times New Roman" w:cs="Times New Roman"/>
          <w:color w:val="000000" w:themeColor="text1"/>
        </w:rPr>
        <w:t xml:space="preserve"> entendemos por tipificación, a partir de lo señalado por Raffaghelli (2023) quien cita a Luci Pangrazio y la define como:</w:t>
      </w:r>
      <w:r w:rsidRPr="00AD3EB9">
        <w:rPr>
          <w:rFonts w:ascii="Times New Roman" w:eastAsia="Google Sans" w:hAnsi="Times New Roman" w:cs="Times New Roman"/>
          <w:color w:val="000000" w:themeColor="text1"/>
          <w:highlight w:val="white"/>
        </w:rPr>
        <w:t xml:space="preserve"> "</w:t>
      </w:r>
      <w:r w:rsidRPr="00AD3EB9">
        <w:rPr>
          <w:rFonts w:ascii="Times New Roman" w:eastAsia="Times New Roman" w:hAnsi="Times New Roman" w:cs="Times New Roman"/>
          <w:color w:val="000000" w:themeColor="text1"/>
          <w:highlight w:val="white"/>
        </w:rPr>
        <w:t>la transformación de las interacciones digitales en un registro que puede ser recogido, analizado y mercantilizado". Siguiendo este concepto es que Pasquinelli (2024) pone en cuestión el trasfondo de intereses detrás de la digitalización masiva y de los grandes datos (BIG DATA) que han permitido a las corporaciones extraer inteligencia a partir de trabajo humano, de datos personales y de comportamientos sociales, transformando la economía en lo que denomina un "capitalismo cognitivo" o "capitalismo de vigilancia".</w:t>
      </w:r>
    </w:p>
    <w:p w14:paraId="1B83D53E" w14:textId="77777777" w:rsidR="008A14A3" w:rsidRPr="00AD3EB9" w:rsidRDefault="00D41BF2" w:rsidP="000C18E9">
      <w:pPr>
        <w:pStyle w:val="Normal1"/>
        <w:spacing w:line="240" w:lineRule="auto"/>
        <w:rPr>
          <w:rFonts w:ascii="Times New Roman" w:eastAsia="Times New Roman" w:hAnsi="Times New Roman" w:cs="Times New Roman"/>
          <w:b/>
          <w:bCs/>
          <w:color w:val="000000" w:themeColor="text1"/>
        </w:rPr>
      </w:pPr>
      <w:r w:rsidRPr="00AD3EB9">
        <w:rPr>
          <w:rFonts w:ascii="Times New Roman" w:eastAsia="Times New Roman" w:hAnsi="Times New Roman" w:cs="Times New Roman"/>
          <w:b/>
          <w:bCs/>
          <w:color w:val="000000" w:themeColor="text1"/>
        </w:rPr>
        <w:t>IA y Culturas de Datos Justas en la Educación Superior</w:t>
      </w:r>
    </w:p>
    <w:p w14:paraId="2B985A21" w14:textId="77777777" w:rsidR="008A14A3" w:rsidRPr="00AD3EB9" w:rsidRDefault="00D41BF2" w:rsidP="000C18E9">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 xml:space="preserve">Para sostener la integración de la IA sin vulnerar la soberanía cognitiva, las instituciones de educación superior deben erigir sistemas de auditoría algorítmica que operen como estrictos filtros para ordenar y gestionar el enorme flujo de datos que manejan. Las IA no </w:t>
      </w:r>
      <w:r w:rsidRPr="00AD3EB9">
        <w:rPr>
          <w:rFonts w:ascii="Times New Roman" w:eastAsia="Times New Roman" w:hAnsi="Times New Roman" w:cs="Times New Roman"/>
          <w:color w:val="000000" w:themeColor="text1"/>
        </w:rPr>
        <w:lastRenderedPageBreak/>
        <w:t>son herramientas neutrales; operan mediante conjuntos de datos masivos que son en sí mismos construcciones culturales, escondiendo sesgos históricos, de género y de clase dentro de "cajas negras" inescrutables (Castro &amp; Mónaco, 2024).</w:t>
      </w:r>
    </w:p>
    <w:p w14:paraId="0EC67D15" w14:textId="69BF081D" w:rsidR="008A14A3" w:rsidRPr="00AD3EB9" w:rsidRDefault="00D41BF2" w:rsidP="000C18E9">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Construir una "cultura de datos justa" en la universidad exige auditar críticamente los textos generados por la máquina y las instrucciones ingresadas (prompts) para evitar la propagación de desinformación, alucinaciones o discriminación algorítmica. La aplicación de marcos normativos y de seguridad, como el modelo "DELICATE" (Determinación, Explicación, Legitimación, Involucramiento, Consentimiento, Anonimización, Aspectos Técnicos y Externos), diseñado para implementar analíticas de aprendizaje resguardando la privacidad y fomentando un uso transparente de los datos, ayudan a garantizar esos flujos y democratizan todo el proceso de información digital</w:t>
      </w:r>
      <w:r w:rsidR="00C92E1D">
        <w:rPr>
          <w:rFonts w:ascii="Times New Roman" w:eastAsia="Times New Roman" w:hAnsi="Times New Roman" w:cs="Times New Roman"/>
          <w:color w:val="000000" w:themeColor="text1"/>
        </w:rPr>
        <w:t xml:space="preserve"> (</w:t>
      </w:r>
      <w:r w:rsidR="00C92E1D">
        <w:rPr>
          <w:rFonts w:ascii="Times New Roman" w:eastAsia="Times New Roman" w:hAnsi="Times New Roman" w:cs="Times New Roman"/>
        </w:rPr>
        <w:t xml:space="preserve">Raffaghelli, </w:t>
      </w:r>
      <w:r w:rsidR="00C92E1D">
        <w:rPr>
          <w:rFonts w:ascii="Times New Roman" w:eastAsia="Times New Roman" w:hAnsi="Times New Roman" w:cs="Times New Roman"/>
        </w:rPr>
        <w:t>2023</w:t>
      </w:r>
      <w:r w:rsidR="00C92E1D">
        <w:rPr>
          <w:rFonts w:ascii="Times New Roman" w:eastAsia="Times New Roman" w:hAnsi="Times New Roman" w:cs="Times New Roman"/>
        </w:rPr>
        <w:t>)</w:t>
      </w:r>
      <w:r w:rsidRPr="00AD3EB9">
        <w:rPr>
          <w:rFonts w:ascii="Times New Roman" w:eastAsia="Times New Roman" w:hAnsi="Times New Roman" w:cs="Times New Roman"/>
          <w:color w:val="000000" w:themeColor="text1"/>
        </w:rPr>
        <w:t>.</w:t>
      </w:r>
    </w:p>
    <w:p w14:paraId="6FB940FA" w14:textId="1FCAEA26" w:rsidR="008A14A3" w:rsidRPr="00AD3EB9" w:rsidRDefault="00D41BF2" w:rsidP="000C18E9">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Estas supervisiones no buscan únicamente la detección punitiva de plagio de textos producidos por IA, sino una real reflexión crítica, desde nuestra mirada situada, que permita repensar las dinámi</w:t>
      </w:r>
      <w:r w:rsidR="00DA7794" w:rsidRPr="00AD3EB9">
        <w:rPr>
          <w:rFonts w:ascii="Times New Roman" w:eastAsia="Times New Roman" w:hAnsi="Times New Roman" w:cs="Times New Roman"/>
          <w:color w:val="000000" w:themeColor="text1"/>
        </w:rPr>
        <w:t>cas de enseñanza y aprendizaje,</w:t>
      </w:r>
      <w:r w:rsidRPr="00AD3EB9">
        <w:rPr>
          <w:rFonts w:ascii="Times New Roman" w:eastAsia="Times New Roman" w:hAnsi="Times New Roman" w:cs="Times New Roman"/>
          <w:color w:val="000000" w:themeColor="text1"/>
        </w:rPr>
        <w:t xml:space="preserve"> que quedan registradas en estos ecosistemas digitales. Sin perder de vista que todo ello debería estar al servicio de la construcción de nuevo con</w:t>
      </w:r>
      <w:r w:rsidR="00297BEE">
        <w:rPr>
          <w:rFonts w:ascii="Times New Roman" w:eastAsia="Times New Roman" w:hAnsi="Times New Roman" w:cs="Times New Roman"/>
          <w:color w:val="000000" w:themeColor="text1"/>
        </w:rPr>
        <w:t>ocimiento y la</w:t>
      </w:r>
      <w:r w:rsidRPr="00AD3EB9">
        <w:rPr>
          <w:rFonts w:ascii="Times New Roman" w:eastAsia="Times New Roman" w:hAnsi="Times New Roman" w:cs="Times New Roman"/>
          <w:color w:val="000000" w:themeColor="text1"/>
        </w:rPr>
        <w:t xml:space="preserve"> priorización de la resolución de problemas complejos del mundo real que demandan valores humanos insustituibles (como la compasión y la colaboración) que la máquina no puede replicar. </w:t>
      </w:r>
    </w:p>
    <w:p w14:paraId="30FEB96C" w14:textId="4E9AA0FC" w:rsidR="008A14A3" w:rsidRPr="00AD3EB9" w:rsidRDefault="00555568" w:rsidP="000C18E9">
      <w:pPr>
        <w:pStyle w:val="Normal1"/>
        <w:spacing w:line="240" w:lineRule="auto"/>
        <w:rPr>
          <w:rFonts w:ascii="Times New Roman" w:eastAsia="Times New Roman" w:hAnsi="Times New Roman" w:cs="Times New Roman"/>
          <w:b/>
          <w:bCs/>
          <w:color w:val="000000" w:themeColor="text1"/>
        </w:rPr>
      </w:pPr>
      <w:r w:rsidRPr="00AD3EB9">
        <w:rPr>
          <w:rFonts w:ascii="Times New Roman" w:eastAsia="Times New Roman" w:hAnsi="Times New Roman" w:cs="Times New Roman"/>
          <w:b/>
          <w:bCs/>
          <w:color w:val="000000" w:themeColor="text1"/>
        </w:rPr>
        <w:t xml:space="preserve">U </w:t>
      </w:r>
      <w:r w:rsidR="00D41BF2" w:rsidRPr="00AD3EB9">
        <w:rPr>
          <w:rFonts w:ascii="Times New Roman" w:eastAsia="Times New Roman" w:hAnsi="Times New Roman" w:cs="Times New Roman"/>
          <w:b/>
          <w:bCs/>
          <w:color w:val="000000" w:themeColor="text1"/>
        </w:rPr>
        <w:t>NTREF una universidad en el conurbano bonaerense: su historia</w:t>
      </w:r>
      <w:r w:rsidR="00DA7794" w:rsidRPr="00AD3EB9">
        <w:rPr>
          <w:rFonts w:ascii="Times New Roman" w:eastAsia="Times New Roman" w:hAnsi="Times New Roman" w:cs="Times New Roman"/>
          <w:b/>
          <w:bCs/>
          <w:color w:val="000000" w:themeColor="text1"/>
        </w:rPr>
        <w:t xml:space="preserve"> y su </w:t>
      </w:r>
      <w:r w:rsidR="00D41BF2" w:rsidRPr="00AD3EB9">
        <w:rPr>
          <w:rFonts w:ascii="Times New Roman" w:eastAsia="Times New Roman" w:hAnsi="Times New Roman" w:cs="Times New Roman"/>
          <w:b/>
          <w:bCs/>
          <w:color w:val="000000" w:themeColor="text1"/>
        </w:rPr>
        <w:t>presente</w:t>
      </w:r>
    </w:p>
    <w:p w14:paraId="371C2ECA" w14:textId="77777777" w:rsidR="0007604B" w:rsidRPr="00AD3EB9" w:rsidRDefault="00D41BF2" w:rsidP="000C18E9">
      <w:pPr>
        <w:pStyle w:val="Normal1"/>
        <w:spacing w:line="240" w:lineRule="auto"/>
        <w:jc w:val="both"/>
        <w:rPr>
          <w:rFonts w:ascii="Times New Roman" w:eastAsia="Times New Roman" w:hAnsi="Times New Roman" w:cs="Times New Roman"/>
          <w:color w:val="000000" w:themeColor="text1"/>
          <w:highlight w:val="white"/>
        </w:rPr>
      </w:pPr>
      <w:r w:rsidRPr="00AD3EB9">
        <w:rPr>
          <w:rFonts w:ascii="Times New Roman" w:eastAsia="Times New Roman" w:hAnsi="Times New Roman" w:cs="Times New Roman"/>
          <w:color w:val="000000" w:themeColor="text1"/>
          <w:highlight w:val="white"/>
        </w:rPr>
        <w:t>La UNTREF es una universidad de las creadas en 1995 y puesta en funcionamiento en 1997, en el marco de la expansión del sistema universitario argentino. Ubicada estratégicamente en el Oeste del Gran Buenos Aires, con las sedes principales en Caseros, Sáenz Peña y su sede de Posgrado en CABA. Desde sus inicios, la UNTREF se ha destacado por una oferta académica innovadora que equilibra las carreras tradicionales con aquellas que responden a las necesidades emergentes, como las licenciaturas en Ciencias de la Educación, Administración Pública, Nutrición y un fuerte enfoque en Arte, Diseño y Tecnología. Actualmente, atiende a una población estudiantil diversa y en constante crecimiento, siendo una de las universidades públicas más jóvenes y dinámicas, con una modalidad bimodal (presencial y virtual) que la ha consolidado como líder en educación a distancia a través de su UNTREF Virtual. Es en este marco institucional, en el que se desarrolla la experiencia que compartimos. Como señala su rector, la UNTREF ha sostenido históricamente un compromiso inquebrantable con su entorno socio-geográfico. A través de la Secretaría de Extensión Universitaria, la institución impulsa una agenda integral que articula propuestas culturales, educativas y deportivas con el fortalecimiento del tejido social local. Este vínculo estratégico, orientado particularmente a la inclusión de estudiantes de primera generación universitaria, se manifiesta mediante programas robustos de acceso y permanencia, así como una oferta académica —que abarca desde carreras de grado hasta posgrados— diseñada específicamente para responder a las demandas y al impacto social de su región (</w:t>
      </w:r>
      <w:r w:rsidRPr="00AD3EB9">
        <w:rPr>
          <w:rFonts w:ascii="Times New Roman" w:eastAsia="Times New Roman" w:hAnsi="Times New Roman" w:cs="Times New Roman"/>
          <w:color w:val="000000" w:themeColor="text1"/>
        </w:rPr>
        <w:t>Kaufmann, 2025)</w:t>
      </w:r>
      <w:r w:rsidRPr="00AD3EB9">
        <w:rPr>
          <w:rFonts w:ascii="Times New Roman" w:eastAsia="Times New Roman" w:hAnsi="Times New Roman" w:cs="Times New Roman"/>
          <w:color w:val="000000" w:themeColor="text1"/>
          <w:highlight w:val="white"/>
        </w:rPr>
        <w:t xml:space="preserve">. Actualmente esta universidad cuenta con más de 30000 inscriptos en sus carreras de grado y un promedio en los últimos años de 7000 ingresantes. </w:t>
      </w:r>
    </w:p>
    <w:p w14:paraId="4F3BCAF5" w14:textId="77777777" w:rsidR="008A14A3" w:rsidRPr="00AD3EB9" w:rsidRDefault="00D41BF2" w:rsidP="000C18E9">
      <w:pPr>
        <w:pStyle w:val="Normal1"/>
        <w:spacing w:line="240" w:lineRule="auto"/>
        <w:jc w:val="both"/>
        <w:rPr>
          <w:rFonts w:ascii="Times New Roman" w:eastAsia="Times New Roman" w:hAnsi="Times New Roman" w:cs="Times New Roman"/>
          <w:color w:val="000000" w:themeColor="text1"/>
          <w:highlight w:val="white"/>
        </w:rPr>
      </w:pPr>
      <w:r w:rsidRPr="00AD3EB9">
        <w:rPr>
          <w:rFonts w:ascii="Times New Roman" w:eastAsia="Times New Roman" w:hAnsi="Times New Roman" w:cs="Times New Roman"/>
          <w:color w:val="000000" w:themeColor="text1"/>
          <w:highlight w:val="white"/>
        </w:rPr>
        <w:lastRenderedPageBreak/>
        <w:t>Sobre ese total de nuevos estudiantes que cursan las materias comunes de grado es que nos focalizamos en una muestra masiva de los estudiantes que cursaron informática I y II en el primero y segundo cuatrimestre del 2025.</w:t>
      </w:r>
    </w:p>
    <w:p w14:paraId="43E5EF19" w14:textId="77777777" w:rsidR="008A14A3" w:rsidRPr="00AD3EB9" w:rsidRDefault="00D41BF2" w:rsidP="000C18E9">
      <w:pPr>
        <w:pStyle w:val="Normal1"/>
        <w:spacing w:line="240" w:lineRule="auto"/>
        <w:rPr>
          <w:rFonts w:ascii="Times New Roman" w:eastAsia="Times New Roman" w:hAnsi="Times New Roman" w:cs="Times New Roman"/>
          <w:b/>
          <w:bCs/>
          <w:color w:val="000000" w:themeColor="text1"/>
          <w:highlight w:val="white"/>
        </w:rPr>
      </w:pPr>
      <w:r w:rsidRPr="00AD3EB9">
        <w:rPr>
          <w:rFonts w:ascii="Times New Roman" w:eastAsia="Times New Roman" w:hAnsi="Times New Roman" w:cs="Times New Roman"/>
          <w:b/>
          <w:bCs/>
          <w:color w:val="000000" w:themeColor="text1"/>
          <w:highlight w:val="white"/>
        </w:rPr>
        <w:t>Algunos análisis sobre el uso de la IA y los MDD en estudiantes de informática I y II de la UNTREF</w:t>
      </w:r>
    </w:p>
    <w:p w14:paraId="6712609B" w14:textId="1DF801A4" w:rsidR="0007604B" w:rsidRPr="00AD3EB9" w:rsidRDefault="00D41BF2" w:rsidP="000C18E9">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A partir de una muestra representativa de 1.500 estudiantes, el presente análisis cuantitativo explora no solo el nivel de conocimiento y uso de la IA, sino también la percepció</w:t>
      </w:r>
      <w:r w:rsidR="000C18E9" w:rsidRPr="00AD3EB9">
        <w:rPr>
          <w:rFonts w:ascii="Times New Roman" w:eastAsia="Times New Roman" w:hAnsi="Times New Roman" w:cs="Times New Roman"/>
          <w:color w:val="000000" w:themeColor="text1"/>
        </w:rPr>
        <w:t>n estudiantil respecto a los MDD</w:t>
      </w:r>
      <w:r w:rsidRPr="00AD3EB9">
        <w:rPr>
          <w:rFonts w:ascii="Times New Roman" w:eastAsia="Times New Roman" w:hAnsi="Times New Roman" w:cs="Times New Roman"/>
          <w:color w:val="000000" w:themeColor="text1"/>
        </w:rPr>
        <w:t xml:space="preserve"> y su incidencia en el razonamiento crítico. A diferencia de un examen estadístico superficial, el tratamiento de los datos trasciende la frecuencia descriptiva mediante la construcción de indicadores sintéticos. Estos instrumentos nos permiten diagnosticar el estado de la 'cultura de datos justa' en nuestra institución (Raffaghelli, 2</w:t>
      </w:r>
      <w:r w:rsidR="002444BA">
        <w:rPr>
          <w:rFonts w:ascii="Times New Roman" w:eastAsia="Times New Roman" w:hAnsi="Times New Roman" w:cs="Times New Roman"/>
          <w:color w:val="000000" w:themeColor="text1"/>
        </w:rPr>
        <w:t xml:space="preserve">023), evaluando variables </w:t>
      </w:r>
      <w:bookmarkStart w:id="0" w:name="_GoBack"/>
      <w:bookmarkEnd w:id="0"/>
      <w:r w:rsidRPr="00AD3EB9">
        <w:rPr>
          <w:rFonts w:ascii="Times New Roman" w:eastAsia="Times New Roman" w:hAnsi="Times New Roman" w:cs="Times New Roman"/>
          <w:color w:val="000000" w:themeColor="text1"/>
        </w:rPr>
        <w:t>como la autonomía del estudiante frente al algoritmo, su grado de confianza en la tecnología y la capacidad para identificar inconsistencias en los contenidos generados artificialmente. Elegimos solo para esta presentación algunas de las 32 preguntas que se formularon en el instrumento de recolección de datos, que consistió en un cuestionario con preguntas cerradas, politómicas y de selección múltiple, estructurado en dimensiones que abarcan desde la caracterización sociodemográfica y el acceso a recursos institucionales, hasta usos pedagógicos específicos y la evaluación crítica de la IA.</w:t>
      </w:r>
    </w:p>
    <w:p w14:paraId="3E65BB5F" w14:textId="311BCBE3" w:rsidR="00555568" w:rsidRPr="00AD3EB9" w:rsidRDefault="001F1EE6" w:rsidP="001F1EE6">
      <w:pPr>
        <w:pStyle w:val="Normal1"/>
        <w:spacing w:line="240" w:lineRule="auto"/>
        <w:jc w:val="both"/>
        <w:rPr>
          <w:rFonts w:ascii="Times New Roman" w:eastAsia="Times New Roman" w:hAnsi="Times New Roman" w:cs="Times New Roman"/>
          <w:color w:val="000000" w:themeColor="text1"/>
        </w:rPr>
      </w:pPr>
      <w:r w:rsidRPr="00AD3EB9">
        <w:rPr>
          <w:rFonts w:ascii="Times New Roman" w:eastAsia="Times New Roman" w:hAnsi="Times New Roman" w:cs="Times New Roman"/>
          <w:color w:val="000000" w:themeColor="text1"/>
        </w:rPr>
        <w:t>Al analizar las dimensiones de nuestro instrumento de recolección de datos, específicamente la dimensión A (perfil sociodemográfico y aspectos generales) y la dimensión B (acceso y uso de recursos institucionales), la muestra arrojó la siguiente información</w:t>
      </w:r>
      <w:r w:rsidR="000C18E9" w:rsidRPr="00AD3EB9">
        <w:rPr>
          <w:rFonts w:ascii="Times New Roman" w:eastAsia="Times New Roman" w:hAnsi="Times New Roman" w:cs="Times New Roman"/>
          <w:color w:val="000000" w:themeColor="text1"/>
        </w:rPr>
        <w:t>:</w:t>
      </w:r>
      <w:r w:rsidRPr="00AD3EB9">
        <w:rPr>
          <w:rFonts w:ascii="Times New Roman" w:eastAsia="Times New Roman" w:hAnsi="Times New Roman" w:cs="Times New Roman"/>
          <w:color w:val="000000" w:themeColor="text1"/>
        </w:rPr>
        <w:t xml:space="preserve"> </w:t>
      </w:r>
    </w:p>
    <w:p w14:paraId="18596395" w14:textId="384DF7B6" w:rsidR="001F1EE6" w:rsidRDefault="00D41BF2">
      <w:pPr>
        <w:pStyle w:val="Normal1"/>
        <w:spacing w:after="0" w:line="240" w:lineRule="auto"/>
      </w:pPr>
      <w:r>
        <w:rPr>
          <w:noProof/>
          <w:lang w:val="en-US" w:eastAsia="en-US"/>
        </w:rPr>
        <w:drawing>
          <wp:inline distT="0" distB="0" distL="114300" distR="114300" wp14:anchorId="4F88C68F" wp14:editId="4D3640F4">
            <wp:extent cx="5394960" cy="204216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394960" cy="2042160"/>
                    </a:xfrm>
                    <a:prstGeom prst="rect">
                      <a:avLst/>
                    </a:prstGeom>
                    <a:ln/>
                  </pic:spPr>
                </pic:pic>
              </a:graphicData>
            </a:graphic>
          </wp:inline>
        </w:drawing>
      </w:r>
    </w:p>
    <w:p w14:paraId="66983E07" w14:textId="77777777" w:rsidR="001F1EE6" w:rsidRPr="001F1EE6" w:rsidRDefault="001F1EE6">
      <w:pPr>
        <w:pStyle w:val="Normal1"/>
        <w:spacing w:after="0" w:line="240" w:lineRule="auto"/>
        <w:rPr>
          <w:sz w:val="20"/>
        </w:rPr>
      </w:pPr>
    </w:p>
    <w:p w14:paraId="7626C923" w14:textId="241E48EF" w:rsidR="001F1EE6" w:rsidRPr="001F1EE6" w:rsidRDefault="00D41BF2" w:rsidP="001F1EE6">
      <w:pPr>
        <w:pStyle w:val="Normal1"/>
        <w:spacing w:after="0" w:line="240" w:lineRule="auto"/>
      </w:pPr>
      <w:r>
        <w:rPr>
          <w:noProof/>
          <w:lang w:val="en-US" w:eastAsia="en-US"/>
        </w:rPr>
        <w:lastRenderedPageBreak/>
        <w:drawing>
          <wp:inline distT="0" distB="0" distL="114300" distR="114300" wp14:anchorId="3566A4C9" wp14:editId="3DCC8C2F">
            <wp:extent cx="5394960" cy="204216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5394960" cy="2042160"/>
                    </a:xfrm>
                    <a:prstGeom prst="rect">
                      <a:avLst/>
                    </a:prstGeom>
                    <a:ln/>
                  </pic:spPr>
                </pic:pic>
              </a:graphicData>
            </a:graphic>
          </wp:inline>
        </w:drawing>
      </w:r>
      <w:r w:rsidR="001F1EE6" w:rsidRPr="001F1EE6">
        <w:rPr>
          <w:sz w:val="20"/>
        </w:rPr>
        <w:t>.</w:t>
      </w:r>
    </w:p>
    <w:p w14:paraId="665A3DAE" w14:textId="77777777" w:rsidR="001F1EE6" w:rsidRDefault="001F1EE6">
      <w:pPr>
        <w:pStyle w:val="Normal1"/>
        <w:spacing w:after="0" w:line="240" w:lineRule="auto"/>
      </w:pPr>
    </w:p>
    <w:p w14:paraId="14C15B96" w14:textId="7C9CE531" w:rsidR="001F1EE6" w:rsidRPr="001F1EE6" w:rsidRDefault="00D41BF2" w:rsidP="001F1EE6">
      <w:pPr>
        <w:pStyle w:val="Normal1"/>
        <w:spacing w:after="0" w:line="240" w:lineRule="auto"/>
      </w:pPr>
      <w:r>
        <w:rPr>
          <w:noProof/>
          <w:lang w:val="en-US" w:eastAsia="en-US"/>
        </w:rPr>
        <w:drawing>
          <wp:inline distT="0" distB="0" distL="114300" distR="114300" wp14:anchorId="6B2AC6C1" wp14:editId="1394A02D">
            <wp:extent cx="5394960" cy="2524125"/>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394960" cy="2524125"/>
                    </a:xfrm>
                    <a:prstGeom prst="rect">
                      <a:avLst/>
                    </a:prstGeom>
                    <a:ln/>
                  </pic:spPr>
                </pic:pic>
              </a:graphicData>
            </a:graphic>
          </wp:inline>
        </w:drawing>
      </w:r>
    </w:p>
    <w:p w14:paraId="47E0C3B9" w14:textId="77777777" w:rsidR="001F1EE6" w:rsidRDefault="001F1EE6">
      <w:pPr>
        <w:pStyle w:val="Normal1"/>
        <w:spacing w:after="0" w:line="240" w:lineRule="auto"/>
      </w:pPr>
    </w:p>
    <w:p w14:paraId="622BD7ED" w14:textId="3AD0341B" w:rsidR="001F1EE6" w:rsidRDefault="00D41BF2">
      <w:pPr>
        <w:pStyle w:val="Normal1"/>
        <w:spacing w:after="0" w:line="240" w:lineRule="auto"/>
      </w:pPr>
      <w:r>
        <w:rPr>
          <w:noProof/>
          <w:lang w:val="en-US" w:eastAsia="en-US"/>
        </w:rPr>
        <w:drawing>
          <wp:inline distT="0" distB="0" distL="114300" distR="114300" wp14:anchorId="24DD0A13" wp14:editId="15A3BEA1">
            <wp:extent cx="5394960" cy="22479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394960" cy="2247900"/>
                    </a:xfrm>
                    <a:prstGeom prst="rect">
                      <a:avLst/>
                    </a:prstGeom>
                    <a:ln/>
                  </pic:spPr>
                </pic:pic>
              </a:graphicData>
            </a:graphic>
          </wp:inline>
        </w:drawing>
      </w:r>
    </w:p>
    <w:p w14:paraId="22E72E2F" w14:textId="77777777" w:rsidR="001F1EE6" w:rsidRDefault="00D41BF2">
      <w:pPr>
        <w:pStyle w:val="Normal1"/>
        <w:spacing w:after="0" w:line="240" w:lineRule="auto"/>
      </w:pPr>
      <w:r>
        <w:rPr>
          <w:noProof/>
          <w:lang w:val="en-US" w:eastAsia="en-US"/>
        </w:rPr>
        <w:lastRenderedPageBreak/>
        <w:drawing>
          <wp:inline distT="0" distB="0" distL="114300" distR="114300" wp14:anchorId="591B9284" wp14:editId="383958B3">
            <wp:extent cx="5394960" cy="18669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394960" cy="1866900"/>
                    </a:xfrm>
                    <a:prstGeom prst="rect">
                      <a:avLst/>
                    </a:prstGeom>
                    <a:ln/>
                  </pic:spPr>
                </pic:pic>
              </a:graphicData>
            </a:graphic>
          </wp:inline>
        </w:drawing>
      </w:r>
      <w:r>
        <w:rPr>
          <w:noProof/>
          <w:lang w:val="en-US" w:eastAsia="en-US"/>
        </w:rPr>
        <w:drawing>
          <wp:inline distT="0" distB="0" distL="114300" distR="114300" wp14:anchorId="11A28B26" wp14:editId="1B82A0EC">
            <wp:extent cx="5394960" cy="20574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394960" cy="2057400"/>
                    </a:xfrm>
                    <a:prstGeom prst="rect">
                      <a:avLst/>
                    </a:prstGeom>
                    <a:ln/>
                  </pic:spPr>
                </pic:pic>
              </a:graphicData>
            </a:graphic>
          </wp:inline>
        </w:drawing>
      </w:r>
    </w:p>
    <w:p w14:paraId="12C8DE40" w14:textId="6E38E87B" w:rsidR="00950C8A" w:rsidRDefault="00D41BF2">
      <w:pPr>
        <w:pStyle w:val="Normal1"/>
        <w:spacing w:after="0" w:line="240" w:lineRule="auto"/>
      </w:pPr>
      <w:r>
        <w:rPr>
          <w:noProof/>
          <w:lang w:val="en-US" w:eastAsia="en-US"/>
        </w:rPr>
        <w:drawing>
          <wp:inline distT="0" distB="0" distL="114300" distR="114300" wp14:anchorId="3A5B8BD2" wp14:editId="0C265DB1">
            <wp:extent cx="5394960" cy="183943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400437" cy="1841300"/>
                    </a:xfrm>
                    <a:prstGeom prst="rect">
                      <a:avLst/>
                    </a:prstGeom>
                    <a:ln/>
                  </pic:spPr>
                </pic:pic>
              </a:graphicData>
            </a:graphic>
          </wp:inline>
        </w:drawing>
      </w:r>
      <w:r>
        <w:rPr>
          <w:noProof/>
          <w:lang w:val="en-US" w:eastAsia="en-US"/>
        </w:rPr>
        <w:drawing>
          <wp:inline distT="0" distB="0" distL="114300" distR="114300" wp14:anchorId="28DFA74B" wp14:editId="2721B9EB">
            <wp:extent cx="5394960" cy="2042160"/>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394960" cy="2042160"/>
                    </a:xfrm>
                    <a:prstGeom prst="rect">
                      <a:avLst/>
                    </a:prstGeom>
                    <a:ln/>
                  </pic:spPr>
                </pic:pic>
              </a:graphicData>
            </a:graphic>
          </wp:inline>
        </w:drawing>
      </w:r>
    </w:p>
    <w:p w14:paraId="183BB70A" w14:textId="77777777" w:rsidR="00950C8A" w:rsidRDefault="00950C8A" w:rsidP="00950C8A">
      <w:pPr>
        <w:pStyle w:val="Normal1"/>
        <w:spacing w:after="0" w:line="240" w:lineRule="auto"/>
        <w:rPr>
          <w:sz w:val="20"/>
        </w:rPr>
      </w:pPr>
      <w:r w:rsidRPr="001F1EE6">
        <w:rPr>
          <w:b/>
          <w:bCs/>
          <w:sz w:val="20"/>
        </w:rPr>
        <w:t>Nota.</w:t>
      </w:r>
      <w:r w:rsidRPr="001F1EE6">
        <w:rPr>
          <w:sz w:val="20"/>
        </w:rPr>
        <w:t xml:space="preserve"> Elaboración propia mediante el uso de Python y librerías de procesamiento de datos.</w:t>
      </w:r>
    </w:p>
    <w:p w14:paraId="5A6B55BA" w14:textId="77777777" w:rsidR="008A14A3" w:rsidRDefault="008A14A3">
      <w:pPr>
        <w:pStyle w:val="Normal1"/>
        <w:spacing w:after="0" w:line="240" w:lineRule="auto"/>
      </w:pPr>
    </w:p>
    <w:p w14:paraId="62C4977C" w14:textId="77777777" w:rsidR="001462F4" w:rsidRDefault="00D41BF2" w:rsidP="001462F4">
      <w:pPr>
        <w:pStyle w:val="Normal1"/>
        <w:spacing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A partir de lo señalado del ecosistema digital UNTREF en la dimensión A quedan explícitos elementos que le son constitutivos, con la limitación del carácter de la muestra</w:t>
      </w:r>
      <w:r>
        <w:rPr>
          <w:rFonts w:ascii="Times New Roman" w:eastAsia="Times New Roman" w:hAnsi="Times New Roman" w:cs="Times New Roman"/>
          <w:b/>
          <w:bCs/>
          <w:color w:val="303030"/>
        </w:rPr>
        <w:t xml:space="preserve">. </w:t>
      </w:r>
      <w:r>
        <w:rPr>
          <w:rFonts w:ascii="Times New Roman" w:eastAsia="Times New Roman" w:hAnsi="Times New Roman" w:cs="Times New Roman"/>
          <w:color w:val="303030"/>
        </w:rPr>
        <w:t xml:space="preserve">El despliegue del ecosistema digital se </w:t>
      </w:r>
      <w:r w:rsidR="00701A94">
        <w:rPr>
          <w:rFonts w:ascii="Times New Roman" w:eastAsia="Times New Roman" w:hAnsi="Times New Roman" w:cs="Times New Roman"/>
          <w:color w:val="303030"/>
        </w:rPr>
        <w:t>visual</w:t>
      </w:r>
      <w:r>
        <w:rPr>
          <w:rFonts w:ascii="Times New Roman" w:eastAsia="Times New Roman" w:hAnsi="Times New Roman" w:cs="Times New Roman"/>
          <w:color w:val="303030"/>
        </w:rPr>
        <w:t xml:space="preserve">iza en las condiciones materiales de conectividad del estudiantado. </w:t>
      </w:r>
    </w:p>
    <w:p w14:paraId="2AF464DD" w14:textId="7D081555" w:rsidR="001462F4" w:rsidRDefault="001F1EE6" w:rsidP="001462F4">
      <w:pPr>
        <w:pStyle w:val="Normal1"/>
        <w:spacing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 xml:space="preserve">Según el gráfico </w:t>
      </w:r>
      <w:r w:rsidR="00D41BF2">
        <w:rPr>
          <w:rFonts w:ascii="Times New Roman" w:eastAsia="Times New Roman" w:hAnsi="Times New Roman" w:cs="Times New Roman"/>
          <w:color w:val="303030"/>
        </w:rPr>
        <w:t xml:space="preserve">B1. Infraestructura: </w:t>
      </w:r>
      <w:r>
        <w:rPr>
          <w:rFonts w:ascii="Times New Roman" w:eastAsia="Times New Roman" w:hAnsi="Times New Roman" w:cs="Times New Roman"/>
          <w:color w:val="303030"/>
        </w:rPr>
        <w:t>“</w:t>
      </w:r>
      <w:r w:rsidR="00D41BF2">
        <w:rPr>
          <w:rFonts w:ascii="Times New Roman" w:eastAsia="Times New Roman" w:hAnsi="Times New Roman" w:cs="Times New Roman"/>
          <w:color w:val="303030"/>
        </w:rPr>
        <w:t xml:space="preserve">Dispositivo Principal de Acceso al Entorno", existe una abrumadora hegemonía del uso de la computadora (95.5%) frente a los dispositivos móviles. Estos hábitos de conexión, que son los declarados por los estudiantes, marcan que para el uso educativo formal </w:t>
      </w:r>
      <w:r w:rsidR="00701A94">
        <w:rPr>
          <w:rFonts w:ascii="Times New Roman" w:eastAsia="Times New Roman" w:hAnsi="Times New Roman" w:cs="Times New Roman"/>
          <w:color w:val="303030"/>
        </w:rPr>
        <w:t xml:space="preserve">el dispositivo principal </w:t>
      </w:r>
      <w:r w:rsidR="00D41BF2">
        <w:rPr>
          <w:rFonts w:ascii="Times New Roman" w:eastAsia="Times New Roman" w:hAnsi="Times New Roman" w:cs="Times New Roman"/>
          <w:color w:val="303030"/>
        </w:rPr>
        <w:t xml:space="preserve">es la computadora de escritorio o laptop, lo que podría tensionarse con posible dispositivo principal de uso cotidiano que es el celular. Esto nos </w:t>
      </w:r>
      <w:r w:rsidR="00701A94">
        <w:rPr>
          <w:rFonts w:ascii="Times New Roman" w:eastAsia="Times New Roman" w:hAnsi="Times New Roman" w:cs="Times New Roman"/>
          <w:color w:val="303030"/>
        </w:rPr>
        <w:t>permite reflexionar</w:t>
      </w:r>
      <w:r w:rsidR="00D41BF2">
        <w:rPr>
          <w:rFonts w:ascii="Times New Roman" w:eastAsia="Times New Roman" w:hAnsi="Times New Roman" w:cs="Times New Roman"/>
          <w:color w:val="303030"/>
        </w:rPr>
        <w:t xml:space="preserve"> </w:t>
      </w:r>
      <w:r w:rsidR="00701A94">
        <w:rPr>
          <w:rFonts w:ascii="Times New Roman" w:eastAsia="Times New Roman" w:hAnsi="Times New Roman" w:cs="Times New Roman"/>
          <w:color w:val="303030"/>
        </w:rPr>
        <w:t>acerca del uso diferenciado de dispositivos</w:t>
      </w:r>
      <w:r w:rsidR="00D41BF2">
        <w:rPr>
          <w:rFonts w:ascii="Times New Roman" w:eastAsia="Times New Roman" w:hAnsi="Times New Roman" w:cs="Times New Roman"/>
          <w:color w:val="303030"/>
        </w:rPr>
        <w:t xml:space="preserve"> </w:t>
      </w:r>
      <w:r w:rsidR="001462F4">
        <w:rPr>
          <w:rFonts w:ascii="Times New Roman" w:eastAsia="Times New Roman" w:hAnsi="Times New Roman" w:cs="Times New Roman"/>
          <w:color w:val="303030"/>
        </w:rPr>
        <w:t>para funciones propias del ám</w:t>
      </w:r>
      <w:r w:rsidR="00701A94">
        <w:rPr>
          <w:rFonts w:ascii="Times New Roman" w:eastAsia="Times New Roman" w:hAnsi="Times New Roman" w:cs="Times New Roman"/>
          <w:color w:val="303030"/>
        </w:rPr>
        <w:t xml:space="preserve">bito </w:t>
      </w:r>
      <w:r w:rsidR="00D41BF2">
        <w:rPr>
          <w:rFonts w:ascii="Times New Roman" w:eastAsia="Times New Roman" w:hAnsi="Times New Roman" w:cs="Times New Roman"/>
          <w:color w:val="303030"/>
        </w:rPr>
        <w:t xml:space="preserve">educativo formal </w:t>
      </w:r>
      <w:r w:rsidR="001462F4">
        <w:rPr>
          <w:rFonts w:ascii="Times New Roman" w:eastAsia="Times New Roman" w:hAnsi="Times New Roman" w:cs="Times New Roman"/>
          <w:color w:val="303030"/>
        </w:rPr>
        <w:t>o actividades de la vida cotidiana</w:t>
      </w:r>
      <w:r w:rsidR="00D41BF2">
        <w:rPr>
          <w:rFonts w:ascii="Times New Roman" w:eastAsia="Times New Roman" w:hAnsi="Times New Roman" w:cs="Times New Roman"/>
          <w:color w:val="303030"/>
        </w:rPr>
        <w:t xml:space="preserve">. </w:t>
      </w:r>
    </w:p>
    <w:p w14:paraId="7CCE2C93" w14:textId="77F47A1E" w:rsidR="008A14A3" w:rsidRDefault="00D41BF2" w:rsidP="001462F4">
      <w:pPr>
        <w:pStyle w:val="Normal1"/>
        <w:spacing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 xml:space="preserve">Aunque la universidad impulsa el constructo estratégico "Innovar UNTREF", el gráfico "B3. Recursos Institucionales: Utilización de Búsqueda Innovar UNTREF", </w:t>
      </w:r>
      <w:r w:rsidR="001462F4">
        <w:rPr>
          <w:rFonts w:ascii="Times New Roman" w:eastAsia="Times New Roman" w:hAnsi="Times New Roman" w:cs="Times New Roman"/>
          <w:color w:val="303030"/>
        </w:rPr>
        <w:t>si bien</w:t>
      </w:r>
      <w:r>
        <w:rPr>
          <w:rFonts w:ascii="Times New Roman" w:eastAsia="Times New Roman" w:hAnsi="Times New Roman" w:cs="Times New Roman"/>
          <w:color w:val="303030"/>
        </w:rPr>
        <w:t xml:space="preserve"> muestra un importante uso del constructo</w:t>
      </w:r>
      <w:r>
        <w:rPr>
          <w:rFonts w:ascii="Times New Roman" w:eastAsia="Times New Roman" w:hAnsi="Times New Roman" w:cs="Times New Roman"/>
          <w:b/>
          <w:bCs/>
          <w:color w:val="303030"/>
        </w:rPr>
        <w:t xml:space="preserve">, </w:t>
      </w:r>
      <w:r>
        <w:rPr>
          <w:rFonts w:ascii="Times New Roman" w:eastAsia="Times New Roman" w:hAnsi="Times New Roman" w:cs="Times New Roman"/>
          <w:color w:val="303030"/>
        </w:rPr>
        <w:t xml:space="preserve">aún requiere una mayor difusión institucional para que el estudiantado </w:t>
      </w:r>
      <w:r w:rsidR="001462F4">
        <w:rPr>
          <w:rFonts w:ascii="Times New Roman" w:eastAsia="Times New Roman" w:hAnsi="Times New Roman" w:cs="Times New Roman"/>
          <w:color w:val="303030"/>
        </w:rPr>
        <w:t>optimice la implementación de</w:t>
      </w:r>
      <w:r>
        <w:rPr>
          <w:rFonts w:ascii="Times New Roman" w:eastAsia="Times New Roman" w:hAnsi="Times New Roman" w:cs="Times New Roman"/>
          <w:color w:val="303030"/>
        </w:rPr>
        <w:t xml:space="preserve"> estas herramientas frente a los modelos de mercado. </w:t>
      </w:r>
    </w:p>
    <w:p w14:paraId="0C910FBF" w14:textId="77777777" w:rsidR="008A14A3" w:rsidRDefault="008A14A3">
      <w:pPr>
        <w:pStyle w:val="Normal1"/>
        <w:spacing w:after="0" w:line="240" w:lineRule="auto"/>
        <w:jc w:val="both"/>
        <w:rPr>
          <w:rFonts w:ascii="Times New Roman" w:eastAsia="Times New Roman" w:hAnsi="Times New Roman" w:cs="Times New Roman"/>
          <w:color w:val="303030"/>
        </w:rPr>
      </w:pPr>
    </w:p>
    <w:p w14:paraId="3415CE1B" w14:textId="77777777" w:rsidR="008A14A3" w:rsidRDefault="008A14A3">
      <w:pPr>
        <w:pStyle w:val="Normal1"/>
        <w:spacing w:after="0" w:line="240" w:lineRule="auto"/>
        <w:rPr>
          <w:rFonts w:ascii="Times New Roman" w:eastAsia="Times New Roman" w:hAnsi="Times New Roman" w:cs="Times New Roman"/>
          <w:color w:val="303030"/>
        </w:rPr>
      </w:pPr>
    </w:p>
    <w:p w14:paraId="4390B2BB" w14:textId="77777777" w:rsidR="008A14A3" w:rsidRDefault="00D41BF2">
      <w:pPr>
        <w:pStyle w:val="Normal1"/>
        <w:spacing w:after="0" w:line="240" w:lineRule="auto"/>
        <w:rPr>
          <w:rFonts w:ascii="Times New Roman" w:eastAsia="Times New Roman" w:hAnsi="Times New Roman" w:cs="Times New Roman"/>
          <w:color w:val="303030"/>
        </w:rPr>
      </w:pPr>
      <w:r>
        <w:rPr>
          <w:rFonts w:ascii="Times New Roman" w:eastAsia="Times New Roman" w:hAnsi="Times New Roman" w:cs="Times New Roman"/>
          <w:noProof/>
          <w:color w:val="303030"/>
          <w:lang w:val="en-US" w:eastAsia="en-US"/>
        </w:rPr>
        <w:drawing>
          <wp:inline distT="0" distB="0" distL="114300" distR="114300" wp14:anchorId="53E645C2" wp14:editId="440F1811">
            <wp:extent cx="5394960" cy="204216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394960" cy="2042160"/>
                    </a:xfrm>
                    <a:prstGeom prst="rect">
                      <a:avLst/>
                    </a:prstGeom>
                    <a:ln/>
                  </pic:spPr>
                </pic:pic>
              </a:graphicData>
            </a:graphic>
          </wp:inline>
        </w:drawing>
      </w:r>
      <w:r>
        <w:rPr>
          <w:noProof/>
          <w:lang w:val="en-US" w:eastAsia="en-US"/>
        </w:rPr>
        <w:drawing>
          <wp:anchor distT="0" distB="0" distL="114300" distR="114300" simplePos="0" relativeHeight="251658240" behindDoc="0" locked="0" layoutInCell="1" allowOverlap="1" wp14:anchorId="121B0FEE" wp14:editId="333EE970">
            <wp:simplePos x="0" y="0"/>
            <wp:positionH relativeFrom="column">
              <wp:posOffset>1906</wp:posOffset>
            </wp:positionH>
            <wp:positionV relativeFrom="paragraph">
              <wp:posOffset>1270</wp:posOffset>
            </wp:positionV>
            <wp:extent cx="5394960" cy="2042160"/>
            <wp:effectExtent l="0" t="0" r="0" b="0"/>
            <wp:wrapTopAndBottom distT="0" distB="0"/>
            <wp:docPr id="14" name="image6.png" descr="C:\Users\Agustín\AppData\Local\Microsoft\Windows\INetCache\Content.Word\c1.png"/>
            <wp:cNvGraphicFramePr/>
            <a:graphic xmlns:a="http://schemas.openxmlformats.org/drawingml/2006/main">
              <a:graphicData uri="http://schemas.openxmlformats.org/drawingml/2006/picture">
                <pic:pic xmlns:pic="http://schemas.openxmlformats.org/drawingml/2006/picture">
                  <pic:nvPicPr>
                    <pic:cNvPr id="0" name="image6.png" descr="C:\Users\Agustín\AppData\Local\Microsoft\Windows\INetCache\Content.Word\c1.png"/>
                    <pic:cNvPicPr preferRelativeResize="0"/>
                  </pic:nvPicPr>
                  <pic:blipFill>
                    <a:blip r:embed="rId20"/>
                    <a:srcRect/>
                    <a:stretch>
                      <a:fillRect/>
                    </a:stretch>
                  </pic:blipFill>
                  <pic:spPr>
                    <a:xfrm>
                      <a:off x="0" y="0"/>
                      <a:ext cx="5394960" cy="2042160"/>
                    </a:xfrm>
                    <a:prstGeom prst="rect">
                      <a:avLst/>
                    </a:prstGeom>
                    <a:ln/>
                  </pic:spPr>
                </pic:pic>
              </a:graphicData>
            </a:graphic>
          </wp:anchor>
        </w:drawing>
      </w:r>
    </w:p>
    <w:p w14:paraId="2125905E" w14:textId="77777777" w:rsidR="008A14A3" w:rsidRDefault="00D41BF2">
      <w:pPr>
        <w:pStyle w:val="Normal1"/>
        <w:spacing w:after="0" w:line="240" w:lineRule="auto"/>
        <w:rPr>
          <w:rFonts w:ascii="Times New Roman" w:eastAsia="Times New Roman" w:hAnsi="Times New Roman" w:cs="Times New Roman"/>
          <w:color w:val="303030"/>
        </w:rPr>
      </w:pPr>
      <w:r>
        <w:rPr>
          <w:rFonts w:ascii="Times New Roman" w:eastAsia="Times New Roman" w:hAnsi="Times New Roman" w:cs="Times New Roman"/>
          <w:noProof/>
          <w:color w:val="303030"/>
          <w:lang w:val="en-US" w:eastAsia="en-US"/>
        </w:rPr>
        <w:lastRenderedPageBreak/>
        <w:drawing>
          <wp:inline distT="0" distB="0" distL="0" distR="0" wp14:anchorId="0F8E4E93" wp14:editId="61690B8E">
            <wp:extent cx="5394960" cy="2042160"/>
            <wp:effectExtent l="0" t="0" r="0" b="0"/>
            <wp:docPr id="8" name="image5.png" descr="C:\Users\Agustín\AppData\Local\Microsoft\Windows\INetCache\Content.Word\d2.png"/>
            <wp:cNvGraphicFramePr/>
            <a:graphic xmlns:a="http://schemas.openxmlformats.org/drawingml/2006/main">
              <a:graphicData uri="http://schemas.openxmlformats.org/drawingml/2006/picture">
                <pic:pic xmlns:pic="http://schemas.openxmlformats.org/drawingml/2006/picture">
                  <pic:nvPicPr>
                    <pic:cNvPr id="0" name="image5.png" descr="C:\Users\Agustín\AppData\Local\Microsoft\Windows\INetCache\Content.Word\d2.png"/>
                    <pic:cNvPicPr preferRelativeResize="0"/>
                  </pic:nvPicPr>
                  <pic:blipFill>
                    <a:blip r:embed="rId21"/>
                    <a:srcRect/>
                    <a:stretch>
                      <a:fillRect/>
                    </a:stretch>
                  </pic:blipFill>
                  <pic:spPr>
                    <a:xfrm>
                      <a:off x="0" y="0"/>
                      <a:ext cx="5394960" cy="2042160"/>
                    </a:xfrm>
                    <a:prstGeom prst="rect">
                      <a:avLst/>
                    </a:prstGeom>
                    <a:ln/>
                  </pic:spPr>
                </pic:pic>
              </a:graphicData>
            </a:graphic>
          </wp:inline>
        </w:drawing>
      </w:r>
    </w:p>
    <w:p w14:paraId="39203739" w14:textId="362B9B15" w:rsidR="008A14A3" w:rsidRDefault="00D41BF2">
      <w:pPr>
        <w:pStyle w:val="Normal1"/>
        <w:spacing w:after="0" w:line="240" w:lineRule="auto"/>
        <w:rPr>
          <w:rFonts w:ascii="Times New Roman" w:eastAsia="Times New Roman" w:hAnsi="Times New Roman" w:cs="Times New Roman"/>
          <w:color w:val="303030"/>
        </w:rPr>
      </w:pPr>
      <w:r>
        <w:rPr>
          <w:rFonts w:ascii="Times New Roman" w:eastAsia="Times New Roman" w:hAnsi="Times New Roman" w:cs="Times New Roman"/>
          <w:noProof/>
          <w:color w:val="303030"/>
          <w:lang w:val="en-US" w:eastAsia="en-US"/>
        </w:rPr>
        <w:drawing>
          <wp:inline distT="0" distB="0" distL="114300" distR="114300" wp14:anchorId="15ED4298" wp14:editId="4A208C4C">
            <wp:extent cx="5394960" cy="204216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394960" cy="2042160"/>
                    </a:xfrm>
                    <a:prstGeom prst="rect">
                      <a:avLst/>
                    </a:prstGeom>
                    <a:ln/>
                  </pic:spPr>
                </pic:pic>
              </a:graphicData>
            </a:graphic>
          </wp:inline>
        </w:drawing>
      </w:r>
      <w:r>
        <w:rPr>
          <w:rFonts w:ascii="Times New Roman" w:eastAsia="Times New Roman" w:hAnsi="Times New Roman" w:cs="Times New Roman"/>
          <w:color w:val="303030"/>
        </w:rPr>
        <w:t xml:space="preserve"> </w:t>
      </w:r>
    </w:p>
    <w:p w14:paraId="2FBBD486" w14:textId="77777777" w:rsidR="003C1448" w:rsidRDefault="003C1448" w:rsidP="003C1448">
      <w:pPr>
        <w:pStyle w:val="Normal1"/>
        <w:spacing w:after="0" w:line="240" w:lineRule="auto"/>
        <w:rPr>
          <w:sz w:val="20"/>
        </w:rPr>
      </w:pPr>
      <w:r w:rsidRPr="001F1EE6">
        <w:rPr>
          <w:b/>
          <w:bCs/>
          <w:sz w:val="20"/>
        </w:rPr>
        <w:t>Nota.</w:t>
      </w:r>
      <w:r w:rsidRPr="001F1EE6">
        <w:rPr>
          <w:sz w:val="20"/>
        </w:rPr>
        <w:t xml:space="preserve"> Elaboración propia mediante el uso de Python y librerías de procesamiento de datos.</w:t>
      </w:r>
    </w:p>
    <w:p w14:paraId="41E95703" w14:textId="77777777" w:rsidR="003C1448" w:rsidRDefault="003C1448">
      <w:pPr>
        <w:pStyle w:val="Normal1"/>
        <w:spacing w:after="0" w:line="240" w:lineRule="auto"/>
        <w:rPr>
          <w:rFonts w:ascii="Times New Roman" w:eastAsia="Times New Roman" w:hAnsi="Times New Roman" w:cs="Times New Roman"/>
          <w:color w:val="303030"/>
        </w:rPr>
      </w:pPr>
    </w:p>
    <w:p w14:paraId="23F34DB7" w14:textId="3F2B9F39" w:rsidR="008A14A3" w:rsidRDefault="003C1448" w:rsidP="001462F4">
      <w:pPr>
        <w:pStyle w:val="Normal1"/>
        <w:spacing w:line="240" w:lineRule="auto"/>
        <w:rPr>
          <w:rFonts w:ascii="Times New Roman" w:eastAsia="Times New Roman" w:hAnsi="Times New Roman" w:cs="Times New Roman"/>
          <w:b/>
          <w:bCs/>
        </w:rPr>
      </w:pPr>
      <w:r>
        <w:rPr>
          <w:rFonts w:ascii="Times New Roman" w:eastAsia="Times New Roman" w:hAnsi="Times New Roman" w:cs="Times New Roman"/>
          <w:b/>
          <w:bCs/>
        </w:rPr>
        <w:t>L</w:t>
      </w:r>
      <w:r w:rsidR="00D41BF2">
        <w:rPr>
          <w:rFonts w:ascii="Times New Roman" w:eastAsia="Times New Roman" w:hAnsi="Times New Roman" w:cs="Times New Roman"/>
          <w:b/>
          <w:bCs/>
        </w:rPr>
        <w:t>a dimensión del Uso de Materiales y Recursos Digitales y Usos Pedagógicos de la IA</w:t>
      </w:r>
    </w:p>
    <w:p w14:paraId="3D9F9438" w14:textId="57E51930" w:rsidR="00AD3EB9" w:rsidRDefault="00D41BF2" w:rsidP="001462F4">
      <w:pPr>
        <w:pStyle w:val="Normal1"/>
        <w:spacing w:line="240" w:lineRule="auto"/>
        <w:jc w:val="both"/>
        <w:rPr>
          <w:rFonts w:ascii="Times New Roman" w:eastAsia="Times New Roman" w:hAnsi="Times New Roman" w:cs="Times New Roman"/>
          <w:color w:val="000000" w:themeColor="text1"/>
        </w:rPr>
      </w:pPr>
      <w:r w:rsidRPr="00E6426A">
        <w:rPr>
          <w:rFonts w:ascii="Times New Roman" w:eastAsia="Times New Roman" w:hAnsi="Times New Roman" w:cs="Times New Roman"/>
          <w:color w:val="000000" w:themeColor="text1"/>
        </w:rPr>
        <w:t xml:space="preserve">Desde la muestra analizada, el impacto de la </w:t>
      </w:r>
      <w:r w:rsidR="00E6426A" w:rsidRPr="00E6426A">
        <w:rPr>
          <w:rFonts w:ascii="Times New Roman" w:eastAsia="Times New Roman" w:hAnsi="Times New Roman" w:cs="Times New Roman"/>
          <w:color w:val="000000" w:themeColor="text1"/>
        </w:rPr>
        <w:t>IAGen para</w:t>
      </w:r>
      <w:r w:rsidRPr="00E6426A">
        <w:rPr>
          <w:rFonts w:ascii="Times New Roman" w:eastAsia="Times New Roman" w:hAnsi="Times New Roman" w:cs="Times New Roman"/>
          <w:color w:val="000000" w:themeColor="text1"/>
        </w:rPr>
        <w:t xml:space="preserve"> los estudiantes transforma radicalmente los MDD, llevándolos de documentos estáticos a objetos de aprendizaje dinámicos. El gráfico estadístico "C1. Adopción Tecnológica: Tipos de Recursos de IA Utilizados" constata una altísima adopción de IA generativa de acceso abierto por parte de los estudiantes.</w:t>
      </w:r>
      <w:r w:rsidR="00AD3EB9">
        <w:rPr>
          <w:rFonts w:ascii="Times New Roman" w:eastAsia="Times New Roman" w:hAnsi="Times New Roman" w:cs="Times New Roman"/>
          <w:color w:val="000000" w:themeColor="text1"/>
        </w:rPr>
        <w:t xml:space="preserve"> También estos </w:t>
      </w:r>
      <w:r w:rsidR="00AD3EB9" w:rsidRPr="00A25C00">
        <w:rPr>
          <w:rFonts w:ascii="Times New Roman" w:eastAsia="Times New Roman" w:hAnsi="Times New Roman" w:cs="Times New Roman"/>
          <w:color w:val="000000" w:themeColor="text1"/>
        </w:rPr>
        <w:t>datos revelan una preferencia predominante por modelos comerciales sobre los asistentes específicos institucionales como Pronto Prompt, con una minoría que realiza un uso mixto de ambas herramientas. Asimismo, el gráfico D1 confirma que el estudiantado emplea la IA fundamentalmente como un tutor para repasar contenidos y complementar explicaciones, priorizando el aprendizaje sobre la mera validación o la aprobación rápida de tareas.</w:t>
      </w:r>
    </w:p>
    <w:p w14:paraId="0B042E4B" w14:textId="1DBCEAE8" w:rsidR="00AD3EB9" w:rsidRPr="00E6426A" w:rsidRDefault="00AD3EB9" w:rsidP="001462F4">
      <w:pPr>
        <w:pStyle w:val="Normal1"/>
        <w:spacing w:line="240" w:lineRule="auto"/>
        <w:jc w:val="both"/>
        <w:rPr>
          <w:rFonts w:ascii="Times New Roman" w:eastAsia="Times New Roman" w:hAnsi="Times New Roman" w:cs="Times New Roman"/>
          <w:color w:val="000000" w:themeColor="text1"/>
        </w:rPr>
      </w:pPr>
      <w:r w:rsidRPr="00E6426A">
        <w:rPr>
          <w:rFonts w:ascii="Times New Roman" w:eastAsia="Times New Roman" w:hAnsi="Times New Roman" w:cs="Times New Roman"/>
          <w:color w:val="000000" w:themeColor="text1"/>
        </w:rPr>
        <w:t xml:space="preserve">No obstante, nos resulta importante señalar que el gráfico "D2. Transparencia Académica: Declaración del uso de IA en trabajos/entregas" evidencia una bajísima declaración formal de su uso. Parece que los estudiantes sienten vergüenza al declarar su uso académico. Este ocultamiento podría obstaculizar la formalización de procesos de enseñanza orientados al uso responsable y crítico de la IA. Asimismo, corre el riesgo de restringir el dominio de la 'ingeniería de prompts' a un grupo reducido de expertos, </w:t>
      </w:r>
      <w:r w:rsidRPr="00E6426A">
        <w:rPr>
          <w:rFonts w:ascii="Times New Roman" w:eastAsia="Times New Roman" w:hAnsi="Times New Roman" w:cs="Times New Roman"/>
          <w:color w:val="000000" w:themeColor="text1"/>
        </w:rPr>
        <w:lastRenderedPageBreak/>
        <w:t>excluyendo a quienes, por diversos prejuicios, no logran capitalizar la necesidad de empoderarse en el uso de la IA generativa.</w:t>
      </w:r>
    </w:p>
    <w:p w14:paraId="3D727BD1" w14:textId="29DA1E6C" w:rsidR="008A14A3" w:rsidRPr="00E6426A" w:rsidRDefault="00D41BF2" w:rsidP="001462F4">
      <w:pPr>
        <w:pStyle w:val="Normal1"/>
        <w:spacing w:line="240" w:lineRule="auto"/>
        <w:jc w:val="both"/>
        <w:rPr>
          <w:rFonts w:ascii="Times New Roman" w:eastAsia="Times New Roman" w:hAnsi="Times New Roman" w:cs="Times New Roman"/>
          <w:color w:val="000000" w:themeColor="text1"/>
        </w:rPr>
      </w:pPr>
      <w:r w:rsidRPr="00E6426A">
        <w:rPr>
          <w:rFonts w:ascii="Times New Roman" w:eastAsia="Times New Roman" w:hAnsi="Times New Roman" w:cs="Times New Roman"/>
          <w:color w:val="000000" w:themeColor="text1"/>
        </w:rPr>
        <w:t>Focalizándose en el uso de la IA los resultados exhibidos en el gráfico "D3. Autonomía Académica: Uso de IA para resolver dudas sin docente" demuestran que el algoritmo opera como un "tutor asincrónico" o "adversario socrático" (</w:t>
      </w:r>
      <w:r w:rsidR="003C1448" w:rsidRPr="00E6426A">
        <w:rPr>
          <w:rFonts w:ascii="Times New Roman" w:eastAsia="Times New Roman" w:hAnsi="Times New Roman" w:cs="Times New Roman"/>
          <w:color w:val="000000" w:themeColor="text1"/>
        </w:rPr>
        <w:t>Holmes&amp; Miao, 2024</w:t>
      </w:r>
      <w:r w:rsidRPr="00E6426A">
        <w:rPr>
          <w:rFonts w:ascii="Times New Roman" w:eastAsia="Times New Roman" w:hAnsi="Times New Roman" w:cs="Times New Roman"/>
          <w:color w:val="000000" w:themeColor="text1"/>
        </w:rPr>
        <w:t xml:space="preserve">) que asiste al estudiante en la resolución de problemas y la preparación de exámenes. </w:t>
      </w:r>
    </w:p>
    <w:p w14:paraId="0DEC05F6" w14:textId="544AB829" w:rsidR="008A14A3" w:rsidRDefault="00D41BF2">
      <w:pPr>
        <w:pStyle w:val="Normal1"/>
        <w:spacing w:after="0" w:line="240" w:lineRule="auto"/>
      </w:pPr>
      <w:r>
        <w:rPr>
          <w:noProof/>
          <w:lang w:val="en-US" w:eastAsia="en-US"/>
        </w:rPr>
        <w:drawing>
          <wp:inline distT="0" distB="0" distL="114300" distR="114300" wp14:anchorId="5DB31999" wp14:editId="3AE9E231">
            <wp:extent cx="5394960" cy="204216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394960" cy="2042160"/>
                    </a:xfrm>
                    <a:prstGeom prst="rect">
                      <a:avLst/>
                    </a:prstGeom>
                    <a:ln/>
                  </pic:spPr>
                </pic:pic>
              </a:graphicData>
            </a:graphic>
          </wp:inline>
        </w:drawing>
      </w:r>
      <w:r>
        <w:rPr>
          <w:noProof/>
          <w:lang w:val="en-US" w:eastAsia="en-US"/>
        </w:rPr>
        <w:drawing>
          <wp:inline distT="0" distB="0" distL="114300" distR="114300" wp14:anchorId="399742F3" wp14:editId="7AF03340">
            <wp:extent cx="5394960" cy="204216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5394960" cy="2042160"/>
                    </a:xfrm>
                    <a:prstGeom prst="rect">
                      <a:avLst/>
                    </a:prstGeom>
                    <a:ln/>
                  </pic:spPr>
                </pic:pic>
              </a:graphicData>
            </a:graphic>
          </wp:inline>
        </w:drawing>
      </w:r>
    </w:p>
    <w:p w14:paraId="663849FB" w14:textId="77777777" w:rsidR="002A2E8D" w:rsidRDefault="002A2E8D" w:rsidP="002A2E8D">
      <w:pPr>
        <w:pStyle w:val="Normal1"/>
        <w:spacing w:after="0" w:line="240" w:lineRule="auto"/>
        <w:rPr>
          <w:sz w:val="20"/>
        </w:rPr>
      </w:pPr>
      <w:r w:rsidRPr="001F1EE6">
        <w:rPr>
          <w:b/>
          <w:bCs/>
          <w:sz w:val="20"/>
        </w:rPr>
        <w:t>Nota.</w:t>
      </w:r>
      <w:r w:rsidRPr="001F1EE6">
        <w:rPr>
          <w:sz w:val="20"/>
        </w:rPr>
        <w:t xml:space="preserve"> Elaboración propia mediante el uso de Python y librerías de procesamiento de datos.</w:t>
      </w:r>
    </w:p>
    <w:p w14:paraId="5187EA67" w14:textId="77777777" w:rsidR="002A2E8D" w:rsidRDefault="002A2E8D">
      <w:pPr>
        <w:pStyle w:val="Normal1"/>
        <w:spacing w:after="0" w:line="240" w:lineRule="auto"/>
      </w:pPr>
    </w:p>
    <w:p w14:paraId="32AD5807" w14:textId="0E829B34" w:rsidR="008A14A3" w:rsidRPr="00E6426A" w:rsidRDefault="00D41BF2" w:rsidP="00FE17A7">
      <w:pPr>
        <w:pStyle w:val="Normal1"/>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E6426A">
        <w:rPr>
          <w:rFonts w:ascii="Times New Roman" w:eastAsia="Times New Roman" w:hAnsi="Times New Roman" w:cs="Times New Roman"/>
          <w:color w:val="000000" w:themeColor="text1"/>
        </w:rPr>
        <w:t xml:space="preserve">Por </w:t>
      </w:r>
      <w:r w:rsidR="00E6426A" w:rsidRPr="00E6426A">
        <w:rPr>
          <w:rFonts w:ascii="Times New Roman" w:eastAsia="Times New Roman" w:hAnsi="Times New Roman" w:cs="Times New Roman"/>
          <w:color w:val="000000" w:themeColor="text1"/>
        </w:rPr>
        <w:t>último,</w:t>
      </w:r>
      <w:r w:rsidRPr="00E6426A">
        <w:rPr>
          <w:rFonts w:ascii="Times New Roman" w:eastAsia="Times New Roman" w:hAnsi="Times New Roman" w:cs="Times New Roman"/>
          <w:color w:val="000000" w:themeColor="text1"/>
        </w:rPr>
        <w:t xml:space="preserve"> tomamos la dimensión Evaluación Crítica del Uso de IA. El punto más crítico del análisis se centra en la madurez analítica de los estudiantes. Si bien el estudiantado valora positivamente la IA (evidenciado en el gráfico "E3. Impacto Cognitivo: Percepción del estudiantado sobre su propio razonamiento"), el cruce de datos en el gráfico "E2. Análisis de Riesgo: Nivel de Confianza o Nivel de Dependencia Tecnológica" detecta niveles de dependencia tecnológica que al menos plantean ciertas tensiones sobre esa percepción positiva.</w:t>
      </w:r>
    </w:p>
    <w:p w14:paraId="3F16DE15" w14:textId="5B4AB19B" w:rsidR="008A14A3" w:rsidRPr="00E6426A" w:rsidRDefault="00D41BF2" w:rsidP="00FE17A7">
      <w:pPr>
        <w:pStyle w:val="Normal1"/>
        <w:spacing w:line="240" w:lineRule="auto"/>
        <w:jc w:val="both"/>
        <w:rPr>
          <w:rFonts w:ascii="Times New Roman" w:eastAsia="Times New Roman" w:hAnsi="Times New Roman" w:cs="Times New Roman"/>
          <w:color w:val="000000" w:themeColor="text1"/>
        </w:rPr>
      </w:pPr>
      <w:r w:rsidRPr="00E6426A">
        <w:rPr>
          <w:rFonts w:ascii="Times New Roman" w:eastAsia="Times New Roman" w:hAnsi="Times New Roman" w:cs="Times New Roman"/>
          <w:color w:val="000000" w:themeColor="text1"/>
        </w:rPr>
        <w:t xml:space="preserve">La observación sociológica de esta tensión confianza-dependencia del estudiantado en su relación con la IAGen plantea el desafío de generar espacios de reflexión ante el grave riesgo epistemológico que se materializa frente al hecho del "loro estocástico": los estudiantes confían en Modelos de Lenguaje que no comprenden el mundo físico, sino </w:t>
      </w:r>
      <w:r w:rsidRPr="00E6426A">
        <w:rPr>
          <w:rFonts w:ascii="Times New Roman" w:eastAsia="Times New Roman" w:hAnsi="Times New Roman" w:cs="Times New Roman"/>
          <w:color w:val="000000" w:themeColor="text1"/>
        </w:rPr>
        <w:lastRenderedPageBreak/>
        <w:t>que hilvanan probabilidades, lo que puede derivar en "alucinaciones" informativas o en la homogeneización del saber (</w:t>
      </w:r>
      <w:r w:rsidR="00E6426A">
        <w:rPr>
          <w:rFonts w:ascii="Times New Roman" w:eastAsia="Times New Roman" w:hAnsi="Times New Roman" w:cs="Times New Roman"/>
          <w:color w:val="000000" w:themeColor="text1"/>
        </w:rPr>
        <w:t xml:space="preserve">Holmes &amp; Miao, </w:t>
      </w:r>
      <w:r w:rsidR="00E6426A" w:rsidRPr="00E6426A">
        <w:rPr>
          <w:rFonts w:ascii="Times New Roman" w:eastAsia="Times New Roman" w:hAnsi="Times New Roman" w:cs="Times New Roman"/>
          <w:color w:val="000000" w:themeColor="text1"/>
        </w:rPr>
        <w:t>2024).</w:t>
      </w:r>
    </w:p>
    <w:p w14:paraId="44F0E2C7" w14:textId="0337E23D" w:rsidR="00FE17A7" w:rsidRPr="00726D4D" w:rsidRDefault="00D41BF2" w:rsidP="00726D4D">
      <w:pPr>
        <w:pStyle w:val="Normal1"/>
        <w:spacing w:line="240" w:lineRule="auto"/>
        <w:jc w:val="both"/>
        <w:rPr>
          <w:rFonts w:ascii="Times New Roman" w:eastAsia="Times New Roman" w:hAnsi="Times New Roman" w:cs="Times New Roman"/>
          <w:color w:val="000000" w:themeColor="text1"/>
        </w:rPr>
      </w:pPr>
      <w:r w:rsidRPr="00E6426A">
        <w:rPr>
          <w:rFonts w:ascii="Times New Roman" w:eastAsia="Times New Roman" w:hAnsi="Times New Roman" w:cs="Times New Roman"/>
          <w:color w:val="000000" w:themeColor="text1"/>
        </w:rPr>
        <w:t xml:space="preserve">Dada la variedad y complejidad de los datos recabados en nuestra investigación, las líneas de </w:t>
      </w:r>
      <w:r w:rsidR="00492898" w:rsidRPr="00E6426A">
        <w:rPr>
          <w:rFonts w:ascii="Times New Roman" w:eastAsia="Times New Roman" w:hAnsi="Times New Roman" w:cs="Times New Roman"/>
          <w:color w:val="000000" w:themeColor="text1"/>
        </w:rPr>
        <w:t>análisis que</w:t>
      </w:r>
      <w:r w:rsidRPr="00E6426A">
        <w:rPr>
          <w:rFonts w:ascii="Times New Roman" w:eastAsia="Times New Roman" w:hAnsi="Times New Roman" w:cs="Times New Roman"/>
          <w:color w:val="000000" w:themeColor="text1"/>
        </w:rPr>
        <w:t xml:space="preserve"> se abren y los interrogantes que sugieren estos </w:t>
      </w:r>
      <w:r w:rsidR="00492898" w:rsidRPr="00E6426A">
        <w:rPr>
          <w:rFonts w:ascii="Times New Roman" w:eastAsia="Times New Roman" w:hAnsi="Times New Roman" w:cs="Times New Roman"/>
          <w:color w:val="000000" w:themeColor="text1"/>
        </w:rPr>
        <w:t>resultados, estamos</w:t>
      </w:r>
      <w:r w:rsidRPr="00E6426A">
        <w:rPr>
          <w:rFonts w:ascii="Times New Roman" w:eastAsia="Times New Roman" w:hAnsi="Times New Roman" w:cs="Times New Roman"/>
          <w:color w:val="000000" w:themeColor="text1"/>
        </w:rPr>
        <w:t xml:space="preserve"> convencidos que hay que seguir ampliando la muestra y continuar la indagación para contrastar, en el futuro, con miradas cualitativas el fenómeno en cuestión.</w:t>
      </w:r>
    </w:p>
    <w:p w14:paraId="6838CD19" w14:textId="77777777" w:rsidR="008A14A3" w:rsidRPr="00FE17A7" w:rsidRDefault="00D41BF2" w:rsidP="00FE17A7">
      <w:pPr>
        <w:pStyle w:val="Normal1"/>
        <w:spacing w:line="240" w:lineRule="auto"/>
        <w:rPr>
          <w:rFonts w:ascii="Times New Roman" w:eastAsia="Times New Roman" w:hAnsi="Times New Roman" w:cs="Times New Roman"/>
          <w:b/>
          <w:bCs/>
        </w:rPr>
      </w:pPr>
      <w:r>
        <w:rPr>
          <w:rFonts w:ascii="Times New Roman" w:eastAsia="Times New Roman" w:hAnsi="Times New Roman" w:cs="Times New Roman"/>
          <w:b/>
          <w:bCs/>
        </w:rPr>
        <w:t>Conclusión</w:t>
      </w:r>
    </w:p>
    <w:p w14:paraId="7876CCE3" w14:textId="5A96A547" w:rsidR="00726D4D" w:rsidRPr="00726D4D" w:rsidRDefault="00726D4D" w:rsidP="00726D4D">
      <w:pPr>
        <w:pStyle w:val="Normal1"/>
        <w:spacing w:line="240" w:lineRule="auto"/>
        <w:jc w:val="both"/>
        <w:rPr>
          <w:rFonts w:ascii="Times New Roman" w:eastAsia="Times New Roman" w:hAnsi="Times New Roman" w:cs="Times New Roman"/>
          <w:color w:val="000000" w:themeColor="text1"/>
        </w:rPr>
      </w:pPr>
      <w:r w:rsidRPr="00726D4D">
        <w:rPr>
          <w:rFonts w:ascii="Times New Roman" w:eastAsia="Times New Roman" w:hAnsi="Times New Roman" w:cs="Times New Roman"/>
          <w:color w:val="000000" w:themeColor="text1"/>
        </w:rPr>
        <w:t>Desde nuestra perspectiva, la docencia oscila entre cuatro posiciones ante la IA: los negadores, que ignoran su existencia en el aula; los temerosos, que ven en ella el fin de su rol profesional; los salvadores, que la adoptan como una herramienta de optimización sin fisuras; y, finalmente, un grupo crítico que, sin caer en la demonización ni en el fanatismo, reconoce su potencial transfo</w:t>
      </w:r>
      <w:r>
        <w:rPr>
          <w:rFonts w:ascii="Times New Roman" w:eastAsia="Times New Roman" w:hAnsi="Times New Roman" w:cs="Times New Roman"/>
          <w:color w:val="000000" w:themeColor="text1"/>
        </w:rPr>
        <w:t>rmador y sus peligros latentes.</w:t>
      </w:r>
    </w:p>
    <w:p w14:paraId="72D1FC02" w14:textId="61D2B457" w:rsidR="00726D4D" w:rsidRPr="00726D4D" w:rsidRDefault="00726D4D" w:rsidP="00726D4D">
      <w:pPr>
        <w:pStyle w:val="Normal1"/>
        <w:spacing w:line="240" w:lineRule="auto"/>
        <w:jc w:val="both"/>
        <w:rPr>
          <w:rFonts w:ascii="Times New Roman" w:eastAsia="Times New Roman" w:hAnsi="Times New Roman" w:cs="Times New Roman"/>
          <w:color w:val="000000" w:themeColor="text1"/>
        </w:rPr>
      </w:pPr>
      <w:r w:rsidRPr="00726D4D">
        <w:rPr>
          <w:rFonts w:ascii="Times New Roman" w:eastAsia="Times New Roman" w:hAnsi="Times New Roman" w:cs="Times New Roman"/>
          <w:color w:val="000000" w:themeColor="text1"/>
        </w:rPr>
        <w:t xml:space="preserve">Al contrastar esta realidad con el comportamiento estudiantil, observamos que nos encontramos ante una integración pragmática y naturalizada de la IAGen en la cotidianidad académica. Tal como se analizó en los resultados, existe una marcada tendencia a utilizar la herramienta fundamentalmente como un tutor para repasar contenidos y complementar explicaciones, priorizando el aprendizaje sobre la mera validación o </w:t>
      </w:r>
      <w:r>
        <w:rPr>
          <w:rFonts w:ascii="Times New Roman" w:eastAsia="Times New Roman" w:hAnsi="Times New Roman" w:cs="Times New Roman"/>
          <w:color w:val="000000" w:themeColor="text1"/>
        </w:rPr>
        <w:t>la aprobación rápida de tareas.</w:t>
      </w:r>
    </w:p>
    <w:p w14:paraId="1732C277" w14:textId="1ADA60FD" w:rsidR="00726D4D" w:rsidRPr="00726D4D" w:rsidRDefault="00726D4D" w:rsidP="00726D4D">
      <w:pPr>
        <w:pStyle w:val="Normal1"/>
        <w:spacing w:line="240" w:lineRule="auto"/>
        <w:jc w:val="both"/>
        <w:rPr>
          <w:rFonts w:ascii="Times New Roman" w:eastAsia="Times New Roman" w:hAnsi="Times New Roman" w:cs="Times New Roman"/>
          <w:color w:val="000000" w:themeColor="text1"/>
        </w:rPr>
      </w:pPr>
      <w:r w:rsidRPr="00726D4D">
        <w:rPr>
          <w:rFonts w:ascii="Times New Roman" w:eastAsia="Times New Roman" w:hAnsi="Times New Roman" w:cs="Times New Roman"/>
          <w:color w:val="000000" w:themeColor="text1"/>
        </w:rPr>
        <w:t>Sin embargo, esta armonía en el uso oculta otra tensión fundamental: persiste una "cultura de la ocultación". La bajísima declaración voluntaria por parte del estudiantado evidencia que optan por la invisibilización de la herramienta, transformándose en una "alerta roja" pedagógica. El uso de la IA aún no es aceptado como una práctica legítima y transparen</w:t>
      </w:r>
      <w:r>
        <w:rPr>
          <w:rFonts w:ascii="Times New Roman" w:eastAsia="Times New Roman" w:hAnsi="Times New Roman" w:cs="Times New Roman"/>
          <w:color w:val="000000" w:themeColor="text1"/>
        </w:rPr>
        <w:t>te en las aulas virtuales y presenciales de UNTREF</w:t>
      </w:r>
      <w:r w:rsidRPr="00726D4D">
        <w:rPr>
          <w:rFonts w:ascii="Times New Roman" w:eastAsia="Times New Roman" w:hAnsi="Times New Roman" w:cs="Times New Roman"/>
          <w:color w:val="000000" w:themeColor="text1"/>
        </w:rPr>
        <w:t>. Este fenómeno es profundamente preocupante, pues revela una ausencia de debate ético crítico, consolidando una pasividad frente a la imposición de las lógicas algorítmicas que operan bajo una supuesta neutralidad técnica. Ante este diagnóstico, se vuelve imperativo y urgente colaborar institucionalmente en el armado de un marco de referencia ético y transparente que regule y leg</w:t>
      </w:r>
      <w:r w:rsidR="00297BEE">
        <w:rPr>
          <w:rFonts w:ascii="Times New Roman" w:eastAsia="Times New Roman" w:hAnsi="Times New Roman" w:cs="Times New Roman"/>
          <w:color w:val="000000" w:themeColor="text1"/>
        </w:rPr>
        <w:t>itime el uso de la IA en la universidad</w:t>
      </w:r>
      <w:r w:rsidRPr="00726D4D">
        <w:rPr>
          <w:rFonts w:ascii="Times New Roman" w:eastAsia="Times New Roman" w:hAnsi="Times New Roman" w:cs="Times New Roman"/>
          <w:color w:val="000000" w:themeColor="text1"/>
        </w:rPr>
        <w:t>, transformando la clandestinidad actual en una práctica pedagógica exp</w:t>
      </w:r>
      <w:r>
        <w:rPr>
          <w:rFonts w:ascii="Times New Roman" w:eastAsia="Times New Roman" w:hAnsi="Times New Roman" w:cs="Times New Roman"/>
          <w:color w:val="000000" w:themeColor="text1"/>
        </w:rPr>
        <w:t>lícita, evaluable y consciente.</w:t>
      </w:r>
    </w:p>
    <w:p w14:paraId="7E413A21" w14:textId="0C2F258A" w:rsidR="009B0296" w:rsidRPr="009B0296" w:rsidRDefault="009B0296" w:rsidP="009B0296">
      <w:pPr>
        <w:pStyle w:val="Normal1"/>
        <w:spacing w:line="240" w:lineRule="auto"/>
        <w:jc w:val="both"/>
        <w:rPr>
          <w:rFonts w:ascii="Times New Roman" w:hAnsi="Times New Roman" w:cs="Times New Roman"/>
        </w:rPr>
      </w:pPr>
      <w:r w:rsidRPr="009B0296">
        <w:rPr>
          <w:rFonts w:ascii="Times New Roman" w:hAnsi="Times New Roman" w:cs="Times New Roman"/>
        </w:rPr>
        <w:t xml:space="preserve">Desde nuestro posicionamiento político-epistemológico, esta situación nos interpela directamente. </w:t>
      </w:r>
      <w:r w:rsidR="009F65D2">
        <w:rPr>
          <w:rFonts w:ascii="Times New Roman" w:hAnsi="Times New Roman" w:cs="Times New Roman"/>
        </w:rPr>
        <w:t>Concluimos que l</w:t>
      </w:r>
      <w:r w:rsidRPr="009B0296">
        <w:rPr>
          <w:rFonts w:ascii="Times New Roman" w:hAnsi="Times New Roman" w:cs="Times New Roman"/>
        </w:rPr>
        <w:t>a arquitectura detrás de los modelos comerciales busca capturar el flujo de datos para la construcción de un conocimiento dependiente. Por ello, el EITE asume el desafío de trascender la mera descripción de estas prácticas. Nuestra tarea, en el marco de la defensa de la universidad pública, consiste en promover dispositivos de reflexión profunda y fortalecer ecosistemas prop</w:t>
      </w:r>
      <w:r>
        <w:rPr>
          <w:rFonts w:ascii="Times New Roman" w:hAnsi="Times New Roman" w:cs="Times New Roman"/>
        </w:rPr>
        <w:t xml:space="preserve">ios a través del constructo </w:t>
      </w:r>
      <w:r w:rsidRPr="009B0296">
        <w:rPr>
          <w:rFonts w:ascii="Times New Roman" w:hAnsi="Times New Roman" w:cs="Times New Roman"/>
        </w:rPr>
        <w:t>Innovar UNTR</w:t>
      </w:r>
      <w:r>
        <w:rPr>
          <w:rFonts w:ascii="Times New Roman" w:hAnsi="Times New Roman" w:cs="Times New Roman"/>
        </w:rPr>
        <w:t>EF. Por esto mismo y para nuestro equipo, es</w:t>
      </w:r>
      <w:r w:rsidRPr="009B0296">
        <w:rPr>
          <w:rFonts w:ascii="Times New Roman" w:hAnsi="Times New Roman" w:cs="Times New Roman"/>
        </w:rPr>
        <w:t xml:space="preserve"> fundamental destacar que ya se encuentra en pleno funcionamiento y continuo desarrollo el </w:t>
      </w:r>
      <w:r w:rsidRPr="009B0296">
        <w:rPr>
          <w:rFonts w:ascii="Times New Roman" w:hAnsi="Times New Roman" w:cs="Times New Roman"/>
          <w:bCs/>
        </w:rPr>
        <w:t>Hub IA Innovar UNTREF</w:t>
      </w:r>
      <w:r w:rsidRPr="009B0296">
        <w:rPr>
          <w:rFonts w:ascii="Times New Roman" w:hAnsi="Times New Roman" w:cs="Times New Roman"/>
        </w:rPr>
        <w:t>, plataforma centralizada que integra, organiza y distribuye múltiples recursos, bases de datos y modelos de Inteligencia Artificial para ofr</w:t>
      </w:r>
      <w:r w:rsidR="00DE050C">
        <w:rPr>
          <w:rFonts w:ascii="Times New Roman" w:hAnsi="Times New Roman" w:cs="Times New Roman"/>
        </w:rPr>
        <w:t>ecer soluciones unificadas a nuestra</w:t>
      </w:r>
      <w:r w:rsidRPr="009B0296">
        <w:rPr>
          <w:rFonts w:ascii="Times New Roman" w:hAnsi="Times New Roman" w:cs="Times New Roman"/>
        </w:rPr>
        <w:t xml:space="preserve"> comunidad. Este Hub aloja de forma segura las interacciones de los usuarios</w:t>
      </w:r>
      <w:r w:rsidR="00DE050C">
        <w:rPr>
          <w:rFonts w:ascii="Times New Roman" w:hAnsi="Times New Roman" w:cs="Times New Roman"/>
        </w:rPr>
        <w:t xml:space="preserve"> y estudiantes</w:t>
      </w:r>
      <w:r w:rsidRPr="009B0296">
        <w:rPr>
          <w:rFonts w:ascii="Times New Roman" w:hAnsi="Times New Roman" w:cs="Times New Roman"/>
        </w:rPr>
        <w:t xml:space="preserve"> en servidores locales, mediante la instalación y el despliegue de modelos</w:t>
      </w:r>
      <w:r w:rsidR="004F4943">
        <w:rPr>
          <w:rFonts w:ascii="Times New Roman" w:hAnsi="Times New Roman" w:cs="Times New Roman"/>
        </w:rPr>
        <w:t xml:space="preserve"> de lenguaje</w:t>
      </w:r>
      <w:r w:rsidRPr="009B0296">
        <w:rPr>
          <w:rFonts w:ascii="Times New Roman" w:hAnsi="Times New Roman" w:cs="Times New Roman"/>
        </w:rPr>
        <w:t xml:space="preserve"> libres como Llama o Mistral, integrando además en su arquitectura asistentes virtuales </w:t>
      </w:r>
      <w:r w:rsidRPr="009B0296">
        <w:rPr>
          <w:rFonts w:ascii="Times New Roman" w:hAnsi="Times New Roman" w:cs="Times New Roman"/>
        </w:rPr>
        <w:lastRenderedPageBreak/>
        <w:t>específicos basados en sistemas RAG. Asimismo, este posicionamiento político exige resignificar la enseñanza de la construcción o ingeniería de prompts en el trayecto universitario. No debemos abordarla como una simple instrucción técnica o instrumental, sino como una competencia metacognitiva de orden superior y un acto de soberanía intelectual; una herramienta conceptual que faculta al estudiante para interrogar rigurosamente a la máquina, estructurar el pensami</w:t>
      </w:r>
      <w:r>
        <w:rPr>
          <w:rFonts w:ascii="Times New Roman" w:hAnsi="Times New Roman" w:cs="Times New Roman"/>
        </w:rPr>
        <w:t>ento lógico y retener la condición</w:t>
      </w:r>
      <w:r w:rsidRPr="009B0296">
        <w:rPr>
          <w:rFonts w:ascii="Times New Roman" w:hAnsi="Times New Roman" w:cs="Times New Roman"/>
        </w:rPr>
        <w:t xml:space="preserve"> humana frente a la autom</w:t>
      </w:r>
      <w:r>
        <w:rPr>
          <w:rFonts w:ascii="Times New Roman" w:hAnsi="Times New Roman" w:cs="Times New Roman"/>
        </w:rPr>
        <w:t>atización. El verdadero desafío, como equipo de investigación,</w:t>
      </w:r>
      <w:r w:rsidRPr="009B0296">
        <w:rPr>
          <w:rFonts w:ascii="Times New Roman" w:hAnsi="Times New Roman" w:cs="Times New Roman"/>
        </w:rPr>
        <w:t xml:space="preserve"> radica en consolidar este ecosistema híbrido y situado, donde el Hub </w:t>
      </w:r>
      <w:r w:rsidR="00785668">
        <w:rPr>
          <w:rFonts w:ascii="Times New Roman" w:hAnsi="Times New Roman" w:cs="Times New Roman"/>
        </w:rPr>
        <w:t>IA funcione como un catalizador</w:t>
      </w:r>
      <w:r w:rsidRPr="009B0296">
        <w:rPr>
          <w:rFonts w:ascii="Times New Roman" w:hAnsi="Times New Roman" w:cs="Times New Roman"/>
        </w:rPr>
        <w:t xml:space="preserve"> crítico ante la imposición corporativa, garantizando que el flujo de información de nuestra comunidad se oriente de manera definitiva hacia la construcción de un conocimiento libre, ético, transparente y tecnológicamente soberano.</w:t>
      </w:r>
    </w:p>
    <w:p w14:paraId="25AEA8C8" w14:textId="6F53D5E2" w:rsidR="008A14A3" w:rsidRDefault="00D41BF2" w:rsidP="00726D4D">
      <w:pPr>
        <w:pStyle w:val="Normal1"/>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w:t>
      </w:r>
    </w:p>
    <w:p w14:paraId="388DD002" w14:textId="77777777" w:rsidR="008A14A3" w:rsidRDefault="00D41BF2" w:rsidP="00A55763">
      <w:pPr>
        <w:pStyle w:val="Normal1"/>
        <w:pBdr>
          <w:top w:val="nil"/>
          <w:left w:val="nil"/>
          <w:bottom w:val="nil"/>
          <w:right w:val="nil"/>
          <w:between w:val="nil"/>
        </w:pBdr>
        <w:spacing w:line="240" w:lineRule="auto"/>
        <w:ind w:left="709" w:hanging="709"/>
        <w:rPr>
          <w:rFonts w:ascii="Times New Roman" w:eastAsia="Times New Roman" w:hAnsi="Times New Roman" w:cs="Times New Roman"/>
        </w:rPr>
      </w:pPr>
      <w:r>
        <w:rPr>
          <w:rFonts w:ascii="Times New Roman" w:eastAsia="Times New Roman" w:hAnsi="Times New Roman" w:cs="Times New Roman"/>
        </w:rPr>
        <w:t xml:space="preserve">Area Moreira, M. (2003). De los webs educativos al material didáctico web. </w:t>
      </w:r>
      <w:r w:rsidRPr="00A55763">
        <w:rPr>
          <w:rFonts w:ascii="Times New Roman" w:eastAsia="Times New Roman" w:hAnsi="Times New Roman" w:cs="Times New Roman"/>
          <w:i/>
        </w:rPr>
        <w:t>Revista Comunicación y Pedagogía</w:t>
      </w:r>
      <w:r>
        <w:rPr>
          <w:rFonts w:ascii="Times New Roman" w:eastAsia="Times New Roman" w:hAnsi="Times New Roman" w:cs="Times New Roman"/>
        </w:rPr>
        <w:t xml:space="preserve">, (188), 32-38. </w:t>
      </w:r>
    </w:p>
    <w:p w14:paraId="33719DEA" w14:textId="77777777" w:rsidR="008A14A3" w:rsidRDefault="00D41BF2" w:rsidP="00A55763">
      <w:pPr>
        <w:pStyle w:val="Normal1"/>
        <w:pBdr>
          <w:top w:val="nil"/>
          <w:left w:val="nil"/>
          <w:bottom w:val="nil"/>
          <w:right w:val="nil"/>
          <w:between w:val="nil"/>
        </w:pBdr>
        <w:spacing w:line="240" w:lineRule="auto"/>
        <w:ind w:left="709" w:hanging="709"/>
        <w:rPr>
          <w:rFonts w:ascii="Times New Roman" w:eastAsia="Times New Roman" w:hAnsi="Times New Roman" w:cs="Times New Roman"/>
        </w:rPr>
      </w:pPr>
      <w:r>
        <w:rPr>
          <w:rFonts w:ascii="Times New Roman" w:eastAsia="Times New Roman" w:hAnsi="Times New Roman" w:cs="Times New Roman"/>
        </w:rPr>
        <w:t xml:space="preserve">Area Moreira, M. (2017). La metamorfosis digital del material didáctico tras el paréntesis Gutenberg / The digital metamorphosis of didactic material after the parenthesis Gutenberg. </w:t>
      </w:r>
      <w:r w:rsidRPr="00A55763">
        <w:rPr>
          <w:rFonts w:ascii="Times New Roman" w:eastAsia="Times New Roman" w:hAnsi="Times New Roman" w:cs="Times New Roman"/>
          <w:i/>
        </w:rPr>
        <w:t>Revista Latinoamericana De Tecnología Educativa - RELATEC</w:t>
      </w:r>
      <w:r>
        <w:rPr>
          <w:rFonts w:ascii="Times New Roman" w:eastAsia="Times New Roman" w:hAnsi="Times New Roman" w:cs="Times New Roman"/>
        </w:rPr>
        <w:t xml:space="preserve">, 16(2), 13-28. </w:t>
      </w:r>
      <w:hyperlink r:id="rId25">
        <w:r>
          <w:rPr>
            <w:rFonts w:ascii="Times New Roman" w:eastAsia="Times New Roman" w:hAnsi="Times New Roman" w:cs="Times New Roman"/>
          </w:rPr>
          <w:t>https://doi.org/10.17398/1695-288X.16.2.13</w:t>
        </w:r>
      </w:hyperlink>
      <w:r>
        <w:rPr>
          <w:rFonts w:ascii="Times New Roman" w:eastAsia="Times New Roman" w:hAnsi="Times New Roman" w:cs="Times New Roman"/>
        </w:rPr>
        <w:t xml:space="preserve"> </w:t>
      </w:r>
    </w:p>
    <w:p w14:paraId="28C3F4E6" w14:textId="77777777" w:rsidR="008A14A3" w:rsidRDefault="00D41BF2" w:rsidP="00A55763">
      <w:pPr>
        <w:pStyle w:val="Normal1"/>
        <w:spacing w:line="240" w:lineRule="auto"/>
        <w:ind w:left="709" w:hanging="709"/>
        <w:rPr>
          <w:rFonts w:ascii="Times New Roman" w:eastAsia="Times New Roman" w:hAnsi="Times New Roman" w:cs="Times New Roman"/>
        </w:rPr>
      </w:pPr>
      <w:r>
        <w:rPr>
          <w:rFonts w:ascii="Times New Roman" w:eastAsia="Times New Roman" w:hAnsi="Times New Roman" w:cs="Times New Roman"/>
        </w:rPr>
        <w:t xml:space="preserve">Canabal, A. y de Ansó, B. (2025) “Tecnologías Digitales en la Formación Docente desde las Universidades Nacionales” en </w:t>
      </w:r>
      <w:r>
        <w:rPr>
          <w:rFonts w:ascii="Times New Roman" w:eastAsia="Times New Roman" w:hAnsi="Times New Roman" w:cs="Times New Roman"/>
          <w:i/>
          <w:iCs/>
        </w:rPr>
        <w:t>X Conferencia Latinoamericana y Caribeña de Ciencias Sociales.</w:t>
      </w:r>
      <w:r>
        <w:rPr>
          <w:rFonts w:ascii="Times New Roman" w:eastAsia="Times New Roman" w:hAnsi="Times New Roman" w:cs="Times New Roman"/>
        </w:rPr>
        <w:t xml:space="preserve"> Bogotá, Colombia 9 al 12 de junio. </w:t>
      </w:r>
    </w:p>
    <w:p w14:paraId="0096DBB3"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Canabal, A., de Ansó, B. (2024) Tecnologías Digitales en la Formación Docente desde las Universidades Nacionales: Reflexiones de mitad de camino, metodológicas, conceptuales y de contexto de investigación. En </w:t>
      </w:r>
      <w:r w:rsidRPr="00A55763">
        <w:rPr>
          <w:rFonts w:ascii="Times New Roman" w:eastAsia="Times New Roman" w:hAnsi="Times New Roman" w:cs="Times New Roman"/>
          <w:i/>
        </w:rPr>
        <w:t>V Jornadas Regionales de Investigación Educativa</w:t>
      </w:r>
      <w:r>
        <w:rPr>
          <w:rFonts w:ascii="Times New Roman" w:eastAsia="Times New Roman" w:hAnsi="Times New Roman" w:cs="Times New Roman"/>
        </w:rPr>
        <w:t>, FHyCS-UNJu de San Salvador de Jujuy 24 al 26 de septiembre de 2024.</w:t>
      </w:r>
    </w:p>
    <w:p w14:paraId="367701B9" w14:textId="5048615B"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Canabal, A., </w:t>
      </w:r>
      <w:r w:rsidR="007B698F">
        <w:rPr>
          <w:rFonts w:ascii="Times New Roman" w:eastAsia="Times New Roman" w:hAnsi="Times New Roman" w:cs="Times New Roman"/>
        </w:rPr>
        <w:t>y Pizzichini, A. (2025). Innovar</w:t>
      </w:r>
      <w:r>
        <w:rPr>
          <w:rFonts w:ascii="Times New Roman" w:eastAsia="Times New Roman" w:hAnsi="Times New Roman" w:cs="Times New Roman"/>
        </w:rPr>
        <w:t xml:space="preserve"> UNTREF: Algunas primeras reflexiones sobre una experiencia colaborativa y creativa para el desarrollo de tecnologías digitales en la universidad. </w:t>
      </w:r>
      <w:r w:rsidRPr="00A55763">
        <w:rPr>
          <w:rFonts w:ascii="Times New Roman" w:eastAsia="Times New Roman" w:hAnsi="Times New Roman" w:cs="Times New Roman"/>
          <w:i/>
        </w:rPr>
        <w:t>II Encuentro Iberoamericano de Innovación en Tecnologías Digitales: Universidad y sostenibilidad</w:t>
      </w:r>
      <w:r w:rsidR="00A55763">
        <w:rPr>
          <w:rFonts w:ascii="Times New Roman" w:eastAsia="Times New Roman" w:hAnsi="Times New Roman" w:cs="Times New Roman"/>
        </w:rPr>
        <w:t>.</w:t>
      </w:r>
      <w:r>
        <w:rPr>
          <w:rFonts w:ascii="Times New Roman" w:eastAsia="Times New Roman" w:hAnsi="Times New Roman" w:cs="Times New Roman"/>
        </w:rPr>
        <w:t xml:space="preserve"> Universidad de Buenos Aires, Buenos Aires, Argentina.</w:t>
      </w:r>
    </w:p>
    <w:p w14:paraId="0E89E9AF" w14:textId="77777777" w:rsidR="008A14A3" w:rsidRDefault="00D41BF2" w:rsidP="00A55763">
      <w:pPr>
        <w:pStyle w:val="Ttulo2"/>
        <w:keepNext w:val="0"/>
        <w:keepLines w:val="0"/>
        <w:spacing w:before="0" w:after="160" w:line="276" w:lineRule="auto"/>
        <w:ind w:left="709" w:hanging="709"/>
        <w:rPr>
          <w:rFonts w:ascii="Times New Roman" w:eastAsia="Times New Roman" w:hAnsi="Times New Roman" w:cs="Times New Roman"/>
          <w:color w:val="000000"/>
          <w:sz w:val="24"/>
          <w:szCs w:val="24"/>
        </w:rPr>
      </w:pPr>
      <w:bookmarkStart w:id="1" w:name="_heading=h.3opygharxwyl" w:colFirst="0" w:colLast="0"/>
      <w:bookmarkEnd w:id="1"/>
      <w:r>
        <w:rPr>
          <w:rFonts w:ascii="Times New Roman" w:eastAsia="Times New Roman" w:hAnsi="Times New Roman" w:cs="Times New Roman"/>
          <w:color w:val="000000"/>
          <w:sz w:val="24"/>
          <w:szCs w:val="24"/>
        </w:rPr>
        <w:t xml:space="preserve">Cardenas Arenas, J., Suarez Pedraza, J. , y Guerrero Alarcon, C. (2014)  “Ecosistema Digital Académico: Hacia una comunidad digital soportada en TIC para las instituciones de educación superior.” en </w:t>
      </w:r>
      <w:r w:rsidRPr="00A55763">
        <w:rPr>
          <w:rFonts w:ascii="Times New Roman" w:eastAsia="Times New Roman" w:hAnsi="Times New Roman" w:cs="Times New Roman"/>
          <w:i/>
          <w:color w:val="000000"/>
          <w:sz w:val="24"/>
          <w:szCs w:val="24"/>
        </w:rPr>
        <w:t>I + D Revista de investigación</w:t>
      </w:r>
      <w:r w:rsidR="00A55763">
        <w:rPr>
          <w:rFonts w:ascii="Times New Roman" w:eastAsia="Times New Roman" w:hAnsi="Times New Roman" w:cs="Times New Roman"/>
          <w:color w:val="000000"/>
          <w:sz w:val="24"/>
          <w:szCs w:val="24"/>
        </w:rPr>
        <w:t>. Vol 4, Nro 2, 2014. V</w:t>
      </w:r>
      <w:r>
        <w:rPr>
          <w:rFonts w:ascii="Times New Roman" w:eastAsia="Times New Roman" w:hAnsi="Times New Roman" w:cs="Times New Roman"/>
          <w:color w:val="000000"/>
          <w:sz w:val="24"/>
          <w:szCs w:val="24"/>
        </w:rPr>
        <w:t xml:space="preserve">isto en web, </w:t>
      </w:r>
      <w:hyperlink r:id="rId26">
        <w:r>
          <w:rPr>
            <w:rFonts w:ascii="Times New Roman" w:eastAsia="Times New Roman" w:hAnsi="Times New Roman" w:cs="Times New Roman"/>
            <w:color w:val="1155CC"/>
            <w:sz w:val="24"/>
            <w:szCs w:val="24"/>
            <w:u w:val="single"/>
          </w:rPr>
          <w:t>https://sievi.udi.edu.co/ojs/index.php/ID/article/view/13/10</w:t>
        </w:r>
      </w:hyperlink>
    </w:p>
    <w:p w14:paraId="5BD6847D"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Costa, F. G., Mónaco, J. A., Covello, A., Novidelsky, I., Zabala, X., &amp; Rodriguez, P. E. (2023). </w:t>
      </w:r>
      <w:r w:rsidRPr="00A55763">
        <w:rPr>
          <w:rFonts w:ascii="Times New Roman" w:eastAsia="Times New Roman" w:hAnsi="Times New Roman" w:cs="Times New Roman"/>
          <w:i/>
        </w:rPr>
        <w:t>Desafíos de la Inteligencia Artificial generativa: Tres escalas y dos enfoques transversales</w:t>
      </w:r>
      <w:r>
        <w:rPr>
          <w:rFonts w:ascii="Times New Roman" w:eastAsia="Times New Roman" w:hAnsi="Times New Roman" w:cs="Times New Roman"/>
        </w:rPr>
        <w:t>.</w:t>
      </w:r>
    </w:p>
    <w:p w14:paraId="4FA585CD" w14:textId="77777777" w:rsidR="0007604B" w:rsidRPr="0007604B" w:rsidRDefault="0007604B" w:rsidP="00A55763">
      <w:pPr>
        <w:pStyle w:val="Normal1"/>
        <w:spacing w:line="240" w:lineRule="auto"/>
        <w:ind w:left="709" w:hanging="709"/>
        <w:jc w:val="both"/>
        <w:rPr>
          <w:rFonts w:ascii="Times New Roman" w:eastAsia="Times New Roman" w:hAnsi="Times New Roman" w:cs="Times New Roman"/>
        </w:rPr>
      </w:pPr>
      <w:r w:rsidRPr="0007604B">
        <w:rPr>
          <w:rFonts w:ascii="Times New Roman" w:eastAsia="Times New Roman" w:hAnsi="Times New Roman" w:cs="Times New Roman"/>
        </w:rPr>
        <w:lastRenderedPageBreak/>
        <w:t xml:space="preserve">Becerra, Mezzadra y Gambino (2025) Mapeando la datificación: Un análisis bibliométrico de perspectivas y patrones en la comunicación científica. En </w:t>
      </w:r>
      <w:r w:rsidRPr="00A55763">
        <w:rPr>
          <w:rFonts w:ascii="Times New Roman" w:eastAsia="Times New Roman" w:hAnsi="Times New Roman" w:cs="Times New Roman"/>
          <w:i/>
        </w:rPr>
        <w:t>Revista de Ciencias Empresariales y Sociales</w:t>
      </w:r>
      <w:r w:rsidRPr="0007604B">
        <w:rPr>
          <w:rFonts w:ascii="Times New Roman" w:eastAsia="Times New Roman" w:hAnsi="Times New Roman" w:cs="Times New Roman"/>
        </w:rPr>
        <w:t xml:space="preserve">. Vol. 1 2 , N° 9 , 202 5 (marzo-julio) </w:t>
      </w:r>
    </w:p>
    <w:p w14:paraId="1C0AF3E0"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Floridi, L</w:t>
      </w:r>
      <w:r w:rsidR="0007604B">
        <w:rPr>
          <w:rFonts w:ascii="Times New Roman" w:eastAsia="Times New Roman" w:hAnsi="Times New Roman" w:cs="Times New Roman"/>
        </w:rPr>
        <w:t>.</w:t>
      </w:r>
      <w:r>
        <w:rPr>
          <w:rFonts w:ascii="Times New Roman" w:eastAsia="Times New Roman" w:hAnsi="Times New Roman" w:cs="Times New Roman"/>
        </w:rPr>
        <w:t xml:space="preserve"> (2011). </w:t>
      </w:r>
      <w:r w:rsidRPr="00A55763">
        <w:rPr>
          <w:rFonts w:ascii="Times New Roman" w:eastAsia="Times New Roman" w:hAnsi="Times New Roman" w:cs="Times New Roman"/>
          <w:i/>
        </w:rPr>
        <w:t>Energy, Risks, and Metatechnology</w:t>
      </w:r>
      <w:r>
        <w:rPr>
          <w:rFonts w:ascii="Times New Roman" w:eastAsia="Times New Roman" w:hAnsi="Times New Roman" w:cs="Times New Roman"/>
        </w:rPr>
        <w:t xml:space="preserve">, 3 de mayo de 2011. En Internet: </w:t>
      </w:r>
      <w:hyperlink r:id="rId27">
        <w:r>
          <w:rPr>
            <w:rFonts w:ascii="Times New Roman" w:eastAsia="Times New Roman" w:hAnsi="Times New Roman" w:cs="Times New Roman"/>
          </w:rPr>
          <w:t>https://ssrn.com/abstract=3854445</w:t>
        </w:r>
      </w:hyperlink>
      <w:r>
        <w:rPr>
          <w:rFonts w:ascii="Times New Roman" w:eastAsia="Times New Roman" w:hAnsi="Times New Roman" w:cs="Times New Roman"/>
        </w:rPr>
        <w:t xml:space="preserve"> </w:t>
      </w:r>
    </w:p>
    <w:p w14:paraId="6B3A8927"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Holmes, W., &amp; Miao, F. (2024). Guía para el uso de IA generativa en educación e investigación. </w:t>
      </w:r>
      <w:r w:rsidRPr="00A55763">
        <w:rPr>
          <w:rFonts w:ascii="Times New Roman" w:eastAsia="Times New Roman" w:hAnsi="Times New Roman" w:cs="Times New Roman"/>
          <w:i/>
        </w:rPr>
        <w:t>UNESCO Publishing</w:t>
      </w:r>
      <w:r>
        <w:rPr>
          <w:rFonts w:ascii="Times New Roman" w:eastAsia="Times New Roman" w:hAnsi="Times New Roman" w:cs="Times New Roman"/>
        </w:rPr>
        <w:t>.</w:t>
      </w:r>
    </w:p>
    <w:p w14:paraId="3FAC8086"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Kaufmann, M. (2025, marzo). Entrevista. </w:t>
      </w:r>
      <w:r w:rsidRPr="00A55763">
        <w:rPr>
          <w:rFonts w:ascii="Times New Roman" w:eastAsia="Times New Roman" w:hAnsi="Times New Roman" w:cs="Times New Roman"/>
          <w:i/>
        </w:rPr>
        <w:t>Revista Ciudadanías</w:t>
      </w:r>
      <w:r>
        <w:rPr>
          <w:rFonts w:ascii="Times New Roman" w:eastAsia="Times New Roman" w:hAnsi="Times New Roman" w:cs="Times New Roman"/>
        </w:rPr>
        <w:t>: Edición Especial. Universidad Nacional de Tres de Febrero</w:t>
      </w:r>
    </w:p>
    <w:p w14:paraId="57CB691F" w14:textId="77777777" w:rsidR="008A14A3" w:rsidRPr="009320FF" w:rsidRDefault="00D41BF2" w:rsidP="00A55763">
      <w:pPr>
        <w:pStyle w:val="Normal1"/>
        <w:pBdr>
          <w:top w:val="nil"/>
          <w:left w:val="nil"/>
          <w:bottom w:val="nil"/>
          <w:right w:val="nil"/>
          <w:between w:val="nil"/>
        </w:pBdr>
        <w:spacing w:line="240" w:lineRule="auto"/>
        <w:ind w:left="709" w:hanging="709"/>
        <w:jc w:val="both"/>
        <w:rPr>
          <w:rFonts w:ascii="Times New Roman" w:eastAsia="Times New Roman" w:hAnsi="Times New Roman" w:cs="Times New Roman"/>
          <w:lang w:val="en-US"/>
        </w:rPr>
      </w:pPr>
      <w:r w:rsidRPr="00454C7F">
        <w:rPr>
          <w:rFonts w:ascii="Times New Roman" w:eastAsia="Times New Roman" w:hAnsi="Times New Roman" w:cs="Times New Roman"/>
          <w:lang w:val="es-ES"/>
        </w:rPr>
        <w:t xml:space="preserve">Mayer - Schonberger, V., &amp; Cukier, K. (2013). </w:t>
      </w:r>
      <w:r w:rsidRPr="009320FF">
        <w:rPr>
          <w:rFonts w:ascii="Times New Roman" w:eastAsia="Times New Roman" w:hAnsi="Times New Roman" w:cs="Times New Roman"/>
          <w:i/>
          <w:lang w:val="en-US"/>
        </w:rPr>
        <w:t>Big data. A</w:t>
      </w:r>
      <w:r w:rsidRPr="009320FF">
        <w:rPr>
          <w:rFonts w:ascii="Arial" w:eastAsia="Arial" w:hAnsi="Arial" w:cs="Arial"/>
          <w:i/>
          <w:sz w:val="30"/>
          <w:szCs w:val="30"/>
          <w:lang w:val="en-US"/>
        </w:rPr>
        <w:t xml:space="preserve"> </w:t>
      </w:r>
      <w:r w:rsidRPr="009320FF">
        <w:rPr>
          <w:rFonts w:ascii="Times New Roman" w:eastAsia="Times New Roman" w:hAnsi="Times New Roman" w:cs="Times New Roman"/>
          <w:i/>
          <w:lang w:val="en-US"/>
        </w:rPr>
        <w:t>revolution that will transform how we live, work, and think</w:t>
      </w:r>
      <w:r w:rsidRPr="009320FF">
        <w:rPr>
          <w:rFonts w:ascii="Times New Roman" w:eastAsia="Times New Roman" w:hAnsi="Times New Roman" w:cs="Times New Roman"/>
          <w:lang w:val="en-US"/>
        </w:rPr>
        <w:t xml:space="preserve"> . Eamon Dolan/Houghton Mifflin Harcourt.</w:t>
      </w:r>
    </w:p>
    <w:p w14:paraId="318CBF4D" w14:textId="77777777" w:rsidR="008A14A3" w:rsidRDefault="00D41BF2" w:rsidP="00A55763">
      <w:pPr>
        <w:pStyle w:val="Normal1"/>
        <w:pBdr>
          <w:top w:val="nil"/>
          <w:left w:val="nil"/>
          <w:bottom w:val="nil"/>
          <w:right w:val="nil"/>
          <w:between w:val="nil"/>
        </w:pBdr>
        <w:spacing w:line="240" w:lineRule="auto"/>
        <w:ind w:left="709" w:hanging="709"/>
        <w:jc w:val="both"/>
        <w:rPr>
          <w:rFonts w:ascii="Times New Roman" w:eastAsia="Times New Roman" w:hAnsi="Times New Roman" w:cs="Times New Roman"/>
        </w:rPr>
      </w:pPr>
      <w:r w:rsidRPr="009320FF">
        <w:rPr>
          <w:rFonts w:ascii="Times New Roman" w:eastAsia="Times New Roman" w:hAnsi="Times New Roman" w:cs="Times New Roman"/>
          <w:lang w:val="en-US"/>
        </w:rPr>
        <w:t xml:space="preserve">Mejías, U.A &amp; Couldry, N. (2019). </w:t>
      </w:r>
      <w:r>
        <w:rPr>
          <w:rFonts w:ascii="Times New Roman" w:eastAsia="Times New Roman" w:hAnsi="Times New Roman" w:cs="Times New Roman"/>
        </w:rPr>
        <w:t xml:space="preserve">Colonialismo de datos: repensando la relación de los datos masivos con el sujeto contemporáneo. </w:t>
      </w:r>
      <w:r w:rsidRPr="001D6D98">
        <w:rPr>
          <w:rFonts w:ascii="Times New Roman" w:eastAsia="Times New Roman" w:hAnsi="Times New Roman" w:cs="Times New Roman"/>
          <w:i/>
        </w:rPr>
        <w:t>Virtualis</w:t>
      </w:r>
      <w:r>
        <w:rPr>
          <w:rFonts w:ascii="Times New Roman" w:eastAsia="Times New Roman" w:hAnsi="Times New Roman" w:cs="Times New Roman"/>
        </w:rPr>
        <w:t xml:space="preserve">, 10 (18), pp. 78-97, ISSN 2007-2678. </w:t>
      </w:r>
    </w:p>
    <w:p w14:paraId="7F93BC2B"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Pasquinelli, M. (2021). El Nooscopio de manifiesto: La inteligencia artificial como instrumento de extractivismo del conocimiento. </w:t>
      </w:r>
      <w:r w:rsidRPr="001D6D98">
        <w:rPr>
          <w:rFonts w:ascii="Times New Roman" w:eastAsia="Times New Roman" w:hAnsi="Times New Roman" w:cs="Times New Roman"/>
          <w:i/>
        </w:rPr>
        <w:t>LaFuga</w:t>
      </w:r>
      <w:r>
        <w:rPr>
          <w:rFonts w:ascii="Times New Roman" w:eastAsia="Times New Roman" w:hAnsi="Times New Roman" w:cs="Times New Roman"/>
        </w:rPr>
        <w:t>, 25.</w:t>
      </w:r>
    </w:p>
    <w:p w14:paraId="61A6BD99" w14:textId="6D3F6C79"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Pizzichini, A (2022)</w:t>
      </w:r>
      <w:r w:rsidR="006F18D2">
        <w:rPr>
          <w:rFonts w:ascii="Times New Roman" w:eastAsia="Times New Roman" w:hAnsi="Times New Roman" w:cs="Times New Roman"/>
        </w:rPr>
        <w:t>.</w:t>
      </w:r>
      <w:r>
        <w:rPr>
          <w:rFonts w:ascii="Times New Roman" w:eastAsia="Times New Roman" w:hAnsi="Times New Roman" w:cs="Times New Roman"/>
        </w:rPr>
        <w:t xml:space="preserve"> Trabajo Final Integrador: constructo social “Innovar Untref”: para una educación actual en tiempo real</w:t>
      </w:r>
      <w:r w:rsidR="001D6D98">
        <w:rPr>
          <w:rFonts w:ascii="Times New Roman" w:eastAsia="Times New Roman" w:hAnsi="Times New Roman" w:cs="Times New Roman"/>
        </w:rPr>
        <w:t>.</w:t>
      </w:r>
      <w:r>
        <w:rPr>
          <w:rFonts w:ascii="Times New Roman" w:eastAsia="Times New Roman" w:hAnsi="Times New Roman" w:cs="Times New Roman"/>
        </w:rPr>
        <w:t xml:space="preserve"> </w:t>
      </w:r>
      <w:r w:rsidRPr="001D6D98">
        <w:rPr>
          <w:rFonts w:ascii="Times New Roman" w:eastAsia="Times New Roman" w:hAnsi="Times New Roman" w:cs="Times New Roman"/>
          <w:i/>
        </w:rPr>
        <w:t>Universidad Nacional de Tres De Febrero</w:t>
      </w:r>
      <w:r>
        <w:rPr>
          <w:rFonts w:ascii="Times New Roman" w:eastAsia="Times New Roman" w:hAnsi="Times New Roman" w:cs="Times New Roman"/>
        </w:rPr>
        <w:t xml:space="preserve"> Especialización En Docencia Universitaria Docente - Tutora: Dra. Maura Ramos</w:t>
      </w:r>
      <w:r w:rsidR="00CE7FAF">
        <w:rPr>
          <w:rFonts w:ascii="Times New Roman" w:eastAsia="Times New Roman" w:hAnsi="Times New Roman" w:cs="Times New Roman"/>
        </w:rPr>
        <w:t>.</w:t>
      </w:r>
    </w:p>
    <w:p w14:paraId="0012A4DB" w14:textId="79DBE8EA" w:rsidR="00CE7FAF" w:rsidRDefault="00CE7FAF"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Pizzichini, A. (2025</w:t>
      </w:r>
      <w:r w:rsidRPr="00CE7FAF">
        <w:rPr>
          <w:rFonts w:ascii="Times New Roman" w:eastAsia="Times New Roman" w:hAnsi="Times New Roman" w:cs="Times New Roman"/>
        </w:rPr>
        <w:t>). Proyectos Institucionales para educación en abierto:</w:t>
      </w:r>
      <w:r>
        <w:rPr>
          <w:rFonts w:ascii="Times New Roman" w:eastAsia="Times New Roman" w:hAnsi="Times New Roman" w:cs="Times New Roman"/>
        </w:rPr>
        <w:t xml:space="preserve"> “El Constructo Innovar UNTREF”</w:t>
      </w:r>
      <w:r w:rsidRPr="00CE7FAF">
        <w:rPr>
          <w:rFonts w:ascii="Times New Roman" w:eastAsia="Times New Roman" w:hAnsi="Times New Roman" w:cs="Times New Roman"/>
        </w:rPr>
        <w:t>. Presentación en las Jornadas EDUTIC, Universidad Nacional del Nordeste (UNNE).</w:t>
      </w:r>
    </w:p>
    <w:p w14:paraId="54C479B6"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Raffaghelli, J. E. (2023). </w:t>
      </w:r>
      <w:r w:rsidRPr="001D6D98">
        <w:rPr>
          <w:rFonts w:ascii="Times New Roman" w:eastAsia="Times New Roman" w:hAnsi="Times New Roman" w:cs="Times New Roman"/>
          <w:i/>
        </w:rPr>
        <w:t>Construir culturas de datos justas en la universidad</w:t>
      </w:r>
      <w:r>
        <w:rPr>
          <w:rFonts w:ascii="Times New Roman" w:eastAsia="Times New Roman" w:hAnsi="Times New Roman" w:cs="Times New Roman"/>
        </w:rPr>
        <w:t xml:space="preserve"> (pp. 1-374). Ediciones Octaedro.</w:t>
      </w:r>
    </w:p>
    <w:p w14:paraId="107E20DF"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Rouvroy, A., &amp; Berns, T. (2018). </w:t>
      </w:r>
      <w:r w:rsidRPr="001D6D98">
        <w:rPr>
          <w:rFonts w:ascii="Times New Roman" w:eastAsia="Times New Roman" w:hAnsi="Times New Roman" w:cs="Times New Roman"/>
        </w:rPr>
        <w:t xml:space="preserve">Gubernamentalidad algorítmica y perspectiva de emancipación. </w:t>
      </w:r>
      <w:r w:rsidRPr="001D6D98">
        <w:rPr>
          <w:rFonts w:ascii="Times New Roman" w:eastAsia="Times New Roman" w:hAnsi="Times New Roman" w:cs="Times New Roman"/>
          <w:i/>
        </w:rPr>
        <w:t>Adenda Filosófica</w:t>
      </w:r>
      <w:r>
        <w:rPr>
          <w:rFonts w:ascii="Times New Roman" w:eastAsia="Times New Roman" w:hAnsi="Times New Roman" w:cs="Times New Roman"/>
        </w:rPr>
        <w:t xml:space="preserve">, 1, 88-116. </w:t>
      </w:r>
      <w:hyperlink r:id="rId28">
        <w:r>
          <w:rPr>
            <w:rFonts w:ascii="Times New Roman" w:eastAsia="Times New Roman" w:hAnsi="Times New Roman" w:cs="Times New Roman"/>
          </w:rPr>
          <w:t>https//doi.org/10.3917/res.177.0163</w:t>
        </w:r>
      </w:hyperlink>
    </w:p>
    <w:p w14:paraId="51BFD81D" w14:textId="77777777" w:rsidR="008A14A3" w:rsidRDefault="00D41BF2" w:rsidP="00A55763">
      <w:pPr>
        <w:pStyle w:val="Normal1"/>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Sadin, É. (2020). </w:t>
      </w:r>
      <w:r w:rsidRPr="001D6D98">
        <w:rPr>
          <w:rFonts w:ascii="Times New Roman" w:eastAsia="Times New Roman" w:hAnsi="Times New Roman" w:cs="Times New Roman"/>
          <w:i/>
        </w:rPr>
        <w:t>La inteligencia artificial o el desafío del siglo: anatomía de un antihumanismo radical</w:t>
      </w:r>
      <w:r>
        <w:rPr>
          <w:rFonts w:ascii="Times New Roman" w:eastAsia="Times New Roman" w:hAnsi="Times New Roman" w:cs="Times New Roman"/>
        </w:rPr>
        <w:t>. 1a ed. - Ciudad Autónoma de Buenos Aires: Caja Negra</w:t>
      </w:r>
    </w:p>
    <w:p w14:paraId="47D2A6DA" w14:textId="77777777" w:rsidR="008A14A3" w:rsidRDefault="00D41BF2" w:rsidP="00A55763">
      <w:pPr>
        <w:pStyle w:val="Normal1"/>
        <w:pBdr>
          <w:top w:val="nil"/>
          <w:left w:val="nil"/>
          <w:bottom w:val="nil"/>
          <w:right w:val="nil"/>
          <w:between w:val="nil"/>
        </w:pBd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T</w:t>
      </w:r>
      <w:r w:rsidR="00CD1492">
        <w:rPr>
          <w:rFonts w:ascii="Times New Roman" w:eastAsia="Times New Roman" w:hAnsi="Times New Roman" w:cs="Times New Roman"/>
        </w:rPr>
        <w:t>irado Serrano, Francisco Javier</w:t>
      </w:r>
      <w:r>
        <w:rPr>
          <w:rFonts w:ascii="Times New Roman" w:eastAsia="Times New Roman" w:hAnsi="Times New Roman" w:cs="Times New Roman"/>
        </w:rPr>
        <w:t xml:space="preserve"> &amp; Blasco Ejarque, José Luis. (2025). Gubernamentalidad algorítmica, inteligencia artificial y prácticas de disidencia en Latam. </w:t>
      </w:r>
      <w:r w:rsidRPr="001D6D98">
        <w:rPr>
          <w:rFonts w:ascii="Times New Roman" w:eastAsia="Times New Roman" w:hAnsi="Times New Roman" w:cs="Times New Roman"/>
          <w:i/>
        </w:rPr>
        <w:t>Psicoperspectivas</w:t>
      </w:r>
      <w:r>
        <w:rPr>
          <w:rFonts w:ascii="Times New Roman" w:eastAsia="Times New Roman" w:hAnsi="Times New Roman" w:cs="Times New Roman"/>
        </w:rPr>
        <w:t>, 24(2), 1-15. Epub 26 de agosto de 2025.</w:t>
      </w:r>
      <w:r w:rsidR="00CD1492">
        <w:rPr>
          <w:rFonts w:ascii="Times New Roman" w:eastAsia="Times New Roman" w:hAnsi="Times New Roman" w:cs="Times New Roman"/>
        </w:rPr>
        <w:t xml:space="preserve"> </w:t>
      </w:r>
      <w:hyperlink r:id="rId29">
        <w:r>
          <w:rPr>
            <w:rFonts w:ascii="Times New Roman" w:eastAsia="Times New Roman" w:hAnsi="Times New Roman" w:cs="Times New Roman"/>
          </w:rPr>
          <w:t>https://dx.doi.org/10.5027/psicoperspectivas-vol24-issue2-fulltext-3441</w:t>
        </w:r>
      </w:hyperlink>
      <w:r w:rsidR="00CD1492">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7757DC9F" w14:textId="77777777" w:rsidR="008A14A3" w:rsidRDefault="00D41BF2" w:rsidP="00A55763">
      <w:pPr>
        <w:pStyle w:val="Normal1"/>
        <w:pBdr>
          <w:top w:val="nil"/>
          <w:left w:val="nil"/>
          <w:bottom w:val="nil"/>
          <w:right w:val="nil"/>
          <w:between w:val="nil"/>
        </w:pBd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Torrealba Dugarte, J. D. (2024). Eduética en el uso de la inteligencia artificial a través de la ingeniería de prompts. </w:t>
      </w:r>
      <w:r>
        <w:rPr>
          <w:rFonts w:ascii="Times New Roman" w:eastAsia="Times New Roman" w:hAnsi="Times New Roman" w:cs="Times New Roman"/>
          <w:i/>
          <w:iCs/>
        </w:rPr>
        <w:t>Revista Digital de Investigación y Postgrado, 5</w:t>
      </w:r>
      <w:r>
        <w:rPr>
          <w:rFonts w:ascii="Times New Roman" w:eastAsia="Times New Roman" w:hAnsi="Times New Roman" w:cs="Times New Roman"/>
        </w:rPr>
        <w:t xml:space="preserve">(10), 261-266. </w:t>
      </w:r>
      <w:hyperlink r:id="rId30">
        <w:r>
          <w:rPr>
            <w:rFonts w:ascii="Times New Roman" w:eastAsia="Times New Roman" w:hAnsi="Times New Roman" w:cs="Times New Roman"/>
            <w:color w:val="0563C1"/>
            <w:u w:val="single"/>
          </w:rPr>
          <w:t>https://doi.org/10.59654/7j69c731</w:t>
        </w:r>
      </w:hyperlink>
    </w:p>
    <w:p w14:paraId="4A5C3C79" w14:textId="3D24F433" w:rsidR="008A14A3" w:rsidRDefault="008A14A3" w:rsidP="006F18D2">
      <w:pPr>
        <w:pStyle w:val="Normal1"/>
        <w:spacing w:after="300" w:line="240" w:lineRule="auto"/>
      </w:pPr>
    </w:p>
    <w:sectPr w:rsidR="008A14A3" w:rsidSect="008A14A3">
      <w:headerReference w:type="default" r:id="rId31"/>
      <w:footerReference w:type="default" r:id="rId32"/>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4065B" w14:textId="77777777" w:rsidR="00391654" w:rsidRDefault="00391654" w:rsidP="008A14A3">
      <w:pPr>
        <w:spacing w:after="0" w:line="240" w:lineRule="auto"/>
      </w:pPr>
      <w:r>
        <w:separator/>
      </w:r>
    </w:p>
  </w:endnote>
  <w:endnote w:type="continuationSeparator" w:id="0">
    <w:p w14:paraId="398FD478" w14:textId="77777777" w:rsidR="00391654" w:rsidRDefault="00391654" w:rsidP="008A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6AB3C0C-BD7D-4272-BE29-16CBE22E04F6}"/>
    <w:embedBold r:id="rId2" w:fontKey="{3D43F764-BD33-42F0-B64D-E61F57FED9CC}"/>
    <w:embedItalic r:id="rId3" w:fontKey="{52AB5C57-8B8D-449B-9779-236BDFD9F61B}"/>
  </w:font>
  <w:font w:name="Tahoma">
    <w:panose1 w:val="020B0604030504040204"/>
    <w:charset w:val="00"/>
    <w:family w:val="swiss"/>
    <w:pitch w:val="variable"/>
    <w:sig w:usb0="E1002EFF" w:usb1="C000605B" w:usb2="00000029" w:usb3="00000000" w:csb0="000101FF" w:csb1="00000000"/>
    <w:embedRegular r:id="rId4" w:fontKey="{889342F3-7361-48B8-9D43-E5571493C2F8}"/>
  </w:font>
  <w:font w:name="Google Sans">
    <w:charset w:val="00"/>
    <w:family w:val="auto"/>
    <w:pitch w:val="default"/>
    <w:embedRegular r:id="rId5" w:fontKey="{2491753E-8E17-4D12-8380-7E9205CB1BCC}"/>
  </w:font>
  <w:font w:name="Cambria">
    <w:panose1 w:val="02040503050406030204"/>
    <w:charset w:val="00"/>
    <w:family w:val="roman"/>
    <w:pitch w:val="variable"/>
    <w:sig w:usb0="E00006FF" w:usb1="420024FF" w:usb2="02000000" w:usb3="00000000" w:csb0="0000019F" w:csb1="00000000"/>
    <w:embedRegular r:id="rId6" w:fontKey="{DBE6D5FA-5BE3-40D8-A2CD-8E83E5CDE96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DFD68" w14:textId="77777777" w:rsidR="008A14A3" w:rsidRDefault="00D41BF2">
    <w:pPr>
      <w:pStyle w:val="Normal1"/>
      <w:pBdr>
        <w:top w:val="nil"/>
        <w:left w:val="nil"/>
        <w:bottom w:val="nil"/>
        <w:right w:val="nil"/>
        <w:between w:val="nil"/>
      </w:pBdr>
      <w:tabs>
        <w:tab w:val="center" w:pos="4252"/>
        <w:tab w:val="right" w:pos="8504"/>
      </w:tabs>
      <w:spacing w:after="0" w:line="240" w:lineRule="auto"/>
      <w:rPr>
        <w:color w:val="000000"/>
      </w:rPr>
    </w:pPr>
    <w:r>
      <w:rPr>
        <w:noProof/>
        <w:color w:val="000000"/>
        <w:lang w:val="en-US" w:eastAsia="en-US"/>
      </w:rPr>
      <w:drawing>
        <wp:inline distT="0" distB="0" distL="0" distR="0" wp14:anchorId="5F0BE477" wp14:editId="6648907B">
          <wp:extent cx="5400040" cy="428625"/>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626F5133" w14:textId="77777777" w:rsidR="008A14A3" w:rsidRDefault="008A14A3">
    <w:pPr>
      <w:pStyle w:val="Normal1"/>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AC13B" w14:textId="77777777" w:rsidR="00391654" w:rsidRDefault="00391654" w:rsidP="008A14A3">
      <w:pPr>
        <w:spacing w:after="0" w:line="240" w:lineRule="auto"/>
      </w:pPr>
      <w:r>
        <w:separator/>
      </w:r>
    </w:p>
  </w:footnote>
  <w:footnote w:type="continuationSeparator" w:id="0">
    <w:p w14:paraId="1E14C18E" w14:textId="77777777" w:rsidR="00391654" w:rsidRDefault="00391654" w:rsidP="008A1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A8226" w14:textId="77777777" w:rsidR="008A14A3" w:rsidRDefault="00D41BF2">
    <w:pPr>
      <w:pStyle w:val="Normal1"/>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n-US" w:eastAsia="en-US"/>
      </w:rPr>
      <w:drawing>
        <wp:inline distT="0" distB="0" distL="0" distR="0" wp14:anchorId="78202AA1" wp14:editId="051057FB">
          <wp:extent cx="2617939" cy="109132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D7276"/>
    <w:multiLevelType w:val="multilevel"/>
    <w:tmpl w:val="D8C0FF80"/>
    <w:lvl w:ilvl="0">
      <w:start w:val="1"/>
      <w:numFmt w:val="bullet"/>
      <w:lvlText w:val=""/>
      <w:lvlJc w:val="left"/>
      <w:pPr>
        <w:ind w:left="720" w:hanging="360"/>
      </w:pPr>
      <w:rPr>
        <w:rFonts w:ascii="Arial" w:eastAsia="Arial" w:hAnsi="Arial" w:cs="Arial"/>
        <w:b w:val="0"/>
        <w:bCs w:val="0"/>
        <w:i w:val="0"/>
        <w:iCs w:val="0"/>
        <w:smallCaps w:val="0"/>
        <w:color w:val="000000"/>
        <w:sz w:val="18"/>
        <w:szCs w:val="18"/>
        <w:u w:val="none"/>
      </w:rPr>
    </w:lvl>
    <w:lvl w:ilvl="1">
      <w:start w:val="1"/>
      <w:numFmt w:val="bullet"/>
      <w:lvlText w:val=""/>
      <w:lvlJc w:val="left"/>
      <w:pPr>
        <w:ind w:left="1440" w:hanging="360"/>
      </w:pPr>
      <w:rPr>
        <w:rFonts w:ascii="Arial" w:eastAsia="Arial" w:hAnsi="Arial" w:cs="Arial"/>
        <w:b w:val="0"/>
        <w:bCs w:val="0"/>
        <w:i w:val="0"/>
        <w:iCs w:val="0"/>
        <w:smallCaps w:val="0"/>
        <w:color w:val="000000"/>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4A3"/>
    <w:rsid w:val="00007ABE"/>
    <w:rsid w:val="000604C8"/>
    <w:rsid w:val="0007604B"/>
    <w:rsid w:val="000779E2"/>
    <w:rsid w:val="000B7797"/>
    <w:rsid w:val="000C18E9"/>
    <w:rsid w:val="000C18F1"/>
    <w:rsid w:val="001462F4"/>
    <w:rsid w:val="0016422A"/>
    <w:rsid w:val="001B1928"/>
    <w:rsid w:val="001B7BE3"/>
    <w:rsid w:val="001D6D98"/>
    <w:rsid w:val="001F1EE6"/>
    <w:rsid w:val="001F289C"/>
    <w:rsid w:val="00231768"/>
    <w:rsid w:val="002444BA"/>
    <w:rsid w:val="002643BB"/>
    <w:rsid w:val="002945E9"/>
    <w:rsid w:val="00297BEE"/>
    <w:rsid w:val="002A2E8D"/>
    <w:rsid w:val="00316145"/>
    <w:rsid w:val="00326558"/>
    <w:rsid w:val="00336DFF"/>
    <w:rsid w:val="003373A7"/>
    <w:rsid w:val="00337645"/>
    <w:rsid w:val="00391654"/>
    <w:rsid w:val="003A2BF6"/>
    <w:rsid w:val="003C1448"/>
    <w:rsid w:val="003C3D84"/>
    <w:rsid w:val="00402A06"/>
    <w:rsid w:val="00454C7F"/>
    <w:rsid w:val="00464E2A"/>
    <w:rsid w:val="00470DD9"/>
    <w:rsid w:val="00490F2D"/>
    <w:rsid w:val="004915F9"/>
    <w:rsid w:val="00492898"/>
    <w:rsid w:val="004B0E30"/>
    <w:rsid w:val="004E049A"/>
    <w:rsid w:val="004F4943"/>
    <w:rsid w:val="005326E7"/>
    <w:rsid w:val="005379E1"/>
    <w:rsid w:val="005514B3"/>
    <w:rsid w:val="00555568"/>
    <w:rsid w:val="005A5C77"/>
    <w:rsid w:val="005E6689"/>
    <w:rsid w:val="006A6E7E"/>
    <w:rsid w:val="006F18D2"/>
    <w:rsid w:val="006F2D6A"/>
    <w:rsid w:val="00701A94"/>
    <w:rsid w:val="00726D4D"/>
    <w:rsid w:val="00757D5B"/>
    <w:rsid w:val="00785668"/>
    <w:rsid w:val="00794E15"/>
    <w:rsid w:val="007B698F"/>
    <w:rsid w:val="007E7EB3"/>
    <w:rsid w:val="00820541"/>
    <w:rsid w:val="008A14A3"/>
    <w:rsid w:val="008F62CF"/>
    <w:rsid w:val="00902FAE"/>
    <w:rsid w:val="00905F8F"/>
    <w:rsid w:val="009320FF"/>
    <w:rsid w:val="009429D0"/>
    <w:rsid w:val="00947B27"/>
    <w:rsid w:val="00950C8A"/>
    <w:rsid w:val="009B0296"/>
    <w:rsid w:val="009E61E9"/>
    <w:rsid w:val="009F416B"/>
    <w:rsid w:val="009F65D2"/>
    <w:rsid w:val="00A25C00"/>
    <w:rsid w:val="00A55763"/>
    <w:rsid w:val="00AC351F"/>
    <w:rsid w:val="00AD3EB9"/>
    <w:rsid w:val="00B149ED"/>
    <w:rsid w:val="00B3237F"/>
    <w:rsid w:val="00B37F41"/>
    <w:rsid w:val="00B96C8A"/>
    <w:rsid w:val="00BA5576"/>
    <w:rsid w:val="00C236AA"/>
    <w:rsid w:val="00C92E1D"/>
    <w:rsid w:val="00C93E57"/>
    <w:rsid w:val="00CD1492"/>
    <w:rsid w:val="00CE41FE"/>
    <w:rsid w:val="00CE7FAF"/>
    <w:rsid w:val="00D41BF2"/>
    <w:rsid w:val="00D9364F"/>
    <w:rsid w:val="00DA7794"/>
    <w:rsid w:val="00DC2DA3"/>
    <w:rsid w:val="00DE050C"/>
    <w:rsid w:val="00DF46BB"/>
    <w:rsid w:val="00E04DBC"/>
    <w:rsid w:val="00E0773B"/>
    <w:rsid w:val="00E6426A"/>
    <w:rsid w:val="00E764A1"/>
    <w:rsid w:val="00F527DA"/>
    <w:rsid w:val="00F62001"/>
    <w:rsid w:val="00F9215E"/>
    <w:rsid w:val="00FB1FF0"/>
    <w:rsid w:val="00FE17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CA6F"/>
  <w15:docId w15:val="{1E556565-4B74-4CF9-B4FB-5B42AE32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s-E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rsid w:val="008A14A3"/>
    <w:pPr>
      <w:keepNext/>
      <w:keepLines/>
      <w:spacing w:before="360" w:after="80"/>
      <w:outlineLvl w:val="0"/>
    </w:pPr>
    <w:rPr>
      <w:color w:val="2F5496"/>
      <w:sz w:val="40"/>
      <w:szCs w:val="40"/>
    </w:rPr>
  </w:style>
  <w:style w:type="paragraph" w:styleId="Ttulo2">
    <w:name w:val="heading 2"/>
    <w:basedOn w:val="Normal1"/>
    <w:next w:val="Normal1"/>
    <w:rsid w:val="008A14A3"/>
    <w:pPr>
      <w:keepNext/>
      <w:keepLines/>
      <w:spacing w:before="160" w:after="80"/>
      <w:outlineLvl w:val="1"/>
    </w:pPr>
    <w:rPr>
      <w:color w:val="2F5496"/>
      <w:sz w:val="32"/>
      <w:szCs w:val="32"/>
    </w:rPr>
  </w:style>
  <w:style w:type="paragraph" w:styleId="Ttulo3">
    <w:name w:val="heading 3"/>
    <w:basedOn w:val="Normal1"/>
    <w:next w:val="Normal1"/>
    <w:rsid w:val="008A14A3"/>
    <w:pPr>
      <w:keepNext/>
      <w:keepLines/>
      <w:spacing w:before="160" w:after="80"/>
      <w:outlineLvl w:val="2"/>
    </w:pPr>
    <w:rPr>
      <w:color w:val="2F5496"/>
      <w:sz w:val="28"/>
      <w:szCs w:val="28"/>
    </w:rPr>
  </w:style>
  <w:style w:type="paragraph" w:styleId="Ttulo4">
    <w:name w:val="heading 4"/>
    <w:basedOn w:val="Normal1"/>
    <w:next w:val="Normal1"/>
    <w:rsid w:val="008A14A3"/>
    <w:pPr>
      <w:keepNext/>
      <w:keepLines/>
      <w:spacing w:before="80" w:after="40"/>
      <w:outlineLvl w:val="3"/>
    </w:pPr>
    <w:rPr>
      <w:i/>
      <w:iCs/>
      <w:color w:val="2F5496"/>
    </w:rPr>
  </w:style>
  <w:style w:type="paragraph" w:styleId="Ttulo5">
    <w:name w:val="heading 5"/>
    <w:basedOn w:val="Normal1"/>
    <w:next w:val="Normal1"/>
    <w:rsid w:val="008A14A3"/>
    <w:pPr>
      <w:keepNext/>
      <w:keepLines/>
      <w:spacing w:before="80" w:after="40"/>
      <w:outlineLvl w:val="4"/>
    </w:pPr>
    <w:rPr>
      <w:color w:val="2F5496"/>
    </w:rPr>
  </w:style>
  <w:style w:type="paragraph" w:styleId="Ttulo6">
    <w:name w:val="heading 6"/>
    <w:basedOn w:val="Normal1"/>
    <w:next w:val="Normal1"/>
    <w:rsid w:val="008A14A3"/>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8A14A3"/>
    <w:tblPr>
      <w:tblCellMar>
        <w:top w:w="100" w:type="dxa"/>
        <w:left w:w="100" w:type="dxa"/>
        <w:bottom w:w="100" w:type="dxa"/>
        <w:right w:w="100" w:type="dxa"/>
      </w:tblCellMar>
    </w:tblPr>
  </w:style>
  <w:style w:type="paragraph" w:customStyle="1" w:styleId="Normal1">
    <w:name w:val="Normal1"/>
    <w:rsid w:val="008A14A3"/>
  </w:style>
  <w:style w:type="paragraph" w:styleId="Ttulo">
    <w:name w:val="Title"/>
    <w:basedOn w:val="Normal1"/>
    <w:next w:val="Normal1"/>
    <w:rsid w:val="008A14A3"/>
    <w:pPr>
      <w:spacing w:after="80" w:line="240" w:lineRule="auto"/>
    </w:pPr>
    <w:rPr>
      <w:sz w:val="56"/>
      <w:szCs w:val="56"/>
    </w:rPr>
  </w:style>
  <w:style w:type="paragraph" w:styleId="Subttulo">
    <w:name w:val="Subtitle"/>
    <w:basedOn w:val="Normal1"/>
    <w:next w:val="Normal1"/>
    <w:rsid w:val="008A14A3"/>
    <w:rPr>
      <w:color w:val="595959"/>
      <w:sz w:val="28"/>
      <w:szCs w:val="28"/>
    </w:rPr>
  </w:style>
  <w:style w:type="paragraph" w:styleId="Textodeglobo">
    <w:name w:val="Balloon Text"/>
    <w:basedOn w:val="Normal"/>
    <w:link w:val="TextodegloboCar"/>
    <w:uiPriority w:val="99"/>
    <w:semiHidden/>
    <w:unhideWhenUsed/>
    <w:rsid w:val="000760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604B"/>
    <w:rPr>
      <w:rFonts w:ascii="Tahoma" w:hAnsi="Tahoma" w:cs="Tahoma"/>
      <w:sz w:val="16"/>
      <w:szCs w:val="16"/>
    </w:rPr>
  </w:style>
  <w:style w:type="character" w:styleId="Refdecomentario">
    <w:name w:val="annotation reference"/>
    <w:basedOn w:val="Fuentedeprrafopredeter"/>
    <w:uiPriority w:val="99"/>
    <w:semiHidden/>
    <w:unhideWhenUsed/>
    <w:rsid w:val="00B37F41"/>
    <w:rPr>
      <w:sz w:val="16"/>
      <w:szCs w:val="16"/>
    </w:rPr>
  </w:style>
  <w:style w:type="paragraph" w:styleId="Textocomentario">
    <w:name w:val="annotation text"/>
    <w:basedOn w:val="Normal"/>
    <w:link w:val="TextocomentarioCar"/>
    <w:uiPriority w:val="99"/>
    <w:semiHidden/>
    <w:unhideWhenUsed/>
    <w:rsid w:val="00B37F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37F41"/>
    <w:rPr>
      <w:sz w:val="20"/>
      <w:szCs w:val="20"/>
    </w:rPr>
  </w:style>
  <w:style w:type="paragraph" w:styleId="Asuntodelcomentario">
    <w:name w:val="annotation subject"/>
    <w:basedOn w:val="Textocomentario"/>
    <w:next w:val="Textocomentario"/>
    <w:link w:val="AsuntodelcomentarioCar"/>
    <w:uiPriority w:val="99"/>
    <w:semiHidden/>
    <w:unhideWhenUsed/>
    <w:rsid w:val="00B37F41"/>
    <w:rPr>
      <w:b/>
      <w:bCs/>
    </w:rPr>
  </w:style>
  <w:style w:type="character" w:customStyle="1" w:styleId="AsuntodelcomentarioCar">
    <w:name w:val="Asunto del comentario Car"/>
    <w:basedOn w:val="TextocomentarioCar"/>
    <w:link w:val="Asuntodelcomentario"/>
    <w:uiPriority w:val="99"/>
    <w:semiHidden/>
    <w:rsid w:val="00B37F41"/>
    <w:rPr>
      <w:b/>
      <w:bCs/>
      <w:sz w:val="20"/>
      <w:szCs w:val="20"/>
    </w:rPr>
  </w:style>
  <w:style w:type="paragraph" w:styleId="Encabezado">
    <w:name w:val="header"/>
    <w:basedOn w:val="Normal"/>
    <w:link w:val="EncabezadoCar"/>
    <w:uiPriority w:val="99"/>
    <w:unhideWhenUsed/>
    <w:rsid w:val="000C18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18E9"/>
  </w:style>
  <w:style w:type="paragraph" w:styleId="Piedepgina">
    <w:name w:val="footer"/>
    <w:basedOn w:val="Normal"/>
    <w:link w:val="PiedepginaCar"/>
    <w:uiPriority w:val="99"/>
    <w:unhideWhenUsed/>
    <w:rsid w:val="000C18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1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220274">
      <w:bodyDiv w:val="1"/>
      <w:marLeft w:val="0"/>
      <w:marRight w:val="0"/>
      <w:marTop w:val="0"/>
      <w:marBottom w:val="0"/>
      <w:divBdr>
        <w:top w:val="none" w:sz="0" w:space="0" w:color="auto"/>
        <w:left w:val="none" w:sz="0" w:space="0" w:color="auto"/>
        <w:bottom w:val="none" w:sz="0" w:space="0" w:color="auto"/>
        <w:right w:val="none" w:sz="0" w:space="0" w:color="auto"/>
      </w:divBdr>
      <w:divsChild>
        <w:div w:id="1206721178">
          <w:marLeft w:val="0"/>
          <w:marRight w:val="0"/>
          <w:marTop w:val="0"/>
          <w:marBottom w:val="0"/>
          <w:divBdr>
            <w:top w:val="none" w:sz="0" w:space="0" w:color="auto"/>
            <w:left w:val="none" w:sz="0" w:space="0" w:color="auto"/>
            <w:bottom w:val="none" w:sz="0" w:space="0" w:color="auto"/>
            <w:right w:val="none" w:sz="0" w:space="0" w:color="auto"/>
          </w:divBdr>
        </w:div>
        <w:div w:id="324476447">
          <w:marLeft w:val="0"/>
          <w:marRight w:val="0"/>
          <w:marTop w:val="0"/>
          <w:marBottom w:val="0"/>
          <w:divBdr>
            <w:top w:val="none" w:sz="0" w:space="0" w:color="auto"/>
            <w:left w:val="none" w:sz="0" w:space="0" w:color="auto"/>
            <w:bottom w:val="none" w:sz="0" w:space="0" w:color="auto"/>
            <w:right w:val="none" w:sz="0" w:space="0" w:color="auto"/>
          </w:divBdr>
        </w:div>
      </w:divsChild>
    </w:div>
    <w:div w:id="2058358841">
      <w:bodyDiv w:val="1"/>
      <w:marLeft w:val="0"/>
      <w:marRight w:val="0"/>
      <w:marTop w:val="0"/>
      <w:marBottom w:val="0"/>
      <w:divBdr>
        <w:top w:val="none" w:sz="0" w:space="0" w:color="auto"/>
        <w:left w:val="none" w:sz="0" w:space="0" w:color="auto"/>
        <w:bottom w:val="none" w:sz="0" w:space="0" w:color="auto"/>
        <w:right w:val="none" w:sz="0" w:space="0" w:color="auto"/>
      </w:divBdr>
      <w:divsChild>
        <w:div w:id="1567380028">
          <w:marLeft w:val="0"/>
          <w:marRight w:val="0"/>
          <w:marTop w:val="0"/>
          <w:marBottom w:val="0"/>
          <w:divBdr>
            <w:top w:val="none" w:sz="0" w:space="0" w:color="auto"/>
            <w:left w:val="none" w:sz="0" w:space="0" w:color="auto"/>
            <w:bottom w:val="none" w:sz="0" w:space="0" w:color="auto"/>
            <w:right w:val="none" w:sz="0" w:space="0" w:color="auto"/>
          </w:divBdr>
        </w:div>
        <w:div w:id="1470515523">
          <w:marLeft w:val="0"/>
          <w:marRight w:val="0"/>
          <w:marTop w:val="0"/>
          <w:marBottom w:val="0"/>
          <w:divBdr>
            <w:top w:val="none" w:sz="0" w:space="0" w:color="auto"/>
            <w:left w:val="none" w:sz="0" w:space="0" w:color="auto"/>
            <w:bottom w:val="none" w:sz="0" w:space="0" w:color="auto"/>
            <w:right w:val="none" w:sz="0" w:space="0" w:color="auto"/>
          </w:divBdr>
        </w:div>
        <w:div w:id="1033652544">
          <w:marLeft w:val="0"/>
          <w:marRight w:val="0"/>
          <w:marTop w:val="0"/>
          <w:marBottom w:val="0"/>
          <w:divBdr>
            <w:top w:val="none" w:sz="0" w:space="0" w:color="auto"/>
            <w:left w:val="none" w:sz="0" w:space="0" w:color="auto"/>
            <w:bottom w:val="none" w:sz="0" w:space="0" w:color="auto"/>
            <w:right w:val="none" w:sz="0" w:space="0" w:color="auto"/>
          </w:divBdr>
        </w:div>
        <w:div w:id="652681618">
          <w:marLeft w:val="0"/>
          <w:marRight w:val="0"/>
          <w:marTop w:val="0"/>
          <w:marBottom w:val="0"/>
          <w:divBdr>
            <w:top w:val="none" w:sz="0" w:space="0" w:color="auto"/>
            <w:left w:val="none" w:sz="0" w:space="0" w:color="auto"/>
            <w:bottom w:val="none" w:sz="0" w:space="0" w:color="auto"/>
            <w:right w:val="none" w:sz="0" w:space="0" w:color="auto"/>
          </w:divBdr>
        </w:div>
        <w:div w:id="1641767767">
          <w:marLeft w:val="0"/>
          <w:marRight w:val="0"/>
          <w:marTop w:val="0"/>
          <w:marBottom w:val="0"/>
          <w:divBdr>
            <w:top w:val="none" w:sz="0" w:space="0" w:color="auto"/>
            <w:left w:val="none" w:sz="0" w:space="0" w:color="auto"/>
            <w:bottom w:val="none" w:sz="0" w:space="0" w:color="auto"/>
            <w:right w:val="none" w:sz="0" w:space="0" w:color="auto"/>
          </w:divBdr>
        </w:div>
        <w:div w:id="615672064">
          <w:marLeft w:val="0"/>
          <w:marRight w:val="0"/>
          <w:marTop w:val="0"/>
          <w:marBottom w:val="0"/>
          <w:divBdr>
            <w:top w:val="none" w:sz="0" w:space="0" w:color="auto"/>
            <w:left w:val="none" w:sz="0" w:space="0" w:color="auto"/>
            <w:bottom w:val="none" w:sz="0" w:space="0" w:color="auto"/>
            <w:right w:val="none" w:sz="0" w:space="0" w:color="auto"/>
          </w:divBdr>
        </w:div>
        <w:div w:id="1597058687">
          <w:marLeft w:val="0"/>
          <w:marRight w:val="0"/>
          <w:marTop w:val="0"/>
          <w:marBottom w:val="0"/>
          <w:divBdr>
            <w:top w:val="none" w:sz="0" w:space="0" w:color="auto"/>
            <w:left w:val="none" w:sz="0" w:space="0" w:color="auto"/>
            <w:bottom w:val="none" w:sz="0" w:space="0" w:color="auto"/>
            <w:right w:val="none" w:sz="0" w:space="0" w:color="auto"/>
          </w:divBdr>
        </w:div>
        <w:div w:id="1451049609">
          <w:marLeft w:val="0"/>
          <w:marRight w:val="0"/>
          <w:marTop w:val="0"/>
          <w:marBottom w:val="0"/>
          <w:divBdr>
            <w:top w:val="none" w:sz="0" w:space="0" w:color="auto"/>
            <w:left w:val="none" w:sz="0" w:space="0" w:color="auto"/>
            <w:bottom w:val="none" w:sz="0" w:space="0" w:color="auto"/>
            <w:right w:val="none" w:sz="0" w:space="0" w:color="auto"/>
          </w:divBdr>
        </w:div>
        <w:div w:id="774861524">
          <w:marLeft w:val="0"/>
          <w:marRight w:val="0"/>
          <w:marTop w:val="0"/>
          <w:marBottom w:val="0"/>
          <w:divBdr>
            <w:top w:val="none" w:sz="0" w:space="0" w:color="auto"/>
            <w:left w:val="none" w:sz="0" w:space="0" w:color="auto"/>
            <w:bottom w:val="none" w:sz="0" w:space="0" w:color="auto"/>
            <w:right w:val="none" w:sz="0" w:space="0" w:color="auto"/>
          </w:divBdr>
        </w:div>
        <w:div w:id="1591574192">
          <w:marLeft w:val="0"/>
          <w:marRight w:val="0"/>
          <w:marTop w:val="0"/>
          <w:marBottom w:val="0"/>
          <w:divBdr>
            <w:top w:val="none" w:sz="0" w:space="0" w:color="auto"/>
            <w:left w:val="none" w:sz="0" w:space="0" w:color="auto"/>
            <w:bottom w:val="none" w:sz="0" w:space="0" w:color="auto"/>
            <w:right w:val="none" w:sz="0" w:space="0" w:color="auto"/>
          </w:divBdr>
        </w:div>
        <w:div w:id="15751686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sievi.udi.edu.co/ojs/index.php/ID/article/view/13/10"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17398/1695-288X.16.2.1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x.doi.org/10.5027/psicoperspectivas-vol24-issue2-fulltext-34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scielo.cl/https//doi.org/10.3917/res.177.0163" TargetMode="External"/><Relationship Id="rId10" Type="http://schemas.openxmlformats.org/officeDocument/2006/relationships/hyperlink" Target="mailto:apizzichini@untref.edu.ar" TargetMode="Externa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deanso@untref.edu.a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ssrn.com/abstract=3854445" TargetMode="External"/><Relationship Id="rId30" Type="http://schemas.openxmlformats.org/officeDocument/2006/relationships/hyperlink" Target="https://www.google.com/search?q=https://doi.org/10.59654/7j69c731" TargetMode="External"/><Relationship Id="rId8" Type="http://schemas.openxmlformats.org/officeDocument/2006/relationships/hyperlink" Target="mailto:ariel344@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GXmI4Uec+XCU8BSzWPFuob5Ag==">CgMxLjAyDmguM29weWdoYXJ4d3lsOAByITFfbzRtMWRBV3NqejhlMWE4cXVkOW12ejR1MW52djJIdg==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4451</TotalTime>
  <Pages>17</Pages>
  <Words>5966</Words>
  <Characters>34007</Characters>
  <Application>Microsoft Office Word</Application>
  <DocSecurity>0</DocSecurity>
  <Lines>283</Lines>
  <Paragraphs>79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w10full</dc:creator>
  <cp:lastModifiedBy>Agustin</cp:lastModifiedBy>
  <cp:revision>68</cp:revision>
  <dcterms:created xsi:type="dcterms:W3CDTF">2026-07-01T19:20:00Z</dcterms:created>
  <dcterms:modified xsi:type="dcterms:W3CDTF">2026-07-05T01:05:00Z</dcterms:modified>
</cp:coreProperties>
</file>