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B3483" w14:textId="77777777" w:rsidR="00C802F5" w:rsidRPr="00BA642E" w:rsidRDefault="00C802F5" w:rsidP="001923DC">
      <w:pPr>
        <w:jc w:val="center"/>
        <w:rPr>
          <w:rFonts w:cs="Times New Roman"/>
        </w:rPr>
      </w:pPr>
    </w:p>
    <w:p w14:paraId="4C25E4AA" w14:textId="77777777" w:rsidR="009A4673" w:rsidRDefault="009A4673" w:rsidP="009A4673">
      <w:pPr>
        <w:spacing w:after="0" w:line="240" w:lineRule="auto"/>
        <w:jc w:val="center"/>
        <w:rPr>
          <w:rFonts w:cs="Times New Roman"/>
          <w:b/>
          <w:bCs/>
        </w:rPr>
      </w:pPr>
      <w:r w:rsidRPr="009A4673">
        <w:rPr>
          <w:rFonts w:cs="Times New Roman"/>
          <w:b/>
          <w:bCs/>
        </w:rPr>
        <w:t>Autonomía universitaria y democratización de la educación superior: interpretaciones de gestores sobre políticas afirmativas</w:t>
      </w:r>
    </w:p>
    <w:p w14:paraId="09C60F9E" w14:textId="74B4244F" w:rsidR="009A4673" w:rsidRDefault="009A4673" w:rsidP="005F3B2E">
      <w:pPr>
        <w:spacing w:after="0" w:line="240" w:lineRule="auto"/>
        <w:jc w:val="right"/>
        <w:rPr>
          <w:rFonts w:cs="Times New Roman"/>
          <w:b/>
          <w:bCs/>
        </w:rPr>
      </w:pPr>
    </w:p>
    <w:p w14:paraId="3DE1EA01" w14:textId="77777777" w:rsidR="007E744D" w:rsidRDefault="007E744D" w:rsidP="005F3B2E">
      <w:pPr>
        <w:spacing w:after="0" w:line="240" w:lineRule="auto"/>
        <w:jc w:val="right"/>
        <w:rPr>
          <w:rFonts w:cs="Times New Roman"/>
          <w:b/>
          <w:bCs/>
        </w:rPr>
      </w:pPr>
    </w:p>
    <w:p w14:paraId="1FA0F857" w14:textId="77777777" w:rsidR="005F3B2E" w:rsidRPr="00BA642E" w:rsidRDefault="005F3B2E" w:rsidP="005F3B2E">
      <w:pPr>
        <w:rPr>
          <w:rFonts w:cs="Times New Roman"/>
        </w:rPr>
      </w:pPr>
    </w:p>
    <w:p w14:paraId="1275A9C7" w14:textId="68991C7E" w:rsidR="005F3B2E" w:rsidRPr="00BA642E" w:rsidRDefault="00337355" w:rsidP="005F3B2E">
      <w:pPr>
        <w:spacing w:after="0" w:line="240" w:lineRule="auto"/>
        <w:jc w:val="right"/>
        <w:rPr>
          <w:rFonts w:cs="Times New Roman"/>
        </w:rPr>
      </w:pPr>
      <w:r>
        <w:rPr>
          <w:rFonts w:cs="Times New Roman"/>
        </w:rPr>
        <w:t>Edgar Bendahan Rodrigues</w:t>
      </w:r>
    </w:p>
    <w:p w14:paraId="46FEEBE4" w14:textId="539147A4" w:rsidR="005F3B2E" w:rsidRPr="00BA642E" w:rsidRDefault="00337355" w:rsidP="005F3B2E">
      <w:pPr>
        <w:spacing w:after="0" w:line="240" w:lineRule="auto"/>
        <w:jc w:val="right"/>
        <w:rPr>
          <w:rFonts w:cs="Times New Roman"/>
        </w:rPr>
      </w:pPr>
      <w:r>
        <w:rPr>
          <w:rFonts w:cs="Times New Roman"/>
        </w:rPr>
        <w:t>Universidade Estadual Paulista</w:t>
      </w:r>
    </w:p>
    <w:p w14:paraId="3CAC774D" w14:textId="73D2C2A9" w:rsidR="005F3B2E" w:rsidRDefault="00A177F5" w:rsidP="005F3B2E">
      <w:pPr>
        <w:spacing w:after="0" w:line="240" w:lineRule="auto"/>
        <w:jc w:val="right"/>
        <w:rPr>
          <w:rFonts w:cs="Times New Roman"/>
        </w:rPr>
      </w:pPr>
      <w:hyperlink r:id="rId6" w:history="1">
        <w:r w:rsidR="009A4673" w:rsidRPr="007B7512">
          <w:rPr>
            <w:rStyle w:val="Hyperlink"/>
            <w:rFonts w:cs="Times New Roman"/>
          </w:rPr>
          <w:t>edgar.bendahan@unesp.br</w:t>
        </w:r>
      </w:hyperlink>
    </w:p>
    <w:p w14:paraId="640847CC" w14:textId="77777777" w:rsidR="005F3B2E" w:rsidRPr="00BA642E" w:rsidRDefault="005F3B2E" w:rsidP="005F3B2E">
      <w:pPr>
        <w:spacing w:after="0" w:line="240" w:lineRule="auto"/>
        <w:jc w:val="right"/>
        <w:rPr>
          <w:rFonts w:cs="Times New Roman"/>
        </w:rPr>
      </w:pPr>
    </w:p>
    <w:p w14:paraId="3F6986E9" w14:textId="6F4B7106" w:rsidR="005F3B2E" w:rsidRPr="00BA642E" w:rsidRDefault="00C802F5" w:rsidP="00C802F5">
      <w:pPr>
        <w:tabs>
          <w:tab w:val="center" w:pos="4252"/>
          <w:tab w:val="right" w:pos="8504"/>
        </w:tabs>
        <w:spacing w:after="0" w:line="240" w:lineRule="auto"/>
        <w:rPr>
          <w:rFonts w:cs="Times New Roman"/>
        </w:rPr>
      </w:pPr>
      <w:r w:rsidRPr="00BA642E">
        <w:rPr>
          <w:rFonts w:cs="Times New Roman"/>
        </w:rPr>
        <w:tab/>
      </w:r>
      <w:r w:rsidRPr="00BA642E">
        <w:rPr>
          <w:rFonts w:cs="Times New Roman"/>
        </w:rPr>
        <w:tab/>
      </w:r>
      <w:r w:rsidR="00337355">
        <w:rPr>
          <w:rFonts w:cs="Times New Roman"/>
        </w:rPr>
        <w:t>Mário Sérgio Vasconcelos</w:t>
      </w:r>
    </w:p>
    <w:p w14:paraId="4E696C7D" w14:textId="0137BD49" w:rsidR="005F3B2E" w:rsidRPr="00BA642E" w:rsidRDefault="00337355" w:rsidP="005F3B2E">
      <w:pPr>
        <w:spacing w:after="0" w:line="240" w:lineRule="auto"/>
        <w:jc w:val="right"/>
        <w:rPr>
          <w:rFonts w:cs="Times New Roman"/>
        </w:rPr>
      </w:pPr>
      <w:r>
        <w:rPr>
          <w:rFonts w:cs="Times New Roman"/>
        </w:rPr>
        <w:t>Universidade Estadual Paulista</w:t>
      </w:r>
    </w:p>
    <w:p w14:paraId="3D73DB11" w14:textId="57A70739" w:rsidR="005F3B2E" w:rsidRDefault="00A177F5" w:rsidP="005F3B2E">
      <w:pPr>
        <w:spacing w:after="0" w:line="240" w:lineRule="auto"/>
        <w:jc w:val="right"/>
        <w:rPr>
          <w:rFonts w:cs="Times New Roman"/>
        </w:rPr>
      </w:pPr>
      <w:hyperlink r:id="rId7" w:history="1">
        <w:r w:rsidR="009A4673" w:rsidRPr="007B7512">
          <w:rPr>
            <w:rStyle w:val="Hyperlink"/>
            <w:rFonts w:cs="Times New Roman"/>
          </w:rPr>
          <w:t>mario.sergio@unesp.br</w:t>
        </w:r>
      </w:hyperlink>
    </w:p>
    <w:p w14:paraId="4C27B5F3" w14:textId="46D9D447" w:rsidR="009A4673" w:rsidRDefault="009A4673" w:rsidP="005F3B2E">
      <w:pPr>
        <w:spacing w:after="0" w:line="240" w:lineRule="auto"/>
        <w:jc w:val="right"/>
        <w:rPr>
          <w:rFonts w:cs="Times New Roman"/>
        </w:rPr>
      </w:pPr>
    </w:p>
    <w:p w14:paraId="1030F9B9" w14:textId="77777777" w:rsidR="009A4673" w:rsidRPr="00BA642E" w:rsidRDefault="009A4673" w:rsidP="009A4673">
      <w:pPr>
        <w:spacing w:after="0" w:line="240" w:lineRule="auto"/>
        <w:jc w:val="right"/>
        <w:rPr>
          <w:rFonts w:cs="Times New Roman"/>
        </w:rPr>
      </w:pPr>
      <w:r>
        <w:rPr>
          <w:rFonts w:cs="Times New Roman"/>
        </w:rPr>
        <w:t>Hinan Tsai Sun</w:t>
      </w:r>
    </w:p>
    <w:p w14:paraId="41E8DD90" w14:textId="77777777" w:rsidR="009A4673" w:rsidRPr="00BA642E" w:rsidRDefault="009A4673" w:rsidP="009A4673">
      <w:pPr>
        <w:spacing w:after="0" w:line="240" w:lineRule="auto"/>
        <w:jc w:val="right"/>
        <w:rPr>
          <w:rFonts w:cs="Times New Roman"/>
        </w:rPr>
      </w:pPr>
      <w:r>
        <w:rPr>
          <w:rFonts w:cs="Times New Roman"/>
        </w:rPr>
        <w:t>Universidade Estadual de Alagoas</w:t>
      </w:r>
    </w:p>
    <w:p w14:paraId="1D88AF5D" w14:textId="59D5CA41" w:rsidR="009A4673" w:rsidRDefault="00A177F5" w:rsidP="009A4673">
      <w:pPr>
        <w:spacing w:after="0" w:line="240" w:lineRule="auto"/>
        <w:jc w:val="right"/>
        <w:rPr>
          <w:rFonts w:cs="Times New Roman"/>
        </w:rPr>
      </w:pPr>
      <w:hyperlink r:id="rId8" w:history="1">
        <w:r w:rsidR="009A4673" w:rsidRPr="007B7512">
          <w:rPr>
            <w:rStyle w:val="Hyperlink"/>
            <w:rFonts w:cs="Times New Roman"/>
          </w:rPr>
          <w:t>hinan.sun@unesp.br</w:t>
        </w:r>
      </w:hyperlink>
    </w:p>
    <w:p w14:paraId="1B43FD84" w14:textId="77777777" w:rsidR="001923DC" w:rsidRPr="00BA642E" w:rsidRDefault="001923DC" w:rsidP="009A4673">
      <w:pPr>
        <w:rPr>
          <w:rFonts w:cs="Times New Roman"/>
        </w:rPr>
      </w:pPr>
    </w:p>
    <w:p w14:paraId="35A6682C" w14:textId="1DBB75B1" w:rsidR="00BA642E" w:rsidRPr="007B5B5F" w:rsidRDefault="00BA642E" w:rsidP="00541AFC">
      <w:pPr>
        <w:spacing w:line="240" w:lineRule="auto"/>
        <w:rPr>
          <w:rFonts w:cs="Times New Roman"/>
          <w:b/>
          <w:bCs/>
        </w:rPr>
      </w:pPr>
      <w:r w:rsidRPr="007B5B5F">
        <w:rPr>
          <w:rFonts w:cs="Times New Roman"/>
          <w:b/>
          <w:bCs/>
          <w:lang w:val="en-US"/>
        </w:rPr>
        <w:t>Resumen:</w:t>
      </w:r>
      <w:r w:rsidR="007B5B5F" w:rsidRPr="007B5B5F">
        <w:rPr>
          <w:rFonts w:cs="Times New Roman"/>
          <w:b/>
          <w:bCs/>
          <w:lang w:val="en-US"/>
        </w:rPr>
        <w:t xml:space="preserve"> </w:t>
      </w:r>
      <w:r w:rsidR="009223AD" w:rsidRPr="009223AD">
        <w:rPr>
          <w:rFonts w:cs="Times New Roman"/>
          <w:lang w:val="en-US"/>
        </w:rPr>
        <w:t>Las políticas afirmativas implementadas en las universidades públicas brasileñas en las últimas décadas han promovido cambios significativos en el perfil social de la educación superior, ampliando el acceso de grupos históricamente excluidos y poniendo en evidencia nuevos desafíos relacionados con la permanencia estudiantil y la redefinición de la función social de la universidad. Sin embargo, la implementación de estas políticas no ocurre de manera homogénea al interior de las instituciones, estando mediada por disputas interpretativas, decisiones de gestión y por la forma en que distintos actores comprenden el papel social de las instituciones universitarias. Este trabajo analizó cómo directores y vicedirectores de unidades académicas de una universidad pública brasileña interpretan las políticas afirmativas y cómo estas interpretaciones se articulan con las acciones institucionales relacionadas con el acceso y la permanencia estudiantil. La investigación se fundamenta en la Teoría de los Modelos Organizadores del Pensamiento, que comprende los modelos organizadores como representaciones mentales construidas a partir de la selección de elementos, de los significados atribuidos a esos elementos y de las implicaciones establecidas entre ellos. Para ello, se realizaron entrevistas semiestructuradas con 2</w:t>
      </w:r>
      <w:r w:rsidR="002D6F46">
        <w:rPr>
          <w:rFonts w:cs="Times New Roman"/>
          <w:lang w:val="en-US"/>
        </w:rPr>
        <w:t>0</w:t>
      </w:r>
      <w:r w:rsidR="009223AD" w:rsidRPr="009223AD">
        <w:rPr>
          <w:rFonts w:cs="Times New Roman"/>
          <w:lang w:val="en-US"/>
        </w:rPr>
        <w:t xml:space="preserve"> directores y vicedirectores de unidades universitarias de la Universidade Estadual Paulista (UNESP), buscando identificar los modelos organizadores movilizados por estos gestores al reflexionar sobre políticas afirmativas y la función social de la universidad. Nuestro análisis evidencia que las interpretaciones construidas por los gestores influyen directamente en las formas en que las políticas son implementadas institucionalmente, orientando tanto iniciativas de promoción de la permanencia como límites y tensiones relacionados con la implementación de estas acciones. Los resultados indican la presencia de diferentes modelos interpretativos, que varían desde comprensiones que enfatizan la universidad </w:t>
      </w:r>
      <w:r w:rsidR="009223AD" w:rsidRPr="009223AD">
        <w:rPr>
          <w:rFonts w:cs="Times New Roman"/>
          <w:lang w:val="en-US"/>
        </w:rPr>
        <w:lastRenderedPageBreak/>
        <w:t>como espacio de transformación social hasta perspectivas que resaltan los límites institucionales, las restricciones presupuestarias y la necesidad de priorizar determinadas políticas en detrimento de otras. En este sentido, la investigación evidencia que la autonomía universitaria constituye una condición fundamental para la producción de conocimiento y para la definición de proyectos institucionales, implicando procesos de elección y priorización frente a recursos limitados y demandas sociales ampliadas. Estas decisiones configuran situaciones en las que los gestores necesitan definir prioridades institucionales frente a la expansión de las responsabilidades sociales atribuidas a la universidad pública, particularmente en el contexto de la democratización del acceso a la educación superior mediante políticas afirmativas. Al evidenciar el papel de las interpretaciones de los gestores en la mediación entre políticas públicas y prácticas institucionales, el estudio contribuye al debate sobre gobernanza universitaria, autonomía institucional y democratización de la educación superior, indicando que la efectividad de las políticas afirmativas depende de marcos normativos, de la ampliación de recursos gubernamentales para las instituciones universitarias, pero también de las disputas interpretativas que atraviesan la gestión universitaria y orientan la definición de prioridades al interior de las universidades públicas.</w:t>
      </w:r>
    </w:p>
    <w:p w14:paraId="2994BAB3" w14:textId="592B6BC7" w:rsidR="00BA642E" w:rsidRPr="007B5B5F" w:rsidRDefault="00BA642E" w:rsidP="007B5B5F">
      <w:pPr>
        <w:spacing w:line="240" w:lineRule="auto"/>
        <w:rPr>
          <w:rFonts w:cs="Times New Roman"/>
          <w:b/>
          <w:bCs/>
        </w:rPr>
      </w:pPr>
      <w:r w:rsidRPr="007B5B5F">
        <w:rPr>
          <w:rFonts w:cs="Times New Roman"/>
          <w:b/>
          <w:bCs/>
        </w:rPr>
        <w:t xml:space="preserve">Palabras clave: </w:t>
      </w:r>
      <w:r w:rsidR="00337355" w:rsidRPr="00337355">
        <w:rPr>
          <w:rFonts w:cs="Times New Roman"/>
        </w:rPr>
        <w:t>P</w:t>
      </w:r>
      <w:r w:rsidR="009223AD">
        <w:rPr>
          <w:rFonts w:cs="Times New Roman"/>
        </w:rPr>
        <w:t>olíticas Afirmativas; Autonomía Universitaria; Gestão Universitária; P</w:t>
      </w:r>
      <w:r w:rsidR="00337355">
        <w:rPr>
          <w:rFonts w:cs="Times New Roman"/>
        </w:rPr>
        <w:t>ermanencia estudia</w:t>
      </w:r>
      <w:r w:rsidR="009223AD">
        <w:rPr>
          <w:rFonts w:cs="Times New Roman"/>
        </w:rPr>
        <w:t>n</w:t>
      </w:r>
      <w:r w:rsidR="00337355">
        <w:rPr>
          <w:rFonts w:cs="Times New Roman"/>
        </w:rPr>
        <w:t>til</w:t>
      </w:r>
      <w:r w:rsidR="009223AD">
        <w:rPr>
          <w:rFonts w:cs="Times New Roman"/>
        </w:rPr>
        <w:t xml:space="preserve">. </w:t>
      </w:r>
    </w:p>
    <w:p w14:paraId="6A5547A1" w14:textId="4DE2DD84" w:rsidR="00BA642E" w:rsidRDefault="00BA642E" w:rsidP="007B5B5F">
      <w:pPr>
        <w:spacing w:line="240" w:lineRule="auto"/>
        <w:rPr>
          <w:rFonts w:cs="Times New Roman"/>
          <w:b/>
          <w:bCs/>
        </w:rPr>
      </w:pPr>
      <w:r w:rsidRPr="007B5B5F">
        <w:rPr>
          <w:rFonts w:cs="Times New Roman"/>
          <w:b/>
          <w:bCs/>
        </w:rPr>
        <w:t>Introducción</w:t>
      </w:r>
    </w:p>
    <w:p w14:paraId="778854F6" w14:textId="77777777" w:rsidR="00CF47B6" w:rsidRDefault="00CF47B6" w:rsidP="00CF47B6">
      <w:pPr>
        <w:spacing w:line="276" w:lineRule="auto"/>
      </w:pPr>
      <w:r>
        <w:t>Las universidades ocupan un lugar central en las sociedades contemporáneas, constituyéndose como espacios responsables de la producción, sistematización y socialización del conocimiento científico y técnico. Sin embargo, lejos de ser espacios neutrales o exclusivamente orientados a la formación técnica y profesional, las universidades son instituciones históricas atravesadas por disputas políticas, económicas, culturales y epistemológicas que influyen tanto en su organización interna como en su función social (Chaui, 2014; Teixeira, 2005).</w:t>
      </w:r>
    </w:p>
    <w:p w14:paraId="7572743F"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A lo largo de la historia occidental, distintos proyectos de universidad han coexistido y disputado legitimidad, reflejando diferentes concepciones acerca de la producción del conocimiento, la formación humana y las responsabilidades sociales atribuidas a estas instituciones. Si, por un lado, se consolidó la comprensión de la universidad como un espacio de producción científico-técnica y desarrollo intelectual, por otro, especialmente en las últimas décadas, se observa el fortalecimiento de perspectivas que subordinan su actuación a las demandas del mercado, a la lógica de la productividad y a los mecanismos de evaluación y desempeño. En este contexto, la universidad pasa a asumir características de una institución operacional, en la que los criterios de eficiencia y racionalidad administrativa compiten con la formación crítica y el compromiso con la transformación social (Chaui, 2014; 2025).</w:t>
      </w:r>
    </w:p>
    <w:p w14:paraId="42E28D5F"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lastRenderedPageBreak/>
        <w:t>En Brasil, estas tensiones adquieren características particulares debido al propio proceso de constitución de la nación y de la educación superior. A diferencia de otros países latinoamericanos, la formación del sistema universitario brasileño estuvo marcada por un proceso tardío, profundamente vinculado a las necesidades administrativas del Estado y a las demandas de las élites políticas y económicas. Como sostienen Saviani (2013), Cunha (2000) y Teixeira (2005), durante gran parte de la historia brasileña no existió un proyecto universitario orientado a la producción científica y a la formación amplia de la población; por el contrario, predominaron instituciones superiores aisladas destinadas a la formación de profesionales para ocupaciones específicas, como medicina, ingeniería y derecho.</w:t>
      </w:r>
    </w:p>
    <w:p w14:paraId="0856525A"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Esta constitución histórica contribuyó a consolidar una universidad fuertemente elitista, cuya expansión ocurrió de manera lenta y marcada por profundas desigualdades sociales y raciales. Aunque la ampliación de las vacantes en la educación superior se intensificó a partir de la segunda mitad del siglo XX, el acceso a la universidad pública permaneció restringido a los grupos socialmente privilegiados, reproduciendo desigualdades históricamente producidas por la sociedad brasileña (Saviani, 2013; Teixeira, 2005).</w:t>
      </w:r>
    </w:p>
    <w:p w14:paraId="72A1FC31"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No obstante, en las últimas décadas este escenario experimentó importantes transformaciones. La ampliación de las políticas públicas orientadas a la democratización de la educación superior, asociada a la expansión de las universidades federales, a la creación de programas de asistencia estudiantil y, sobre todo, a la implementación de políticas de acción afirmativa, modificó significativamente el perfil social de los estudiantes que ingresan a las universidades públicas brasileñas (Campos &amp; Lima, 2025).</w:t>
      </w:r>
    </w:p>
    <w:p w14:paraId="4B54D82A"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La promulgación de la Ley n.º 12.711/2012 (Brasil, 2012) constituye un hito en este proceso, al establecer la reserva de vacantes para estudiantes provenientes de escuelas públicas e incorporar criterios sociales y étnico-raciales como estrategia para enfrentar las desigualdades históricamente producidas en el acceso a la educación superior. Es importante destacar que la creación de las políticas de acción afirmativa para la universidad no representa una concesión del Estado, sino el resultado de un largo proceso de movilización de los movimientos sociales, especialmente del movimiento negro, que históricamente denunció el carácter excluyente de la universidad brasileña y reivindicó mecanismos capaces de enfrentar las desigualdades raciales producidas a lo largo de la formación social del país (Santos, 2005; Gomes, 2021).</w:t>
      </w:r>
    </w:p>
    <w:p w14:paraId="10F5A08C"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 xml:space="preserve">La Universidade Estadual Paulista (Unesp), contexto institucional de esta investigación, también formó parte de este proceso de democratización de la educación superior. En 2013, la universidad aprobó e instituyó su propio Sistema de Reserva de Vacantes para la Educación Básica Pública (SRVEBP), implementado de manera gradual </w:t>
      </w:r>
      <w:r w:rsidRPr="00CF47B6">
        <w:rPr>
          <w:rFonts w:eastAsia="Times New Roman" w:cs="Times New Roman"/>
          <w:kern w:val="0"/>
          <w:lang w:val="pt-BR" w:eastAsia="pt-BR"/>
          <w14:ligatures w14:val="none"/>
        </w:rPr>
        <w:lastRenderedPageBreak/>
        <w:t>a partir de 2014. El programa estableció la reserva del 50 % de las vacantes para estudiantes provenientes de escuelas públicas, garantizando, dentro de ese porcentaje, la representación proporcional de estudiantes negros, pardos e indígenas, de acuerdo con la composición demográfica del estado de São Paulo (35 %). La implementación de estas medidas representó un hito importante en la trayectoria de la universidad, ampliando significativamente el acceso de grupos históricamente subrepresentados y reafirmando el compromiso institucional con la democratización de la educación superior (Rodrigues, 2020).</w:t>
      </w:r>
    </w:p>
    <w:p w14:paraId="3A1CD3CE"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Sin embargo, la ampliación del acceso no eliminó los desafíos relacionados con la democratización de la universidad. Por el contrario, la llegada de nuevos sujetos sociales a la educación superior hizo aún más visibles desigualdades históricamente invisibilizadas, desplazando parte del debate académico hacia las condiciones concretas de permanencia estudiantil. Como demuestran los estudios desarrollados por el Observatorio de la Vida Estudiantil (Sampaio, 2011; Sampaio, 2020; Santos &amp; Sampaio, 2023), garantizar el ingreso no significa asegurar las condiciones materiales, académicas, culturales y simbólicas necesarias para que los estudiantes permanezcan en la universidad y concluyan su formación.</w:t>
      </w:r>
    </w:p>
    <w:p w14:paraId="7EF66178"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En este sentido, la permanencia pasa a ser comprendida como una dimensión inseparable de la democratización de la educación superior, ya que el acceso, por sí solo, no es suficiente para superar las desigualdades históricamente producidas. Aunque las políticas de acción afirmativa ampliaron la presencia de estudiantes provenientes de escuelas públicas y de grupos étnico-raciales históricamente excluidos en la Unesp, la participación de estudiantes negros, pardos e indígenas (PPI) continúa siendo inferior al 35 % del total de estudiantes matriculados en la universidad, lo que evidencia que las desigualdades en el acceso a la educación superior persisten incluso después de más de una década de la implementación de la Ley de Cupos (Reis, 2009; Universidade Estadual Paulista, 2024).</w:t>
      </w:r>
    </w:p>
    <w:p w14:paraId="4D063E6A"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Además, las experiencias académicas siguen estando marcadas por desigualdades de raza y género. En algunos cursos ya investigados, las mujeres negras enfrentan mayores desafíos relacionados con la acogida, el sentido de pertenencia, el reconocimiento académico y las vivencias estudiantiles, lo que indica que la democratización de la universidad exige no solo ampliar el ingreso, sino también transformar las condiciones institucionales de participación, permanencia y éxito académico (Rodrigues, 2025). Estos elementos refuerzan que la implementación de las políticas de acción afirmativa continúa siendo un campo en disputa, que exige de las universidades respuestas institucionales que vayan más allá de la garantía formal del acceso e incorporen acciones orientadas a la permanencia y a la reducción de las desigualdades.</w:t>
      </w:r>
    </w:p>
    <w:p w14:paraId="0395523C"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lastRenderedPageBreak/>
        <w:t>En este contexto, la permanencia deja de ser entendida únicamente como una política de asistencia estudiantil y pasa a constituir una dimensión inseparable de la propia democratización de la educación superior. Permanecer en la universidad implica contar con condiciones económicas, acceso a las políticas institucionales, sentido de pertenencia, reconocimiento de las diferencias, enfrentamiento del racismo y construcción de entornos académicos capaces de acoger a una población estudiantil cada vez más diversa. La democratización de la universidad, por lo tanto, no concluye con el acceso, sino que depende de la capacidad institucional para generar condiciones efectivas que garanticen la permanencia y la participación de estos estudiantes en la vida universitaria (Reis, 2009; Galhardo et al., 2020).</w:t>
      </w:r>
    </w:p>
    <w:p w14:paraId="12808697"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La implementación de estas políticas también pone de manifiesto otro desafío propio de las universidades públicas: la necesidad de definir prioridades institucionales frente a la ampliación de sus responsabilidades sociales. Aunque las políticas de acción afirmativa están establecidas por marcos legales, su materialización depende de la autonomía universitaria para organizar recursos, formular programas de permanencia y definir estrategias institucionales. En contextos caracterizados por restricciones presupuestarias y demandas crecientes, la autonomía universitaria deja de representar únicamente una garantía constitucional para la producción de conocimiento y pasa también a involucrar decisiones políticas acerca de las prioridades que cada institución establece en el cumplimiento de su función social.</w:t>
      </w:r>
    </w:p>
    <w:p w14:paraId="67B80A92"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Es precisamente en este punto donde emerge una cuestión central para esta investigación. Aunque las políticas de acción afirmativa se instituyen mediante legislaciones y reglamentaciones institucionales, su implementación cotidiana tiene lugar dentro de las universidades y depende de la manera en que los sujetos responsables de la construcción diaria de estas instituciones comprenden tanto las políticas como las propias instituciones. En otras palabras, las políticas no se materializan automáticamente a partir de su institucionalización; por el contrario, son continuamente interpretadas, negociadas, jerarquizadas y operacionalizadas por quienes ocupan cargos de gestión universitaria. Así, comprender la forma en que los gestores conciben y significan la función social de la universidad, el sentido de las políticas de acción afirmativa y las responsabilidades institucionales frente a las desigualdades sociales puede resultar fundamental para reflexionar sobre la efectividad de estas políticas.</w:t>
      </w:r>
    </w:p>
    <w:p w14:paraId="1A7A7A54"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Para comprender estos procesos, esta investigación se fundamenta en la Teoría de los Modelos Organizadores del Pensamiento (TMOP), desarrollada por Montserrat Moreno Marimón, Genoveva Sastre Vilarrasa y colaboradores (Moreno et al., 2000; Moreno &amp; Sastre, 2014).</w:t>
      </w:r>
    </w:p>
    <w:p w14:paraId="67B3A295"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lastRenderedPageBreak/>
        <w:t>Esta teoría sostiene que los sujetos construyen modelos organizadores a partir de la selección de elementos de la realidad, de la atribución de significados a esos elementos y de las relaciones e implicancias que establecen entre ellos (Moreno et al., 2000; Moreno &amp; Sastre, 2014). Desde esta perspectiva, interesa comprender no solo aquello que los gestores expresan acerca de las políticas de acción afirmativa, sino también los modelos de pensamiento que organizan sus interpretaciones y orientan sus decisiones en el contexto de la gestión universitaria.</w:t>
      </w:r>
    </w:p>
    <w:p w14:paraId="71712590"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Este trabajo tiene como objetivo presentar, de manera sintética, algunas de las reflexiones desarrolladas a lo largo de la investigación, así como los modelos organizadores del pensamiento identificados en las entrevistas realizadas con directores y vicedirectores de las unidades universitarias de la Universidade Estadual Paulista (Unesp). En particular, busca analizar cómo estos gestores interpretan las políticas de acción afirmativa de acceso y permanencia estudiantil y de qué manera dichas interpretaciones influyen en la implementación de las políticas institucionales y en la definición de prioridades en el contexto de la democratización de la educación superior.</w:t>
      </w:r>
    </w:p>
    <w:p w14:paraId="2FD138AD" w14:textId="34331631" w:rsidR="005F3B2E" w:rsidRPr="00CF47B6" w:rsidRDefault="00B101CA" w:rsidP="00CF47B6">
      <w:pPr>
        <w:rPr>
          <w:b/>
          <w:bCs/>
        </w:rPr>
      </w:pPr>
      <w:r w:rsidRPr="00CF47B6">
        <w:rPr>
          <w:b/>
          <w:bCs/>
        </w:rPr>
        <w:t xml:space="preserve">2. </w:t>
      </w:r>
      <w:r w:rsidR="005F3B2E" w:rsidRPr="00CF47B6">
        <w:rPr>
          <w:b/>
          <w:bCs/>
        </w:rPr>
        <w:t>Desarrollo</w:t>
      </w:r>
    </w:p>
    <w:p w14:paraId="26E7150B" w14:textId="0818132E" w:rsidR="00B101CA" w:rsidRDefault="00B101CA" w:rsidP="00B101CA">
      <w:pPr>
        <w:spacing w:line="240" w:lineRule="auto"/>
        <w:ind w:firstLine="708"/>
        <w:rPr>
          <w:rFonts w:cs="Times New Roman"/>
          <w:b/>
          <w:bCs/>
        </w:rPr>
      </w:pPr>
      <w:r>
        <w:rPr>
          <w:rFonts w:cs="Times New Roman"/>
          <w:b/>
          <w:bCs/>
        </w:rPr>
        <w:t xml:space="preserve">2.1 </w:t>
      </w:r>
      <w:r w:rsidR="00CF47B6" w:rsidRPr="00CF47B6">
        <w:rPr>
          <w:b/>
          <w:bCs/>
        </w:rPr>
        <w:t>Democratización de la educación superior e implementación de las políticas de acción afirmativa</w:t>
      </w:r>
    </w:p>
    <w:p w14:paraId="1935ED55" w14:textId="77777777" w:rsidR="00CF47B6" w:rsidRPr="00CF47B6" w:rsidRDefault="00CF47B6" w:rsidP="00CF47B6">
      <w:pPr>
        <w:spacing w:line="276" w:lineRule="auto"/>
        <w:rPr>
          <w:lang w:val="pt-BR" w:eastAsia="pt-BR"/>
        </w:rPr>
      </w:pPr>
      <w:r w:rsidRPr="00CF47B6">
        <w:rPr>
          <w:lang w:val="pt-BR" w:eastAsia="pt-BR"/>
        </w:rPr>
        <w:t>En las últimas décadas, la democratización de la educación superior se consolidó como uno de los principales ejes de las políticas educativas brasileñas. La expansión de las universidades públicas, la creación de programas federales de acceso y la implementación de políticas de acción afirmativa modificaron significativamente el perfil de la población universitaria, permitiendo el ingreso de estudiantes históricamente excluidos de este nivel educativo. Sin embargo, comprender este proceso únicamente a partir del aumento del número de matrículas o de la ampliación de las vacantes implica reducir la democratización a una dimensión cuantitativa, dejando de lado los desafíos vinculados con la permanencia, el éxito académico y la participación efectiva de estos sujetos en la sociedad.</w:t>
      </w:r>
    </w:p>
    <w:p w14:paraId="44DE9AD0" w14:textId="77777777" w:rsidR="00CF47B6" w:rsidRPr="00CF47B6" w:rsidRDefault="00CF47B6" w:rsidP="00CF47B6">
      <w:pPr>
        <w:spacing w:line="276" w:lineRule="auto"/>
        <w:rPr>
          <w:lang w:val="pt-BR" w:eastAsia="pt-BR"/>
        </w:rPr>
      </w:pPr>
      <w:r w:rsidRPr="00CF47B6">
        <w:rPr>
          <w:lang w:val="pt-BR" w:eastAsia="pt-BR"/>
        </w:rPr>
        <w:t xml:space="preserve">Diversos estudios han demostrado que la democratización de la educación superior constituye un proceso mucho más amplio que la simple ampliación del acceso. Como sostiene Rodrigues (2020), garantizar el ingreso de estudiantes provenientes de los sectores populares no asegura, por sí solo, las condiciones necesarias para su permanencia y finalización de los estudios. En la misma línea, Rodrigues y Sun (2025) defienden que las políticas de acceso, expansión y permanencia deben articularse con otras estrategias capaces de promover transformaciones estructurales en las instituciones de educación superior, incluyendo cambios de naturaleza epistemológica. Estas dimensiones son inseparables del proceso de democratización, ya que la permanencia otorga efectividad al </w:t>
      </w:r>
      <w:r w:rsidRPr="00CF47B6">
        <w:rPr>
          <w:lang w:val="pt-BR" w:eastAsia="pt-BR"/>
        </w:rPr>
        <w:lastRenderedPageBreak/>
        <w:t>acceso y hace posible la concreción del derecho a la educación superior. Para ello, resulta fundamental construir una estética de la pertenencia, capaz de favorecer el reconocimiento, la participación y la inserción plena de los estudiantes en la vida universitaria. Desde esta perspectiva, las políticas de permanencia dejan de ser entendidas como acciones meramente asistenciales y pasan a formar parte del propio proceso de democratización institucional (Reis, 2009).</w:t>
      </w:r>
    </w:p>
    <w:p w14:paraId="2AE5FB99" w14:textId="77777777" w:rsidR="00CF47B6" w:rsidRPr="00CF47B6" w:rsidRDefault="00CF47B6" w:rsidP="00CF47B6">
      <w:pPr>
        <w:spacing w:line="276" w:lineRule="auto"/>
        <w:rPr>
          <w:lang w:val="pt-BR" w:eastAsia="pt-BR"/>
        </w:rPr>
      </w:pPr>
      <w:r w:rsidRPr="00CF47B6">
        <w:rPr>
          <w:lang w:val="pt-BR" w:eastAsia="pt-BR"/>
        </w:rPr>
        <w:t>Las políticas de acción afirmativa emergen en este contexto como importantes instrumentos para enfrentar las desigualdades. Al reconocer que determinados grupos sociales han sido sistemáticamente privados del acceso a la educación superior pública, estas políticas procuran generar condiciones más equitativas de ingreso. No obstante, su efectividad no se agota en la garantía del acceso. El ingreso de estudiantes negros, indígenas, provenientes de escuelas públicas y de grupos socialmente vulnerabilizados plantea nuevos desafíos institucionales relacionados con las condiciones de permanencia, el reconocimiento de las diferencias y la construcción de una universidad comprometida con la justicia social (Campos &amp; Lima, 2025).</w:t>
      </w:r>
    </w:p>
    <w:p w14:paraId="53F1F4D9" w14:textId="77777777" w:rsidR="00CF47B6" w:rsidRPr="00CF47B6" w:rsidRDefault="00CF47B6" w:rsidP="00CF47B6">
      <w:pPr>
        <w:spacing w:line="276" w:lineRule="auto"/>
        <w:rPr>
          <w:lang w:val="pt-BR" w:eastAsia="pt-BR"/>
        </w:rPr>
      </w:pPr>
      <w:r w:rsidRPr="00CF47B6">
        <w:rPr>
          <w:lang w:val="pt-BR" w:eastAsia="pt-BR"/>
        </w:rPr>
        <w:t>En este sentido, las políticas de permanencia estudiantil no pueden ser comprendidas únicamente como un conjunto de ayudas económicas destinadas a reducir la deserción. Se trata de una política pública orientada a garantizar derechos mediante la creación de condiciones materiales, pedagógicas e institucionales que permitan a los estudiantes desarrollar plenamente su trayectoria académica. Como sostienen Reis (2009), Santos (2005) y Rodrigues (2020), garantizar la permanencia implica reconocer que las desigualdades sociales continúan produciendo efectos incluso después del ingreso a la universidad, lo que exige acciones institucionales que trasciendan la lógica de la atención de emergencia o del asistencialismo.</w:t>
      </w:r>
    </w:p>
    <w:p w14:paraId="044B01A0" w14:textId="77777777" w:rsidR="00CF47B6" w:rsidRPr="00CF47B6" w:rsidRDefault="00CF47B6" w:rsidP="00CF47B6">
      <w:pPr>
        <w:spacing w:line="276" w:lineRule="auto"/>
        <w:rPr>
          <w:lang w:val="pt-BR" w:eastAsia="pt-BR"/>
        </w:rPr>
      </w:pPr>
      <w:r w:rsidRPr="00CF47B6">
        <w:rPr>
          <w:lang w:val="pt-BR" w:eastAsia="pt-BR"/>
        </w:rPr>
        <w:t>Sin embargo, reconocer la existencia de una política pública no significa asumir que su implementación ocurra de manera automática. Aunque la legislación establece directrices generales para las políticas de acción afirmativa, su concreción depende de las dinámicas institucionales de cada universidad, de las prioridades definidas por los equipos de gestión, de las condiciones materiales disponibles y de las interpretaciones construidas por los sujetos responsables de su implementación. En este proceso, las universidades, especialmente debido a su autonomía administrativa y académica, se convierten en espacios privilegiados para la producción, negociación y resignificación de las políticas públicas de acción afirmativa (Grosfoguel, 2008).</w:t>
      </w:r>
    </w:p>
    <w:p w14:paraId="4C8A13F7" w14:textId="77777777" w:rsidR="00CF47B6" w:rsidRPr="00CF47B6" w:rsidRDefault="00CF47B6" w:rsidP="00CF47B6">
      <w:pPr>
        <w:spacing w:line="276" w:lineRule="auto"/>
        <w:rPr>
          <w:lang w:val="pt-BR" w:eastAsia="pt-BR"/>
        </w:rPr>
      </w:pPr>
      <w:r w:rsidRPr="00CF47B6">
        <w:rPr>
          <w:lang w:val="pt-BR" w:eastAsia="pt-BR"/>
        </w:rPr>
        <w:t xml:space="preserve">Las políticas públicas no se ejecutan simplemente tal como fueron formuladas. Por el contrario, su implementación constituye un proceso de mediación, interpretación y toma de decisiones, en el que los distintos actores institucionales atribuyen significados a las directrices recibidas y definen, en la práctica, cómo serán operacionalizadas. Así, </w:t>
      </w:r>
      <w:r w:rsidRPr="00CF47B6">
        <w:rPr>
          <w:lang w:val="pt-BR" w:eastAsia="pt-BR"/>
        </w:rPr>
        <w:lastRenderedPageBreak/>
        <w:t>aunque dos instituciones estén sujetas al mismo marco normativo, las formas en que las políticas de acción afirmativa son comprendidas, priorizadas e implementadas pueden variar significativamente en función de las concepciones de quienes ocupan posiciones de decisión (Santos, 2005).</w:t>
      </w:r>
    </w:p>
    <w:p w14:paraId="682CD773" w14:textId="77777777" w:rsidR="00CF47B6" w:rsidRPr="00CF47B6" w:rsidRDefault="00CF47B6" w:rsidP="00CF47B6">
      <w:pPr>
        <w:spacing w:line="276" w:lineRule="auto"/>
        <w:rPr>
          <w:lang w:val="pt-BR" w:eastAsia="pt-BR"/>
        </w:rPr>
      </w:pPr>
      <w:r w:rsidRPr="00CF47B6">
        <w:rPr>
          <w:lang w:val="pt-BR" w:eastAsia="pt-BR"/>
        </w:rPr>
        <w:t>Es precisamente en este punto donde se sitúa la presente investigación. Partiendo del supuesto de que las políticas de acción afirmativa son continuamente interpretadas durante su proceso de implementación, se busca comprender los modelos de pensamiento movilizados por los gestores universitarios al reflexionar sobre la democratización, las políticas de acción afirmativa, la permanencia estudiantil y la función social de la universidad. Más que identificar posicionamientos favorables o contrarios a estas políticas, el interés radica en comprender cómo dichas interpretaciones organizan sus decisiones y generan diferentes posibilidades de implementación institucional.</w:t>
      </w:r>
    </w:p>
    <w:p w14:paraId="71848904" w14:textId="6492D8F8" w:rsidR="00B101CA" w:rsidRPr="00B101CA" w:rsidRDefault="00B101CA" w:rsidP="00B101CA">
      <w:pPr>
        <w:spacing w:line="240" w:lineRule="auto"/>
        <w:ind w:firstLine="708"/>
        <w:rPr>
          <w:rFonts w:cs="Times New Roman"/>
          <w:b/>
          <w:bCs/>
        </w:rPr>
      </w:pPr>
      <w:r w:rsidRPr="00B101CA">
        <w:rPr>
          <w:rFonts w:cs="Times New Roman"/>
          <w:b/>
          <w:bCs/>
        </w:rPr>
        <w:t xml:space="preserve">2.2. </w:t>
      </w:r>
      <w:r w:rsidR="00CF47B6" w:rsidRPr="00CF47B6">
        <w:rPr>
          <w:rFonts w:cs="Times New Roman"/>
          <w:b/>
          <w:bCs/>
        </w:rPr>
        <w:t>La Teoría de los Modelos Organizadores del Pensamiento</w:t>
      </w:r>
    </w:p>
    <w:p w14:paraId="4A89D555" w14:textId="77777777" w:rsidR="00CF47B6" w:rsidRPr="00CF47B6" w:rsidRDefault="00CF47B6" w:rsidP="00CF47B6">
      <w:pPr>
        <w:spacing w:line="276" w:lineRule="auto"/>
        <w:rPr>
          <w:lang w:val="pt-BR" w:eastAsia="pt-BR"/>
        </w:rPr>
      </w:pPr>
      <w:r w:rsidRPr="00CF47B6">
        <w:rPr>
          <w:lang w:val="pt-BR" w:eastAsia="pt-BR"/>
        </w:rPr>
        <w:t>Esta investigación adopta la Teoría de los Modelos Organizadores del Pensamiento (TMOP) como marco teórico-metodológico para analizar los significados atribuidos por las profesoras gestoras (directoras y vicedirectoras) a las políticas de acción afirmativa en la universidad pública del estado de São Paulo.</w:t>
      </w:r>
    </w:p>
    <w:p w14:paraId="24CA04E8" w14:textId="77777777" w:rsidR="00CF47B6" w:rsidRPr="00CF47B6" w:rsidRDefault="00CF47B6" w:rsidP="00CF47B6">
      <w:pPr>
        <w:spacing w:line="276" w:lineRule="auto"/>
        <w:rPr>
          <w:lang w:val="pt-BR" w:eastAsia="pt-BR"/>
        </w:rPr>
      </w:pPr>
      <w:r w:rsidRPr="00CF47B6">
        <w:rPr>
          <w:lang w:val="pt-BR" w:eastAsia="pt-BR"/>
        </w:rPr>
        <w:t>Desarrollada por Moreno, Sastre, Bover y Leal (2000, 2014), la Teoría de los Modelos Organizadores del Pensamiento propone que los individuos no interpretan la realidad mediante una reproducción directa de los hechos objetivos, sino que construyen modelos explicativos que organizan cognitivamente los elementos considerados relevantes en una determinada situación. Estos modelos no corresponden simplemente a opiniones o representaciones aisladas, sino que constituyen estructuras organizadas de interpretación que articulan conocimientos, valores, experiencias, emociones y expectativas, orientando la comprensión de los fenómenos sociales y, en consecuencia, las formas de acción.</w:t>
      </w:r>
    </w:p>
    <w:p w14:paraId="752B08C0" w14:textId="77777777" w:rsidR="00CF47B6" w:rsidRPr="00CF47B6" w:rsidRDefault="00CF47B6" w:rsidP="00CF47B6">
      <w:pPr>
        <w:spacing w:line="276" w:lineRule="auto"/>
        <w:rPr>
          <w:lang w:val="pt-BR" w:eastAsia="pt-BR"/>
        </w:rPr>
      </w:pPr>
      <w:r w:rsidRPr="00CF47B6">
        <w:rPr>
          <w:lang w:val="pt-BR" w:eastAsia="pt-BR"/>
        </w:rPr>
        <w:t>Desde esta perspectiva, frente a una misma realidad objetiva, distintos sujetos pueden seleccionar diferentes elementos como centrales para interpretar una situación. Además de seleccionar dichos elementos, establecen relaciones específicas entre ellos y les atribuyen significados particulares. Es precisamente esta articulación la que configura un modelo organizador del pensamiento. Por lo tanto, lo que interesa al investigador no es únicamente el contenido de las respuestas, sino también la lógica interna que estructura el razonamiento de los participantes (Moreno et al., 2000).</w:t>
      </w:r>
    </w:p>
    <w:p w14:paraId="0EFBB11A" w14:textId="77777777" w:rsidR="00CF47B6" w:rsidRPr="00CF47B6" w:rsidRDefault="00CF47B6" w:rsidP="00CF47B6">
      <w:pPr>
        <w:spacing w:line="276" w:lineRule="auto"/>
        <w:rPr>
          <w:lang w:val="pt-BR" w:eastAsia="pt-BR"/>
        </w:rPr>
      </w:pPr>
      <w:r w:rsidRPr="00CF47B6">
        <w:rPr>
          <w:lang w:val="pt-BR" w:eastAsia="pt-BR"/>
        </w:rPr>
        <w:t xml:space="preserve">Esta característica distingue a la TMOP de aquellos enfoques que buscan categorizar las respuestas a partir de temas previamente definidos. En lugar de partir de categorías apriorísticas, la teoría propone que los modelos emerjan del análisis de las </w:t>
      </w:r>
      <w:r w:rsidRPr="00CF47B6">
        <w:rPr>
          <w:lang w:val="pt-BR" w:eastAsia="pt-BR"/>
        </w:rPr>
        <w:lastRenderedPageBreak/>
        <w:t>regularidades presentes en el conjunto de las respuestas producidas por los sujetos investigados. El foco se desplaza de la frecuencia de determinadas opiniones hacia la identificación de las formas en que los participantes organizan cognitivamente su comprensión del objeto de estudio.</w:t>
      </w:r>
    </w:p>
    <w:p w14:paraId="68C5F5F4" w14:textId="77777777" w:rsidR="00CF47B6" w:rsidRPr="00CF47B6" w:rsidRDefault="00CF47B6" w:rsidP="00CF47B6">
      <w:pPr>
        <w:spacing w:line="276" w:lineRule="auto"/>
        <w:rPr>
          <w:lang w:val="pt-BR" w:eastAsia="pt-BR"/>
        </w:rPr>
      </w:pPr>
      <w:r w:rsidRPr="00CF47B6">
        <w:rPr>
          <w:lang w:val="pt-BR" w:eastAsia="pt-BR"/>
        </w:rPr>
        <w:t>De este modo, diferentes formas de comprender una misma política tienden a generar distintas posibilidades de implementación. Los gestores pueden reconocer las políticas de acción afirmativa, prioritariamente, como instrumentos de reparación histórica, como estrategias de democratización institucional, como mecanismos de justicia distributiva o, incluso, como exigencias legales que deben cumplirse. Desde la perspectiva de la TMOP, el interés radica en comprender cómo se organizan estos significados. El proceso analítico busca identificar: a) qué elementos de la realidad son seleccionados por los sujetos para interpretar un determinado fenómeno; b) qué significados y relaciones establecen entre dichos elementos; y c) qué implicancias se derivan de esta organización para la comprensión del objeto investigado.</w:t>
      </w:r>
    </w:p>
    <w:p w14:paraId="0D7984BC" w14:textId="77777777" w:rsidR="00CF47B6" w:rsidRPr="00CF47B6" w:rsidRDefault="00CF47B6" w:rsidP="00CF47B6">
      <w:pPr>
        <w:spacing w:line="276" w:lineRule="auto"/>
        <w:rPr>
          <w:lang w:val="pt-BR" w:eastAsia="pt-BR"/>
        </w:rPr>
      </w:pPr>
      <w:r w:rsidRPr="00CF47B6">
        <w:rPr>
          <w:lang w:val="pt-BR" w:eastAsia="pt-BR"/>
        </w:rPr>
        <w:t>Este enfoque permite analizar cómo los gestores universitarios organizan sus interpretaciones acerca de las políticas de acción afirmativa y de la democratización de la educación superior. Más que identificar acuerdos o desacuerdos respecto de estas políticas, se procura comprender las estructuras de sentido que sostienen sus interpretaciones y que, potencialmente, orientan sus prácticas institucionales.</w:t>
      </w:r>
    </w:p>
    <w:p w14:paraId="09E5D3C7" w14:textId="77777777" w:rsidR="00CF47B6" w:rsidRPr="00CF47B6" w:rsidRDefault="00CF47B6" w:rsidP="00CF47B6">
      <w:pPr>
        <w:spacing w:line="276" w:lineRule="auto"/>
        <w:rPr>
          <w:lang w:val="pt-BR" w:eastAsia="pt-BR"/>
        </w:rPr>
      </w:pPr>
      <w:r w:rsidRPr="00CF47B6">
        <w:rPr>
          <w:lang w:val="pt-BR" w:eastAsia="pt-BR"/>
        </w:rPr>
        <w:t>Al adoptar esta perspectiva, la investigación desplaza el foco de análisis desde la política concebida en sus documentos normativos hacia la política interpretada por los sujetos responsables de su implementación. Este movimiento permite comprender que la efectividad de las políticas de acción afirmativa también depende de las formas en que sus objetivos son apropiados, resignificados y operacionalizados por los actores universitarios (Coulon, 2017).</w:t>
      </w:r>
    </w:p>
    <w:p w14:paraId="4463EF09" w14:textId="41A34D6A" w:rsidR="00EE4CA3" w:rsidRDefault="00ED791A" w:rsidP="00734AC6">
      <w:pPr>
        <w:pStyle w:val="Ttulo1"/>
        <w:ind w:firstLine="708"/>
        <w:rPr>
          <w:rFonts w:ascii="Times New Roman" w:hAnsi="Times New Roman" w:cs="Times New Roman"/>
          <w:b/>
          <w:bCs/>
          <w:color w:val="auto"/>
          <w:sz w:val="24"/>
          <w:szCs w:val="24"/>
        </w:rPr>
      </w:pPr>
      <w:r>
        <w:rPr>
          <w:rFonts w:ascii="Times New Roman" w:hAnsi="Times New Roman" w:cs="Times New Roman"/>
          <w:b/>
          <w:bCs/>
          <w:color w:val="auto"/>
          <w:sz w:val="24"/>
          <w:szCs w:val="24"/>
        </w:rPr>
        <w:t>2.3</w:t>
      </w:r>
      <w:r w:rsidRPr="00ED791A">
        <w:rPr>
          <w:rFonts w:ascii="Times New Roman" w:hAnsi="Times New Roman" w:cs="Times New Roman"/>
          <w:b/>
          <w:bCs/>
          <w:color w:val="auto"/>
          <w:sz w:val="24"/>
          <w:szCs w:val="24"/>
        </w:rPr>
        <w:t xml:space="preserve"> </w:t>
      </w:r>
      <w:r w:rsidR="00EE4CA3">
        <w:rPr>
          <w:rFonts w:ascii="Times New Roman" w:hAnsi="Times New Roman" w:cs="Times New Roman"/>
          <w:b/>
          <w:bCs/>
          <w:color w:val="auto"/>
          <w:sz w:val="24"/>
          <w:szCs w:val="24"/>
        </w:rPr>
        <w:t xml:space="preserve">Resultados – </w:t>
      </w:r>
      <w:r w:rsidR="00CF47B6" w:rsidRPr="00CF47B6">
        <w:rPr>
          <w:rFonts w:ascii="Times New Roman" w:hAnsi="Times New Roman" w:cs="Times New Roman"/>
          <w:b/>
          <w:bCs/>
          <w:color w:val="auto"/>
          <w:sz w:val="24"/>
          <w:szCs w:val="24"/>
        </w:rPr>
        <w:t>Modelos organizadores identificados</w:t>
      </w:r>
    </w:p>
    <w:p w14:paraId="04509A20" w14:textId="77777777" w:rsidR="00CF47B6" w:rsidRPr="00CF47B6" w:rsidRDefault="00CF47B6" w:rsidP="00CF47B6">
      <w:pPr>
        <w:spacing w:line="276" w:lineRule="auto"/>
        <w:rPr>
          <w:lang w:val="pt-BR" w:eastAsia="pt-BR"/>
        </w:rPr>
      </w:pPr>
      <w:r w:rsidRPr="00CF47B6">
        <w:rPr>
          <w:lang w:val="pt-BR" w:eastAsia="pt-BR"/>
        </w:rPr>
        <w:t>Una vez presentado el contexto macropolítico que involucra algunos aspectos del proceso de democratización de la educación superior en Brasil, así como los presupuestos teórico-metodológicos que orientaron esta investigación, se presentan a continuación algunos de los resultados obtenidos, seleccionados por su mayor pertinencia en relación con los objetivos de este trabajo.</w:t>
      </w:r>
    </w:p>
    <w:p w14:paraId="233569E9" w14:textId="77777777" w:rsidR="00CF47B6" w:rsidRPr="00CF47B6" w:rsidRDefault="00CF47B6" w:rsidP="00CF47B6">
      <w:pPr>
        <w:spacing w:line="276" w:lineRule="auto"/>
        <w:rPr>
          <w:lang w:val="pt-BR" w:eastAsia="pt-BR"/>
        </w:rPr>
      </w:pPr>
      <w:r w:rsidRPr="00CF47B6">
        <w:rPr>
          <w:lang w:val="pt-BR" w:eastAsia="pt-BR"/>
        </w:rPr>
        <w:t xml:space="preserve">Con fines organizativos, los resultados se presentan en tres ejes. En primer lugar, se analizan las interpretaciones de las profesoras gestoras acerca de la función social de la universidad; en segundo lugar, los modelos relacionados con las políticas de acción afirmativa y la democratización de la educación superior; y, por último, las </w:t>
      </w:r>
      <w:r w:rsidRPr="00CF47B6">
        <w:rPr>
          <w:lang w:val="pt-BR" w:eastAsia="pt-BR"/>
        </w:rPr>
        <w:lastRenderedPageBreak/>
        <w:t>comprensiones construidas en torno a las políticas de permanencia estudiantil y sus implicancias para la implementación de las acciones institucionales.</w:t>
      </w:r>
    </w:p>
    <w:p w14:paraId="14B54C18" w14:textId="636BBA61" w:rsidR="00ED791A" w:rsidRPr="00ED791A" w:rsidRDefault="00ED791A" w:rsidP="00734AC6">
      <w:pPr>
        <w:pStyle w:val="Ttulo2"/>
        <w:ind w:firstLine="708"/>
        <w:rPr>
          <w:rFonts w:ascii="Times New Roman" w:hAnsi="Times New Roman" w:cs="Times New Roman"/>
          <w:b/>
          <w:bCs/>
          <w:color w:val="auto"/>
          <w:sz w:val="24"/>
          <w:szCs w:val="24"/>
        </w:rPr>
      </w:pPr>
      <w:r>
        <w:rPr>
          <w:rFonts w:ascii="Times New Roman" w:hAnsi="Times New Roman" w:cs="Times New Roman"/>
          <w:b/>
          <w:bCs/>
          <w:color w:val="auto"/>
          <w:sz w:val="24"/>
          <w:szCs w:val="24"/>
        </w:rPr>
        <w:t>2.3.1</w:t>
      </w:r>
      <w:r w:rsidRPr="00ED791A">
        <w:rPr>
          <w:rFonts w:ascii="Times New Roman" w:hAnsi="Times New Roman" w:cs="Times New Roman"/>
          <w:b/>
          <w:bCs/>
          <w:color w:val="auto"/>
          <w:sz w:val="24"/>
          <w:szCs w:val="24"/>
        </w:rPr>
        <w:t xml:space="preserve"> </w:t>
      </w:r>
      <w:r w:rsidR="00CF47B6" w:rsidRPr="00CF47B6">
        <w:rPr>
          <w:rFonts w:ascii="Times New Roman" w:hAnsi="Times New Roman" w:cs="Times New Roman"/>
          <w:b/>
          <w:bCs/>
          <w:color w:val="auto"/>
          <w:sz w:val="24"/>
          <w:szCs w:val="24"/>
        </w:rPr>
        <w:t>¿Cómo comprenden los gestores la función social de la universidad?</w:t>
      </w:r>
    </w:p>
    <w:p w14:paraId="4FFF01CB" w14:textId="77777777" w:rsidR="00CF47B6" w:rsidRPr="00CF47B6" w:rsidRDefault="00CF47B6" w:rsidP="00CF47B6">
      <w:pPr>
        <w:spacing w:line="276" w:lineRule="auto"/>
        <w:rPr>
          <w:lang w:val="pt-BR" w:eastAsia="pt-BR"/>
        </w:rPr>
      </w:pPr>
      <w:r w:rsidRPr="00CF47B6">
        <w:rPr>
          <w:lang w:val="pt-BR" w:eastAsia="pt-BR"/>
        </w:rPr>
        <w:t>La primera cuestión que emergió de las entrevistas se refiere a la propia comprensión de la universidad pública. Los análisis evidenciaron que las gestoras movilizan distintas formas de significar la función social de la institución, lo que indica que esta comprensión constituye un elemento organizador fundamental de los modelos identificados. En otras palabras, incluso antes de reflexionar sobre las políticas de acción afirmativa o sobre la permanencia estudiantil, las participantes revelan diferentes concepciones acerca del papel de la universidad en la sociedad. Esta comprensión constituye la base sobre la cual se organizan los demás elementos, significados e implicancias movilizados a lo largo de las entrevistas.</w:t>
      </w:r>
    </w:p>
    <w:p w14:paraId="04F4AB95" w14:textId="77777777" w:rsidR="00CF47B6" w:rsidRPr="00CF47B6" w:rsidRDefault="00CF47B6" w:rsidP="00CF47B6">
      <w:pPr>
        <w:spacing w:line="276" w:lineRule="auto"/>
        <w:rPr>
          <w:lang w:val="pt-BR" w:eastAsia="pt-BR"/>
        </w:rPr>
      </w:pPr>
      <w:r w:rsidRPr="00CF47B6">
        <w:rPr>
          <w:lang w:val="pt-BR" w:eastAsia="pt-BR"/>
        </w:rPr>
        <w:t>En un primer conjunto de respuestas, la universidad es comprendida como una institución comprometida con la transformación social. Las gestoras que movilizan este modelo organizan su pensamiento a partir de la comprensión de que producir conocimiento científico y formar profesionales calificados no constituye su única finalidad. La universidad pública es concebida como un espacio para enfrentar las desigualdades sociales, ampliar derechos y fortalecer la democracia. Desde esta perspectiva, las políticas de acción afirmativa son interpretadas como parte de un proyecto institucional más amplio, orientado hacia la democratización de la educación superior y la construcción de una sociedad más justa. La presencia de grupos históricamente excluidos pasa a ser entendida como una condición para que la universidad pueda cumplir plenamente su función social, fortaleciendo su compromiso público con la producción de conocimiento y con la transformación de la realidad social.</w:t>
      </w:r>
    </w:p>
    <w:p w14:paraId="396716A5" w14:textId="77777777" w:rsidR="00CF47B6" w:rsidRPr="00CF47B6" w:rsidRDefault="00CF47B6" w:rsidP="00CF47B6">
      <w:pPr>
        <w:spacing w:line="276" w:lineRule="auto"/>
        <w:rPr>
          <w:lang w:val="pt-BR" w:eastAsia="pt-BR"/>
        </w:rPr>
      </w:pPr>
      <w:r w:rsidRPr="00CF47B6">
        <w:rPr>
          <w:lang w:val="pt-BR" w:eastAsia="pt-BR"/>
        </w:rPr>
        <w:t>Las entrevistas también permitieron identificar otra forma predominante de comprender la función social de la universidad. En este segundo modelo, aunque las gestoras reconocen la relevancia social de la universidad pública y no cuestionan la legitimidad de las políticas de acción afirmativa, sus interpretaciones pasan a organizarse principalmente en torno a las condiciones objetivas necesarias para concretar ese compromiso. Elementos como el financiamiento, la disponibilidad de recursos, la estructura administrativa, la expansión de las demandas sociales y la capacidad institucional adquieren un papel central en la organización del pensamiento.</w:t>
      </w:r>
    </w:p>
    <w:p w14:paraId="42DC9587" w14:textId="77777777" w:rsidR="00CF47B6" w:rsidRPr="00CF47B6" w:rsidRDefault="00CF47B6" w:rsidP="00CF47B6">
      <w:pPr>
        <w:spacing w:line="276" w:lineRule="auto"/>
        <w:rPr>
          <w:lang w:val="pt-BR" w:eastAsia="pt-BR"/>
        </w:rPr>
      </w:pPr>
      <w:r w:rsidRPr="00CF47B6">
        <w:rPr>
          <w:lang w:val="pt-BR" w:eastAsia="pt-BR"/>
        </w:rPr>
        <w:t xml:space="preserve">Desde esta perspectiva, la función social de la universidad es interpretada permanentemente en tensión con los límites materiales y administrativos que condicionan su actuación. La autonomía universitaria adquiere centralidad no solo como un principio constitucional, sino también como una condición indispensable para que la institución pueda definir prioridades, distribuir recursos y responder a las múltiples demandas que se </w:t>
      </w:r>
      <w:r w:rsidRPr="00CF47B6">
        <w:rPr>
          <w:lang w:val="pt-BR" w:eastAsia="pt-BR"/>
        </w:rPr>
        <w:lastRenderedPageBreak/>
        <w:t>le plantean. En consecuencia, la ampliación de las políticas de acceso y permanencia es comprendida como un objetivo deseable, aunque su concreción aparece condicionada por las capacidades institucionales y por el fortalecimiento de la inversión pública en las universidades.</w:t>
      </w:r>
    </w:p>
    <w:p w14:paraId="236130DD" w14:textId="77777777" w:rsidR="00CF47B6" w:rsidRPr="00CF47B6" w:rsidRDefault="00CF47B6" w:rsidP="00CF47B6">
      <w:pPr>
        <w:spacing w:line="276" w:lineRule="auto"/>
        <w:rPr>
          <w:lang w:val="pt-BR" w:eastAsia="pt-BR"/>
        </w:rPr>
      </w:pPr>
      <w:r w:rsidRPr="00CF47B6">
        <w:rPr>
          <w:lang w:val="pt-BR" w:eastAsia="pt-BR"/>
        </w:rPr>
        <w:t>La comparación entre estas dos formas de comprender la universidad pone de manifiesto que la función social constituye el principal elemento organizador de las interpretaciones construidas por las gestoras. Lo que diferencia ambos modelos no es el reconocimiento —o no— de la importancia de la universidad o de las políticas públicas, sino el elemento que estructura las interpretaciones de las participantes. En este sentido, ambos modelos pueden considerarse, en cierta medida, convergentes, ya que orientan la comprensión hacia la responsabilidad institucional de la universidad frente a los desafíos de la democratización de la educación superior.</w:t>
      </w:r>
    </w:p>
    <w:p w14:paraId="7A2B7FA6" w14:textId="7E9B147E" w:rsidR="00ED791A" w:rsidRDefault="00ED791A" w:rsidP="00ED791A">
      <w:pPr>
        <w:pStyle w:val="Ttulo2"/>
        <w:rPr>
          <w:rFonts w:ascii="Times New Roman" w:hAnsi="Times New Roman" w:cs="Times New Roman"/>
          <w:b/>
          <w:bCs/>
          <w:color w:val="auto"/>
          <w:sz w:val="24"/>
          <w:szCs w:val="24"/>
        </w:rPr>
      </w:pPr>
      <w:r>
        <w:rPr>
          <w:rFonts w:ascii="Times New Roman" w:hAnsi="Times New Roman" w:cs="Times New Roman"/>
          <w:b/>
          <w:bCs/>
          <w:color w:val="auto"/>
          <w:sz w:val="24"/>
          <w:szCs w:val="24"/>
        </w:rPr>
        <w:t>2.3.2</w:t>
      </w:r>
      <w:r w:rsidRPr="00ED791A">
        <w:rPr>
          <w:rFonts w:ascii="Times New Roman" w:hAnsi="Times New Roman" w:cs="Times New Roman"/>
          <w:b/>
          <w:bCs/>
          <w:color w:val="auto"/>
          <w:sz w:val="24"/>
          <w:szCs w:val="24"/>
        </w:rPr>
        <w:t xml:space="preserve"> </w:t>
      </w:r>
      <w:r w:rsidR="00CF47B6" w:rsidRPr="00CF47B6">
        <w:rPr>
          <w:rFonts w:ascii="Times New Roman" w:hAnsi="Times New Roman" w:cs="Times New Roman"/>
          <w:b/>
          <w:bCs/>
          <w:color w:val="auto"/>
          <w:sz w:val="24"/>
          <w:szCs w:val="24"/>
        </w:rPr>
        <w:t>¿Cómo interpretan los gestores las políticas de acción afirmativa?</w:t>
      </w:r>
    </w:p>
    <w:p w14:paraId="261CF6D0" w14:textId="77777777" w:rsidR="00CF47B6" w:rsidRPr="00CF47B6" w:rsidRDefault="00CF47B6" w:rsidP="00CF47B6">
      <w:pPr>
        <w:spacing w:line="276" w:lineRule="auto"/>
      </w:pPr>
      <w:r>
        <w:rPr>
          <w:rFonts w:eastAsia="Times New Roman" w:cs="Times New Roman"/>
          <w:kern w:val="0"/>
          <w:lang w:val="pt-BR" w:eastAsia="pt-BR"/>
          <w14:ligatures w14:val="none"/>
        </w:rPr>
        <w:t xml:space="preserve"> </w:t>
      </w:r>
      <w:r w:rsidRPr="00CF47B6">
        <w:t>Si bien ninguno de los participantes se manifestó en contra de la existencia de las políticas de acción afirmativa, el análisis permitió identificar dos modelos predominantes de organización del pensamiento, para cuya interpretación se utilizaron los aportes conceptuales de Gomes (2021).</w:t>
      </w:r>
    </w:p>
    <w:p w14:paraId="40354654" w14:textId="47E39E32"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 xml:space="preserve">En el primer modelo, denominado </w:t>
      </w:r>
      <w:r w:rsidR="006F5CF1">
        <w:rPr>
          <w:rFonts w:eastAsia="Times New Roman" w:cs="Times New Roman"/>
          <w:kern w:val="0"/>
          <w:lang w:val="pt-BR" w:eastAsia="pt-BR"/>
          <w14:ligatures w14:val="none"/>
        </w:rPr>
        <w:t>“</w:t>
      </w:r>
      <w:r w:rsidRPr="00CF47B6">
        <w:rPr>
          <w:rFonts w:eastAsia="Times New Roman" w:cs="Times New Roman"/>
          <w:kern w:val="0"/>
          <w:lang w:val="pt-BR" w:eastAsia="pt-BR"/>
          <w14:ligatures w14:val="none"/>
        </w:rPr>
        <w:t>Indignados y movilizados</w:t>
      </w:r>
      <w:r w:rsidR="006F5CF1">
        <w:rPr>
          <w:rFonts w:eastAsia="Times New Roman" w:cs="Times New Roman"/>
          <w:kern w:val="0"/>
          <w:lang w:val="pt-BR" w:eastAsia="pt-BR"/>
          <w14:ligatures w14:val="none"/>
        </w:rPr>
        <w:t>” (Gomes, 2021)</w:t>
      </w:r>
      <w:r w:rsidRPr="00CF47B6">
        <w:rPr>
          <w:rFonts w:eastAsia="Times New Roman" w:cs="Times New Roman"/>
          <w:kern w:val="0"/>
          <w:lang w:val="pt-BR" w:eastAsia="pt-BR"/>
          <w14:ligatures w14:val="none"/>
        </w:rPr>
        <w:t>, las políticas de acción afirmativa son comprendidas como una respuesta necesaria frente a las desigualdades históricamente producidas en la sociedad brasileña. El racismo estructural, la exclusión social y la negación de derechos constituyen los principales elementos movilizados por las gestoras para justificar la existencia de estas políticas. Desde esta perspectiva, las acciones afirmativas dejan de ser entendidas como beneficios dirigidos a grupos específicos y pasan a ser concebidas como mecanismos de democratización de la universidad pública y de promoción de la justicia social. La universidad es reconocida como una institución con responsabilidad en la reducción de las desigualdades y en la ampliación del derecho a la educación superior, asumiendo un papel activo en la construcción de una sociedad más democrática e inclusiva.</w:t>
      </w:r>
    </w:p>
    <w:p w14:paraId="56D7EA44"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Otro aspecto característico de este modelo se refiere a la crítica de las concepciones tradicionales del mérito. Las participantes consideran que los discursos sustentados exclusivamente en la meritocracia tienden a invisibilizar las desigualdades históricas que han marcado el acceso a la educación superior en Brasil, reforzando mecanismos de exclusión ya existentes. De este modo, las políticas de acción afirmativa son interpretadas como instrumentos capaces de ampliar las oportunidades y promover una mayor equidad dentro de la universidad pública.</w:t>
      </w:r>
    </w:p>
    <w:p w14:paraId="3443262B" w14:textId="18C496B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lastRenderedPageBreak/>
        <w:t xml:space="preserve">No obstante, el análisis también permitió identificar otra forma predominante de interpretar las políticas de acción afirmativa. En el modelo denominado </w:t>
      </w:r>
      <w:r w:rsidR="006F5CF1">
        <w:rPr>
          <w:rFonts w:eastAsia="Times New Roman" w:cs="Times New Roman"/>
          <w:kern w:val="0"/>
          <w:lang w:val="pt-BR" w:eastAsia="pt-BR"/>
          <w14:ligatures w14:val="none"/>
        </w:rPr>
        <w:t>“</w:t>
      </w:r>
      <w:r w:rsidRPr="00CF47B6">
        <w:rPr>
          <w:rFonts w:eastAsia="Times New Roman" w:cs="Times New Roman"/>
          <w:kern w:val="0"/>
          <w:lang w:val="pt-BR" w:eastAsia="pt-BR"/>
          <w14:ligatures w14:val="none"/>
        </w:rPr>
        <w:t>Indignados, pero inmóviles</w:t>
      </w:r>
      <w:r w:rsidR="006F5CF1">
        <w:rPr>
          <w:rFonts w:eastAsia="Times New Roman" w:cs="Times New Roman"/>
          <w:kern w:val="0"/>
          <w:lang w:val="pt-BR" w:eastAsia="pt-BR"/>
          <w14:ligatures w14:val="none"/>
        </w:rPr>
        <w:t>” (Gomes, 2021)</w:t>
      </w:r>
      <w:r w:rsidRPr="00CF47B6">
        <w:rPr>
          <w:rFonts w:eastAsia="Times New Roman" w:cs="Times New Roman"/>
          <w:kern w:val="0"/>
          <w:lang w:val="pt-BR" w:eastAsia="pt-BR"/>
          <w14:ligatures w14:val="none"/>
        </w:rPr>
        <w:t>, si bien las gestoras reconocen la existencia de desigualdades raciales y sociales y la importancia de las acciones afirmativas, los significados atribuidos a estas políticas pasan a organizarse en torno a otros elementos, tales como las limitaciones institucionales, las dificultades administrativas y una comprensión más amplia de la vulnerabilidad social.</w:t>
      </w:r>
    </w:p>
    <w:p w14:paraId="0F1C15F1" w14:textId="77777777" w:rsidR="00CF47B6" w:rsidRPr="00CF47B6" w:rsidRDefault="00CF47B6" w:rsidP="00CF47B6">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Desde esta perspectiva, las desigualdades raciales tienden a ser interpretadas como parte de un conjunto más amplio de desigualdades sociales, desplazando la centralidad del racismo estructural hacia criterios predominantemente socioeconómicos. Las políticas de acción afirmativa continúan siendo reconocidas como importantes; sin embargo, su especificidad como política destinada a enfrentar las desigualdades raciales se vuelve menos evidente. Como consecuencia, la ampliación de estas acciones aparece frecuentemente condicionada por la disponibilidad de recursos, las prioridades institucionales y la capacidad administrativa de la universidad.</w:t>
      </w:r>
    </w:p>
    <w:p w14:paraId="20DC1DFD" w14:textId="55593D1D" w:rsidR="00B66A77" w:rsidRPr="00B66A77" w:rsidRDefault="00CF47B6" w:rsidP="00A6141D">
      <w:pPr>
        <w:spacing w:line="276" w:lineRule="auto"/>
        <w:rPr>
          <w:rFonts w:eastAsia="Times New Roman" w:cs="Times New Roman"/>
          <w:kern w:val="0"/>
          <w:lang w:val="pt-BR" w:eastAsia="pt-BR"/>
          <w14:ligatures w14:val="none"/>
        </w:rPr>
      </w:pPr>
      <w:r w:rsidRPr="00CF47B6">
        <w:rPr>
          <w:rFonts w:eastAsia="Times New Roman" w:cs="Times New Roman"/>
          <w:kern w:val="0"/>
          <w:lang w:val="pt-BR" w:eastAsia="pt-BR"/>
          <w14:ligatures w14:val="none"/>
        </w:rPr>
        <w:t>La comparación entre estos dos modelos pone de manifiesto que las diferencias observadas no derivan del reconocimiento —o no— de la importancia de las políticas de acción afirmativa, sino de los significados atribuidos a las desigualdades que les dan origen y al papel que la universidad pública debe asumir para enfrentarlas. Mientras que el primer grupo organiza su pensamiento a partir de los principios de justicia social y democratización de la educación superior, el segundo interpreta estas políticas principalmente a la luz de las condiciones institucionales necesarias para su implementación, así como de las dificultades para desarrollar acciones específicamente orientadas a las relaciones étnico-raciales que la política vigente debería contemplar. Estas diferentes formas de organizar el pensamiento contribuyen a comprender por qué políticas formuladas bajo un mismo marco normativo pueden asumir modalidades de implementación distintas dentro de las instituciones.</w:t>
      </w:r>
    </w:p>
    <w:p w14:paraId="65E374A2" w14:textId="6C28BD02" w:rsidR="00B66A77" w:rsidRDefault="00ED791A" w:rsidP="00A6141D">
      <w:pPr>
        <w:pStyle w:val="Ttulo2"/>
      </w:pPr>
      <w:r>
        <w:rPr>
          <w:rFonts w:ascii="Times New Roman" w:hAnsi="Times New Roman" w:cs="Times New Roman"/>
          <w:b/>
          <w:bCs/>
          <w:color w:val="auto"/>
          <w:sz w:val="24"/>
          <w:szCs w:val="24"/>
        </w:rPr>
        <w:t>2.2.3</w:t>
      </w:r>
      <w:r w:rsidRPr="00ED791A">
        <w:rPr>
          <w:rFonts w:ascii="Times New Roman" w:hAnsi="Times New Roman" w:cs="Times New Roman"/>
          <w:b/>
          <w:bCs/>
          <w:color w:val="auto"/>
          <w:sz w:val="24"/>
          <w:szCs w:val="24"/>
        </w:rPr>
        <w:t xml:space="preserve"> </w:t>
      </w:r>
      <w:r w:rsidR="00A6141D">
        <w:rPr>
          <w:rFonts w:ascii="Times New Roman" w:hAnsi="Times New Roman" w:cs="Times New Roman"/>
          <w:b/>
          <w:bCs/>
          <w:color w:val="auto"/>
          <w:sz w:val="24"/>
          <w:szCs w:val="24"/>
        </w:rPr>
        <w:t xml:space="preserve"> </w:t>
      </w:r>
      <w:r w:rsidR="00A6141D" w:rsidRPr="00A6141D">
        <w:rPr>
          <w:rFonts w:ascii="Times New Roman" w:hAnsi="Times New Roman" w:cs="Times New Roman"/>
          <w:b/>
          <w:bCs/>
          <w:color w:val="auto"/>
          <w:sz w:val="24"/>
          <w:szCs w:val="24"/>
        </w:rPr>
        <w:t>¿Cómo significan los gestores la permanencia estudiantil?</w:t>
      </w:r>
      <w:r w:rsidR="00A6141D">
        <w:t xml:space="preserve"> </w:t>
      </w:r>
    </w:p>
    <w:p w14:paraId="323C1B75" w14:textId="77777777" w:rsidR="00A6141D" w:rsidRPr="00A6141D" w:rsidRDefault="00A6141D" w:rsidP="00A6141D">
      <w:pPr>
        <w:spacing w:line="276" w:lineRule="auto"/>
        <w:rPr>
          <w:lang w:val="pt-BR" w:eastAsia="pt-BR"/>
        </w:rPr>
      </w:pPr>
      <w:r w:rsidRPr="00A6141D">
        <w:rPr>
          <w:lang w:val="pt-BR" w:eastAsia="pt-BR"/>
        </w:rPr>
        <w:t>Las entrevistas también revelaron que la permanencia estudiantil ocupa un lugar estratégico en la manera en que las gestoras comprenden la democratización de la educación superior. En prácticamente todas las entrevistas, las participantes reconocieron que ampliar el acceso representa apenas una etapa de este proceso, siendo necesario generar condiciones para que los estudiantes permanezcan en la universidad, concluyan su formación y participen plenamente de la vida académica.</w:t>
      </w:r>
    </w:p>
    <w:p w14:paraId="46F62188" w14:textId="77777777" w:rsidR="00A6141D" w:rsidRPr="00A6141D" w:rsidRDefault="00A6141D" w:rsidP="00A6141D">
      <w:pPr>
        <w:spacing w:line="276" w:lineRule="auto"/>
        <w:rPr>
          <w:lang w:val="pt-BR" w:eastAsia="pt-BR"/>
        </w:rPr>
      </w:pPr>
      <w:r w:rsidRPr="00A6141D">
        <w:rPr>
          <w:lang w:val="pt-BR" w:eastAsia="pt-BR"/>
        </w:rPr>
        <w:t xml:space="preserve">Sin embargo, el análisis permitió identificar diferentes formas de significar la permanencia estudiantil. En un primer modelo, la permanencia es comprendida como parte constitutiva de las propias políticas de acción afirmativa y de la función social de la </w:t>
      </w:r>
      <w:r w:rsidRPr="00A6141D">
        <w:rPr>
          <w:lang w:val="pt-BR" w:eastAsia="pt-BR"/>
        </w:rPr>
        <w:lastRenderedPageBreak/>
        <w:t>universidad pública. Las gestoras asocian la permanencia con el sentido de pertenencia, la equidad, la acogida institucional, la participación y la garantía de derechos, entendiendo que la democratización de la educación superior solo se concreta cuando la universidad ofrece condiciones académicas, institucionales y simbólicas que permitan a los estudiantes históricamente excluidos desarrollar plenamente sus trayectorias universitarias. Desde esta perspectiva, la permanencia trasciende la dimensión económica y pasa a ser concebida como un compromiso institucional con la inclusión y con la efectiva implementación de las políticas de acción afirmativa.</w:t>
      </w:r>
    </w:p>
    <w:p w14:paraId="6B7149ED" w14:textId="77777777" w:rsidR="00A6141D" w:rsidRPr="00A6141D" w:rsidRDefault="00A6141D" w:rsidP="00A6141D">
      <w:pPr>
        <w:spacing w:line="276" w:lineRule="auto"/>
        <w:rPr>
          <w:lang w:val="pt-BR" w:eastAsia="pt-BR"/>
        </w:rPr>
      </w:pPr>
      <w:r w:rsidRPr="00A6141D">
        <w:rPr>
          <w:lang w:val="pt-BR" w:eastAsia="pt-BR"/>
        </w:rPr>
        <w:t>En contraste, otro conjunto de entrevistas organiza la permanencia prioritariamente a partir de las condiciones materiales necesarias para evitar la deserción estudiantil. En este modelo, la alimentación, el alojamiento, el transporte, las becas y los demás apoyos estudiantiles constituyen los principales elementos movilizados por las gestoras. La permanencia continúa siendo reconocida como una política esencial para la democratización de la educación superior; sin embargo, su significado se concentra, sobre todo, en la reducción de las vulnerabilidades socioeconómicas que dificultan la continuidad de la trayectoria universitaria.</w:t>
      </w:r>
    </w:p>
    <w:p w14:paraId="742DFC09" w14:textId="77777777" w:rsidR="00A6141D" w:rsidRPr="00A6141D" w:rsidRDefault="00A6141D" w:rsidP="00A6141D">
      <w:pPr>
        <w:spacing w:line="276" w:lineRule="auto"/>
        <w:rPr>
          <w:lang w:val="pt-BR" w:eastAsia="pt-BR"/>
        </w:rPr>
      </w:pPr>
      <w:r w:rsidRPr="00A6141D">
        <w:rPr>
          <w:lang w:val="pt-BR" w:eastAsia="pt-BR"/>
        </w:rPr>
        <w:t>La comparación entre estos dos modelos pone de manifiesto que, si bien existe consenso acerca de la importancia de la permanencia estudiantil, los significados atribuidos a las responsabilidades institucionales de la universidad difieren de manera significativa. Mientras que algunas gestoras comprenden la permanencia como una política de democratización, inclusión y garantía de derechos, otras la organizan prioritariamente como una política de asistencia estudiantil orientada al apoyo socioeconómico. Estas diferentes formas de organizar el pensamiento influyen directamente en la definición de las prioridades institucionales y en las estrategias adoptadas para implementar las políticas de permanencia, reforzando que la democratización de la educación superior depende no solo de la ampliación del acceso, sino también de los significados que las gestoras atribuyen a las responsabilidades de la universidad pública frente a las desigualdades sociales.</w:t>
      </w:r>
    </w:p>
    <w:p w14:paraId="12CE0BCB" w14:textId="6A831275" w:rsidR="005F3B2E" w:rsidRDefault="00192FE0" w:rsidP="00864563">
      <w:pPr>
        <w:spacing w:line="240" w:lineRule="auto"/>
        <w:rPr>
          <w:rFonts w:cs="Times New Roman"/>
          <w:b/>
          <w:bCs/>
        </w:rPr>
      </w:pPr>
      <w:r>
        <w:rPr>
          <w:rFonts w:cs="Times New Roman"/>
          <w:b/>
          <w:bCs/>
        </w:rPr>
        <w:t xml:space="preserve">3. </w:t>
      </w:r>
      <w:r w:rsidR="005F3B2E" w:rsidRPr="007B5B5F">
        <w:rPr>
          <w:rFonts w:cs="Times New Roman"/>
          <w:b/>
          <w:bCs/>
        </w:rPr>
        <w:t>Conclusiones</w:t>
      </w:r>
    </w:p>
    <w:p w14:paraId="5CCD6177" w14:textId="77777777" w:rsidR="00A6141D" w:rsidRPr="00A6141D" w:rsidRDefault="00A6141D" w:rsidP="00A6141D">
      <w:pPr>
        <w:spacing w:line="276" w:lineRule="auto"/>
        <w:rPr>
          <w:lang w:val="pt-BR" w:eastAsia="pt-BR"/>
        </w:rPr>
      </w:pPr>
      <w:r w:rsidRPr="00A6141D">
        <w:rPr>
          <w:lang w:val="pt-BR" w:eastAsia="pt-BR"/>
        </w:rPr>
        <w:t xml:space="preserve">Este trabajo tuvo como objetivo presentar cómo los gestores universitarios participantes de nuestra investigación doctoral interpretan la función social de las universidades, las políticas de acción afirmativa y las políticas de permanencia estudiantil, así como de qué manera estas interpretaciones influyen en su implementación en el contexto de la democratización de la educación superior. Los resultados evidenciaron que, si bien las políticas de acción afirmativa se encuentran respaldadas por marcos normativos nacionales, su materialización en la vida cotidiana de las universidades es continuamente mediada por las interpretaciones construidas por los </w:t>
      </w:r>
      <w:r w:rsidRPr="00A6141D">
        <w:rPr>
          <w:lang w:val="pt-BR" w:eastAsia="pt-BR"/>
        </w:rPr>
        <w:lastRenderedPageBreak/>
        <w:t>actores institucionales, especialmente por quienes ocupan posiciones de gestión y toma de decisiones.</w:t>
      </w:r>
    </w:p>
    <w:p w14:paraId="4E20E8D9" w14:textId="77777777" w:rsidR="00A6141D" w:rsidRPr="00A6141D" w:rsidRDefault="00A6141D" w:rsidP="00A6141D">
      <w:pPr>
        <w:spacing w:line="276" w:lineRule="auto"/>
        <w:rPr>
          <w:lang w:val="pt-BR" w:eastAsia="pt-BR"/>
        </w:rPr>
      </w:pPr>
      <w:r w:rsidRPr="00A6141D">
        <w:rPr>
          <w:lang w:val="pt-BR" w:eastAsia="pt-BR"/>
        </w:rPr>
        <w:t>El análisis de los modelos organizadores del pensamiento permitió identificar que diferentes concepciones acerca de la función social de la universidad producen distintas interpretaciones sobre las políticas de acción afirmativa, la permanencia estudiantil y las prioridades institucionales. Mientras algunas gestoras comprenden la universidad como un espacio comprometido con la transformación social y la ampliación de derechos, otras enfatizan los límites institucionales y las restricciones impuestas por el contexto de financiamiento, lo que influye en la manera en que estas políticas son apropiadas e implementadas.</w:t>
      </w:r>
    </w:p>
    <w:p w14:paraId="5F91A5C5" w14:textId="77777777" w:rsidR="00A6141D" w:rsidRPr="00A6141D" w:rsidRDefault="00A6141D" w:rsidP="00A6141D">
      <w:pPr>
        <w:spacing w:line="276" w:lineRule="auto"/>
        <w:rPr>
          <w:lang w:val="pt-BR" w:eastAsia="pt-BR"/>
        </w:rPr>
      </w:pPr>
      <w:r w:rsidRPr="00A6141D">
        <w:rPr>
          <w:lang w:val="pt-BR" w:eastAsia="pt-BR"/>
        </w:rPr>
        <w:t>Estos resultados refuerzan que la democratización de la educación superior no se agota en la ampliación del acceso. Requiere políticas de permanencia capaces de garantizar condiciones materiales, académicas y simbólicas para que los estudiantes históricamente excluidos permanezcan en la universidad y concluyan su formación, al tiempo que demanda instituciones comprometidas con la reducción de las desigualdades y con la promoción de la justicia social.</w:t>
      </w:r>
    </w:p>
    <w:p w14:paraId="719167B5" w14:textId="77777777" w:rsidR="00A6141D" w:rsidRPr="00A6141D" w:rsidRDefault="00A6141D" w:rsidP="00A6141D">
      <w:pPr>
        <w:spacing w:line="276" w:lineRule="auto"/>
        <w:rPr>
          <w:lang w:val="pt-BR" w:eastAsia="pt-BR"/>
        </w:rPr>
      </w:pPr>
      <w:r w:rsidRPr="00A6141D">
        <w:rPr>
          <w:lang w:val="pt-BR" w:eastAsia="pt-BR"/>
        </w:rPr>
        <w:t>Finalmente, este estudio pone de manifiesto que la efectividad de las políticas públicas depende no solo de la existencia de marcos normativos y de la ampliación de la inversión pública, sino también de los procesos de significación construidos por los gestores universitarios. Comprender estos procesos permite ampliar el debate sobre la gobernanza y la autonomía universitarias, reafirmando el papel de la universidad pública como una institución comprometida con la producción de conocimiento, la formación ciudadana y la construcción de sociedades más democráticas, equitativas y socialmente comprometidas.</w:t>
      </w:r>
    </w:p>
    <w:p w14:paraId="39B57161" w14:textId="364FDC17" w:rsidR="005F3B2E" w:rsidRDefault="005F3B2E" w:rsidP="007B5B5F">
      <w:pPr>
        <w:spacing w:line="240" w:lineRule="auto"/>
        <w:rPr>
          <w:rFonts w:cs="Times New Roman"/>
          <w:b/>
          <w:bCs/>
        </w:rPr>
      </w:pPr>
      <w:r w:rsidRPr="00BA642E">
        <w:rPr>
          <w:rFonts w:cs="Times New Roman"/>
          <w:b/>
          <w:bCs/>
        </w:rPr>
        <w:t>Referencias Bibliográficas (APA 7)</w:t>
      </w:r>
    </w:p>
    <w:p w14:paraId="5A7D3CBC" w14:textId="77777777" w:rsidR="0071009E" w:rsidRDefault="0071009E" w:rsidP="0071009E">
      <w:pPr>
        <w:pStyle w:val="pdq2pgselectionanchorcontainer"/>
      </w:pPr>
      <w:r>
        <w:t xml:space="preserve">Alma Preta Jornalismo. (2023, March 13). </w:t>
      </w:r>
      <w:r>
        <w:rPr>
          <w:rStyle w:val="nfase"/>
          <w:rFonts w:eastAsiaTheme="majorEastAsia"/>
        </w:rPr>
        <w:t>Nenhum saber para trás: Os perigos das epistemologias únicas</w:t>
      </w:r>
      <w:r>
        <w:t xml:space="preserve"> [Video]. YouTube. </w:t>
      </w:r>
      <w:hyperlink r:id="rId9" w:tgtFrame="_new" w:history="1">
        <w:r>
          <w:rPr>
            <w:rStyle w:val="Hyperlink"/>
            <w:rFonts w:eastAsiaTheme="majorEastAsia"/>
          </w:rPr>
          <w:t>https://www.youtube.com/watch?v=Nwexf2nbYTU</w:t>
        </w:r>
      </w:hyperlink>
    </w:p>
    <w:p w14:paraId="118FDE21" w14:textId="77777777" w:rsidR="0071009E" w:rsidRDefault="0071009E" w:rsidP="0071009E">
      <w:pPr>
        <w:pStyle w:val="NormalWeb"/>
      </w:pPr>
      <w:r>
        <w:t xml:space="preserve">Almeida, S. L. (2019). </w:t>
      </w:r>
      <w:r>
        <w:rPr>
          <w:rStyle w:val="nfase"/>
          <w:rFonts w:eastAsiaTheme="majorEastAsia"/>
        </w:rPr>
        <w:t>Racismo estrutural</w:t>
      </w:r>
      <w:r>
        <w:t>. Pólen.</w:t>
      </w:r>
    </w:p>
    <w:p w14:paraId="574945B2" w14:textId="77777777" w:rsidR="0071009E" w:rsidRDefault="0071009E" w:rsidP="0071009E">
      <w:pPr>
        <w:pStyle w:val="NormalWeb"/>
      </w:pPr>
      <w:r>
        <w:t xml:space="preserve">Barragán-Díaz, D. M. (2020). La experiencia estudiantil universitaria en América Latina: Una revisión de literatura. </w:t>
      </w:r>
      <w:r>
        <w:rPr>
          <w:rStyle w:val="nfase"/>
          <w:rFonts w:eastAsiaTheme="majorEastAsia"/>
        </w:rPr>
        <w:t>Revista Colombiana de Educación, 78</w:t>
      </w:r>
      <w:r>
        <w:t>, 147–172.</w:t>
      </w:r>
    </w:p>
    <w:p w14:paraId="31038FDD" w14:textId="77777777" w:rsidR="0071009E" w:rsidRDefault="0071009E" w:rsidP="0071009E">
      <w:pPr>
        <w:pStyle w:val="NormalWeb"/>
      </w:pPr>
      <w:r>
        <w:t xml:space="preserve">Bento, C. (2022). </w:t>
      </w:r>
      <w:r>
        <w:rPr>
          <w:rStyle w:val="nfase"/>
          <w:rFonts w:eastAsiaTheme="majorEastAsia"/>
        </w:rPr>
        <w:t>O pacto da branquitude</w:t>
      </w:r>
      <w:r>
        <w:t>. Companhia das Letras.</w:t>
      </w:r>
    </w:p>
    <w:p w14:paraId="70B2CEB9" w14:textId="77777777" w:rsidR="0071009E" w:rsidRDefault="0071009E" w:rsidP="0071009E">
      <w:pPr>
        <w:pStyle w:val="NormalWeb"/>
      </w:pPr>
      <w:r>
        <w:lastRenderedPageBreak/>
        <w:t xml:space="preserve">Brasil. (2012). </w:t>
      </w:r>
      <w:r>
        <w:rPr>
          <w:rStyle w:val="nfase"/>
          <w:rFonts w:eastAsiaTheme="majorEastAsia"/>
        </w:rPr>
        <w:t>Lei nº 12.711, de 29 de agosto de 2012: Dispõe sobre o ingresso nas universidades federais e nas instituições federais de ensino técnico de nível médio e dá outras providências</w:t>
      </w:r>
      <w:r>
        <w:t>. Diário Oficial da União.</w:t>
      </w:r>
    </w:p>
    <w:p w14:paraId="16B18D50" w14:textId="77777777" w:rsidR="0071009E" w:rsidRDefault="0071009E" w:rsidP="0071009E">
      <w:pPr>
        <w:pStyle w:val="NormalWeb"/>
      </w:pPr>
      <w:r>
        <w:t xml:space="preserve">Campos, L. A., &amp; Lima, M. (2025). </w:t>
      </w:r>
      <w:r>
        <w:rPr>
          <w:rStyle w:val="nfase"/>
          <w:rFonts w:eastAsiaTheme="majorEastAsia"/>
        </w:rPr>
        <w:t>O impacto das cotas: Duas décadas de ação afirmativa no ensino superior brasileiro</w:t>
      </w:r>
      <w:r>
        <w:t>. Autêntica.</w:t>
      </w:r>
    </w:p>
    <w:p w14:paraId="34870483" w14:textId="77777777" w:rsidR="0071009E" w:rsidRDefault="0071009E" w:rsidP="0071009E">
      <w:pPr>
        <w:pStyle w:val="NormalWeb"/>
      </w:pPr>
      <w:r>
        <w:t xml:space="preserve">Carvalho, J. J. (2005). </w:t>
      </w:r>
      <w:r>
        <w:rPr>
          <w:rStyle w:val="nfase"/>
          <w:rFonts w:eastAsiaTheme="majorEastAsia"/>
        </w:rPr>
        <w:t>Inclusão étnica e racial no Brasil: A questão das cotas no ensino superior</w:t>
      </w:r>
      <w:r>
        <w:t>. Attar Editorial.</w:t>
      </w:r>
    </w:p>
    <w:p w14:paraId="3AC4F63F" w14:textId="77777777" w:rsidR="0071009E" w:rsidRDefault="0071009E" w:rsidP="0071009E">
      <w:pPr>
        <w:pStyle w:val="NormalWeb"/>
      </w:pPr>
      <w:r>
        <w:t xml:space="preserve">Carvalho, N. H., Rodrigues, E. B., &amp; Barbosa, R. T. D. O. (2023). Políticas afirmativas na universidade: Promovem inclusão do estudante pertencente ao programa de permanência estudantil? </w:t>
      </w:r>
      <w:r>
        <w:rPr>
          <w:rStyle w:val="nfase"/>
          <w:rFonts w:eastAsiaTheme="majorEastAsia"/>
        </w:rPr>
        <w:t>Missões: Revista de Ciências Humanas e Sociais, 9</w:t>
      </w:r>
      <w:r>
        <w:t>(2), 187–206.</w:t>
      </w:r>
    </w:p>
    <w:p w14:paraId="3127B4DE" w14:textId="77777777" w:rsidR="0071009E" w:rsidRDefault="0071009E" w:rsidP="0071009E">
      <w:pPr>
        <w:pStyle w:val="NormalWeb"/>
      </w:pPr>
      <w:r>
        <w:t xml:space="preserve">Chaui, M. (2003). A universidade pública sob nova perspectiva. </w:t>
      </w:r>
      <w:r>
        <w:rPr>
          <w:rStyle w:val="nfase"/>
          <w:rFonts w:eastAsiaTheme="majorEastAsia"/>
        </w:rPr>
        <w:t>Revista Brasileira de Educação, 24</w:t>
      </w:r>
      <w:r>
        <w:t>, 5–15. https://doi.org/10.1590/S1413-24782003000300002</w:t>
      </w:r>
    </w:p>
    <w:p w14:paraId="5B52644A" w14:textId="77777777" w:rsidR="0071009E" w:rsidRDefault="0071009E" w:rsidP="0071009E">
      <w:pPr>
        <w:pStyle w:val="NormalWeb"/>
      </w:pPr>
      <w:r>
        <w:t xml:space="preserve">Chaui, M. (2014, August 8). </w:t>
      </w:r>
      <w:r>
        <w:rPr>
          <w:rStyle w:val="nfase"/>
          <w:rFonts w:eastAsiaTheme="majorEastAsia"/>
        </w:rPr>
        <w:t>Contra a universidade operacional: A greve de 2014</w:t>
      </w:r>
      <w:r>
        <w:t xml:space="preserve"> [Aula magna]. Universidade de São Paulo.</w:t>
      </w:r>
    </w:p>
    <w:p w14:paraId="02DE5B34" w14:textId="77777777" w:rsidR="0071009E" w:rsidRDefault="0071009E" w:rsidP="0071009E">
      <w:pPr>
        <w:pStyle w:val="NormalWeb"/>
      </w:pPr>
      <w:r>
        <w:t xml:space="preserve">Coulon, A. (2017). </w:t>
      </w:r>
      <w:r>
        <w:rPr>
          <w:rStyle w:val="nfase"/>
          <w:rFonts w:eastAsiaTheme="majorEastAsia"/>
        </w:rPr>
        <w:t>A condição de estudante: A entrada na vida universitária</w:t>
      </w:r>
      <w:r>
        <w:t>. EDUFBA.</w:t>
      </w:r>
    </w:p>
    <w:p w14:paraId="275D9815" w14:textId="77777777" w:rsidR="0071009E" w:rsidRDefault="0071009E" w:rsidP="0071009E">
      <w:pPr>
        <w:pStyle w:val="NormalWeb"/>
      </w:pPr>
      <w:r>
        <w:t xml:space="preserve">Cunha, L. A. (2000). Ensino superior e universidade no Brasil. In E. M. T. Lopes et al. (Eds.), </w:t>
      </w:r>
      <w:r>
        <w:rPr>
          <w:rStyle w:val="nfase"/>
          <w:rFonts w:eastAsiaTheme="majorEastAsia"/>
        </w:rPr>
        <w:t>500 anos de educação no Brasil</w:t>
      </w:r>
      <w:r>
        <w:t xml:space="preserve"> (pp. 151–204). Autêntica.</w:t>
      </w:r>
    </w:p>
    <w:p w14:paraId="4CA02E54" w14:textId="77777777" w:rsidR="0071009E" w:rsidRDefault="0071009E" w:rsidP="0071009E">
      <w:pPr>
        <w:pStyle w:val="NormalWeb"/>
      </w:pPr>
      <w:r>
        <w:t xml:space="preserve">Foucault, M. (1979). </w:t>
      </w:r>
      <w:r>
        <w:rPr>
          <w:rStyle w:val="nfase"/>
          <w:rFonts w:eastAsiaTheme="majorEastAsia"/>
        </w:rPr>
        <w:t>Microfísica do poder</w:t>
      </w:r>
      <w:r>
        <w:t>. Graal.</w:t>
      </w:r>
    </w:p>
    <w:p w14:paraId="381E2F0C" w14:textId="77777777" w:rsidR="0071009E" w:rsidRDefault="0071009E" w:rsidP="0071009E">
      <w:pPr>
        <w:pStyle w:val="NormalWeb"/>
      </w:pPr>
      <w:r>
        <w:t xml:space="preserve">Galhardo, E., Vasconcelos, M. S., Frei, F., &amp; Rodrigues, E. B. (2020). Desempenho acadêmico e frequência dos estudantes ingressantes pelo Programa de Inclusão da UNESP. </w:t>
      </w:r>
      <w:r>
        <w:rPr>
          <w:rStyle w:val="nfase"/>
          <w:rFonts w:eastAsiaTheme="majorEastAsia"/>
        </w:rPr>
        <w:t>Avaliação: Revista da Avaliação da Educação Superior (Campinas), 25</w:t>
      </w:r>
      <w:r>
        <w:t xml:space="preserve">(3), 701–723. </w:t>
      </w:r>
      <w:hyperlink r:id="rId10" w:tgtFrame="_new" w:history="1">
        <w:r>
          <w:rPr>
            <w:rStyle w:val="Hyperlink"/>
            <w:rFonts w:eastAsiaTheme="majorEastAsia"/>
          </w:rPr>
          <w:t>https://doi.org/10.1590/S1414-40772020000300008</w:t>
        </w:r>
      </w:hyperlink>
    </w:p>
    <w:p w14:paraId="78FFB3BA" w14:textId="77777777" w:rsidR="0071009E" w:rsidRDefault="0071009E" w:rsidP="0071009E">
      <w:pPr>
        <w:pStyle w:val="NormalWeb"/>
      </w:pPr>
      <w:r>
        <w:t xml:space="preserve">Gomes, N. L. (2021). O combate ao racismo e a descolonização das práticas educativas e acadêmicas. </w:t>
      </w:r>
      <w:r>
        <w:rPr>
          <w:rStyle w:val="nfase"/>
          <w:rFonts w:eastAsiaTheme="majorEastAsia"/>
        </w:rPr>
        <w:t>Revista de Filosofia Aurora, 33</w:t>
      </w:r>
      <w:r>
        <w:t xml:space="preserve">(59). </w:t>
      </w:r>
      <w:hyperlink r:id="rId11" w:tgtFrame="_new" w:history="1">
        <w:r>
          <w:rPr>
            <w:rStyle w:val="Hyperlink"/>
            <w:rFonts w:eastAsiaTheme="majorEastAsia"/>
          </w:rPr>
          <w:t>https://doi.org/10.7213/1980-5934.33.059.DS06</w:t>
        </w:r>
      </w:hyperlink>
    </w:p>
    <w:p w14:paraId="049ED4A5" w14:textId="77777777" w:rsidR="0071009E" w:rsidRDefault="0071009E" w:rsidP="0071009E">
      <w:pPr>
        <w:pStyle w:val="NormalWeb"/>
      </w:pPr>
      <w:r>
        <w:t xml:space="preserve">Grosfoguel, R. (2008). Para descolonizar os estudos de economia política e os estudos pós-coloniais: Transmodernidade, pensamento de fronteira e colonialidade global. </w:t>
      </w:r>
      <w:r>
        <w:rPr>
          <w:rStyle w:val="nfase"/>
          <w:rFonts w:eastAsiaTheme="majorEastAsia"/>
        </w:rPr>
        <w:t>Revista Crítica de Ciências Sociais, 80</w:t>
      </w:r>
      <w:r>
        <w:t>, 115–147.</w:t>
      </w:r>
    </w:p>
    <w:p w14:paraId="5C506AF9" w14:textId="77777777" w:rsidR="0071009E" w:rsidRDefault="0071009E" w:rsidP="0071009E">
      <w:pPr>
        <w:pStyle w:val="NormalWeb"/>
      </w:pPr>
      <w:r>
        <w:t xml:space="preserve">Lima, M., Neves, P. S. C., &amp; Silva, P. B. G. (2014). A implantação das cotas na universidade: Paternalismo e ameaça à posição dos grupos dominantes. </w:t>
      </w:r>
      <w:r>
        <w:rPr>
          <w:rStyle w:val="nfase"/>
          <w:rFonts w:eastAsiaTheme="majorEastAsia"/>
        </w:rPr>
        <w:t>Revista Brasileira de Educação, 19</w:t>
      </w:r>
      <w:r>
        <w:t>(56), 141–163.</w:t>
      </w:r>
    </w:p>
    <w:p w14:paraId="1424B2AB" w14:textId="77777777" w:rsidR="0071009E" w:rsidRDefault="0071009E" w:rsidP="0071009E">
      <w:pPr>
        <w:pStyle w:val="NormalWeb"/>
      </w:pPr>
      <w:r>
        <w:lastRenderedPageBreak/>
        <w:t xml:space="preserve">Mendes Junior, A. A. F. (2014). Uma análise da progressão dos alunos cotistas sob a primeira ação afirmativa brasileira no ensino superior: O caso da UERJ. </w:t>
      </w:r>
      <w:r>
        <w:rPr>
          <w:rStyle w:val="nfase"/>
          <w:rFonts w:eastAsiaTheme="majorEastAsia"/>
        </w:rPr>
        <w:t>Ensaio: Avaliação e Políticas Públicas em Educação, 22</w:t>
      </w:r>
      <w:r>
        <w:t>(82), 31–56.</w:t>
      </w:r>
    </w:p>
    <w:p w14:paraId="08E5BC84" w14:textId="77777777" w:rsidR="0071009E" w:rsidRDefault="0071009E" w:rsidP="0071009E">
      <w:pPr>
        <w:pStyle w:val="NormalWeb"/>
      </w:pPr>
      <w:r>
        <w:t xml:space="preserve">Moreno, M., Sastre, G., Bover, M., &amp; Leal, A. (2000). </w:t>
      </w:r>
      <w:r>
        <w:rPr>
          <w:rStyle w:val="nfase"/>
          <w:rFonts w:eastAsiaTheme="majorEastAsia"/>
        </w:rPr>
        <w:t>Conhecimento e mudança: Os modelos organizadores na construção do conhecimento</w:t>
      </w:r>
      <w:r>
        <w:t>. Editora da Unicamp &amp; Moderna.</w:t>
      </w:r>
    </w:p>
    <w:p w14:paraId="5FE91940" w14:textId="3D4E88E0" w:rsidR="0071009E" w:rsidRDefault="0071009E" w:rsidP="0071009E">
      <w:pPr>
        <w:pStyle w:val="NormalWeb"/>
      </w:pPr>
      <w:r>
        <w:t xml:space="preserve">Moreno, M., &amp; Sastre, G. (2014). </w:t>
      </w:r>
      <w:r>
        <w:rPr>
          <w:rStyle w:val="nfase"/>
          <w:rFonts w:eastAsiaTheme="majorEastAsia"/>
        </w:rPr>
        <w:t>Como construímos universos: Amor, cooperação e conflito</w:t>
      </w:r>
      <w:r>
        <w:t>. Editora Unesp.</w:t>
      </w:r>
    </w:p>
    <w:p w14:paraId="0C7A9A53" w14:textId="77777777" w:rsidR="0071009E" w:rsidRDefault="0071009E" w:rsidP="0071009E">
      <w:pPr>
        <w:pStyle w:val="NormalWeb"/>
      </w:pPr>
      <w:r>
        <w:t xml:space="preserve">Reis, D. B. (2009). Permanência no ensino superior: A construção de uma política de assistência estudantil. </w:t>
      </w:r>
      <w:r>
        <w:rPr>
          <w:rStyle w:val="nfase"/>
          <w:rFonts w:eastAsiaTheme="majorEastAsia"/>
        </w:rPr>
        <w:t>Revista da Faculdade de Educação da Bahia, 26</w:t>
      </w:r>
      <w:r>
        <w:t>, 1–18.</w:t>
      </w:r>
    </w:p>
    <w:p w14:paraId="567F0F1C" w14:textId="77777777" w:rsidR="0071009E" w:rsidRDefault="0071009E" w:rsidP="0071009E">
      <w:pPr>
        <w:pStyle w:val="NormalWeb"/>
      </w:pPr>
      <w:r>
        <w:t xml:space="preserve">Rodrigues, E. B. (2020). </w:t>
      </w:r>
      <w:r>
        <w:rPr>
          <w:rStyle w:val="nfase"/>
          <w:rFonts w:eastAsiaTheme="majorEastAsia"/>
        </w:rPr>
        <w:t>Política de reserva de vagas na Unesp: Um estudo com base nos modelos organizadores do pensamento de estudantes ingressantes pretos</w:t>
      </w:r>
      <w:r>
        <w:t xml:space="preserve"> (Dissertação de mestrado, Universidade Estadual Paulista). Repositório Institucional UNESP. </w:t>
      </w:r>
      <w:hyperlink r:id="rId12" w:tgtFrame="_new" w:history="1">
        <w:r>
          <w:rPr>
            <w:rStyle w:val="Hyperlink"/>
            <w:rFonts w:eastAsiaTheme="majorEastAsia"/>
          </w:rPr>
          <w:t>http://hdl.handle.net/11449/202155</w:t>
        </w:r>
      </w:hyperlink>
    </w:p>
    <w:p w14:paraId="63737E69" w14:textId="77777777" w:rsidR="0071009E" w:rsidRDefault="0071009E" w:rsidP="0071009E">
      <w:pPr>
        <w:pStyle w:val="NormalWeb"/>
      </w:pPr>
      <w:r>
        <w:t xml:space="preserve">Rodrigues, E. B., Barbosa, R. T. D. O., Oliveira, I. A., Paixão, V. B., Aragão, J. E. O. S., Silva, S. I. M., &amp; Serra, I. M. R. (2024). </w:t>
      </w:r>
      <w:r>
        <w:rPr>
          <w:rStyle w:val="nfase"/>
          <w:rFonts w:eastAsiaTheme="majorEastAsia"/>
        </w:rPr>
        <w:t>Relatório de atividades OVE: Observatório de Vivências Estudantis</w:t>
      </w:r>
      <w:r>
        <w:t>. Universidade Estadual Paulista.</w:t>
      </w:r>
    </w:p>
    <w:p w14:paraId="60C568CB" w14:textId="77777777" w:rsidR="0071009E" w:rsidRDefault="0071009E" w:rsidP="0071009E">
      <w:pPr>
        <w:pStyle w:val="NormalWeb"/>
      </w:pPr>
      <w:r>
        <w:t xml:space="preserve">Rodrigues, E. B., &amp; Sun, H. T. (2025). Referencial bibliográfico em disputa: Colonialidade de saberes, corpos e territórios na formação em Psicologia. </w:t>
      </w:r>
      <w:r>
        <w:rPr>
          <w:rStyle w:val="nfase"/>
          <w:rFonts w:eastAsiaTheme="majorEastAsia"/>
        </w:rPr>
        <w:t>Revista Educação, Psicologia e Interfaces, 9</w:t>
      </w:r>
      <w:r>
        <w:t>(1), 1–16.</w:t>
      </w:r>
    </w:p>
    <w:p w14:paraId="10522E1B" w14:textId="77777777" w:rsidR="0071009E" w:rsidRDefault="0071009E" w:rsidP="0071009E">
      <w:pPr>
        <w:pStyle w:val="NormalWeb"/>
      </w:pPr>
      <w:r>
        <w:t xml:space="preserve">Rodrigues, R. D. O., Rodrigues, E. B., &amp; Barbosa, R. T. D. O. (2024). Vivências acadêmicas: Adaptação de estudantes do curso de Engenharia Civil. </w:t>
      </w:r>
      <w:r>
        <w:rPr>
          <w:rStyle w:val="nfase"/>
          <w:rFonts w:eastAsiaTheme="majorEastAsia"/>
        </w:rPr>
        <w:t>Avaliação: Revista da Avaliação da Educação Superior (Campinas), 29</w:t>
      </w:r>
      <w:r>
        <w:t xml:space="preserve">, e024021. </w:t>
      </w:r>
      <w:hyperlink r:id="rId13" w:tgtFrame="_new" w:history="1">
        <w:r>
          <w:rPr>
            <w:rStyle w:val="Hyperlink"/>
            <w:rFonts w:eastAsiaTheme="majorEastAsia"/>
          </w:rPr>
          <w:t>https://doi.org/10.1590/S1414-40772024000100021</w:t>
        </w:r>
      </w:hyperlink>
    </w:p>
    <w:p w14:paraId="3BBF8D0A" w14:textId="77777777" w:rsidR="0071009E" w:rsidRDefault="0071009E" w:rsidP="0071009E">
      <w:pPr>
        <w:pStyle w:val="NormalWeb"/>
      </w:pPr>
      <w:r>
        <w:t xml:space="preserve">Sampaio, S. M. R. (Ed.). (2011). </w:t>
      </w:r>
      <w:r>
        <w:rPr>
          <w:rStyle w:val="nfase"/>
          <w:rFonts w:eastAsiaTheme="majorEastAsia"/>
        </w:rPr>
        <w:t>Observatório da vida estudantil: Primeiros estudos</w:t>
      </w:r>
      <w:r>
        <w:t>. EDUFBA.</w:t>
      </w:r>
    </w:p>
    <w:p w14:paraId="3E927A32" w14:textId="77777777" w:rsidR="0071009E" w:rsidRDefault="0071009E" w:rsidP="0071009E">
      <w:pPr>
        <w:pStyle w:val="NormalWeb"/>
      </w:pPr>
      <w:r>
        <w:t xml:space="preserve">Sampaio, S. M. R. (Ed.). (2020). </w:t>
      </w:r>
      <w:r>
        <w:rPr>
          <w:rStyle w:val="nfase"/>
          <w:rFonts w:eastAsiaTheme="majorEastAsia"/>
        </w:rPr>
        <w:t>Observatório da vida estudantil: Universidade, responsabilidade social e juventudes</w:t>
      </w:r>
      <w:r>
        <w:t>. EDUFBA.</w:t>
      </w:r>
    </w:p>
    <w:p w14:paraId="1466A789" w14:textId="77777777" w:rsidR="0071009E" w:rsidRDefault="0071009E" w:rsidP="0071009E">
      <w:pPr>
        <w:pStyle w:val="NormalWeb"/>
      </w:pPr>
      <w:r>
        <w:t xml:space="preserve">Santos, G. G., &amp; Sampaio, S. M. R. (Eds.). (2023). </w:t>
      </w:r>
      <w:r>
        <w:rPr>
          <w:rStyle w:val="nfase"/>
          <w:rFonts w:eastAsiaTheme="majorEastAsia"/>
        </w:rPr>
        <w:t>Observatório da vida estudantil: Pesquisa, permanência e universidade</w:t>
      </w:r>
      <w:r>
        <w:t>. EDUFBA.</w:t>
      </w:r>
    </w:p>
    <w:p w14:paraId="4135DE4E" w14:textId="77777777" w:rsidR="0071009E" w:rsidRDefault="0071009E" w:rsidP="0071009E">
      <w:pPr>
        <w:pStyle w:val="NormalWeb"/>
      </w:pPr>
      <w:r>
        <w:t xml:space="preserve">Santos, S. A. (2005). </w:t>
      </w:r>
      <w:r>
        <w:rPr>
          <w:rStyle w:val="nfase"/>
          <w:rFonts w:eastAsiaTheme="majorEastAsia"/>
        </w:rPr>
        <w:t>Ações afirmativas e combate ao racismo nas Américas</w:t>
      </w:r>
      <w:r>
        <w:t>. MEC/SECAD.</w:t>
      </w:r>
    </w:p>
    <w:p w14:paraId="4A9E1E44" w14:textId="77777777" w:rsidR="0071009E" w:rsidRDefault="0071009E" w:rsidP="0071009E">
      <w:pPr>
        <w:pStyle w:val="NormalWeb"/>
      </w:pPr>
      <w:r>
        <w:lastRenderedPageBreak/>
        <w:t xml:space="preserve">Saviani, D. (2013). Vicissitudes e perspectivas do direito à educação no Brasil: Abordagem histórica e situação atual. </w:t>
      </w:r>
      <w:r>
        <w:rPr>
          <w:rStyle w:val="nfase"/>
          <w:rFonts w:eastAsiaTheme="majorEastAsia"/>
        </w:rPr>
        <w:t>Educação &amp; Sociedade, 34</w:t>
      </w:r>
      <w:r>
        <w:t xml:space="preserve">, 743–760. </w:t>
      </w:r>
      <w:hyperlink r:id="rId14" w:tgtFrame="_new" w:history="1">
        <w:r>
          <w:rPr>
            <w:rStyle w:val="Hyperlink"/>
            <w:rFonts w:eastAsiaTheme="majorEastAsia"/>
          </w:rPr>
          <w:t>https://doi.org/10.1590/S0101-73302013000300006</w:t>
        </w:r>
      </w:hyperlink>
    </w:p>
    <w:p w14:paraId="2EFBFEEE" w14:textId="77777777" w:rsidR="0071009E" w:rsidRDefault="0071009E" w:rsidP="0071009E">
      <w:pPr>
        <w:pStyle w:val="NormalWeb"/>
      </w:pPr>
      <w:r>
        <w:t xml:space="preserve">Silva Barreto, P. C., Reis, D. B., Fernandes, C. M., &amp; de Brito, Y. S. (2024). Racial politics: Central themes in academic scholarship in the social sciences in Brazil (2012–2019). In C. Luiz Pereira Oliveira, G. L. Mitchell-Walthour, &amp; M. K. C. Morrison (Eds.), </w:t>
      </w:r>
      <w:r>
        <w:rPr>
          <w:rStyle w:val="nfase"/>
          <w:rFonts w:eastAsiaTheme="majorEastAsia"/>
        </w:rPr>
        <w:t>Black Lives Matter in Latin America</w:t>
      </w:r>
      <w:r>
        <w:t xml:space="preserve"> (pp. 45–71). Palgrave Macmillan. </w:t>
      </w:r>
      <w:hyperlink r:id="rId15" w:tgtFrame="_new" w:history="1">
        <w:r>
          <w:rPr>
            <w:rStyle w:val="Hyperlink"/>
            <w:rFonts w:eastAsiaTheme="majorEastAsia"/>
          </w:rPr>
          <w:t>https://doi.org/10.1007/978-3-031-39904-6_3</w:t>
        </w:r>
      </w:hyperlink>
    </w:p>
    <w:p w14:paraId="146FBD57" w14:textId="77777777" w:rsidR="0071009E" w:rsidRDefault="0071009E" w:rsidP="0071009E">
      <w:pPr>
        <w:pStyle w:val="NormalWeb"/>
      </w:pPr>
      <w:r>
        <w:t xml:space="preserve">Soares, A. B., Ferneda, E., &amp; Prado, H. A. (2018). Observatórios: Um levantamento do estado do conhecimento. </w:t>
      </w:r>
      <w:r>
        <w:rPr>
          <w:rStyle w:val="nfase"/>
          <w:rFonts w:eastAsiaTheme="majorEastAsia"/>
        </w:rPr>
        <w:t>Perspectivas em Ciência da Informação, 23</w:t>
      </w:r>
      <w:r>
        <w:t>(2), 86–110.</w:t>
      </w:r>
    </w:p>
    <w:p w14:paraId="1DBF7405" w14:textId="26C0266A" w:rsidR="0071009E" w:rsidRDefault="0071009E" w:rsidP="0071009E">
      <w:pPr>
        <w:pStyle w:val="NormalWeb"/>
      </w:pPr>
      <w:r>
        <w:t xml:space="preserve">Teixeira, A. (2005). </w:t>
      </w:r>
      <w:r>
        <w:rPr>
          <w:rStyle w:val="nfase"/>
          <w:rFonts w:eastAsiaTheme="majorEastAsia"/>
        </w:rPr>
        <w:t>Ensino superior no Brasil: Análise e interpretação de sua evolução até 1969</w:t>
      </w:r>
      <w:r>
        <w:t>. Editora UFRJ. (Obra original publicada em 1989)</w:t>
      </w:r>
      <w:r>
        <w:t xml:space="preserve">. </w:t>
      </w:r>
    </w:p>
    <w:p w14:paraId="13C9527B" w14:textId="2D6E06C3" w:rsidR="0071009E" w:rsidRDefault="0071009E" w:rsidP="0071009E">
      <w:pPr>
        <w:pStyle w:val="NormalWeb"/>
      </w:pPr>
      <w:r>
        <w:t xml:space="preserve">Universidade Estadual Paulista (UNESP). Coordenadoria de Permanência Estudantil. (2024). </w:t>
      </w:r>
      <w:r>
        <w:rPr>
          <w:rStyle w:val="nfase"/>
          <w:rFonts w:eastAsiaTheme="majorEastAsia"/>
        </w:rPr>
        <w:t>Relatório de atividades COPE – 2024</w:t>
      </w:r>
      <w:r>
        <w:t xml:space="preserve">. </w:t>
      </w:r>
      <w:hyperlink r:id="rId16" w:tgtFrame="_new" w:history="1">
        <w:r>
          <w:rPr>
            <w:rStyle w:val="Hyperlink"/>
            <w:rFonts w:eastAsiaTheme="majorEastAsia"/>
          </w:rPr>
          <w:t>https://www2.unesp.br/Home/cope/documentos/relatorio-cope-2024.pdf</w:t>
        </w:r>
      </w:hyperlink>
      <w:r>
        <w:t xml:space="preserve">. </w:t>
      </w:r>
    </w:p>
    <w:p w14:paraId="54D2AD3F" w14:textId="77777777" w:rsidR="0071009E" w:rsidRDefault="0071009E" w:rsidP="0071009E">
      <w:pPr>
        <w:pStyle w:val="NormalWeb"/>
      </w:pPr>
      <w:r>
        <w:t xml:space="preserve">Vasconcelos, M. S., &amp; Galhardo, E. (2016). O programa de inclusão na UNESP: Valores, contradições e ações afirmativas. </w:t>
      </w:r>
      <w:r>
        <w:rPr>
          <w:rStyle w:val="nfase"/>
          <w:rFonts w:eastAsiaTheme="majorEastAsia"/>
        </w:rPr>
        <w:t>Revista Ibero-Americana de Estudos em Educação, 11</w:t>
      </w:r>
      <w:r>
        <w:t xml:space="preserve">(esp. 1), 285–306. </w:t>
      </w:r>
      <w:hyperlink r:id="rId17" w:tgtFrame="_new" w:history="1">
        <w:r>
          <w:rPr>
            <w:rStyle w:val="Hyperlink"/>
            <w:rFonts w:eastAsiaTheme="majorEastAsia"/>
          </w:rPr>
          <w:t>https://doi.org/10.21723/RIAEE.v11.esp.1.p285</w:t>
        </w:r>
      </w:hyperlink>
    </w:p>
    <w:p w14:paraId="314D2407" w14:textId="77777777" w:rsidR="0071009E" w:rsidRDefault="0071009E" w:rsidP="0071009E">
      <w:pPr>
        <w:pStyle w:val="NormalWeb"/>
      </w:pPr>
      <w:r>
        <w:t xml:space="preserve">Yuval-Davis, N. (2006). Belonging and the politics of belonging. </w:t>
      </w:r>
      <w:r>
        <w:rPr>
          <w:rStyle w:val="nfase"/>
          <w:rFonts w:eastAsiaTheme="majorEastAsia"/>
        </w:rPr>
        <w:t>Patterns of Prejudice, 40</w:t>
      </w:r>
      <w:r>
        <w:t>(3), 197–214.</w:t>
      </w:r>
    </w:p>
    <w:p w14:paraId="7E83515B" w14:textId="4A6B3120" w:rsidR="001923DC" w:rsidRPr="00F37C14" w:rsidRDefault="001923DC" w:rsidP="00F62F04">
      <w:pPr>
        <w:spacing w:line="240" w:lineRule="auto"/>
        <w:rPr>
          <w:rFonts w:cs="Times New Roman"/>
        </w:rPr>
      </w:pPr>
    </w:p>
    <w:sectPr w:rsidR="001923DC" w:rsidRPr="00F37C14"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C41E0" w14:textId="77777777" w:rsidR="00A177F5" w:rsidRPr="00BA642E" w:rsidRDefault="00A177F5" w:rsidP="00C802F5">
      <w:pPr>
        <w:spacing w:after="0" w:line="240" w:lineRule="auto"/>
      </w:pPr>
      <w:r w:rsidRPr="00BA642E">
        <w:separator/>
      </w:r>
    </w:p>
  </w:endnote>
  <w:endnote w:type="continuationSeparator" w:id="0">
    <w:p w14:paraId="4A5ECD3C" w14:textId="77777777" w:rsidR="00A177F5" w:rsidRPr="00BA642E" w:rsidRDefault="00A177F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CC46" w14:textId="732B193D" w:rsidR="00541AFC" w:rsidRPr="00BA642E" w:rsidRDefault="00541AFC">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541AFC" w:rsidRPr="00BA642E" w:rsidRDefault="00541AF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19B76" w14:textId="77777777" w:rsidR="00A177F5" w:rsidRPr="00BA642E" w:rsidRDefault="00A177F5" w:rsidP="00C802F5">
      <w:pPr>
        <w:spacing w:after="0" w:line="240" w:lineRule="auto"/>
      </w:pPr>
      <w:r w:rsidRPr="00BA642E">
        <w:separator/>
      </w:r>
    </w:p>
  </w:footnote>
  <w:footnote w:type="continuationSeparator" w:id="0">
    <w:p w14:paraId="64447313" w14:textId="77777777" w:rsidR="00A177F5" w:rsidRPr="00BA642E" w:rsidRDefault="00A177F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213" w14:textId="0B58DBD9" w:rsidR="00541AFC" w:rsidRPr="00BA642E" w:rsidRDefault="00541AFC"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6AEC"/>
    <w:rsid w:val="00045D06"/>
    <w:rsid w:val="00046F43"/>
    <w:rsid w:val="000D0C43"/>
    <w:rsid w:val="00115F82"/>
    <w:rsid w:val="00133395"/>
    <w:rsid w:val="00172608"/>
    <w:rsid w:val="001816D6"/>
    <w:rsid w:val="00185F5E"/>
    <w:rsid w:val="001923DC"/>
    <w:rsid w:val="00192FE0"/>
    <w:rsid w:val="001E32C8"/>
    <w:rsid w:val="002327C3"/>
    <w:rsid w:val="002D6F46"/>
    <w:rsid w:val="00312392"/>
    <w:rsid w:val="00337355"/>
    <w:rsid w:val="00365FCB"/>
    <w:rsid w:val="00385C0C"/>
    <w:rsid w:val="004040C0"/>
    <w:rsid w:val="00431D77"/>
    <w:rsid w:val="00437E9C"/>
    <w:rsid w:val="004B7803"/>
    <w:rsid w:val="004C396F"/>
    <w:rsid w:val="00516F1F"/>
    <w:rsid w:val="00541AFC"/>
    <w:rsid w:val="00546661"/>
    <w:rsid w:val="00550766"/>
    <w:rsid w:val="005A0531"/>
    <w:rsid w:val="005D1082"/>
    <w:rsid w:val="005D2844"/>
    <w:rsid w:val="005F3B2E"/>
    <w:rsid w:val="0065185F"/>
    <w:rsid w:val="006974FD"/>
    <w:rsid w:val="006B06DE"/>
    <w:rsid w:val="006B7189"/>
    <w:rsid w:val="006F4567"/>
    <w:rsid w:val="006F5CF1"/>
    <w:rsid w:val="00701F64"/>
    <w:rsid w:val="0071009E"/>
    <w:rsid w:val="00734AC6"/>
    <w:rsid w:val="007933C0"/>
    <w:rsid w:val="007B5B5F"/>
    <w:rsid w:val="007C0073"/>
    <w:rsid w:val="007D233B"/>
    <w:rsid w:val="007E744D"/>
    <w:rsid w:val="007F3BA4"/>
    <w:rsid w:val="0085070B"/>
    <w:rsid w:val="00864563"/>
    <w:rsid w:val="00864B8B"/>
    <w:rsid w:val="00877B4E"/>
    <w:rsid w:val="008C5588"/>
    <w:rsid w:val="009223AD"/>
    <w:rsid w:val="00993737"/>
    <w:rsid w:val="009A4673"/>
    <w:rsid w:val="009C70B7"/>
    <w:rsid w:val="00A1500D"/>
    <w:rsid w:val="00A17247"/>
    <w:rsid w:val="00A177F5"/>
    <w:rsid w:val="00A4212D"/>
    <w:rsid w:val="00A6141D"/>
    <w:rsid w:val="00A71FCC"/>
    <w:rsid w:val="00A95F8B"/>
    <w:rsid w:val="00AB52E2"/>
    <w:rsid w:val="00B005F5"/>
    <w:rsid w:val="00B101CA"/>
    <w:rsid w:val="00B66A77"/>
    <w:rsid w:val="00B831B1"/>
    <w:rsid w:val="00B97C59"/>
    <w:rsid w:val="00BA642E"/>
    <w:rsid w:val="00BC236F"/>
    <w:rsid w:val="00BE5E4C"/>
    <w:rsid w:val="00C802F5"/>
    <w:rsid w:val="00C96B2C"/>
    <w:rsid w:val="00CC04C1"/>
    <w:rsid w:val="00CF47B6"/>
    <w:rsid w:val="00D478A4"/>
    <w:rsid w:val="00D63E82"/>
    <w:rsid w:val="00D8323E"/>
    <w:rsid w:val="00D843EC"/>
    <w:rsid w:val="00E558CD"/>
    <w:rsid w:val="00E77603"/>
    <w:rsid w:val="00E92A30"/>
    <w:rsid w:val="00ED791A"/>
    <w:rsid w:val="00EE4CA3"/>
    <w:rsid w:val="00F37C14"/>
    <w:rsid w:val="00F431FF"/>
    <w:rsid w:val="00F62F04"/>
    <w:rsid w:val="00FB6069"/>
    <w:rsid w:val="00FC75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7B6"/>
    <w:pPr>
      <w:spacing w:line="360" w:lineRule="auto"/>
      <w:ind w:firstLine="709"/>
      <w:jc w:val="both"/>
    </w:pPr>
    <w:rPr>
      <w:rFonts w:ascii="Times New Roman" w:hAnsi="Times New Roman"/>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paragraph" w:customStyle="1" w:styleId="isselectedend">
    <w:name w:val="isselectedend"/>
    <w:basedOn w:val="Normal"/>
    <w:rsid w:val="004C396F"/>
    <w:pPr>
      <w:spacing w:before="100" w:beforeAutospacing="1" w:after="100" w:afterAutospacing="1" w:line="240" w:lineRule="auto"/>
    </w:pPr>
    <w:rPr>
      <w:rFonts w:eastAsia="Times New Roman" w:cs="Times New Roman"/>
      <w:kern w:val="0"/>
      <w:lang w:val="pt-BR" w:eastAsia="pt-BR"/>
      <w14:ligatures w14:val="none"/>
    </w:rPr>
  </w:style>
  <w:style w:type="paragraph" w:styleId="NormalWeb">
    <w:name w:val="Normal (Web)"/>
    <w:basedOn w:val="Normal"/>
    <w:uiPriority w:val="99"/>
    <w:unhideWhenUsed/>
    <w:rsid w:val="004C396F"/>
    <w:pPr>
      <w:spacing w:before="100" w:beforeAutospacing="1" w:after="100" w:afterAutospacing="1" w:line="240" w:lineRule="auto"/>
    </w:pPr>
    <w:rPr>
      <w:rFonts w:eastAsia="Times New Roman" w:cs="Times New Roman"/>
      <w:kern w:val="0"/>
      <w:lang w:val="pt-BR" w:eastAsia="pt-BR"/>
      <w14:ligatures w14:val="none"/>
    </w:rPr>
  </w:style>
  <w:style w:type="character" w:styleId="nfase">
    <w:name w:val="Emphasis"/>
    <w:basedOn w:val="Fontepargpadro"/>
    <w:uiPriority w:val="20"/>
    <w:qFormat/>
    <w:rsid w:val="00F62F04"/>
    <w:rPr>
      <w:i/>
      <w:iCs/>
    </w:rPr>
  </w:style>
  <w:style w:type="character" w:styleId="Forte">
    <w:name w:val="Strong"/>
    <w:basedOn w:val="Fontepargpadro"/>
    <w:uiPriority w:val="22"/>
    <w:qFormat/>
    <w:rsid w:val="005D1082"/>
    <w:rPr>
      <w:b/>
      <w:bCs/>
    </w:rPr>
  </w:style>
  <w:style w:type="paragraph" w:customStyle="1" w:styleId="pdq2pgselectionanchorcontainer">
    <w:name w:val="pdq2pg_selectionanchorcontainer"/>
    <w:basedOn w:val="Normal"/>
    <w:rsid w:val="0071009E"/>
    <w:pPr>
      <w:spacing w:before="100" w:beforeAutospacing="1" w:after="100" w:afterAutospacing="1" w:line="240" w:lineRule="auto"/>
    </w:pPr>
    <w:rPr>
      <w:rFonts w:eastAsia="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4714">
      <w:bodyDiv w:val="1"/>
      <w:marLeft w:val="0"/>
      <w:marRight w:val="0"/>
      <w:marTop w:val="0"/>
      <w:marBottom w:val="0"/>
      <w:divBdr>
        <w:top w:val="none" w:sz="0" w:space="0" w:color="auto"/>
        <w:left w:val="none" w:sz="0" w:space="0" w:color="auto"/>
        <w:bottom w:val="none" w:sz="0" w:space="0" w:color="auto"/>
        <w:right w:val="none" w:sz="0" w:space="0" w:color="auto"/>
      </w:divBdr>
    </w:div>
    <w:div w:id="67046719">
      <w:bodyDiv w:val="1"/>
      <w:marLeft w:val="0"/>
      <w:marRight w:val="0"/>
      <w:marTop w:val="0"/>
      <w:marBottom w:val="0"/>
      <w:divBdr>
        <w:top w:val="none" w:sz="0" w:space="0" w:color="auto"/>
        <w:left w:val="none" w:sz="0" w:space="0" w:color="auto"/>
        <w:bottom w:val="none" w:sz="0" w:space="0" w:color="auto"/>
        <w:right w:val="none" w:sz="0" w:space="0" w:color="auto"/>
      </w:divBdr>
    </w:div>
    <w:div w:id="87776246">
      <w:bodyDiv w:val="1"/>
      <w:marLeft w:val="0"/>
      <w:marRight w:val="0"/>
      <w:marTop w:val="0"/>
      <w:marBottom w:val="0"/>
      <w:divBdr>
        <w:top w:val="none" w:sz="0" w:space="0" w:color="auto"/>
        <w:left w:val="none" w:sz="0" w:space="0" w:color="auto"/>
        <w:bottom w:val="none" w:sz="0" w:space="0" w:color="auto"/>
        <w:right w:val="none" w:sz="0" w:space="0" w:color="auto"/>
      </w:divBdr>
    </w:div>
    <w:div w:id="90859133">
      <w:bodyDiv w:val="1"/>
      <w:marLeft w:val="0"/>
      <w:marRight w:val="0"/>
      <w:marTop w:val="0"/>
      <w:marBottom w:val="0"/>
      <w:divBdr>
        <w:top w:val="none" w:sz="0" w:space="0" w:color="auto"/>
        <w:left w:val="none" w:sz="0" w:space="0" w:color="auto"/>
        <w:bottom w:val="none" w:sz="0" w:space="0" w:color="auto"/>
        <w:right w:val="none" w:sz="0" w:space="0" w:color="auto"/>
      </w:divBdr>
    </w:div>
    <w:div w:id="212934904">
      <w:bodyDiv w:val="1"/>
      <w:marLeft w:val="0"/>
      <w:marRight w:val="0"/>
      <w:marTop w:val="0"/>
      <w:marBottom w:val="0"/>
      <w:divBdr>
        <w:top w:val="none" w:sz="0" w:space="0" w:color="auto"/>
        <w:left w:val="none" w:sz="0" w:space="0" w:color="auto"/>
        <w:bottom w:val="none" w:sz="0" w:space="0" w:color="auto"/>
        <w:right w:val="none" w:sz="0" w:space="0" w:color="auto"/>
      </w:divBdr>
      <w:divsChild>
        <w:div w:id="278731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292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333501">
          <w:blockQuote w:val="1"/>
          <w:marLeft w:val="720"/>
          <w:marRight w:val="720"/>
          <w:marTop w:val="100"/>
          <w:marBottom w:val="100"/>
          <w:divBdr>
            <w:top w:val="none" w:sz="0" w:space="0" w:color="auto"/>
            <w:left w:val="none" w:sz="0" w:space="0" w:color="auto"/>
            <w:bottom w:val="none" w:sz="0" w:space="0" w:color="auto"/>
            <w:right w:val="none" w:sz="0" w:space="0" w:color="auto"/>
          </w:divBdr>
        </w:div>
        <w:div w:id="57678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309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0667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37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60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0794330">
      <w:bodyDiv w:val="1"/>
      <w:marLeft w:val="0"/>
      <w:marRight w:val="0"/>
      <w:marTop w:val="0"/>
      <w:marBottom w:val="0"/>
      <w:divBdr>
        <w:top w:val="none" w:sz="0" w:space="0" w:color="auto"/>
        <w:left w:val="none" w:sz="0" w:space="0" w:color="auto"/>
        <w:bottom w:val="none" w:sz="0" w:space="0" w:color="auto"/>
        <w:right w:val="none" w:sz="0" w:space="0" w:color="auto"/>
      </w:divBdr>
    </w:div>
    <w:div w:id="250699313">
      <w:bodyDiv w:val="1"/>
      <w:marLeft w:val="0"/>
      <w:marRight w:val="0"/>
      <w:marTop w:val="0"/>
      <w:marBottom w:val="0"/>
      <w:divBdr>
        <w:top w:val="none" w:sz="0" w:space="0" w:color="auto"/>
        <w:left w:val="none" w:sz="0" w:space="0" w:color="auto"/>
        <w:bottom w:val="none" w:sz="0" w:space="0" w:color="auto"/>
        <w:right w:val="none" w:sz="0" w:space="0" w:color="auto"/>
      </w:divBdr>
    </w:div>
    <w:div w:id="277567833">
      <w:bodyDiv w:val="1"/>
      <w:marLeft w:val="0"/>
      <w:marRight w:val="0"/>
      <w:marTop w:val="0"/>
      <w:marBottom w:val="0"/>
      <w:divBdr>
        <w:top w:val="none" w:sz="0" w:space="0" w:color="auto"/>
        <w:left w:val="none" w:sz="0" w:space="0" w:color="auto"/>
        <w:bottom w:val="none" w:sz="0" w:space="0" w:color="auto"/>
        <w:right w:val="none" w:sz="0" w:space="0" w:color="auto"/>
      </w:divBdr>
      <w:divsChild>
        <w:div w:id="2125801162">
          <w:marLeft w:val="0"/>
          <w:marRight w:val="0"/>
          <w:marTop w:val="0"/>
          <w:marBottom w:val="0"/>
          <w:divBdr>
            <w:top w:val="none" w:sz="0" w:space="0" w:color="auto"/>
            <w:left w:val="none" w:sz="0" w:space="0" w:color="auto"/>
            <w:bottom w:val="none" w:sz="0" w:space="0" w:color="auto"/>
            <w:right w:val="none" w:sz="0" w:space="0" w:color="auto"/>
          </w:divBdr>
          <w:divsChild>
            <w:div w:id="17851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8300">
      <w:bodyDiv w:val="1"/>
      <w:marLeft w:val="0"/>
      <w:marRight w:val="0"/>
      <w:marTop w:val="0"/>
      <w:marBottom w:val="0"/>
      <w:divBdr>
        <w:top w:val="none" w:sz="0" w:space="0" w:color="auto"/>
        <w:left w:val="none" w:sz="0" w:space="0" w:color="auto"/>
        <w:bottom w:val="none" w:sz="0" w:space="0" w:color="auto"/>
        <w:right w:val="none" w:sz="0" w:space="0" w:color="auto"/>
      </w:divBdr>
      <w:divsChild>
        <w:div w:id="2088451863">
          <w:marLeft w:val="0"/>
          <w:marRight w:val="0"/>
          <w:marTop w:val="0"/>
          <w:marBottom w:val="240"/>
          <w:divBdr>
            <w:top w:val="none" w:sz="0" w:space="0" w:color="auto"/>
            <w:left w:val="none" w:sz="0" w:space="0" w:color="auto"/>
            <w:bottom w:val="none" w:sz="0" w:space="0" w:color="auto"/>
            <w:right w:val="none" w:sz="0" w:space="0" w:color="auto"/>
          </w:divBdr>
        </w:div>
        <w:div w:id="1714501854">
          <w:marLeft w:val="0"/>
          <w:marRight w:val="0"/>
          <w:marTop w:val="0"/>
          <w:marBottom w:val="240"/>
          <w:divBdr>
            <w:top w:val="none" w:sz="0" w:space="0" w:color="auto"/>
            <w:left w:val="none" w:sz="0" w:space="0" w:color="auto"/>
            <w:bottom w:val="none" w:sz="0" w:space="0" w:color="auto"/>
            <w:right w:val="none" w:sz="0" w:space="0" w:color="auto"/>
          </w:divBdr>
        </w:div>
        <w:div w:id="658004140">
          <w:marLeft w:val="0"/>
          <w:marRight w:val="0"/>
          <w:marTop w:val="0"/>
          <w:marBottom w:val="240"/>
          <w:divBdr>
            <w:top w:val="none" w:sz="0" w:space="0" w:color="auto"/>
            <w:left w:val="none" w:sz="0" w:space="0" w:color="auto"/>
            <w:bottom w:val="none" w:sz="0" w:space="0" w:color="auto"/>
            <w:right w:val="none" w:sz="0" w:space="0" w:color="auto"/>
          </w:divBdr>
        </w:div>
        <w:div w:id="1666207644">
          <w:marLeft w:val="0"/>
          <w:marRight w:val="0"/>
          <w:marTop w:val="0"/>
          <w:marBottom w:val="240"/>
          <w:divBdr>
            <w:top w:val="none" w:sz="0" w:space="0" w:color="auto"/>
            <w:left w:val="none" w:sz="0" w:space="0" w:color="auto"/>
            <w:bottom w:val="none" w:sz="0" w:space="0" w:color="auto"/>
            <w:right w:val="none" w:sz="0" w:space="0" w:color="auto"/>
          </w:divBdr>
        </w:div>
        <w:div w:id="812717809">
          <w:marLeft w:val="0"/>
          <w:marRight w:val="0"/>
          <w:marTop w:val="0"/>
          <w:marBottom w:val="240"/>
          <w:divBdr>
            <w:top w:val="none" w:sz="0" w:space="0" w:color="auto"/>
            <w:left w:val="none" w:sz="0" w:space="0" w:color="auto"/>
            <w:bottom w:val="none" w:sz="0" w:space="0" w:color="auto"/>
            <w:right w:val="none" w:sz="0" w:space="0" w:color="auto"/>
          </w:divBdr>
        </w:div>
        <w:div w:id="998002392">
          <w:marLeft w:val="0"/>
          <w:marRight w:val="0"/>
          <w:marTop w:val="0"/>
          <w:marBottom w:val="240"/>
          <w:divBdr>
            <w:top w:val="none" w:sz="0" w:space="0" w:color="auto"/>
            <w:left w:val="none" w:sz="0" w:space="0" w:color="auto"/>
            <w:bottom w:val="none" w:sz="0" w:space="0" w:color="auto"/>
            <w:right w:val="none" w:sz="0" w:space="0" w:color="auto"/>
          </w:divBdr>
        </w:div>
        <w:div w:id="1315143311">
          <w:marLeft w:val="0"/>
          <w:marRight w:val="0"/>
          <w:marTop w:val="0"/>
          <w:marBottom w:val="240"/>
          <w:divBdr>
            <w:top w:val="none" w:sz="0" w:space="0" w:color="auto"/>
            <w:left w:val="none" w:sz="0" w:space="0" w:color="auto"/>
            <w:bottom w:val="none" w:sz="0" w:space="0" w:color="auto"/>
            <w:right w:val="none" w:sz="0" w:space="0" w:color="auto"/>
          </w:divBdr>
        </w:div>
        <w:div w:id="1584414242">
          <w:marLeft w:val="0"/>
          <w:marRight w:val="0"/>
          <w:marTop w:val="0"/>
          <w:marBottom w:val="240"/>
          <w:divBdr>
            <w:top w:val="none" w:sz="0" w:space="0" w:color="auto"/>
            <w:left w:val="none" w:sz="0" w:space="0" w:color="auto"/>
            <w:bottom w:val="none" w:sz="0" w:space="0" w:color="auto"/>
            <w:right w:val="none" w:sz="0" w:space="0" w:color="auto"/>
          </w:divBdr>
        </w:div>
        <w:div w:id="720054066">
          <w:marLeft w:val="0"/>
          <w:marRight w:val="0"/>
          <w:marTop w:val="0"/>
          <w:marBottom w:val="240"/>
          <w:divBdr>
            <w:top w:val="none" w:sz="0" w:space="0" w:color="auto"/>
            <w:left w:val="none" w:sz="0" w:space="0" w:color="auto"/>
            <w:bottom w:val="none" w:sz="0" w:space="0" w:color="auto"/>
            <w:right w:val="none" w:sz="0" w:space="0" w:color="auto"/>
          </w:divBdr>
        </w:div>
        <w:div w:id="747927143">
          <w:marLeft w:val="0"/>
          <w:marRight w:val="0"/>
          <w:marTop w:val="0"/>
          <w:marBottom w:val="240"/>
          <w:divBdr>
            <w:top w:val="none" w:sz="0" w:space="0" w:color="auto"/>
            <w:left w:val="none" w:sz="0" w:space="0" w:color="auto"/>
            <w:bottom w:val="none" w:sz="0" w:space="0" w:color="auto"/>
            <w:right w:val="none" w:sz="0" w:space="0" w:color="auto"/>
          </w:divBdr>
        </w:div>
        <w:div w:id="90787727">
          <w:marLeft w:val="0"/>
          <w:marRight w:val="0"/>
          <w:marTop w:val="0"/>
          <w:marBottom w:val="240"/>
          <w:divBdr>
            <w:top w:val="none" w:sz="0" w:space="0" w:color="auto"/>
            <w:left w:val="none" w:sz="0" w:space="0" w:color="auto"/>
            <w:bottom w:val="none" w:sz="0" w:space="0" w:color="auto"/>
            <w:right w:val="none" w:sz="0" w:space="0" w:color="auto"/>
          </w:divBdr>
        </w:div>
        <w:div w:id="1050493095">
          <w:marLeft w:val="0"/>
          <w:marRight w:val="0"/>
          <w:marTop w:val="0"/>
          <w:marBottom w:val="240"/>
          <w:divBdr>
            <w:top w:val="none" w:sz="0" w:space="0" w:color="auto"/>
            <w:left w:val="none" w:sz="0" w:space="0" w:color="auto"/>
            <w:bottom w:val="none" w:sz="0" w:space="0" w:color="auto"/>
            <w:right w:val="none" w:sz="0" w:space="0" w:color="auto"/>
          </w:divBdr>
        </w:div>
        <w:div w:id="1923643328">
          <w:marLeft w:val="0"/>
          <w:marRight w:val="0"/>
          <w:marTop w:val="0"/>
          <w:marBottom w:val="240"/>
          <w:divBdr>
            <w:top w:val="none" w:sz="0" w:space="0" w:color="auto"/>
            <w:left w:val="none" w:sz="0" w:space="0" w:color="auto"/>
            <w:bottom w:val="none" w:sz="0" w:space="0" w:color="auto"/>
            <w:right w:val="none" w:sz="0" w:space="0" w:color="auto"/>
          </w:divBdr>
        </w:div>
        <w:div w:id="426317355">
          <w:marLeft w:val="0"/>
          <w:marRight w:val="0"/>
          <w:marTop w:val="0"/>
          <w:marBottom w:val="240"/>
          <w:divBdr>
            <w:top w:val="none" w:sz="0" w:space="0" w:color="auto"/>
            <w:left w:val="none" w:sz="0" w:space="0" w:color="auto"/>
            <w:bottom w:val="none" w:sz="0" w:space="0" w:color="auto"/>
            <w:right w:val="none" w:sz="0" w:space="0" w:color="auto"/>
          </w:divBdr>
        </w:div>
        <w:div w:id="200897410">
          <w:marLeft w:val="0"/>
          <w:marRight w:val="0"/>
          <w:marTop w:val="0"/>
          <w:marBottom w:val="240"/>
          <w:divBdr>
            <w:top w:val="none" w:sz="0" w:space="0" w:color="auto"/>
            <w:left w:val="none" w:sz="0" w:space="0" w:color="auto"/>
            <w:bottom w:val="none" w:sz="0" w:space="0" w:color="auto"/>
            <w:right w:val="none" w:sz="0" w:space="0" w:color="auto"/>
          </w:divBdr>
        </w:div>
        <w:div w:id="1935893781">
          <w:marLeft w:val="0"/>
          <w:marRight w:val="0"/>
          <w:marTop w:val="0"/>
          <w:marBottom w:val="240"/>
          <w:divBdr>
            <w:top w:val="none" w:sz="0" w:space="0" w:color="auto"/>
            <w:left w:val="none" w:sz="0" w:space="0" w:color="auto"/>
            <w:bottom w:val="none" w:sz="0" w:space="0" w:color="auto"/>
            <w:right w:val="none" w:sz="0" w:space="0" w:color="auto"/>
          </w:divBdr>
        </w:div>
        <w:div w:id="2117478473">
          <w:marLeft w:val="0"/>
          <w:marRight w:val="0"/>
          <w:marTop w:val="0"/>
          <w:marBottom w:val="0"/>
          <w:divBdr>
            <w:top w:val="none" w:sz="0" w:space="0" w:color="auto"/>
            <w:left w:val="none" w:sz="0" w:space="0" w:color="auto"/>
            <w:bottom w:val="none" w:sz="0" w:space="0" w:color="auto"/>
            <w:right w:val="none" w:sz="0" w:space="0" w:color="auto"/>
          </w:divBdr>
        </w:div>
      </w:divsChild>
    </w:div>
    <w:div w:id="364260025">
      <w:bodyDiv w:val="1"/>
      <w:marLeft w:val="0"/>
      <w:marRight w:val="0"/>
      <w:marTop w:val="0"/>
      <w:marBottom w:val="0"/>
      <w:divBdr>
        <w:top w:val="none" w:sz="0" w:space="0" w:color="auto"/>
        <w:left w:val="none" w:sz="0" w:space="0" w:color="auto"/>
        <w:bottom w:val="none" w:sz="0" w:space="0" w:color="auto"/>
        <w:right w:val="none" w:sz="0" w:space="0" w:color="auto"/>
      </w:divBdr>
    </w:div>
    <w:div w:id="438842264">
      <w:bodyDiv w:val="1"/>
      <w:marLeft w:val="0"/>
      <w:marRight w:val="0"/>
      <w:marTop w:val="0"/>
      <w:marBottom w:val="0"/>
      <w:divBdr>
        <w:top w:val="none" w:sz="0" w:space="0" w:color="auto"/>
        <w:left w:val="none" w:sz="0" w:space="0" w:color="auto"/>
        <w:bottom w:val="none" w:sz="0" w:space="0" w:color="auto"/>
        <w:right w:val="none" w:sz="0" w:space="0" w:color="auto"/>
      </w:divBdr>
    </w:div>
    <w:div w:id="505904860">
      <w:bodyDiv w:val="1"/>
      <w:marLeft w:val="0"/>
      <w:marRight w:val="0"/>
      <w:marTop w:val="0"/>
      <w:marBottom w:val="0"/>
      <w:divBdr>
        <w:top w:val="none" w:sz="0" w:space="0" w:color="auto"/>
        <w:left w:val="none" w:sz="0" w:space="0" w:color="auto"/>
        <w:bottom w:val="none" w:sz="0" w:space="0" w:color="auto"/>
        <w:right w:val="none" w:sz="0" w:space="0" w:color="auto"/>
      </w:divBdr>
    </w:div>
    <w:div w:id="577983072">
      <w:bodyDiv w:val="1"/>
      <w:marLeft w:val="0"/>
      <w:marRight w:val="0"/>
      <w:marTop w:val="0"/>
      <w:marBottom w:val="0"/>
      <w:divBdr>
        <w:top w:val="none" w:sz="0" w:space="0" w:color="auto"/>
        <w:left w:val="none" w:sz="0" w:space="0" w:color="auto"/>
        <w:bottom w:val="none" w:sz="0" w:space="0" w:color="auto"/>
        <w:right w:val="none" w:sz="0" w:space="0" w:color="auto"/>
      </w:divBdr>
    </w:div>
    <w:div w:id="601718568">
      <w:bodyDiv w:val="1"/>
      <w:marLeft w:val="0"/>
      <w:marRight w:val="0"/>
      <w:marTop w:val="0"/>
      <w:marBottom w:val="0"/>
      <w:divBdr>
        <w:top w:val="none" w:sz="0" w:space="0" w:color="auto"/>
        <w:left w:val="none" w:sz="0" w:space="0" w:color="auto"/>
        <w:bottom w:val="none" w:sz="0" w:space="0" w:color="auto"/>
        <w:right w:val="none" w:sz="0" w:space="0" w:color="auto"/>
      </w:divBdr>
    </w:div>
    <w:div w:id="602150198">
      <w:bodyDiv w:val="1"/>
      <w:marLeft w:val="0"/>
      <w:marRight w:val="0"/>
      <w:marTop w:val="0"/>
      <w:marBottom w:val="0"/>
      <w:divBdr>
        <w:top w:val="none" w:sz="0" w:space="0" w:color="auto"/>
        <w:left w:val="none" w:sz="0" w:space="0" w:color="auto"/>
        <w:bottom w:val="none" w:sz="0" w:space="0" w:color="auto"/>
        <w:right w:val="none" w:sz="0" w:space="0" w:color="auto"/>
      </w:divBdr>
      <w:divsChild>
        <w:div w:id="1609851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82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629435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71499">
          <w:blockQuote w:val="1"/>
          <w:marLeft w:val="720"/>
          <w:marRight w:val="720"/>
          <w:marTop w:val="100"/>
          <w:marBottom w:val="100"/>
          <w:divBdr>
            <w:top w:val="none" w:sz="0" w:space="0" w:color="auto"/>
            <w:left w:val="none" w:sz="0" w:space="0" w:color="auto"/>
            <w:bottom w:val="none" w:sz="0" w:space="0" w:color="auto"/>
            <w:right w:val="none" w:sz="0" w:space="0" w:color="auto"/>
          </w:divBdr>
        </w:div>
        <w:div w:id="750926530">
          <w:blockQuote w:val="1"/>
          <w:marLeft w:val="720"/>
          <w:marRight w:val="720"/>
          <w:marTop w:val="100"/>
          <w:marBottom w:val="100"/>
          <w:divBdr>
            <w:top w:val="none" w:sz="0" w:space="0" w:color="auto"/>
            <w:left w:val="none" w:sz="0" w:space="0" w:color="auto"/>
            <w:bottom w:val="none" w:sz="0" w:space="0" w:color="auto"/>
            <w:right w:val="none" w:sz="0" w:space="0" w:color="auto"/>
          </w:divBdr>
        </w:div>
        <w:div w:id="840773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4381141">
      <w:bodyDiv w:val="1"/>
      <w:marLeft w:val="0"/>
      <w:marRight w:val="0"/>
      <w:marTop w:val="0"/>
      <w:marBottom w:val="0"/>
      <w:divBdr>
        <w:top w:val="none" w:sz="0" w:space="0" w:color="auto"/>
        <w:left w:val="none" w:sz="0" w:space="0" w:color="auto"/>
        <w:bottom w:val="none" w:sz="0" w:space="0" w:color="auto"/>
        <w:right w:val="none" w:sz="0" w:space="0" w:color="auto"/>
      </w:divBdr>
    </w:div>
    <w:div w:id="717046631">
      <w:bodyDiv w:val="1"/>
      <w:marLeft w:val="0"/>
      <w:marRight w:val="0"/>
      <w:marTop w:val="0"/>
      <w:marBottom w:val="0"/>
      <w:divBdr>
        <w:top w:val="none" w:sz="0" w:space="0" w:color="auto"/>
        <w:left w:val="none" w:sz="0" w:space="0" w:color="auto"/>
        <w:bottom w:val="none" w:sz="0" w:space="0" w:color="auto"/>
        <w:right w:val="none" w:sz="0" w:space="0" w:color="auto"/>
      </w:divBdr>
      <w:divsChild>
        <w:div w:id="78063981">
          <w:marLeft w:val="0"/>
          <w:marRight w:val="0"/>
          <w:marTop w:val="0"/>
          <w:marBottom w:val="240"/>
          <w:divBdr>
            <w:top w:val="none" w:sz="0" w:space="0" w:color="auto"/>
            <w:left w:val="none" w:sz="0" w:space="0" w:color="auto"/>
            <w:bottom w:val="none" w:sz="0" w:space="0" w:color="auto"/>
            <w:right w:val="none" w:sz="0" w:space="0" w:color="auto"/>
          </w:divBdr>
        </w:div>
        <w:div w:id="1053121331">
          <w:marLeft w:val="0"/>
          <w:marRight w:val="0"/>
          <w:marTop w:val="0"/>
          <w:marBottom w:val="240"/>
          <w:divBdr>
            <w:top w:val="none" w:sz="0" w:space="0" w:color="auto"/>
            <w:left w:val="none" w:sz="0" w:space="0" w:color="auto"/>
            <w:bottom w:val="none" w:sz="0" w:space="0" w:color="auto"/>
            <w:right w:val="none" w:sz="0" w:space="0" w:color="auto"/>
          </w:divBdr>
        </w:div>
        <w:div w:id="1255017770">
          <w:marLeft w:val="0"/>
          <w:marRight w:val="0"/>
          <w:marTop w:val="0"/>
          <w:marBottom w:val="240"/>
          <w:divBdr>
            <w:top w:val="none" w:sz="0" w:space="0" w:color="auto"/>
            <w:left w:val="none" w:sz="0" w:space="0" w:color="auto"/>
            <w:bottom w:val="none" w:sz="0" w:space="0" w:color="auto"/>
            <w:right w:val="none" w:sz="0" w:space="0" w:color="auto"/>
          </w:divBdr>
        </w:div>
        <w:div w:id="497774475">
          <w:marLeft w:val="0"/>
          <w:marRight w:val="0"/>
          <w:marTop w:val="0"/>
          <w:marBottom w:val="240"/>
          <w:divBdr>
            <w:top w:val="none" w:sz="0" w:space="0" w:color="auto"/>
            <w:left w:val="none" w:sz="0" w:space="0" w:color="auto"/>
            <w:bottom w:val="none" w:sz="0" w:space="0" w:color="auto"/>
            <w:right w:val="none" w:sz="0" w:space="0" w:color="auto"/>
          </w:divBdr>
        </w:div>
        <w:div w:id="1489402104">
          <w:marLeft w:val="0"/>
          <w:marRight w:val="0"/>
          <w:marTop w:val="0"/>
          <w:marBottom w:val="240"/>
          <w:divBdr>
            <w:top w:val="none" w:sz="0" w:space="0" w:color="auto"/>
            <w:left w:val="none" w:sz="0" w:space="0" w:color="auto"/>
            <w:bottom w:val="none" w:sz="0" w:space="0" w:color="auto"/>
            <w:right w:val="none" w:sz="0" w:space="0" w:color="auto"/>
          </w:divBdr>
        </w:div>
        <w:div w:id="2103790986">
          <w:marLeft w:val="0"/>
          <w:marRight w:val="0"/>
          <w:marTop w:val="0"/>
          <w:marBottom w:val="240"/>
          <w:divBdr>
            <w:top w:val="none" w:sz="0" w:space="0" w:color="auto"/>
            <w:left w:val="none" w:sz="0" w:space="0" w:color="auto"/>
            <w:bottom w:val="none" w:sz="0" w:space="0" w:color="auto"/>
            <w:right w:val="none" w:sz="0" w:space="0" w:color="auto"/>
          </w:divBdr>
        </w:div>
        <w:div w:id="1062099654">
          <w:marLeft w:val="0"/>
          <w:marRight w:val="0"/>
          <w:marTop w:val="0"/>
          <w:marBottom w:val="240"/>
          <w:divBdr>
            <w:top w:val="none" w:sz="0" w:space="0" w:color="auto"/>
            <w:left w:val="none" w:sz="0" w:space="0" w:color="auto"/>
            <w:bottom w:val="none" w:sz="0" w:space="0" w:color="auto"/>
            <w:right w:val="none" w:sz="0" w:space="0" w:color="auto"/>
          </w:divBdr>
        </w:div>
        <w:div w:id="2141848243">
          <w:marLeft w:val="0"/>
          <w:marRight w:val="0"/>
          <w:marTop w:val="0"/>
          <w:marBottom w:val="240"/>
          <w:divBdr>
            <w:top w:val="none" w:sz="0" w:space="0" w:color="auto"/>
            <w:left w:val="none" w:sz="0" w:space="0" w:color="auto"/>
            <w:bottom w:val="none" w:sz="0" w:space="0" w:color="auto"/>
            <w:right w:val="none" w:sz="0" w:space="0" w:color="auto"/>
          </w:divBdr>
        </w:div>
        <w:div w:id="231894621">
          <w:marLeft w:val="0"/>
          <w:marRight w:val="0"/>
          <w:marTop w:val="0"/>
          <w:marBottom w:val="240"/>
          <w:divBdr>
            <w:top w:val="none" w:sz="0" w:space="0" w:color="auto"/>
            <w:left w:val="none" w:sz="0" w:space="0" w:color="auto"/>
            <w:bottom w:val="none" w:sz="0" w:space="0" w:color="auto"/>
            <w:right w:val="none" w:sz="0" w:space="0" w:color="auto"/>
          </w:divBdr>
        </w:div>
        <w:div w:id="157308682">
          <w:marLeft w:val="0"/>
          <w:marRight w:val="0"/>
          <w:marTop w:val="0"/>
          <w:marBottom w:val="240"/>
          <w:divBdr>
            <w:top w:val="none" w:sz="0" w:space="0" w:color="auto"/>
            <w:left w:val="none" w:sz="0" w:space="0" w:color="auto"/>
            <w:bottom w:val="none" w:sz="0" w:space="0" w:color="auto"/>
            <w:right w:val="none" w:sz="0" w:space="0" w:color="auto"/>
          </w:divBdr>
        </w:div>
        <w:div w:id="937445525">
          <w:marLeft w:val="0"/>
          <w:marRight w:val="0"/>
          <w:marTop w:val="0"/>
          <w:marBottom w:val="240"/>
          <w:divBdr>
            <w:top w:val="none" w:sz="0" w:space="0" w:color="auto"/>
            <w:left w:val="none" w:sz="0" w:space="0" w:color="auto"/>
            <w:bottom w:val="none" w:sz="0" w:space="0" w:color="auto"/>
            <w:right w:val="none" w:sz="0" w:space="0" w:color="auto"/>
          </w:divBdr>
        </w:div>
        <w:div w:id="364911576">
          <w:marLeft w:val="0"/>
          <w:marRight w:val="0"/>
          <w:marTop w:val="0"/>
          <w:marBottom w:val="240"/>
          <w:divBdr>
            <w:top w:val="none" w:sz="0" w:space="0" w:color="auto"/>
            <w:left w:val="none" w:sz="0" w:space="0" w:color="auto"/>
            <w:bottom w:val="none" w:sz="0" w:space="0" w:color="auto"/>
            <w:right w:val="none" w:sz="0" w:space="0" w:color="auto"/>
          </w:divBdr>
        </w:div>
        <w:div w:id="1236208998">
          <w:marLeft w:val="0"/>
          <w:marRight w:val="0"/>
          <w:marTop w:val="0"/>
          <w:marBottom w:val="240"/>
          <w:divBdr>
            <w:top w:val="none" w:sz="0" w:space="0" w:color="auto"/>
            <w:left w:val="none" w:sz="0" w:space="0" w:color="auto"/>
            <w:bottom w:val="none" w:sz="0" w:space="0" w:color="auto"/>
            <w:right w:val="none" w:sz="0" w:space="0" w:color="auto"/>
          </w:divBdr>
        </w:div>
        <w:div w:id="206380756">
          <w:marLeft w:val="0"/>
          <w:marRight w:val="0"/>
          <w:marTop w:val="0"/>
          <w:marBottom w:val="240"/>
          <w:divBdr>
            <w:top w:val="none" w:sz="0" w:space="0" w:color="auto"/>
            <w:left w:val="none" w:sz="0" w:space="0" w:color="auto"/>
            <w:bottom w:val="none" w:sz="0" w:space="0" w:color="auto"/>
            <w:right w:val="none" w:sz="0" w:space="0" w:color="auto"/>
          </w:divBdr>
        </w:div>
        <w:div w:id="1097482258">
          <w:marLeft w:val="0"/>
          <w:marRight w:val="0"/>
          <w:marTop w:val="0"/>
          <w:marBottom w:val="240"/>
          <w:divBdr>
            <w:top w:val="none" w:sz="0" w:space="0" w:color="auto"/>
            <w:left w:val="none" w:sz="0" w:space="0" w:color="auto"/>
            <w:bottom w:val="none" w:sz="0" w:space="0" w:color="auto"/>
            <w:right w:val="none" w:sz="0" w:space="0" w:color="auto"/>
          </w:divBdr>
        </w:div>
        <w:div w:id="41756826">
          <w:marLeft w:val="0"/>
          <w:marRight w:val="0"/>
          <w:marTop w:val="0"/>
          <w:marBottom w:val="240"/>
          <w:divBdr>
            <w:top w:val="none" w:sz="0" w:space="0" w:color="auto"/>
            <w:left w:val="none" w:sz="0" w:space="0" w:color="auto"/>
            <w:bottom w:val="none" w:sz="0" w:space="0" w:color="auto"/>
            <w:right w:val="none" w:sz="0" w:space="0" w:color="auto"/>
          </w:divBdr>
        </w:div>
      </w:divsChild>
    </w:div>
    <w:div w:id="846482088">
      <w:bodyDiv w:val="1"/>
      <w:marLeft w:val="0"/>
      <w:marRight w:val="0"/>
      <w:marTop w:val="0"/>
      <w:marBottom w:val="0"/>
      <w:divBdr>
        <w:top w:val="none" w:sz="0" w:space="0" w:color="auto"/>
        <w:left w:val="none" w:sz="0" w:space="0" w:color="auto"/>
        <w:bottom w:val="none" w:sz="0" w:space="0" w:color="auto"/>
        <w:right w:val="none" w:sz="0" w:space="0" w:color="auto"/>
      </w:divBdr>
    </w:div>
    <w:div w:id="914584254">
      <w:bodyDiv w:val="1"/>
      <w:marLeft w:val="0"/>
      <w:marRight w:val="0"/>
      <w:marTop w:val="0"/>
      <w:marBottom w:val="0"/>
      <w:divBdr>
        <w:top w:val="none" w:sz="0" w:space="0" w:color="auto"/>
        <w:left w:val="none" w:sz="0" w:space="0" w:color="auto"/>
        <w:bottom w:val="none" w:sz="0" w:space="0" w:color="auto"/>
        <w:right w:val="none" w:sz="0" w:space="0" w:color="auto"/>
      </w:divBdr>
    </w:div>
    <w:div w:id="957100735">
      <w:bodyDiv w:val="1"/>
      <w:marLeft w:val="0"/>
      <w:marRight w:val="0"/>
      <w:marTop w:val="0"/>
      <w:marBottom w:val="0"/>
      <w:divBdr>
        <w:top w:val="none" w:sz="0" w:space="0" w:color="auto"/>
        <w:left w:val="none" w:sz="0" w:space="0" w:color="auto"/>
        <w:bottom w:val="none" w:sz="0" w:space="0" w:color="auto"/>
        <w:right w:val="none" w:sz="0" w:space="0" w:color="auto"/>
      </w:divBdr>
      <w:divsChild>
        <w:div w:id="1160383854">
          <w:blockQuote w:val="1"/>
          <w:marLeft w:val="720"/>
          <w:marRight w:val="720"/>
          <w:marTop w:val="100"/>
          <w:marBottom w:val="100"/>
          <w:divBdr>
            <w:top w:val="none" w:sz="0" w:space="0" w:color="auto"/>
            <w:left w:val="none" w:sz="0" w:space="0" w:color="auto"/>
            <w:bottom w:val="none" w:sz="0" w:space="0" w:color="auto"/>
            <w:right w:val="none" w:sz="0" w:space="0" w:color="auto"/>
          </w:divBdr>
        </w:div>
        <w:div w:id="925387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543184">
          <w:blockQuote w:val="1"/>
          <w:marLeft w:val="720"/>
          <w:marRight w:val="720"/>
          <w:marTop w:val="100"/>
          <w:marBottom w:val="100"/>
          <w:divBdr>
            <w:top w:val="none" w:sz="0" w:space="0" w:color="auto"/>
            <w:left w:val="none" w:sz="0" w:space="0" w:color="auto"/>
            <w:bottom w:val="none" w:sz="0" w:space="0" w:color="auto"/>
            <w:right w:val="none" w:sz="0" w:space="0" w:color="auto"/>
          </w:divBdr>
        </w:div>
        <w:div w:id="473376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570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429280">
      <w:bodyDiv w:val="1"/>
      <w:marLeft w:val="0"/>
      <w:marRight w:val="0"/>
      <w:marTop w:val="0"/>
      <w:marBottom w:val="0"/>
      <w:divBdr>
        <w:top w:val="none" w:sz="0" w:space="0" w:color="auto"/>
        <w:left w:val="none" w:sz="0" w:space="0" w:color="auto"/>
        <w:bottom w:val="none" w:sz="0" w:space="0" w:color="auto"/>
        <w:right w:val="none" w:sz="0" w:space="0" w:color="auto"/>
      </w:divBdr>
      <w:divsChild>
        <w:div w:id="497043372">
          <w:marLeft w:val="0"/>
          <w:marRight w:val="0"/>
          <w:marTop w:val="0"/>
          <w:marBottom w:val="0"/>
          <w:divBdr>
            <w:top w:val="none" w:sz="0" w:space="0" w:color="auto"/>
            <w:left w:val="none" w:sz="0" w:space="0" w:color="auto"/>
            <w:bottom w:val="none" w:sz="0" w:space="0" w:color="auto"/>
            <w:right w:val="none" w:sz="0" w:space="0" w:color="auto"/>
          </w:divBdr>
        </w:div>
      </w:divsChild>
    </w:div>
    <w:div w:id="1192452902">
      <w:bodyDiv w:val="1"/>
      <w:marLeft w:val="0"/>
      <w:marRight w:val="0"/>
      <w:marTop w:val="0"/>
      <w:marBottom w:val="0"/>
      <w:divBdr>
        <w:top w:val="none" w:sz="0" w:space="0" w:color="auto"/>
        <w:left w:val="none" w:sz="0" w:space="0" w:color="auto"/>
        <w:bottom w:val="none" w:sz="0" w:space="0" w:color="auto"/>
        <w:right w:val="none" w:sz="0" w:space="0" w:color="auto"/>
      </w:divBdr>
    </w:div>
    <w:div w:id="1330865589">
      <w:bodyDiv w:val="1"/>
      <w:marLeft w:val="0"/>
      <w:marRight w:val="0"/>
      <w:marTop w:val="0"/>
      <w:marBottom w:val="0"/>
      <w:divBdr>
        <w:top w:val="none" w:sz="0" w:space="0" w:color="auto"/>
        <w:left w:val="none" w:sz="0" w:space="0" w:color="auto"/>
        <w:bottom w:val="none" w:sz="0" w:space="0" w:color="auto"/>
        <w:right w:val="none" w:sz="0" w:space="0" w:color="auto"/>
      </w:divBdr>
    </w:div>
    <w:div w:id="1342470764">
      <w:bodyDiv w:val="1"/>
      <w:marLeft w:val="0"/>
      <w:marRight w:val="0"/>
      <w:marTop w:val="0"/>
      <w:marBottom w:val="0"/>
      <w:divBdr>
        <w:top w:val="none" w:sz="0" w:space="0" w:color="auto"/>
        <w:left w:val="none" w:sz="0" w:space="0" w:color="auto"/>
        <w:bottom w:val="none" w:sz="0" w:space="0" w:color="auto"/>
        <w:right w:val="none" w:sz="0" w:space="0" w:color="auto"/>
      </w:divBdr>
    </w:div>
    <w:div w:id="1398891880">
      <w:bodyDiv w:val="1"/>
      <w:marLeft w:val="0"/>
      <w:marRight w:val="0"/>
      <w:marTop w:val="0"/>
      <w:marBottom w:val="0"/>
      <w:divBdr>
        <w:top w:val="none" w:sz="0" w:space="0" w:color="auto"/>
        <w:left w:val="none" w:sz="0" w:space="0" w:color="auto"/>
        <w:bottom w:val="none" w:sz="0" w:space="0" w:color="auto"/>
        <w:right w:val="none" w:sz="0" w:space="0" w:color="auto"/>
      </w:divBdr>
      <w:divsChild>
        <w:div w:id="1196384091">
          <w:marLeft w:val="0"/>
          <w:marRight w:val="0"/>
          <w:marTop w:val="0"/>
          <w:marBottom w:val="0"/>
          <w:divBdr>
            <w:top w:val="none" w:sz="0" w:space="0" w:color="auto"/>
            <w:left w:val="none" w:sz="0" w:space="0" w:color="auto"/>
            <w:bottom w:val="none" w:sz="0" w:space="0" w:color="auto"/>
            <w:right w:val="none" w:sz="0" w:space="0" w:color="auto"/>
          </w:divBdr>
        </w:div>
        <w:div w:id="1350059637">
          <w:marLeft w:val="0"/>
          <w:marRight w:val="0"/>
          <w:marTop w:val="0"/>
          <w:marBottom w:val="0"/>
          <w:divBdr>
            <w:top w:val="none" w:sz="0" w:space="0" w:color="auto"/>
            <w:left w:val="none" w:sz="0" w:space="0" w:color="auto"/>
            <w:bottom w:val="none" w:sz="0" w:space="0" w:color="auto"/>
            <w:right w:val="none" w:sz="0" w:space="0" w:color="auto"/>
          </w:divBdr>
        </w:div>
        <w:div w:id="96952413">
          <w:marLeft w:val="0"/>
          <w:marRight w:val="0"/>
          <w:marTop w:val="0"/>
          <w:marBottom w:val="0"/>
          <w:divBdr>
            <w:top w:val="none" w:sz="0" w:space="0" w:color="auto"/>
            <w:left w:val="none" w:sz="0" w:space="0" w:color="auto"/>
            <w:bottom w:val="none" w:sz="0" w:space="0" w:color="auto"/>
            <w:right w:val="none" w:sz="0" w:space="0" w:color="auto"/>
          </w:divBdr>
        </w:div>
        <w:div w:id="1685012403">
          <w:marLeft w:val="0"/>
          <w:marRight w:val="0"/>
          <w:marTop w:val="0"/>
          <w:marBottom w:val="0"/>
          <w:divBdr>
            <w:top w:val="none" w:sz="0" w:space="0" w:color="auto"/>
            <w:left w:val="none" w:sz="0" w:space="0" w:color="auto"/>
            <w:bottom w:val="none" w:sz="0" w:space="0" w:color="auto"/>
            <w:right w:val="none" w:sz="0" w:space="0" w:color="auto"/>
          </w:divBdr>
        </w:div>
      </w:divsChild>
    </w:div>
    <w:div w:id="1490944696">
      <w:bodyDiv w:val="1"/>
      <w:marLeft w:val="0"/>
      <w:marRight w:val="0"/>
      <w:marTop w:val="0"/>
      <w:marBottom w:val="0"/>
      <w:divBdr>
        <w:top w:val="none" w:sz="0" w:space="0" w:color="auto"/>
        <w:left w:val="none" w:sz="0" w:space="0" w:color="auto"/>
        <w:bottom w:val="none" w:sz="0" w:space="0" w:color="auto"/>
        <w:right w:val="none" w:sz="0" w:space="0" w:color="auto"/>
      </w:divBdr>
    </w:div>
    <w:div w:id="1491796828">
      <w:bodyDiv w:val="1"/>
      <w:marLeft w:val="0"/>
      <w:marRight w:val="0"/>
      <w:marTop w:val="0"/>
      <w:marBottom w:val="0"/>
      <w:divBdr>
        <w:top w:val="none" w:sz="0" w:space="0" w:color="auto"/>
        <w:left w:val="none" w:sz="0" w:space="0" w:color="auto"/>
        <w:bottom w:val="none" w:sz="0" w:space="0" w:color="auto"/>
        <w:right w:val="none" w:sz="0" w:space="0" w:color="auto"/>
      </w:divBdr>
    </w:div>
    <w:div w:id="1492720052">
      <w:bodyDiv w:val="1"/>
      <w:marLeft w:val="0"/>
      <w:marRight w:val="0"/>
      <w:marTop w:val="0"/>
      <w:marBottom w:val="0"/>
      <w:divBdr>
        <w:top w:val="none" w:sz="0" w:space="0" w:color="auto"/>
        <w:left w:val="none" w:sz="0" w:space="0" w:color="auto"/>
        <w:bottom w:val="none" w:sz="0" w:space="0" w:color="auto"/>
        <w:right w:val="none" w:sz="0" w:space="0" w:color="auto"/>
      </w:divBdr>
    </w:div>
    <w:div w:id="1512067750">
      <w:bodyDiv w:val="1"/>
      <w:marLeft w:val="0"/>
      <w:marRight w:val="0"/>
      <w:marTop w:val="0"/>
      <w:marBottom w:val="0"/>
      <w:divBdr>
        <w:top w:val="none" w:sz="0" w:space="0" w:color="auto"/>
        <w:left w:val="none" w:sz="0" w:space="0" w:color="auto"/>
        <w:bottom w:val="none" w:sz="0" w:space="0" w:color="auto"/>
        <w:right w:val="none" w:sz="0" w:space="0" w:color="auto"/>
      </w:divBdr>
    </w:div>
    <w:div w:id="1558394327">
      <w:bodyDiv w:val="1"/>
      <w:marLeft w:val="0"/>
      <w:marRight w:val="0"/>
      <w:marTop w:val="0"/>
      <w:marBottom w:val="0"/>
      <w:divBdr>
        <w:top w:val="none" w:sz="0" w:space="0" w:color="auto"/>
        <w:left w:val="none" w:sz="0" w:space="0" w:color="auto"/>
        <w:bottom w:val="none" w:sz="0" w:space="0" w:color="auto"/>
        <w:right w:val="none" w:sz="0" w:space="0" w:color="auto"/>
      </w:divBdr>
    </w:div>
    <w:div w:id="1698650999">
      <w:bodyDiv w:val="1"/>
      <w:marLeft w:val="0"/>
      <w:marRight w:val="0"/>
      <w:marTop w:val="0"/>
      <w:marBottom w:val="0"/>
      <w:divBdr>
        <w:top w:val="none" w:sz="0" w:space="0" w:color="auto"/>
        <w:left w:val="none" w:sz="0" w:space="0" w:color="auto"/>
        <w:bottom w:val="none" w:sz="0" w:space="0" w:color="auto"/>
        <w:right w:val="none" w:sz="0" w:space="0" w:color="auto"/>
      </w:divBdr>
    </w:div>
    <w:div w:id="1712802620">
      <w:bodyDiv w:val="1"/>
      <w:marLeft w:val="0"/>
      <w:marRight w:val="0"/>
      <w:marTop w:val="0"/>
      <w:marBottom w:val="0"/>
      <w:divBdr>
        <w:top w:val="none" w:sz="0" w:space="0" w:color="auto"/>
        <w:left w:val="none" w:sz="0" w:space="0" w:color="auto"/>
        <w:bottom w:val="none" w:sz="0" w:space="0" w:color="auto"/>
        <w:right w:val="none" w:sz="0" w:space="0" w:color="auto"/>
      </w:divBdr>
    </w:div>
    <w:div w:id="1725448969">
      <w:bodyDiv w:val="1"/>
      <w:marLeft w:val="0"/>
      <w:marRight w:val="0"/>
      <w:marTop w:val="0"/>
      <w:marBottom w:val="0"/>
      <w:divBdr>
        <w:top w:val="none" w:sz="0" w:space="0" w:color="auto"/>
        <w:left w:val="none" w:sz="0" w:space="0" w:color="auto"/>
        <w:bottom w:val="none" w:sz="0" w:space="0" w:color="auto"/>
        <w:right w:val="none" w:sz="0" w:space="0" w:color="auto"/>
      </w:divBdr>
      <w:divsChild>
        <w:div w:id="395863630">
          <w:marLeft w:val="0"/>
          <w:marRight w:val="0"/>
          <w:marTop w:val="0"/>
          <w:marBottom w:val="0"/>
          <w:divBdr>
            <w:top w:val="none" w:sz="0" w:space="0" w:color="auto"/>
            <w:left w:val="none" w:sz="0" w:space="0" w:color="auto"/>
            <w:bottom w:val="none" w:sz="0" w:space="0" w:color="auto"/>
            <w:right w:val="none" w:sz="0" w:space="0" w:color="auto"/>
          </w:divBdr>
        </w:div>
      </w:divsChild>
    </w:div>
    <w:div w:id="1779720071">
      <w:bodyDiv w:val="1"/>
      <w:marLeft w:val="0"/>
      <w:marRight w:val="0"/>
      <w:marTop w:val="0"/>
      <w:marBottom w:val="0"/>
      <w:divBdr>
        <w:top w:val="none" w:sz="0" w:space="0" w:color="auto"/>
        <w:left w:val="none" w:sz="0" w:space="0" w:color="auto"/>
        <w:bottom w:val="none" w:sz="0" w:space="0" w:color="auto"/>
        <w:right w:val="none" w:sz="0" w:space="0" w:color="auto"/>
      </w:divBdr>
      <w:divsChild>
        <w:div w:id="11516778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9967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986446">
      <w:bodyDiv w:val="1"/>
      <w:marLeft w:val="0"/>
      <w:marRight w:val="0"/>
      <w:marTop w:val="0"/>
      <w:marBottom w:val="0"/>
      <w:divBdr>
        <w:top w:val="none" w:sz="0" w:space="0" w:color="auto"/>
        <w:left w:val="none" w:sz="0" w:space="0" w:color="auto"/>
        <w:bottom w:val="none" w:sz="0" w:space="0" w:color="auto"/>
        <w:right w:val="none" w:sz="0" w:space="0" w:color="auto"/>
      </w:divBdr>
    </w:div>
    <w:div w:id="1902515272">
      <w:bodyDiv w:val="1"/>
      <w:marLeft w:val="0"/>
      <w:marRight w:val="0"/>
      <w:marTop w:val="0"/>
      <w:marBottom w:val="0"/>
      <w:divBdr>
        <w:top w:val="none" w:sz="0" w:space="0" w:color="auto"/>
        <w:left w:val="none" w:sz="0" w:space="0" w:color="auto"/>
        <w:bottom w:val="none" w:sz="0" w:space="0" w:color="auto"/>
        <w:right w:val="none" w:sz="0" w:space="0" w:color="auto"/>
      </w:divBdr>
    </w:div>
    <w:div w:id="2059284517">
      <w:bodyDiv w:val="1"/>
      <w:marLeft w:val="0"/>
      <w:marRight w:val="0"/>
      <w:marTop w:val="0"/>
      <w:marBottom w:val="0"/>
      <w:divBdr>
        <w:top w:val="none" w:sz="0" w:space="0" w:color="auto"/>
        <w:left w:val="none" w:sz="0" w:space="0" w:color="auto"/>
        <w:bottom w:val="none" w:sz="0" w:space="0" w:color="auto"/>
        <w:right w:val="none" w:sz="0" w:space="0" w:color="auto"/>
      </w:divBdr>
    </w:div>
    <w:div w:id="206401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nan.sun@unesp.br" TargetMode="External"/><Relationship Id="rId13" Type="http://schemas.openxmlformats.org/officeDocument/2006/relationships/hyperlink" Target="https://doi.org/10.1590/S1414-40772024000100021"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mario.sergio@unesp.br" TargetMode="External"/><Relationship Id="rId12" Type="http://schemas.openxmlformats.org/officeDocument/2006/relationships/hyperlink" Target="http://hdl.handle.net/11449/202155" TargetMode="External"/><Relationship Id="rId17" Type="http://schemas.openxmlformats.org/officeDocument/2006/relationships/hyperlink" Target="https://doi.org/10.21723/RIAEE.v11.esp.1.p285" TargetMode="External"/><Relationship Id="rId2" Type="http://schemas.openxmlformats.org/officeDocument/2006/relationships/settings" Target="settings.xml"/><Relationship Id="rId16" Type="http://schemas.openxmlformats.org/officeDocument/2006/relationships/hyperlink" Target="https://www2.unesp.br/Home/cope/documentos/relatorio-cope-2024.pd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edgar.bendahan@unesp.br" TargetMode="External"/><Relationship Id="rId11" Type="http://schemas.openxmlformats.org/officeDocument/2006/relationships/hyperlink" Target="https://doi.org/10.7213/1980-5934.33.059.DS06" TargetMode="External"/><Relationship Id="rId5" Type="http://schemas.openxmlformats.org/officeDocument/2006/relationships/endnotes" Target="endnotes.xml"/><Relationship Id="rId15" Type="http://schemas.openxmlformats.org/officeDocument/2006/relationships/hyperlink" Target="https://doi.org/10.1007/978-3-031-39904-6_3" TargetMode="External"/><Relationship Id="rId10" Type="http://schemas.openxmlformats.org/officeDocument/2006/relationships/hyperlink" Target="https://doi.org/10.1590/S1414-40772020000300008"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youtube.com/watch?v=Nwexf2nbYTU" TargetMode="External"/><Relationship Id="rId14" Type="http://schemas.openxmlformats.org/officeDocument/2006/relationships/hyperlink" Target="https://doi.org/10.1590/S0101-7330201300030000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1248</TotalTime>
  <Pages>17</Pages>
  <Words>7217</Words>
  <Characters>38978</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Edgar Bendahan Rodrigues</cp:lastModifiedBy>
  <cp:revision>17</cp:revision>
  <dcterms:created xsi:type="dcterms:W3CDTF">2026-03-14T03:50:00Z</dcterms:created>
  <dcterms:modified xsi:type="dcterms:W3CDTF">2026-06-30T20:36:00Z</dcterms:modified>
</cp:coreProperties>
</file>