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1A148A" w:rsidRDefault="00C802F5" w:rsidP="001923DC">
      <w:pPr>
        <w:jc w:val="center"/>
        <w:rPr>
          <w:rFonts w:ascii="Times New Roman" w:hAnsi="Times New Roman" w:cs="Times New Roman"/>
          <w:lang w:val="es-CL"/>
        </w:rPr>
      </w:pPr>
    </w:p>
    <w:p w14:paraId="43C49479" w14:textId="2944AD1F" w:rsidR="005F3B2E" w:rsidRPr="001A148A" w:rsidRDefault="00783245" w:rsidP="001923DC">
      <w:pPr>
        <w:jc w:val="center"/>
        <w:rPr>
          <w:rFonts w:ascii="Times New Roman" w:hAnsi="Times New Roman" w:cs="Times New Roman"/>
          <w:lang w:val="es-CL"/>
        </w:rPr>
      </w:pPr>
      <w:r w:rsidRPr="001A148A">
        <w:rPr>
          <w:rFonts w:ascii="Times New Roman" w:hAnsi="Times New Roman" w:cs="Times New Roman"/>
          <w:b/>
          <w:bCs/>
          <w:lang w:val="es-CL"/>
        </w:rPr>
        <w:t>Políticas de acceso y desigualdades persistentes en la educación superior chilena: el caso del programa PACE en pedagogía</w:t>
      </w:r>
    </w:p>
    <w:p w14:paraId="4E738780" w14:textId="56FFA111"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Rodríguez Garcés Carlos</w:t>
      </w:r>
      <w:r w:rsidR="005F3B2E" w:rsidRPr="001A148A">
        <w:rPr>
          <w:rFonts w:ascii="Times New Roman" w:hAnsi="Times New Roman" w:cs="Times New Roman"/>
          <w:lang w:val="es-CL"/>
        </w:rPr>
        <w:t xml:space="preserve"> </w:t>
      </w:r>
    </w:p>
    <w:p w14:paraId="6C2AECCA" w14:textId="7C9EE87D"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Universidad del Bío-Bío, Chile</w:t>
      </w:r>
    </w:p>
    <w:p w14:paraId="7D0026CD" w14:textId="6FCAA83C"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carlosro@ubiobio.cl</w:t>
      </w:r>
    </w:p>
    <w:p w14:paraId="1FA0F857" w14:textId="77777777" w:rsidR="005F3B2E" w:rsidRPr="001A148A" w:rsidRDefault="005F3B2E" w:rsidP="005F3B2E">
      <w:pPr>
        <w:rPr>
          <w:rFonts w:ascii="Times New Roman" w:hAnsi="Times New Roman" w:cs="Times New Roman"/>
          <w:lang w:val="es-CL"/>
        </w:rPr>
      </w:pPr>
    </w:p>
    <w:p w14:paraId="1275A9C7" w14:textId="328AC0CE"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Espinosa Valenzuela Denisse</w:t>
      </w:r>
    </w:p>
    <w:p w14:paraId="46FEEBE4" w14:textId="74CC0BE6"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Universidad del Bío-Bío- Universidad Andrés Bello</w:t>
      </w:r>
    </w:p>
    <w:p w14:paraId="3CAC774D" w14:textId="419C4CC5"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daespinosa@ubiobio.cl</w:t>
      </w:r>
    </w:p>
    <w:p w14:paraId="640847CC" w14:textId="77777777" w:rsidR="005F3B2E" w:rsidRPr="001A148A" w:rsidRDefault="005F3B2E" w:rsidP="005F3B2E">
      <w:pPr>
        <w:spacing w:after="0" w:line="240" w:lineRule="auto"/>
        <w:jc w:val="right"/>
        <w:rPr>
          <w:rFonts w:ascii="Times New Roman" w:hAnsi="Times New Roman" w:cs="Times New Roman"/>
          <w:lang w:val="es-CL"/>
        </w:rPr>
      </w:pPr>
    </w:p>
    <w:p w14:paraId="3F6986E9" w14:textId="21D0348A" w:rsidR="005F3B2E" w:rsidRPr="001A148A" w:rsidRDefault="00C802F5" w:rsidP="00C802F5">
      <w:pPr>
        <w:tabs>
          <w:tab w:val="center" w:pos="4252"/>
          <w:tab w:val="right" w:pos="8504"/>
        </w:tabs>
        <w:spacing w:after="0" w:line="240" w:lineRule="auto"/>
        <w:rPr>
          <w:rFonts w:ascii="Times New Roman" w:hAnsi="Times New Roman" w:cs="Times New Roman"/>
          <w:lang w:val="es-CL"/>
        </w:rPr>
      </w:pPr>
      <w:r w:rsidRPr="001A148A">
        <w:rPr>
          <w:rFonts w:ascii="Times New Roman" w:hAnsi="Times New Roman" w:cs="Times New Roman"/>
          <w:lang w:val="es-CL"/>
        </w:rPr>
        <w:tab/>
      </w:r>
      <w:r w:rsidRPr="001A148A">
        <w:rPr>
          <w:rFonts w:ascii="Times New Roman" w:hAnsi="Times New Roman" w:cs="Times New Roman"/>
          <w:lang w:val="es-CL"/>
        </w:rPr>
        <w:tab/>
      </w:r>
      <w:r w:rsidR="0002758C">
        <w:rPr>
          <w:rFonts w:ascii="Times New Roman" w:hAnsi="Times New Roman" w:cs="Times New Roman"/>
          <w:lang w:val="es-CL"/>
        </w:rPr>
        <w:t>Padilla Fuentes Geraldo</w:t>
      </w:r>
    </w:p>
    <w:p w14:paraId="4E696C7D" w14:textId="5B2874F3"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 xml:space="preserve">Universidad de Iowa, </w:t>
      </w:r>
      <w:proofErr w:type="gramStart"/>
      <w:r>
        <w:rPr>
          <w:rFonts w:ascii="Times New Roman" w:hAnsi="Times New Roman" w:cs="Times New Roman"/>
          <w:lang w:val="es-CL"/>
        </w:rPr>
        <w:t>EE.UU</w:t>
      </w:r>
      <w:proofErr w:type="gramEnd"/>
    </w:p>
    <w:p w14:paraId="3D73DB11" w14:textId="7DBFE16E" w:rsidR="005F3B2E" w:rsidRPr="001A148A" w:rsidRDefault="0002758C" w:rsidP="005F3B2E">
      <w:pPr>
        <w:spacing w:after="0" w:line="240" w:lineRule="auto"/>
        <w:jc w:val="right"/>
        <w:rPr>
          <w:rFonts w:ascii="Times New Roman" w:hAnsi="Times New Roman" w:cs="Times New Roman"/>
          <w:lang w:val="es-CL"/>
        </w:rPr>
      </w:pPr>
      <w:r>
        <w:rPr>
          <w:rFonts w:ascii="Times New Roman" w:hAnsi="Times New Roman" w:cs="Times New Roman"/>
          <w:lang w:val="es-CL"/>
        </w:rPr>
        <w:t>gbpadilla@iowa.edu</w:t>
      </w:r>
    </w:p>
    <w:p w14:paraId="7B9027E2" w14:textId="77777777" w:rsidR="00BA642E" w:rsidRPr="001A148A" w:rsidRDefault="00BA642E" w:rsidP="005F3B2E">
      <w:pPr>
        <w:rPr>
          <w:rFonts w:ascii="Times New Roman" w:hAnsi="Times New Roman" w:cs="Times New Roman"/>
          <w:b/>
          <w:bCs/>
          <w:lang w:val="es-CL"/>
        </w:rPr>
      </w:pPr>
    </w:p>
    <w:p w14:paraId="35A6682C" w14:textId="2D457005" w:rsidR="00BA642E" w:rsidRPr="001A148A" w:rsidRDefault="00BA642E" w:rsidP="00007543">
      <w:pPr>
        <w:spacing w:line="240" w:lineRule="auto"/>
        <w:jc w:val="both"/>
        <w:rPr>
          <w:rFonts w:ascii="Times New Roman" w:hAnsi="Times New Roman" w:cs="Times New Roman"/>
          <w:lang w:val="es-CL"/>
        </w:rPr>
      </w:pPr>
      <w:r w:rsidRPr="001A148A">
        <w:rPr>
          <w:rFonts w:ascii="Times New Roman" w:hAnsi="Times New Roman" w:cs="Times New Roman"/>
          <w:b/>
          <w:bCs/>
          <w:lang w:val="es-CL"/>
        </w:rPr>
        <w:t>Resumen:</w:t>
      </w:r>
      <w:r w:rsidR="007B5B5F" w:rsidRPr="001A148A">
        <w:rPr>
          <w:rFonts w:ascii="Times New Roman" w:hAnsi="Times New Roman" w:cs="Times New Roman"/>
          <w:b/>
          <w:bCs/>
          <w:lang w:val="es-CL"/>
        </w:rPr>
        <w:t xml:space="preserve"> </w:t>
      </w:r>
      <w:r w:rsidR="001A148A" w:rsidRPr="001A148A">
        <w:rPr>
          <w:rFonts w:ascii="Times New Roman" w:hAnsi="Times New Roman" w:cs="Times New Roman"/>
          <w:lang w:val="es-CL"/>
        </w:rPr>
        <w:t xml:space="preserve">El objetivo de esta investigación es explorar la distribución y perfiles de estudiantes informados como cupo especial por el Ministerio de Educación (MINEDUC) matriculados en programas de pedagogía. Es una investigación de tipo cuantitativa y utiliza un conjunto de técnicas de corte descriptivo-inferencial, así como también un modelo multivariante de árboles de clasificación. Dentro de los principales hallazgos, se observa la predominancia que adquieren los bajos resultados obtenidos en las pruebas de selección universitaria en comparación a los antecedentes socioeconómicos al momento de matricularse vía especial; al menos en lo que a pedagogía refiere, pone en cuestión la tesis de la inclusión social pretendida, a la vez que devela un posible uso instrumental para subsanar déficits de matrícula. En las conclusiones se destaca que el impacto de la política de inclusión social e igualdad de oportunidades está supeditada al cambio estructural del sistema de financiamiento subvencionado vía </w:t>
      </w:r>
      <w:proofErr w:type="spellStart"/>
      <w:r w:rsidR="001A148A" w:rsidRPr="001A148A">
        <w:rPr>
          <w:rFonts w:ascii="Times New Roman" w:hAnsi="Times New Roman" w:cs="Times New Roman"/>
          <w:lang w:val="es-CL"/>
        </w:rPr>
        <w:t>voucher</w:t>
      </w:r>
      <w:proofErr w:type="spellEnd"/>
      <w:r w:rsidR="001A148A" w:rsidRPr="001A148A">
        <w:rPr>
          <w:rFonts w:ascii="Times New Roman" w:hAnsi="Times New Roman" w:cs="Times New Roman"/>
          <w:lang w:val="es-CL"/>
        </w:rPr>
        <w:t>.</w:t>
      </w:r>
    </w:p>
    <w:p w14:paraId="2994BAB3" w14:textId="539618F0" w:rsidR="00BA642E" w:rsidRPr="001A148A" w:rsidRDefault="00BA642E" w:rsidP="00007543">
      <w:pPr>
        <w:spacing w:line="240" w:lineRule="auto"/>
        <w:jc w:val="both"/>
        <w:rPr>
          <w:rFonts w:ascii="Times New Roman" w:hAnsi="Times New Roman" w:cs="Times New Roman"/>
          <w:b/>
          <w:bCs/>
          <w:lang w:val="es-CL"/>
        </w:rPr>
      </w:pPr>
      <w:r w:rsidRPr="001A148A">
        <w:rPr>
          <w:rFonts w:ascii="Times New Roman" w:hAnsi="Times New Roman" w:cs="Times New Roman"/>
          <w:b/>
          <w:bCs/>
          <w:lang w:val="es-CL"/>
        </w:rPr>
        <w:t xml:space="preserve">Palabras clave: </w:t>
      </w:r>
      <w:r w:rsidR="001A148A" w:rsidRPr="001A148A">
        <w:rPr>
          <w:rFonts w:ascii="Times New Roman" w:hAnsi="Times New Roman" w:cs="Times New Roman"/>
          <w:lang w:val="es-CL"/>
        </w:rPr>
        <w:t>educación superior; pedagogía; condiciones de admisión; oportunidades educacionales; desigualdad social</w:t>
      </w:r>
    </w:p>
    <w:p w14:paraId="6A5547A1" w14:textId="36B7FAC2" w:rsidR="00BA642E" w:rsidRPr="001A148A" w:rsidRDefault="00BA642E" w:rsidP="00007543">
      <w:pPr>
        <w:spacing w:line="240" w:lineRule="auto"/>
        <w:jc w:val="both"/>
        <w:rPr>
          <w:rFonts w:ascii="Times New Roman" w:hAnsi="Times New Roman" w:cs="Times New Roman"/>
          <w:b/>
          <w:bCs/>
          <w:lang w:val="es-CL"/>
        </w:rPr>
      </w:pPr>
      <w:r w:rsidRPr="001A148A">
        <w:rPr>
          <w:rFonts w:ascii="Times New Roman" w:hAnsi="Times New Roman" w:cs="Times New Roman"/>
          <w:b/>
          <w:bCs/>
          <w:lang w:val="es-CL"/>
        </w:rPr>
        <w:t>Introducción</w:t>
      </w:r>
    </w:p>
    <w:p w14:paraId="4A54199B"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El sistema educativo chileno se ha caracterizado históricamente por exhibir altos índices de desigualdad y de segregación en todos sus niveles. En lo que refiere a educación superior y dada la masificación de su matrícula, en la actualidad estas inequidades se expresan en el tipo de acceso, niveles de permanencia y egreso oportuno, en perjuicio de los grupos de menores ingresos (Ferrada, 2018; Santos y </w:t>
      </w:r>
      <w:proofErr w:type="spellStart"/>
      <w:r w:rsidRPr="001A148A">
        <w:rPr>
          <w:rFonts w:ascii="Times New Roman" w:hAnsi="Times New Roman" w:cs="Times New Roman"/>
          <w:lang w:val="es-CL"/>
        </w:rPr>
        <w:t>Elacqua</w:t>
      </w:r>
      <w:proofErr w:type="spellEnd"/>
      <w:r w:rsidRPr="001A148A">
        <w:rPr>
          <w:rFonts w:ascii="Times New Roman" w:hAnsi="Times New Roman" w:cs="Times New Roman"/>
          <w:lang w:val="es-CL"/>
        </w:rPr>
        <w:t xml:space="preserve">, 2016; Córdoba, Rojas y Azócar, 2016; Bellei, 2013; </w:t>
      </w:r>
      <w:proofErr w:type="spellStart"/>
      <w:r w:rsidRPr="001A148A">
        <w:rPr>
          <w:rFonts w:ascii="Times New Roman" w:hAnsi="Times New Roman" w:cs="Times New Roman"/>
          <w:lang w:val="es-CL"/>
        </w:rPr>
        <w:t>Elacqua</w:t>
      </w:r>
      <w:proofErr w:type="spellEnd"/>
      <w:r w:rsidRPr="001A148A">
        <w:rPr>
          <w:rFonts w:ascii="Times New Roman" w:hAnsi="Times New Roman" w:cs="Times New Roman"/>
          <w:lang w:val="es-CL"/>
        </w:rPr>
        <w:t xml:space="preserve"> y Santos, 2013). En efecto, la deficiente calidad educativa en los sectores de menores ingresos, precariza los niveles de logro alcanzados en las pruebas de admisión y condiciona la naturaleza del acceso a la universidad incluso entre alumnos talentosos, quienes encontrarían serias dificultades para refrendar su buen desempeño escolar en los test estandarizados de admisión a la universidad que, en Chile, </w:t>
      </w:r>
      <w:r w:rsidRPr="001A148A">
        <w:rPr>
          <w:rFonts w:ascii="Times New Roman" w:hAnsi="Times New Roman" w:cs="Times New Roman"/>
          <w:lang w:val="es-CL"/>
        </w:rPr>
        <w:lastRenderedPageBreak/>
        <w:t>son el principal medio de acceso a la oferta universitaria tradicional y acreditada (Rodríguez, Espinosa, Padilla, Suazo, 2020; Opazo, Maldonado, Medel, y Molina, 2018).</w:t>
      </w:r>
    </w:p>
    <w:p w14:paraId="17671F56"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En consecuencia, con objeto de enfrentar esta segmentación en el acceso a la oferta universitaria, diferentes acciones afirmativas se han promovido en la última década al interior del sistema; conjunto de mecanismos que buscan compensar los efectos de la desigualdad educativa generando una mayor inclusión social e igualdad de oportunidades a estudiantes talentosos para la continuación de estudios (Gil-Llambías, del Valle, Villarroel y Fuentes, 2019; Sanzana, 2018; MINEDUC, 2015).</w:t>
      </w:r>
    </w:p>
    <w:p w14:paraId="6A29D96A"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Con la confianza en que es posible promover la inclusión social e igualdad de oportunidades y que el talento está distribuido homogéneamente en las esferas o capas sociales (</w:t>
      </w:r>
      <w:proofErr w:type="spellStart"/>
      <w:r w:rsidRPr="001A148A">
        <w:rPr>
          <w:rFonts w:ascii="Times New Roman" w:hAnsi="Times New Roman" w:cs="Times New Roman"/>
          <w:lang w:val="es-CL"/>
        </w:rPr>
        <w:t>Kri</w:t>
      </w:r>
      <w:proofErr w:type="spellEnd"/>
      <w:r w:rsidRPr="001A148A">
        <w:rPr>
          <w:rFonts w:ascii="Times New Roman" w:hAnsi="Times New Roman" w:cs="Times New Roman"/>
          <w:lang w:val="es-CL"/>
        </w:rPr>
        <w:t xml:space="preserve">, González, Gil y </w:t>
      </w:r>
      <w:proofErr w:type="spellStart"/>
      <w:r w:rsidRPr="001A148A">
        <w:rPr>
          <w:rFonts w:ascii="Times New Roman" w:hAnsi="Times New Roman" w:cs="Times New Roman"/>
          <w:lang w:val="es-CL"/>
        </w:rPr>
        <w:t>Lamatta</w:t>
      </w:r>
      <w:proofErr w:type="spellEnd"/>
      <w:r w:rsidRPr="001A148A">
        <w:rPr>
          <w:rFonts w:ascii="Times New Roman" w:hAnsi="Times New Roman" w:cs="Times New Roman"/>
          <w:lang w:val="es-CL"/>
        </w:rPr>
        <w:t>, 2013), el Programa de Acompañamiento y Acceso Efectivo a la Educación Superior (PACE) se constituye en la actualidad en la principal vía de admisión no tradicional a la universidad, en el intento de restituir el derecho a la educación superior a estudiantes destacados, pero socioeconómicamente vulnerables (MINEDUC, 2019; MINEDUC, 2015).</w:t>
      </w:r>
    </w:p>
    <w:p w14:paraId="6286BA08"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Alcances de la admisión especial</w:t>
      </w:r>
    </w:p>
    <w:p w14:paraId="659BAEC7"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Si bien la educación superior, y en particular la universitaria, se ha masificado y diversificado, ello no significa que todos los estudiantes tengan iguales garantías de matricularse en una institución de prestigio o selectiva (Cooper, Guevara, Rivera, Sanhueza y </w:t>
      </w:r>
      <w:proofErr w:type="spellStart"/>
      <w:r w:rsidRPr="001A148A">
        <w:rPr>
          <w:rFonts w:ascii="Times New Roman" w:hAnsi="Times New Roman" w:cs="Times New Roman"/>
          <w:lang w:val="es-CL"/>
        </w:rPr>
        <w:t>Tincani</w:t>
      </w:r>
      <w:proofErr w:type="spellEnd"/>
      <w:r w:rsidRPr="001A148A">
        <w:rPr>
          <w:rFonts w:ascii="Times New Roman" w:hAnsi="Times New Roman" w:cs="Times New Roman"/>
          <w:lang w:val="es-CL"/>
        </w:rPr>
        <w:t>, 2019). La diferenciada calidad de la exposición educativa dificulta, cuando no imposibilita, el acceso de estudiantes vulnerables a esta oferta educativa por vía regular, incluso a aquellos que han exhibido un buen desempeño escolar. En tal sentido, el programa de acceso especial se constituye en una acción afirmativa que busca igualar oportunidades educativas para que estudiantes talentosos puedan matricularse en alguna carrera de su preferencia, postulando esta vez por una vía alternativa que releva la importancia del esfuerzo desplegado y resiliencia demostrada durante su trayectoria escolar en un contexto educativo que ha sido adverso (Rodríguez, Padilla y Espinosa, 2021; Rodríguez y Padilla, 2016).</w:t>
      </w:r>
    </w:p>
    <w:p w14:paraId="208CFB63"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No obstante, cabe reconocer que el estudiante de ingreso especial enfrenta dificultades académicas que demanda una experiencia educativa más exigente, además de barreras culturales de un espacio socioeducativo que le es ajeno (Bourdieu y Passeron, 2009). La proyección de expectativas de un desempeño exitoso sustentadas en el rendimiento que acostumbraban a exhibir en su escuela, se puede ver tempranamente frustrada, generando desánimo y una sensación de fracaso que les hace cuestionar su permanencia (Gil-Llambías et al., 2019; Sanzana, 2018). Esta situación, de no aplicar acciones remediales de nivelación curricular y apoyo socioemocional, extrapola dificultades para las mismas instituciones al ver afectados sus índices de eficiencia interna, expresados en tasas de deserción, avance curricular e índices de reprobación (Herrera y Rosales, 2019; Barra, López, Baltierra, y Albornoz, 2018).</w:t>
      </w:r>
    </w:p>
    <w:p w14:paraId="5B94B870"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Por otro lado, dentro de las externalidades no previstas de esta política de inclusión, sería el uso instrumental de la admisión especial con objeto de subsanar déficit de matrícula. En efecto, el modelo de financiamiento vía </w:t>
      </w:r>
      <w:proofErr w:type="spellStart"/>
      <w:r w:rsidRPr="001A148A">
        <w:rPr>
          <w:rFonts w:ascii="Times New Roman" w:hAnsi="Times New Roman" w:cs="Times New Roman"/>
          <w:lang w:val="es-CL"/>
        </w:rPr>
        <w:t>voucher</w:t>
      </w:r>
      <w:proofErr w:type="spellEnd"/>
      <w:r w:rsidRPr="001A148A">
        <w:rPr>
          <w:rFonts w:ascii="Times New Roman" w:hAnsi="Times New Roman" w:cs="Times New Roman"/>
          <w:lang w:val="es-CL"/>
        </w:rPr>
        <w:t xml:space="preserve"> que transfiere recursos por cantidad </w:t>
      </w:r>
      <w:r w:rsidRPr="001A148A">
        <w:rPr>
          <w:rFonts w:ascii="Times New Roman" w:hAnsi="Times New Roman" w:cs="Times New Roman"/>
          <w:lang w:val="es-CL"/>
        </w:rPr>
        <w:lastRenderedPageBreak/>
        <w:t xml:space="preserve">de alumnos conmina a las instituciones a competir por matrícula y a desarrollar estrategias para subsanar los déficits en su oferta educativa de baja demanda (Rodríguez y Padilla, 2016).  </w:t>
      </w:r>
    </w:p>
    <w:p w14:paraId="737498B8"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La elección profesional en un contexto de admisión especial</w:t>
      </w:r>
    </w:p>
    <w:p w14:paraId="5B13CA98"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La elección profesional, en particular para grupos vulnerables, constituye una inversión aspiracional, de ascenso social y de mayores retornos económicos a los que actualmente se disponen en el hogar; expectativas que se tienden a ajustar sobre la base de sus condiciones materiales de existencia e información que se dispone (Padilla, Rodríguez y Espinosa, 2022; Castro, Frites y Vargas, 2016; </w:t>
      </w:r>
      <w:proofErr w:type="spellStart"/>
      <w:r w:rsidRPr="001A148A">
        <w:rPr>
          <w:rFonts w:ascii="Times New Roman" w:hAnsi="Times New Roman" w:cs="Times New Roman"/>
          <w:lang w:val="es-CL"/>
        </w:rPr>
        <w:t>Böck</w:t>
      </w:r>
      <w:proofErr w:type="spellEnd"/>
      <w:r w:rsidRPr="001A148A">
        <w:rPr>
          <w:rFonts w:ascii="Times New Roman" w:hAnsi="Times New Roman" w:cs="Times New Roman"/>
          <w:lang w:val="es-CL"/>
        </w:rPr>
        <w:t xml:space="preserve">, 2019; Bourdieu y Passeron, 2008; 2009). Ello explicaría que, contrario a lo que sucede en clases medias y altas, sus elecciones profesionales se circunscriban preferencialmente a universidades y programas menos selectivos, del ámbito humanista o educativo (Hernández y Carrasco, 2020; Canales, Bellei y Orellana, 2016; </w:t>
      </w:r>
      <w:proofErr w:type="spellStart"/>
      <w:r w:rsidRPr="001A148A">
        <w:rPr>
          <w:rFonts w:ascii="Times New Roman" w:hAnsi="Times New Roman" w:cs="Times New Roman"/>
          <w:lang w:val="es-CL"/>
        </w:rPr>
        <w:t>Gubbins</w:t>
      </w:r>
      <w:proofErr w:type="spellEnd"/>
      <w:r w:rsidRPr="001A148A">
        <w:rPr>
          <w:rFonts w:ascii="Times New Roman" w:hAnsi="Times New Roman" w:cs="Times New Roman"/>
          <w:lang w:val="es-CL"/>
        </w:rPr>
        <w:t>, 2014).</w:t>
      </w:r>
    </w:p>
    <w:p w14:paraId="21501DE2"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De esta forma, la elección profesional por las pedagogías, programas de interés para esta investigación, es una extensión o correlato de esta lógica condicionante. Aunque la formación inicial docente ha sido foco de intervención en términos de innovación curricular, exigencias de ingreso, incentivos a la matrícula y mejoras en las condiciones de empleabilidad (Walker, González y García, 2020; </w:t>
      </w:r>
      <w:proofErr w:type="spellStart"/>
      <w:r w:rsidRPr="001A148A">
        <w:rPr>
          <w:rFonts w:ascii="Times New Roman" w:hAnsi="Times New Roman" w:cs="Times New Roman"/>
          <w:lang w:val="es-CL"/>
        </w:rPr>
        <w:t>Etcheberrigaray</w:t>
      </w:r>
      <w:proofErr w:type="spellEnd"/>
      <w:r w:rsidRPr="001A148A">
        <w:rPr>
          <w:rFonts w:ascii="Times New Roman" w:hAnsi="Times New Roman" w:cs="Times New Roman"/>
          <w:lang w:val="es-CL"/>
        </w:rPr>
        <w:t>, Lagos, Cornejo, Albornoz y Fernández, 2017; Gómez y Castillo, 2019; Bellei y Valenzuela, 2010), pedagogía continúa siendo una carrera de baja valoración y prestigio social, preferencia de grupos socioeconómicos de menores ingresos y de bajos puntajes en las pruebas de admisión universitaria, la cual presenta continuas dificultades para despertar interés en el postulante, particularmente en lo que refiere a estudiantes académicamente talentosos (Walker y García, 2019; Arias y Villarroel, 2019; Acción Educar, 2021).</w:t>
      </w:r>
    </w:p>
    <w:p w14:paraId="199739D3"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Síntesis del problema</w:t>
      </w:r>
    </w:p>
    <w:p w14:paraId="59921B82"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Sobre la base de lo expuesto, atendiendo a la profunda segmentación que evidencia el sistema de educación superior en Chile, las coordenadas de origen que estructuran las elecciones profesionales con sus correspondientes ajustes de expectativas y el eventual uso instrumental de la agenda </w:t>
      </w:r>
      <w:proofErr w:type="spellStart"/>
      <w:r w:rsidRPr="001A148A">
        <w:rPr>
          <w:rFonts w:ascii="Times New Roman" w:hAnsi="Times New Roman" w:cs="Times New Roman"/>
          <w:lang w:val="es-CL"/>
        </w:rPr>
        <w:t>pro-inclusión</w:t>
      </w:r>
      <w:proofErr w:type="spellEnd"/>
      <w:r w:rsidRPr="001A148A">
        <w:rPr>
          <w:rFonts w:ascii="Times New Roman" w:hAnsi="Times New Roman" w:cs="Times New Roman"/>
          <w:lang w:val="es-CL"/>
        </w:rPr>
        <w:t xml:space="preserve"> por parte de las instituciones, este artículo informa el comportamiento distributivo durante las distintas etapas del proceso de admisión del estudiante informado como cupo especial, para posteriormente perfilar sus atributos distintivos en la fase de matrícula en lo referente a sus componentes sociofamiliares, de trayectoria escolar y niveles de desempeño en las pruebas de admisión universitaria. Los datos son modelados sobre la base del postulante matriculado en pedagogía en atención a la significativa asignación de cupos especiales que evidencian estos programas, su distintivo y homogéneo perfil de ingreso, así como su recurrente déficit de matrícula.</w:t>
      </w:r>
    </w:p>
    <w:p w14:paraId="18E15E66" w14:textId="77777777" w:rsid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En concreto, el perfil del matriculado cupo especial es comparado con aquellos que ingresan vía regular a objeto de estimar sus atributos diferenciadores, en particular, los de carácter socioeconómico y desempeño escolar. La tesis que orienta esta investigación es que al menos en pedagogía, dada las particularidades anteriormente mencionadas, el ingreso vía cupo especial pudiendo aportar a la inclusión social de estudiantes </w:t>
      </w:r>
      <w:r w:rsidRPr="001A148A">
        <w:rPr>
          <w:rFonts w:ascii="Times New Roman" w:hAnsi="Times New Roman" w:cs="Times New Roman"/>
          <w:lang w:val="es-CL"/>
        </w:rPr>
        <w:lastRenderedPageBreak/>
        <w:t xml:space="preserve">vulnerables, se constituye también en un mecanismo estratégico para suplementar los déficits de matrícula. </w:t>
      </w:r>
    </w:p>
    <w:p w14:paraId="2FD138AD" w14:textId="1A2F050C" w:rsidR="005F3B2E" w:rsidRDefault="005F3B2E" w:rsidP="00007543">
      <w:pPr>
        <w:spacing w:line="240" w:lineRule="auto"/>
        <w:jc w:val="both"/>
        <w:rPr>
          <w:rFonts w:ascii="Times New Roman" w:hAnsi="Times New Roman" w:cs="Times New Roman"/>
          <w:b/>
          <w:bCs/>
          <w:lang w:val="es-CL"/>
        </w:rPr>
      </w:pPr>
      <w:r w:rsidRPr="001A148A">
        <w:rPr>
          <w:rFonts w:ascii="Times New Roman" w:hAnsi="Times New Roman" w:cs="Times New Roman"/>
          <w:b/>
          <w:bCs/>
          <w:lang w:val="es-CL"/>
        </w:rPr>
        <w:t>Desarrollo</w:t>
      </w:r>
    </w:p>
    <w:p w14:paraId="376D1E43"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Diseño metodológico</w:t>
      </w:r>
    </w:p>
    <w:p w14:paraId="702ECE72"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 xml:space="preserve">Este artículo, enmarcado en el paradigma cuantitativo de análisis de datos, analizó mediante un conjunto de indicadores y modelos estadísticos e inferenciales la composición distributiva del informado como cupo especial durante las distintas fases del proceso de admisión 2020, haciendo especial hincapié en el postulante a pedagogía. Se hace uso de bases de datos oficiales que, amparadas en las normativas de acceso público a la información vigentes en Chile, son facilitadas por el Departamento de Medición, Evaluación y Registro Educacional (DEMRE), entidad encargada de administrar el Sistema Único de Admisión (SUA) del conjunto de universidades que adscriben a la política </w:t>
      </w:r>
      <w:proofErr w:type="spellStart"/>
      <w:r w:rsidRPr="00345D2A">
        <w:rPr>
          <w:rFonts w:ascii="Times New Roman" w:hAnsi="Times New Roman" w:cs="Times New Roman"/>
          <w:lang w:val="es-CL"/>
        </w:rPr>
        <w:t>pro-inclusión</w:t>
      </w:r>
      <w:proofErr w:type="spellEnd"/>
      <w:r w:rsidRPr="00345D2A">
        <w:rPr>
          <w:rFonts w:ascii="Times New Roman" w:hAnsi="Times New Roman" w:cs="Times New Roman"/>
          <w:lang w:val="es-CL"/>
        </w:rPr>
        <w:t xml:space="preserve"> mediante el programa PACE.</w:t>
      </w:r>
    </w:p>
    <w:p w14:paraId="4EB2F103"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Posteriormente, con las bases de datos que contemplaba información del estudiante en las fases de inscripción, postulación, selección y matrícula del proceso de admisión universitaria, se perfilaron los atributos distintivos del matriculado como cupo especial en pedagogía, los cuales son comparados con aquellos que ingresan vía tradicional, en lo que refiere a características sociofamiliares, de trayectoria escolar y desempeño en las pruebas de admisión universitaria. Estos análisis son complementados con un modelo multivariante de árboles de clasificación, a fin de estimar la incidencia jerárquica que tendrían estos atributos como predictores de la vía de admisión.</w:t>
      </w:r>
    </w:p>
    <w:p w14:paraId="41D4D4D5"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Muestra</w:t>
      </w:r>
    </w:p>
    <w:p w14:paraId="1410AC4D" w14:textId="59E4A6D5"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 xml:space="preserve">La unidad de observación son los estudiantes informados como cupo especial, en particular quienes se matriculan en alguno de los programas que integran la oferta de formación inicial docente. Específicamente, refiere a los programas de Pedagogía en Educación </w:t>
      </w:r>
      <w:proofErr w:type="spellStart"/>
      <w:r w:rsidRPr="00345D2A">
        <w:rPr>
          <w:rFonts w:ascii="Times New Roman" w:hAnsi="Times New Roman" w:cs="Times New Roman"/>
          <w:lang w:val="es-CL"/>
        </w:rPr>
        <w:t>Parvularia</w:t>
      </w:r>
      <w:proofErr w:type="spellEnd"/>
      <w:r w:rsidRPr="00345D2A">
        <w:rPr>
          <w:rFonts w:ascii="Times New Roman" w:hAnsi="Times New Roman" w:cs="Times New Roman"/>
          <w:lang w:val="es-CL"/>
        </w:rPr>
        <w:t>, Pedagogía en Educación Diferencial, Pedagogía en Educación Básica y Pedagogía en Educación Media.</w:t>
      </w:r>
      <w:r w:rsidRPr="00345D2A">
        <w:t xml:space="preserve"> </w:t>
      </w:r>
      <w:r w:rsidRPr="00345D2A">
        <w:rPr>
          <w:rFonts w:ascii="Times New Roman" w:hAnsi="Times New Roman" w:cs="Times New Roman"/>
          <w:lang w:val="es-CL"/>
        </w:rPr>
        <w:t>La muestra está constituida por un total de 1.455 postulantes informados como cupo especial que se matriculan en alguno de los programas de pedagogía. En su mayor parte son mujeres (72,3%), pertenecen al 40% de las familias de menores ingresos (79,2%) y han cursado su enseñanza media en un colegio municipal o público (76,5%). Si bien todos son informados por el MINEDUC como cupo especial, solo un 27,9% de ellos utiliza esta modalidad como vía de ingreso a la universidad.</w:t>
      </w:r>
    </w:p>
    <w:p w14:paraId="3CE46B95"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Procedimiento</w:t>
      </w:r>
    </w:p>
    <w:p w14:paraId="22000A93"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Con la información reportada por el DEMRE para el proceso de admisión a la educación superior del año 2020, se modeló una base de datos con los estudiantes que fueron informados por el MINEDUC como cupo especial, segmentando por proceso de postulación y matrícula. Posteriormente se categorizaron variables de interés y se construyeron nuevos índices e indicadores socioeconómicos y de trayectoria educativa que permitieran perfilar a los estudiantes cupo especial según su modalidad de ingreso, esto es utilizando su cupo especial para matricularse o bien, ingresar vía tradicional.</w:t>
      </w:r>
    </w:p>
    <w:p w14:paraId="76A25BE7"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lastRenderedPageBreak/>
        <w:t>Por su parte, para la caracterización socioeconómica se consideraron variables como el sexo, quintil, primera generación y dependencia escolar. Por su parte, para la medición de la trayectoria educativa se consideraron variables como preferencia de elección, Ranking de notas, Notas de enseñanza Media (NEM), puntaje en la prueba de admisión de matemáticas y lenguaje. Los análisis se realizaron con el software SPPS (24). En primera instancia se construyen índices de carácter descriptivo-inferencial para examinar prevalencias en la distribución y concentración de la muestra, aplicando además pruebas de independencia de chi2 para determinar asociación entre variables, todo esto se representa a través de tablas.</w:t>
      </w:r>
    </w:p>
    <w:p w14:paraId="4DAC9717"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En un segundo proceso de análisis se hizo uso de la técnica multivariante de árbol de clasificación. Este modelamiento tuvo por propósito estimar la incidencia jerárquicos que presentan atributos socioeducativos y de niveles de logro en la decisión de matricularse en pedagogía haciendo uso o no de la condición de cupo especial. Esta técnica genera un diagrama con nodos, ramas y hojas que, maximizando las distancias, resume grandes volúmenes de datos y estructura itinerarios decisionales y perfiles sobre la base de las variables estadísticamente más significativas (</w:t>
      </w:r>
      <w:proofErr w:type="spellStart"/>
      <w:r w:rsidRPr="00345D2A">
        <w:rPr>
          <w:rFonts w:ascii="Times New Roman" w:hAnsi="Times New Roman" w:cs="Times New Roman"/>
          <w:lang w:val="es-CL"/>
        </w:rPr>
        <w:t>Gervilla</w:t>
      </w:r>
      <w:proofErr w:type="spellEnd"/>
      <w:r w:rsidRPr="00345D2A">
        <w:rPr>
          <w:rFonts w:ascii="Times New Roman" w:hAnsi="Times New Roman" w:cs="Times New Roman"/>
          <w:lang w:val="es-CL"/>
        </w:rPr>
        <w:t xml:space="preserve"> y Palmer, 2009; Han y </w:t>
      </w:r>
      <w:proofErr w:type="spellStart"/>
      <w:r w:rsidRPr="00345D2A">
        <w:rPr>
          <w:rFonts w:ascii="Times New Roman" w:hAnsi="Times New Roman" w:cs="Times New Roman"/>
          <w:lang w:val="es-CL"/>
        </w:rPr>
        <w:t>Kamber</w:t>
      </w:r>
      <w:proofErr w:type="spellEnd"/>
      <w:r w:rsidRPr="00345D2A">
        <w:rPr>
          <w:rFonts w:ascii="Times New Roman" w:hAnsi="Times New Roman" w:cs="Times New Roman"/>
          <w:lang w:val="es-CL"/>
        </w:rPr>
        <w:t>, 2006).</w:t>
      </w:r>
    </w:p>
    <w:p w14:paraId="7307A604" w14:textId="712D3607"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En específico, el árbol de clasificación y selección de sus predictores se realizó utilizando el método de crecimiento Chi-</w:t>
      </w:r>
      <w:proofErr w:type="spellStart"/>
      <w:r w:rsidRPr="00345D2A">
        <w:rPr>
          <w:rFonts w:ascii="Times New Roman" w:hAnsi="Times New Roman" w:cs="Times New Roman"/>
          <w:lang w:val="es-CL"/>
        </w:rPr>
        <w:t>square</w:t>
      </w:r>
      <w:proofErr w:type="spellEnd"/>
      <w:r w:rsidRPr="00345D2A">
        <w:rPr>
          <w:rFonts w:ascii="Times New Roman" w:hAnsi="Times New Roman" w:cs="Times New Roman"/>
          <w:lang w:val="es-CL"/>
        </w:rPr>
        <w:t xml:space="preserve"> </w:t>
      </w:r>
      <w:proofErr w:type="spellStart"/>
      <w:r w:rsidRPr="00345D2A">
        <w:rPr>
          <w:rFonts w:ascii="Times New Roman" w:hAnsi="Times New Roman" w:cs="Times New Roman"/>
          <w:lang w:val="es-CL"/>
        </w:rPr>
        <w:t>Automatic</w:t>
      </w:r>
      <w:proofErr w:type="spellEnd"/>
      <w:r w:rsidRPr="00345D2A">
        <w:rPr>
          <w:rFonts w:ascii="Times New Roman" w:hAnsi="Times New Roman" w:cs="Times New Roman"/>
          <w:lang w:val="es-CL"/>
        </w:rPr>
        <w:t xml:space="preserve"> </w:t>
      </w:r>
      <w:proofErr w:type="spellStart"/>
      <w:r w:rsidRPr="00345D2A">
        <w:rPr>
          <w:rFonts w:ascii="Times New Roman" w:hAnsi="Times New Roman" w:cs="Times New Roman"/>
          <w:lang w:val="es-CL"/>
        </w:rPr>
        <w:t>Interaction</w:t>
      </w:r>
      <w:proofErr w:type="spellEnd"/>
      <w:r w:rsidRPr="00345D2A">
        <w:rPr>
          <w:rFonts w:ascii="Times New Roman" w:hAnsi="Times New Roman" w:cs="Times New Roman"/>
          <w:lang w:val="es-CL"/>
        </w:rPr>
        <w:t xml:space="preserve"> </w:t>
      </w:r>
      <w:proofErr w:type="spellStart"/>
      <w:r w:rsidRPr="00345D2A">
        <w:rPr>
          <w:rFonts w:ascii="Times New Roman" w:hAnsi="Times New Roman" w:cs="Times New Roman"/>
          <w:lang w:val="es-CL"/>
        </w:rPr>
        <w:t>Detection</w:t>
      </w:r>
      <w:proofErr w:type="spellEnd"/>
      <w:r w:rsidRPr="00345D2A">
        <w:rPr>
          <w:rFonts w:ascii="Times New Roman" w:hAnsi="Times New Roman" w:cs="Times New Roman"/>
          <w:lang w:val="es-CL"/>
        </w:rPr>
        <w:t xml:space="preserve"> (CHAID). El modelo fue estimado sobre la base de secuencias con información completa para el conjunto de variables incorporadas, selección que configuró una muestra final de 1.451 casos.</w:t>
      </w:r>
    </w:p>
    <w:p w14:paraId="26E2243B" w14:textId="4C94B862" w:rsidR="0002758C" w:rsidRDefault="0002758C" w:rsidP="00007543">
      <w:pPr>
        <w:spacing w:line="240" w:lineRule="auto"/>
        <w:jc w:val="both"/>
        <w:rPr>
          <w:rFonts w:ascii="Times New Roman" w:hAnsi="Times New Roman" w:cs="Times New Roman"/>
          <w:lang w:val="es-CL"/>
        </w:rPr>
      </w:pPr>
      <w:r w:rsidRPr="00345D2A">
        <w:rPr>
          <w:rFonts w:ascii="Arial" w:eastAsia="Arial" w:hAnsi="Arial" w:cs="Arial"/>
          <w:b/>
          <w:bCs/>
          <w:color w:val="000000"/>
        </w:rPr>
        <w:t xml:space="preserve">Tabla 1: </w:t>
      </w:r>
      <w:r w:rsidRPr="0002758C">
        <w:rPr>
          <w:rFonts w:ascii="Arial" w:eastAsia="Arial" w:hAnsi="Arial" w:cs="Arial"/>
          <w:color w:val="000000"/>
        </w:rPr>
        <w:t>Variables del modelo de Árbol de clasificación</w:t>
      </w:r>
    </w:p>
    <w:tbl>
      <w:tblPr>
        <w:tblStyle w:val="Tablanormal2"/>
        <w:tblW w:w="10068" w:type="dxa"/>
        <w:tblInd w:w="-284" w:type="dxa"/>
        <w:tblLayout w:type="fixed"/>
        <w:tblLook w:val="0400" w:firstRow="0" w:lastRow="0" w:firstColumn="0" w:lastColumn="0" w:noHBand="0" w:noVBand="1"/>
      </w:tblPr>
      <w:tblGrid>
        <w:gridCol w:w="1985"/>
        <w:gridCol w:w="4252"/>
        <w:gridCol w:w="3831"/>
      </w:tblGrid>
      <w:tr w:rsidR="00345D2A" w:rsidRPr="00512FDA" w14:paraId="3A927FAB" w14:textId="77777777" w:rsidTr="0002758C">
        <w:trPr>
          <w:cnfStyle w:val="000000100000" w:firstRow="0" w:lastRow="0" w:firstColumn="0" w:lastColumn="0" w:oddVBand="0" w:evenVBand="0" w:oddHBand="1" w:evenHBand="0" w:firstRowFirstColumn="0" w:firstRowLastColumn="0" w:lastRowFirstColumn="0" w:lastRowLastColumn="0"/>
        </w:trPr>
        <w:tc>
          <w:tcPr>
            <w:tcW w:w="1985" w:type="dxa"/>
            <w:tcBorders>
              <w:bottom w:val="nil"/>
            </w:tcBorders>
          </w:tcPr>
          <w:p w14:paraId="084AD5B9"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w:t>
            </w:r>
          </w:p>
        </w:tc>
        <w:tc>
          <w:tcPr>
            <w:tcW w:w="4252" w:type="dxa"/>
            <w:tcBorders>
              <w:bottom w:val="nil"/>
            </w:tcBorders>
          </w:tcPr>
          <w:p w14:paraId="39F5DA7F"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Operacionalización</w:t>
            </w:r>
          </w:p>
        </w:tc>
        <w:tc>
          <w:tcPr>
            <w:tcW w:w="3831" w:type="dxa"/>
            <w:tcBorders>
              <w:bottom w:val="nil"/>
            </w:tcBorders>
          </w:tcPr>
          <w:p w14:paraId="27CC0E22"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Rol de la variable</w:t>
            </w:r>
          </w:p>
          <w:p w14:paraId="5A46F994"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Significancia y Posición jerárquica</w:t>
            </w:r>
          </w:p>
          <w:p w14:paraId="6FE18AB0"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[Simetrías]</w:t>
            </w:r>
          </w:p>
        </w:tc>
      </w:tr>
      <w:tr w:rsidR="00345D2A" w:rsidRPr="00512FDA" w14:paraId="6EAC7766" w14:textId="77777777" w:rsidTr="0002758C">
        <w:tc>
          <w:tcPr>
            <w:tcW w:w="1985" w:type="dxa"/>
            <w:tcBorders>
              <w:top w:val="nil"/>
              <w:bottom w:val="nil"/>
            </w:tcBorders>
          </w:tcPr>
          <w:p w14:paraId="2138952B"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ICE Matriculado</w:t>
            </w:r>
          </w:p>
          <w:p w14:paraId="12BF687E"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p>
        </w:tc>
        <w:tc>
          <w:tcPr>
            <w:tcW w:w="4252" w:type="dxa"/>
            <w:tcBorders>
              <w:top w:val="nil"/>
              <w:bottom w:val="nil"/>
            </w:tcBorders>
          </w:tcPr>
          <w:p w14:paraId="54186364"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Estudiante informado por el MINEDUC como cupo especial (ICE) matriculado en pedagogía. Variable dependiente dicotomizada según modalidad de matrícula: vía regular o vía cupo especial.</w:t>
            </w:r>
          </w:p>
        </w:tc>
        <w:tc>
          <w:tcPr>
            <w:tcW w:w="3831" w:type="dxa"/>
            <w:tcBorders>
              <w:top w:val="nil"/>
              <w:bottom w:val="nil"/>
            </w:tcBorders>
          </w:tcPr>
          <w:p w14:paraId="46A9E751"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dependiente</w:t>
            </w:r>
          </w:p>
          <w:p w14:paraId="7F1BEF28"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[Vía regular=72,2%</w:t>
            </w:r>
          </w:p>
          <w:p w14:paraId="6DB2BE79"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Vía Cupo; Especial=27,8%]</w:t>
            </w:r>
          </w:p>
          <w:p w14:paraId="7D422C5A"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n=1451</w:t>
            </w:r>
          </w:p>
        </w:tc>
      </w:tr>
      <w:tr w:rsidR="00345D2A" w:rsidRPr="00512FDA" w14:paraId="65CBCDE4" w14:textId="77777777" w:rsidTr="0002758C">
        <w:trPr>
          <w:cnfStyle w:val="000000100000" w:firstRow="0" w:lastRow="0" w:firstColumn="0" w:lastColumn="0" w:oddVBand="0" w:evenVBand="0" w:oddHBand="1" w:evenHBand="0" w:firstRowFirstColumn="0" w:firstRowLastColumn="0" w:lastRowFirstColumn="0" w:lastRowLastColumn="0"/>
        </w:trPr>
        <w:tc>
          <w:tcPr>
            <w:tcW w:w="1985" w:type="dxa"/>
            <w:tcBorders>
              <w:top w:val="nil"/>
              <w:bottom w:val="nil"/>
            </w:tcBorders>
          </w:tcPr>
          <w:p w14:paraId="696D63E3"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Quintil</w:t>
            </w:r>
          </w:p>
        </w:tc>
        <w:tc>
          <w:tcPr>
            <w:tcW w:w="4252" w:type="dxa"/>
            <w:tcBorders>
              <w:top w:val="nil"/>
              <w:bottom w:val="nil"/>
            </w:tcBorders>
          </w:tcPr>
          <w:p w14:paraId="249DE198"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Quintil de ingresos per cápita familiar</w:t>
            </w:r>
          </w:p>
        </w:tc>
        <w:tc>
          <w:tcPr>
            <w:tcW w:w="3831" w:type="dxa"/>
            <w:tcBorders>
              <w:top w:val="nil"/>
              <w:bottom w:val="nil"/>
            </w:tcBorders>
          </w:tcPr>
          <w:p w14:paraId="57E44DCC"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6C89732F"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No significativa</w:t>
            </w:r>
          </w:p>
          <w:p w14:paraId="7014B760"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[Q1-Q2=52,8%; Q3-Q4=29,7%; Q5=17,5%]</w:t>
            </w:r>
          </w:p>
        </w:tc>
      </w:tr>
      <w:tr w:rsidR="00345D2A" w:rsidRPr="00512FDA" w14:paraId="007419BF" w14:textId="77777777" w:rsidTr="0002758C">
        <w:tc>
          <w:tcPr>
            <w:tcW w:w="1985" w:type="dxa"/>
            <w:tcBorders>
              <w:top w:val="nil"/>
              <w:bottom w:val="nil"/>
            </w:tcBorders>
          </w:tcPr>
          <w:p w14:paraId="56A692F2"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Primera Generación</w:t>
            </w:r>
          </w:p>
        </w:tc>
        <w:tc>
          <w:tcPr>
            <w:tcW w:w="4252" w:type="dxa"/>
            <w:tcBorders>
              <w:top w:val="nil"/>
              <w:bottom w:val="nil"/>
            </w:tcBorders>
          </w:tcPr>
          <w:p w14:paraId="4F603610"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Postulante que, dentro de su grupo familiar, es el primero en asistir a la educación superior</w:t>
            </w:r>
          </w:p>
        </w:tc>
        <w:tc>
          <w:tcPr>
            <w:tcW w:w="3831" w:type="dxa"/>
            <w:tcBorders>
              <w:top w:val="nil"/>
              <w:bottom w:val="nil"/>
            </w:tcBorders>
          </w:tcPr>
          <w:p w14:paraId="3906F016"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5A354186"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No significativa</w:t>
            </w:r>
          </w:p>
          <w:p w14:paraId="481FA119"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[Sí=52,4%; No=47,6%]</w:t>
            </w:r>
          </w:p>
        </w:tc>
      </w:tr>
      <w:tr w:rsidR="00345D2A" w:rsidRPr="00512FDA" w14:paraId="34AB83CF" w14:textId="77777777" w:rsidTr="0002758C">
        <w:trPr>
          <w:cnfStyle w:val="000000100000" w:firstRow="0" w:lastRow="0" w:firstColumn="0" w:lastColumn="0" w:oddVBand="0" w:evenVBand="0" w:oddHBand="1" w:evenHBand="0" w:firstRowFirstColumn="0" w:firstRowLastColumn="0" w:lastRowFirstColumn="0" w:lastRowLastColumn="0"/>
        </w:trPr>
        <w:tc>
          <w:tcPr>
            <w:tcW w:w="1985" w:type="dxa"/>
            <w:tcBorders>
              <w:top w:val="nil"/>
              <w:bottom w:val="nil"/>
            </w:tcBorders>
          </w:tcPr>
          <w:p w14:paraId="010C69D1"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Preferencia</w:t>
            </w:r>
          </w:p>
        </w:tc>
        <w:tc>
          <w:tcPr>
            <w:tcW w:w="4252" w:type="dxa"/>
            <w:tcBorders>
              <w:top w:val="nil"/>
              <w:bottom w:val="nil"/>
            </w:tcBorders>
          </w:tcPr>
          <w:p w14:paraId="54441798"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Lugar de preferencia en que postula a pedagogía, segmentada en cuatro niveles</w:t>
            </w:r>
          </w:p>
        </w:tc>
        <w:tc>
          <w:tcPr>
            <w:tcW w:w="3831" w:type="dxa"/>
            <w:tcBorders>
              <w:top w:val="nil"/>
              <w:bottom w:val="nil"/>
            </w:tcBorders>
          </w:tcPr>
          <w:p w14:paraId="534A0F0D"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5B30355F"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No significativa</w:t>
            </w:r>
          </w:p>
          <w:p w14:paraId="637C5A92"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lastRenderedPageBreak/>
              <w:t>1era= 55,4%; 2da=12,0%; 3era=10,1%; 4ta=22,5%</w:t>
            </w:r>
          </w:p>
        </w:tc>
      </w:tr>
      <w:tr w:rsidR="00345D2A" w:rsidRPr="00512FDA" w14:paraId="14BA297C" w14:textId="77777777" w:rsidTr="0002758C">
        <w:tc>
          <w:tcPr>
            <w:tcW w:w="1985" w:type="dxa"/>
            <w:tcBorders>
              <w:top w:val="nil"/>
              <w:bottom w:val="nil"/>
            </w:tcBorders>
          </w:tcPr>
          <w:p w14:paraId="32EC5DD6"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lastRenderedPageBreak/>
              <w:t>P. Matemáticas</w:t>
            </w:r>
          </w:p>
        </w:tc>
        <w:tc>
          <w:tcPr>
            <w:tcW w:w="4252" w:type="dxa"/>
            <w:tcBorders>
              <w:top w:val="nil"/>
              <w:bottom w:val="nil"/>
            </w:tcBorders>
          </w:tcPr>
          <w:p w14:paraId="30D8B914"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Puntaje en prueba de admisión universitaria de matemáticas categorizado en cuatro niveles.</w:t>
            </w:r>
          </w:p>
        </w:tc>
        <w:tc>
          <w:tcPr>
            <w:tcW w:w="3831" w:type="dxa"/>
            <w:tcBorders>
              <w:top w:val="nil"/>
              <w:bottom w:val="nil"/>
            </w:tcBorders>
          </w:tcPr>
          <w:p w14:paraId="0541020C"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29F8284E"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Significativa de segundo nivel</w:t>
            </w:r>
          </w:p>
          <w:p w14:paraId="302EF6AD"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[&lt;500=27,4%; 500-575=31,3%; 575-650=25,9%; &gt;650=15,5%]</w:t>
            </w:r>
          </w:p>
        </w:tc>
      </w:tr>
      <w:tr w:rsidR="00345D2A" w:rsidRPr="00512FDA" w14:paraId="04728731" w14:textId="77777777" w:rsidTr="0002758C">
        <w:trPr>
          <w:cnfStyle w:val="000000100000" w:firstRow="0" w:lastRow="0" w:firstColumn="0" w:lastColumn="0" w:oddVBand="0" w:evenVBand="0" w:oddHBand="1" w:evenHBand="0" w:firstRowFirstColumn="0" w:firstRowLastColumn="0" w:lastRowFirstColumn="0" w:lastRowLastColumn="0"/>
        </w:trPr>
        <w:tc>
          <w:tcPr>
            <w:tcW w:w="1985" w:type="dxa"/>
            <w:tcBorders>
              <w:top w:val="nil"/>
              <w:bottom w:val="nil"/>
            </w:tcBorders>
          </w:tcPr>
          <w:p w14:paraId="44D63D55"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P. Lenguaje</w:t>
            </w:r>
          </w:p>
        </w:tc>
        <w:tc>
          <w:tcPr>
            <w:tcW w:w="4252" w:type="dxa"/>
            <w:tcBorders>
              <w:top w:val="nil"/>
              <w:bottom w:val="nil"/>
            </w:tcBorders>
          </w:tcPr>
          <w:p w14:paraId="69FBC410"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 xml:space="preserve">Puntaje en prueba de admisión universitaria de lenguaje </w:t>
            </w:r>
            <w:proofErr w:type="spellStart"/>
            <w:r w:rsidRPr="00512FDA">
              <w:rPr>
                <w:rFonts w:ascii="Arial" w:eastAsia="Arial" w:hAnsi="Arial" w:cs="Arial"/>
                <w:color w:val="000000"/>
                <w:sz w:val="24"/>
                <w:szCs w:val="24"/>
              </w:rPr>
              <w:t>ordinalizado</w:t>
            </w:r>
            <w:proofErr w:type="spellEnd"/>
            <w:r w:rsidRPr="00512FDA">
              <w:rPr>
                <w:rFonts w:ascii="Arial" w:eastAsia="Arial" w:hAnsi="Arial" w:cs="Arial"/>
                <w:color w:val="000000"/>
                <w:sz w:val="24"/>
                <w:szCs w:val="24"/>
              </w:rPr>
              <w:t xml:space="preserve"> en cuatro niveles.</w:t>
            </w:r>
          </w:p>
        </w:tc>
        <w:tc>
          <w:tcPr>
            <w:tcW w:w="3831" w:type="dxa"/>
            <w:tcBorders>
              <w:top w:val="nil"/>
              <w:bottom w:val="nil"/>
            </w:tcBorders>
          </w:tcPr>
          <w:p w14:paraId="7A9D8003"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0744EA01"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Significativa de primer nivel</w:t>
            </w:r>
          </w:p>
          <w:p w14:paraId="79D1E607"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[&lt;500=24,9%; 500-575=32,9%; 575-650=25,5%; &gt;650=16,6%]</w:t>
            </w:r>
          </w:p>
        </w:tc>
      </w:tr>
      <w:tr w:rsidR="00345D2A" w:rsidRPr="00512FDA" w14:paraId="669EF265" w14:textId="77777777" w:rsidTr="0002758C">
        <w:tc>
          <w:tcPr>
            <w:tcW w:w="1985" w:type="dxa"/>
            <w:tcBorders>
              <w:top w:val="nil"/>
              <w:bottom w:val="nil"/>
            </w:tcBorders>
          </w:tcPr>
          <w:p w14:paraId="38B924F7"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NEM</w:t>
            </w:r>
          </w:p>
        </w:tc>
        <w:tc>
          <w:tcPr>
            <w:tcW w:w="4252" w:type="dxa"/>
            <w:tcBorders>
              <w:top w:val="nil"/>
              <w:bottom w:val="nil"/>
            </w:tcBorders>
          </w:tcPr>
          <w:p w14:paraId="31CBDA1E" w14:textId="77777777" w:rsidR="00345D2A" w:rsidRPr="00512FDA" w:rsidRDefault="00345D2A" w:rsidP="0097175C">
            <w:pPr>
              <w:pBdr>
                <w:top w:val="nil"/>
                <w:left w:val="nil"/>
                <w:bottom w:val="nil"/>
                <w:right w:val="nil"/>
                <w:between w:val="nil"/>
              </w:pBdr>
              <w:jc w:val="center"/>
              <w:rPr>
                <w:rFonts w:ascii="Arial" w:eastAsia="Arial" w:hAnsi="Arial" w:cs="Arial"/>
                <w:b/>
                <w:color w:val="000000"/>
                <w:sz w:val="24"/>
                <w:szCs w:val="24"/>
              </w:rPr>
            </w:pPr>
            <w:r w:rsidRPr="00512FDA">
              <w:rPr>
                <w:rFonts w:ascii="Arial" w:eastAsia="Arial" w:hAnsi="Arial" w:cs="Arial"/>
                <w:color w:val="000000"/>
                <w:sz w:val="24"/>
                <w:szCs w:val="24"/>
              </w:rPr>
              <w:t>Notas de enseñanza media convertido en puntaje categorizado en cuatro niveles</w:t>
            </w:r>
          </w:p>
        </w:tc>
        <w:tc>
          <w:tcPr>
            <w:tcW w:w="3831" w:type="dxa"/>
            <w:tcBorders>
              <w:top w:val="nil"/>
              <w:bottom w:val="nil"/>
            </w:tcBorders>
          </w:tcPr>
          <w:p w14:paraId="747B8830"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42248ABB"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Significativa de tercer nivel</w:t>
            </w:r>
          </w:p>
          <w:p w14:paraId="0EEAF3FD"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[&lt;500=17,8%; 500-575=23,2%; 575-650=24,8%; &gt;650=34,2%]</w:t>
            </w:r>
          </w:p>
        </w:tc>
      </w:tr>
      <w:tr w:rsidR="00345D2A" w:rsidRPr="00512FDA" w14:paraId="3E7F22CC" w14:textId="77777777" w:rsidTr="0002758C">
        <w:trPr>
          <w:cnfStyle w:val="000000100000" w:firstRow="0" w:lastRow="0" w:firstColumn="0" w:lastColumn="0" w:oddVBand="0" w:evenVBand="0" w:oddHBand="1" w:evenHBand="0" w:firstRowFirstColumn="0" w:firstRowLastColumn="0" w:lastRowFirstColumn="0" w:lastRowLastColumn="0"/>
        </w:trPr>
        <w:tc>
          <w:tcPr>
            <w:tcW w:w="1985" w:type="dxa"/>
            <w:tcBorders>
              <w:top w:val="nil"/>
              <w:bottom w:val="single" w:sz="4" w:space="0" w:color="auto"/>
            </w:tcBorders>
          </w:tcPr>
          <w:p w14:paraId="7AC60373"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Ranking</w:t>
            </w:r>
          </w:p>
        </w:tc>
        <w:tc>
          <w:tcPr>
            <w:tcW w:w="4252" w:type="dxa"/>
            <w:tcBorders>
              <w:top w:val="nil"/>
              <w:bottom w:val="single" w:sz="4" w:space="0" w:color="auto"/>
            </w:tcBorders>
          </w:tcPr>
          <w:p w14:paraId="197F4F29"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 xml:space="preserve">Variable que expresa la posición relativa que ocupa el estudiante en su contexto educativo </w:t>
            </w:r>
            <w:proofErr w:type="spellStart"/>
            <w:r w:rsidRPr="00512FDA">
              <w:rPr>
                <w:rFonts w:ascii="Arial" w:eastAsia="Arial" w:hAnsi="Arial" w:cs="Arial"/>
                <w:color w:val="000000"/>
                <w:sz w:val="24"/>
                <w:szCs w:val="24"/>
              </w:rPr>
              <w:t>ordinalizado</w:t>
            </w:r>
            <w:proofErr w:type="spellEnd"/>
            <w:r w:rsidRPr="00512FDA">
              <w:rPr>
                <w:rFonts w:ascii="Arial" w:eastAsia="Arial" w:hAnsi="Arial" w:cs="Arial"/>
                <w:color w:val="000000"/>
                <w:sz w:val="24"/>
                <w:szCs w:val="24"/>
              </w:rPr>
              <w:t xml:space="preserve"> en cuatro niveles</w:t>
            </w:r>
          </w:p>
        </w:tc>
        <w:tc>
          <w:tcPr>
            <w:tcW w:w="3831" w:type="dxa"/>
            <w:tcBorders>
              <w:top w:val="nil"/>
              <w:bottom w:val="single" w:sz="4" w:space="0" w:color="auto"/>
            </w:tcBorders>
          </w:tcPr>
          <w:p w14:paraId="440C9F73"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Variable independiente</w:t>
            </w:r>
          </w:p>
          <w:p w14:paraId="334DEA86"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No Significativa</w:t>
            </w:r>
          </w:p>
          <w:p w14:paraId="4F2AF829" w14:textId="77777777" w:rsidR="00345D2A" w:rsidRPr="00512FDA" w:rsidRDefault="00345D2A" w:rsidP="0097175C">
            <w:pPr>
              <w:pBdr>
                <w:top w:val="nil"/>
                <w:left w:val="nil"/>
                <w:bottom w:val="nil"/>
                <w:right w:val="nil"/>
                <w:between w:val="nil"/>
              </w:pBdr>
              <w:jc w:val="center"/>
              <w:rPr>
                <w:rFonts w:ascii="Arial" w:eastAsia="Arial" w:hAnsi="Arial" w:cs="Arial"/>
                <w:color w:val="000000"/>
                <w:sz w:val="24"/>
                <w:szCs w:val="24"/>
              </w:rPr>
            </w:pPr>
            <w:r w:rsidRPr="00512FDA">
              <w:rPr>
                <w:rFonts w:ascii="Arial" w:eastAsia="Arial" w:hAnsi="Arial" w:cs="Arial"/>
                <w:color w:val="000000"/>
                <w:sz w:val="24"/>
                <w:szCs w:val="24"/>
              </w:rPr>
              <w:t>[&lt;500=17,2%; 500-575=20,6%; 575-650=20,2%; &gt;650=42,0%]</w:t>
            </w:r>
          </w:p>
        </w:tc>
      </w:tr>
    </w:tbl>
    <w:p w14:paraId="0AFC237D" w14:textId="2E5BF8E4" w:rsidR="00345D2A" w:rsidRDefault="0002758C" w:rsidP="00345D2A">
      <w:pPr>
        <w:spacing w:line="240" w:lineRule="auto"/>
        <w:rPr>
          <w:rFonts w:ascii="Times New Roman" w:hAnsi="Times New Roman" w:cs="Times New Roman"/>
          <w:lang w:val="es-CL"/>
        </w:rPr>
      </w:pPr>
      <w:r>
        <w:rPr>
          <w:rFonts w:ascii="Times New Roman" w:hAnsi="Times New Roman" w:cs="Times New Roman"/>
          <w:lang w:val="es-CL"/>
        </w:rPr>
        <w:t>Fuente: Elaboración propia.</w:t>
      </w:r>
    </w:p>
    <w:p w14:paraId="5DF4DB71"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Las variables utilizadas como eventuales predictoras fueron seleccionadas en razón de la relevancia que la teoría y la investigación empírica asigna para la toma de decisiones educativas. Tanto las variables criterio y la predicha fueron testeadas a fin de contrastar aceptables criterios de asimetría, resguardando para las variables categóricas el cumplimiento de la regla 90/10. Asimismo, a fin de evitar el sobreajuste en la construcción del modelo, se predefinieron 3 niveles jerárquicos con podas en los nodos cuando estos no superen los 150 casos, para el nodo padre y 80 para el nodo hijo.</w:t>
      </w:r>
    </w:p>
    <w:p w14:paraId="1593635B"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Aplicados estos criterios, el árbol se estructuró con 3 predictores de un total de 8 iniciales, conformando por 12 nodos, 7 de ellos terminales. El nodo más pequeño agrupa el 6,0% de los casos. El modelo resultante logra clasificar correctamente al 88,2% de los casos, con una sensibilidad del 72,5% de los cupos especiales, indicadores que dan cuenta de una adecuada capacidad predictiva.</w:t>
      </w:r>
    </w:p>
    <w:p w14:paraId="525763B6" w14:textId="7E23D74B" w:rsidR="00345D2A" w:rsidRPr="00345D2A" w:rsidRDefault="0002758C"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Resultados</w:t>
      </w:r>
    </w:p>
    <w:p w14:paraId="239AE656" w14:textId="7D992C28"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El sistema informa a un total de 47.932 estudiantes como cupo especial (Figura 1), lo que representa al 22,5% de los inscritos egresados de la enseñanza media el año 2019 y en su gran mayoría (77,8%) son consignados como parte del Programa de Acompañamiento y Acceso Efectivo a la Educación Superior (PACE). De este contingente, solo 1 de cada 4 (25,0%) logra matricularse en algún programa de la oferta programática disponible para el proceso de admisión 2020 y un escaso 20,7% (2.483 postulantes) lo hace utilizando este cupo especial. Por su parte, del total de matriculados que inicialmente fueron informados como cupo especial, 1.455 estudiantes (12,2%) optan por alguna carrera de pedagogía, 27,9% de los cuales se matriculan haciendo uso efectivo de la condición de cupo especial (406 estudiantes).</w:t>
      </w:r>
    </w:p>
    <w:p w14:paraId="4A9C835F" w14:textId="2EE03BDC" w:rsidR="00345D2A" w:rsidRDefault="00345D2A" w:rsidP="00007543">
      <w:pPr>
        <w:spacing w:line="240" w:lineRule="auto"/>
        <w:jc w:val="both"/>
        <w:rPr>
          <w:rFonts w:ascii="Times New Roman" w:hAnsi="Times New Roman" w:cs="Times New Roman"/>
          <w:lang w:val="es-CL"/>
        </w:rPr>
      </w:pPr>
      <w:r w:rsidRPr="00512FDA">
        <w:rPr>
          <w:rFonts w:ascii="Arial" w:eastAsia="Arial" w:hAnsi="Arial" w:cs="Arial"/>
          <w:noProof/>
          <w:lang w:val="es-VE"/>
        </w:rPr>
        <w:lastRenderedPageBreak/>
        <w:drawing>
          <wp:inline distT="0" distB="0" distL="0" distR="0" wp14:anchorId="6B653AB0" wp14:editId="258974FD">
            <wp:extent cx="5038725" cy="2476500"/>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038725" cy="2476500"/>
                    </a:xfrm>
                    <a:prstGeom prst="rect">
                      <a:avLst/>
                    </a:prstGeom>
                    <a:ln/>
                  </pic:spPr>
                </pic:pic>
              </a:graphicData>
            </a:graphic>
          </wp:inline>
        </w:drawing>
      </w:r>
    </w:p>
    <w:p w14:paraId="3DFCCCED" w14:textId="77777777" w:rsidR="00345D2A" w:rsidRPr="0002758C" w:rsidRDefault="00345D2A" w:rsidP="00007543">
      <w:pPr>
        <w:spacing w:line="240" w:lineRule="auto"/>
        <w:jc w:val="both"/>
        <w:rPr>
          <w:rFonts w:ascii="Times New Roman" w:hAnsi="Times New Roman" w:cs="Times New Roman"/>
          <w:sz w:val="22"/>
          <w:szCs w:val="22"/>
          <w:lang w:val="es-CL"/>
        </w:rPr>
      </w:pPr>
      <w:r w:rsidRPr="0002758C">
        <w:rPr>
          <w:rFonts w:ascii="Times New Roman" w:hAnsi="Times New Roman" w:cs="Times New Roman"/>
          <w:sz w:val="22"/>
          <w:szCs w:val="22"/>
          <w:lang w:val="es-CL"/>
        </w:rPr>
        <w:t>Gráfico 1: Diagrama de flujo del Informado Cupo Especial (ICE).</w:t>
      </w:r>
    </w:p>
    <w:p w14:paraId="4DD81197" w14:textId="264E821B" w:rsidR="00345D2A" w:rsidRPr="0002758C" w:rsidRDefault="00345D2A" w:rsidP="00007543">
      <w:pPr>
        <w:spacing w:line="240" w:lineRule="auto"/>
        <w:jc w:val="both"/>
        <w:rPr>
          <w:rFonts w:ascii="Times New Roman" w:hAnsi="Times New Roman" w:cs="Times New Roman"/>
          <w:sz w:val="22"/>
          <w:szCs w:val="22"/>
          <w:lang w:val="es-CL"/>
        </w:rPr>
      </w:pPr>
      <w:r w:rsidRPr="0002758C">
        <w:rPr>
          <w:rFonts w:ascii="Times New Roman" w:hAnsi="Times New Roman" w:cs="Times New Roman"/>
          <w:sz w:val="22"/>
          <w:szCs w:val="22"/>
          <w:lang w:val="es-CL"/>
        </w:rPr>
        <w:t>Nota: Informados Programa de Acompañamiento y Acceso Efectivo a la Educación Superior (PACE) e Informados Beca Excelencia Académica (BEA) no son mutuamente excluyentes por lo que sus proporciones no suman 100; ICE= Informados Cupo Especial. Fuente: Elaboración propia con datos DEMRE 2020.</w:t>
      </w:r>
    </w:p>
    <w:p w14:paraId="0D474365" w14:textId="7FE779AA"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Al analizar el perfil del matriculado en pedagogía sobre la base de la distribución de atributos socioeconómicos y educativos de cada conglomerado definido por su vía de ingreso (Cuadro 3), se observa una mayor prevalencia de estas características cuando este ingresa vía especial. En efecto, si bien el área de la educación presenta una histórica preferencia por parte del segmento femenino, la proporción de mujeres se intensifica significativamente cuando se ingresa vía especial (83,5%). Igual tendencia se registra al momento de analizar la distribución que otros parámetros distintivos tienen dentro del segmento matriculado por cupo especial, tal como sucede con la pertenencia a los primeros quintiles de ingreso (86,2%), ser primera generación en ingresar a la educación superior (91,4%) y provenir de la educación municipal (94,6%).</w:t>
      </w:r>
    </w:p>
    <w:tbl>
      <w:tblPr>
        <w:tblStyle w:val="Tablanormal2"/>
        <w:tblW w:w="9128" w:type="dxa"/>
        <w:tblLayout w:type="fixed"/>
        <w:tblLook w:val="0400" w:firstRow="0" w:lastRow="0" w:firstColumn="0" w:lastColumn="0" w:noHBand="0" w:noVBand="1"/>
      </w:tblPr>
      <w:tblGrid>
        <w:gridCol w:w="2122"/>
        <w:gridCol w:w="852"/>
        <w:gridCol w:w="850"/>
        <w:gridCol w:w="754"/>
        <w:gridCol w:w="801"/>
        <w:gridCol w:w="1847"/>
        <w:gridCol w:w="1902"/>
      </w:tblGrid>
      <w:tr w:rsidR="00345D2A" w:rsidRPr="00512FDA" w14:paraId="762662A3" w14:textId="77777777" w:rsidTr="0097175C">
        <w:trPr>
          <w:cnfStyle w:val="000000100000" w:firstRow="0" w:lastRow="0" w:firstColumn="0" w:lastColumn="0" w:oddVBand="0" w:evenVBand="0" w:oddHBand="1" w:evenHBand="0" w:firstRowFirstColumn="0" w:firstRowLastColumn="0" w:lastRowFirstColumn="0" w:lastRowLastColumn="0"/>
          <w:trHeight w:val="230"/>
        </w:trPr>
        <w:tc>
          <w:tcPr>
            <w:tcW w:w="2122" w:type="dxa"/>
          </w:tcPr>
          <w:p w14:paraId="7D57E6F0" w14:textId="77777777" w:rsidR="00345D2A" w:rsidRPr="00345D2A" w:rsidRDefault="00345D2A" w:rsidP="0002758C">
            <w:pPr>
              <w:rPr>
                <w:rFonts w:ascii="Times New Roman" w:eastAsiaTheme="minorHAnsi" w:hAnsi="Times New Roman" w:cs="Times New Roman"/>
                <w:sz w:val="24"/>
                <w:szCs w:val="24"/>
                <w:lang w:val="es-CL"/>
              </w:rPr>
            </w:pPr>
          </w:p>
        </w:tc>
        <w:tc>
          <w:tcPr>
            <w:tcW w:w="5104" w:type="dxa"/>
            <w:gridSpan w:val="5"/>
          </w:tcPr>
          <w:p w14:paraId="30438BF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ICE</w:t>
            </w:r>
          </w:p>
        </w:tc>
        <w:tc>
          <w:tcPr>
            <w:tcW w:w="1902" w:type="dxa"/>
          </w:tcPr>
          <w:p w14:paraId="2A5E13B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IR</w:t>
            </w:r>
          </w:p>
        </w:tc>
      </w:tr>
      <w:tr w:rsidR="00345D2A" w:rsidRPr="00512FDA" w14:paraId="6C3723A7" w14:textId="77777777" w:rsidTr="0097175C">
        <w:trPr>
          <w:trHeight w:val="230"/>
        </w:trPr>
        <w:tc>
          <w:tcPr>
            <w:tcW w:w="2122" w:type="dxa"/>
            <w:tcBorders>
              <w:bottom w:val="single" w:sz="4" w:space="0" w:color="7F7F7F" w:themeColor="text1" w:themeTint="80"/>
            </w:tcBorders>
          </w:tcPr>
          <w:p w14:paraId="39A2F24A" w14:textId="77777777" w:rsidR="00345D2A" w:rsidRPr="00345D2A" w:rsidRDefault="00345D2A" w:rsidP="0002758C">
            <w:pPr>
              <w:rPr>
                <w:rFonts w:ascii="Times New Roman" w:eastAsiaTheme="minorHAnsi" w:hAnsi="Times New Roman" w:cs="Times New Roman"/>
                <w:sz w:val="24"/>
                <w:szCs w:val="24"/>
                <w:lang w:val="es-CL"/>
              </w:rPr>
            </w:pPr>
          </w:p>
        </w:tc>
        <w:tc>
          <w:tcPr>
            <w:tcW w:w="1702" w:type="dxa"/>
            <w:gridSpan w:val="2"/>
            <w:tcBorders>
              <w:bottom w:val="single" w:sz="4" w:space="0" w:color="7F7F7F" w:themeColor="text1" w:themeTint="80"/>
            </w:tcBorders>
          </w:tcPr>
          <w:p w14:paraId="3B35CA1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Vía especial</w:t>
            </w:r>
          </w:p>
          <w:p w14:paraId="1996999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(n=406)</w:t>
            </w:r>
          </w:p>
        </w:tc>
        <w:tc>
          <w:tcPr>
            <w:tcW w:w="1555" w:type="dxa"/>
            <w:gridSpan w:val="2"/>
            <w:tcBorders>
              <w:bottom w:val="single" w:sz="4" w:space="0" w:color="7F7F7F" w:themeColor="text1" w:themeTint="80"/>
            </w:tcBorders>
          </w:tcPr>
          <w:p w14:paraId="418F096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Vía regular</w:t>
            </w:r>
          </w:p>
          <w:p w14:paraId="27687C3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(n=1049)</w:t>
            </w:r>
          </w:p>
        </w:tc>
        <w:tc>
          <w:tcPr>
            <w:tcW w:w="1847" w:type="dxa"/>
            <w:vMerge w:val="restart"/>
            <w:tcBorders>
              <w:bottom w:val="single" w:sz="4" w:space="0" w:color="7F7F7F" w:themeColor="text1" w:themeTint="80"/>
            </w:tcBorders>
          </w:tcPr>
          <w:p w14:paraId="6E718AD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Chi2</w:t>
            </w:r>
          </w:p>
          <w:p w14:paraId="14E7490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[V/Phi de Cramer;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w:t>
            </w:r>
          </w:p>
        </w:tc>
        <w:tc>
          <w:tcPr>
            <w:tcW w:w="1902" w:type="dxa"/>
            <w:tcBorders>
              <w:bottom w:val="single" w:sz="4" w:space="0" w:color="7F7F7F" w:themeColor="text1" w:themeTint="80"/>
            </w:tcBorders>
          </w:tcPr>
          <w:p w14:paraId="07EA120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Vía regular</w:t>
            </w:r>
          </w:p>
          <w:p w14:paraId="39C240A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(n=3866)</w:t>
            </w:r>
          </w:p>
        </w:tc>
      </w:tr>
      <w:tr w:rsidR="00345D2A" w:rsidRPr="00512FDA" w14:paraId="0DDFE9E6" w14:textId="77777777" w:rsidTr="0097175C">
        <w:trPr>
          <w:cnfStyle w:val="000000100000" w:firstRow="0" w:lastRow="0" w:firstColumn="0" w:lastColumn="0" w:oddVBand="0" w:evenVBand="0" w:oddHBand="1" w:evenHBand="0" w:firstRowFirstColumn="0" w:firstRowLastColumn="0" w:lastRowFirstColumn="0" w:lastRowLastColumn="0"/>
          <w:trHeight w:val="230"/>
        </w:trPr>
        <w:tc>
          <w:tcPr>
            <w:tcW w:w="2122" w:type="dxa"/>
            <w:tcBorders>
              <w:bottom w:val="single" w:sz="4" w:space="0" w:color="auto"/>
            </w:tcBorders>
          </w:tcPr>
          <w:p w14:paraId="1A5FA778" w14:textId="77777777" w:rsidR="00345D2A" w:rsidRPr="00345D2A" w:rsidRDefault="00345D2A" w:rsidP="0002758C">
            <w:pPr>
              <w:rPr>
                <w:rFonts w:ascii="Times New Roman" w:eastAsiaTheme="minorHAnsi" w:hAnsi="Times New Roman" w:cs="Times New Roman"/>
                <w:sz w:val="24"/>
                <w:szCs w:val="24"/>
                <w:lang w:val="es-CL"/>
              </w:rPr>
            </w:pPr>
          </w:p>
        </w:tc>
        <w:tc>
          <w:tcPr>
            <w:tcW w:w="852" w:type="dxa"/>
            <w:tcBorders>
              <w:bottom w:val="single" w:sz="4" w:space="0" w:color="auto"/>
            </w:tcBorders>
          </w:tcPr>
          <w:p w14:paraId="62A86C5A" w14:textId="77777777" w:rsidR="00345D2A" w:rsidRPr="00345D2A" w:rsidRDefault="00345D2A" w:rsidP="0002758C">
            <w:pPr>
              <w:jc w:val="center"/>
              <w:rPr>
                <w:rFonts w:ascii="Times New Roman" w:eastAsiaTheme="minorHAnsi" w:hAnsi="Times New Roman" w:cs="Times New Roman"/>
                <w:sz w:val="24"/>
                <w:szCs w:val="24"/>
                <w:lang w:val="es-CL"/>
              </w:rPr>
            </w:pPr>
            <w:proofErr w:type="spellStart"/>
            <w:r w:rsidRPr="00345D2A">
              <w:rPr>
                <w:rFonts w:ascii="Times New Roman" w:eastAsiaTheme="minorHAnsi" w:hAnsi="Times New Roman" w:cs="Times New Roman"/>
                <w:sz w:val="24"/>
                <w:szCs w:val="24"/>
                <w:lang w:val="es-CL"/>
              </w:rPr>
              <w:t>pd</w:t>
            </w:r>
            <w:proofErr w:type="spellEnd"/>
          </w:p>
        </w:tc>
        <w:tc>
          <w:tcPr>
            <w:tcW w:w="850" w:type="dxa"/>
            <w:tcBorders>
              <w:bottom w:val="single" w:sz="4" w:space="0" w:color="auto"/>
            </w:tcBorders>
          </w:tcPr>
          <w:p w14:paraId="725196A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pc</w:t>
            </w:r>
          </w:p>
        </w:tc>
        <w:tc>
          <w:tcPr>
            <w:tcW w:w="754" w:type="dxa"/>
            <w:tcBorders>
              <w:bottom w:val="single" w:sz="4" w:space="0" w:color="auto"/>
            </w:tcBorders>
          </w:tcPr>
          <w:p w14:paraId="3F0D7C54" w14:textId="77777777" w:rsidR="00345D2A" w:rsidRPr="00345D2A" w:rsidRDefault="00345D2A" w:rsidP="0002758C">
            <w:pPr>
              <w:jc w:val="center"/>
              <w:rPr>
                <w:rFonts w:ascii="Times New Roman" w:eastAsiaTheme="minorHAnsi" w:hAnsi="Times New Roman" w:cs="Times New Roman"/>
                <w:sz w:val="24"/>
                <w:szCs w:val="24"/>
                <w:lang w:val="es-CL"/>
              </w:rPr>
            </w:pPr>
            <w:proofErr w:type="spellStart"/>
            <w:r w:rsidRPr="00345D2A">
              <w:rPr>
                <w:rFonts w:ascii="Times New Roman" w:eastAsiaTheme="minorHAnsi" w:hAnsi="Times New Roman" w:cs="Times New Roman"/>
                <w:sz w:val="24"/>
                <w:szCs w:val="24"/>
                <w:lang w:val="es-CL"/>
              </w:rPr>
              <w:t>pd</w:t>
            </w:r>
            <w:proofErr w:type="spellEnd"/>
          </w:p>
        </w:tc>
        <w:tc>
          <w:tcPr>
            <w:tcW w:w="801" w:type="dxa"/>
            <w:tcBorders>
              <w:bottom w:val="single" w:sz="4" w:space="0" w:color="auto"/>
            </w:tcBorders>
          </w:tcPr>
          <w:p w14:paraId="03677F8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pc</w:t>
            </w:r>
          </w:p>
        </w:tc>
        <w:tc>
          <w:tcPr>
            <w:tcW w:w="1847" w:type="dxa"/>
            <w:vMerge/>
            <w:tcBorders>
              <w:bottom w:val="single" w:sz="4" w:space="0" w:color="auto"/>
            </w:tcBorders>
          </w:tcPr>
          <w:p w14:paraId="34933B4D" w14:textId="77777777" w:rsidR="00345D2A" w:rsidRPr="00345D2A" w:rsidRDefault="00345D2A" w:rsidP="0002758C">
            <w:pPr>
              <w:widowControl w:val="0"/>
              <w:pBdr>
                <w:top w:val="nil"/>
                <w:left w:val="nil"/>
                <w:bottom w:val="nil"/>
                <w:right w:val="nil"/>
                <w:between w:val="nil"/>
              </w:pBdr>
              <w:rPr>
                <w:rFonts w:ascii="Times New Roman" w:eastAsiaTheme="minorHAnsi" w:hAnsi="Times New Roman" w:cs="Times New Roman"/>
                <w:sz w:val="24"/>
                <w:szCs w:val="24"/>
                <w:lang w:val="es-CL"/>
              </w:rPr>
            </w:pPr>
          </w:p>
        </w:tc>
        <w:tc>
          <w:tcPr>
            <w:tcW w:w="1902" w:type="dxa"/>
            <w:tcBorders>
              <w:bottom w:val="single" w:sz="4" w:space="0" w:color="auto"/>
            </w:tcBorders>
          </w:tcPr>
          <w:p w14:paraId="0F56BEB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Pd</w:t>
            </w:r>
          </w:p>
        </w:tc>
      </w:tr>
      <w:tr w:rsidR="00345D2A" w:rsidRPr="00512FDA" w14:paraId="5739C7CF" w14:textId="77777777" w:rsidTr="0097175C">
        <w:trPr>
          <w:trHeight w:val="230"/>
        </w:trPr>
        <w:tc>
          <w:tcPr>
            <w:tcW w:w="2122" w:type="dxa"/>
            <w:tcBorders>
              <w:top w:val="single" w:sz="4" w:space="0" w:color="auto"/>
              <w:bottom w:val="nil"/>
            </w:tcBorders>
          </w:tcPr>
          <w:p w14:paraId="621CC77D"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Sexo:</w:t>
            </w:r>
          </w:p>
          <w:p w14:paraId="051DE353" w14:textId="77777777" w:rsidR="00345D2A" w:rsidRPr="00345D2A" w:rsidRDefault="00345D2A" w:rsidP="0002758C">
            <w:pPr>
              <w:numPr>
                <w:ilvl w:val="0"/>
                <w:numId w:val="1"/>
              </w:numPr>
              <w:pBdr>
                <w:top w:val="nil"/>
                <w:left w:val="nil"/>
                <w:bottom w:val="nil"/>
                <w:right w:val="nil"/>
                <w:between w:val="nil"/>
              </w:pBdr>
              <w:ind w:left="0" w:firstLine="0"/>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Hombre</w:t>
            </w:r>
          </w:p>
          <w:p w14:paraId="66A6A39E" w14:textId="77777777" w:rsidR="00345D2A" w:rsidRPr="00345D2A" w:rsidRDefault="00345D2A" w:rsidP="0002758C">
            <w:pPr>
              <w:numPr>
                <w:ilvl w:val="0"/>
                <w:numId w:val="1"/>
              </w:numPr>
              <w:pBdr>
                <w:top w:val="nil"/>
                <w:left w:val="nil"/>
                <w:bottom w:val="nil"/>
                <w:right w:val="nil"/>
                <w:between w:val="nil"/>
              </w:pBdr>
              <w:ind w:left="0" w:firstLine="0"/>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Mujer</w:t>
            </w:r>
          </w:p>
        </w:tc>
        <w:tc>
          <w:tcPr>
            <w:tcW w:w="852" w:type="dxa"/>
            <w:tcBorders>
              <w:top w:val="single" w:sz="4" w:space="0" w:color="auto"/>
              <w:bottom w:val="nil"/>
            </w:tcBorders>
          </w:tcPr>
          <w:p w14:paraId="21DFD4A5" w14:textId="77777777" w:rsidR="00345D2A" w:rsidRPr="00345D2A" w:rsidRDefault="00345D2A" w:rsidP="0002758C">
            <w:pPr>
              <w:jc w:val="center"/>
              <w:rPr>
                <w:rFonts w:ascii="Times New Roman" w:eastAsiaTheme="minorHAnsi" w:hAnsi="Times New Roman" w:cs="Times New Roman"/>
                <w:sz w:val="24"/>
                <w:szCs w:val="24"/>
                <w:lang w:val="es-CL"/>
              </w:rPr>
            </w:pPr>
          </w:p>
          <w:p w14:paraId="22ED752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16,5</w:t>
            </w:r>
          </w:p>
          <w:p w14:paraId="0AB4A11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83,5</w:t>
            </w:r>
          </w:p>
        </w:tc>
        <w:tc>
          <w:tcPr>
            <w:tcW w:w="850" w:type="dxa"/>
            <w:tcBorders>
              <w:top w:val="single" w:sz="4" w:space="0" w:color="auto"/>
              <w:bottom w:val="nil"/>
            </w:tcBorders>
          </w:tcPr>
          <w:p w14:paraId="4E94476B" w14:textId="77777777" w:rsidR="00345D2A" w:rsidRPr="00345D2A" w:rsidRDefault="00345D2A" w:rsidP="0002758C">
            <w:pPr>
              <w:jc w:val="center"/>
              <w:rPr>
                <w:rFonts w:ascii="Times New Roman" w:eastAsiaTheme="minorHAnsi" w:hAnsi="Times New Roman" w:cs="Times New Roman"/>
                <w:sz w:val="24"/>
                <w:szCs w:val="24"/>
                <w:lang w:val="es-CL"/>
              </w:rPr>
            </w:pPr>
          </w:p>
          <w:p w14:paraId="2984B4D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16,6</w:t>
            </w:r>
          </w:p>
          <w:p w14:paraId="631A048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32,2</w:t>
            </w:r>
          </w:p>
        </w:tc>
        <w:tc>
          <w:tcPr>
            <w:tcW w:w="754" w:type="dxa"/>
            <w:tcBorders>
              <w:top w:val="single" w:sz="4" w:space="0" w:color="auto"/>
              <w:bottom w:val="nil"/>
            </w:tcBorders>
          </w:tcPr>
          <w:p w14:paraId="782B9A62" w14:textId="77777777" w:rsidR="00345D2A" w:rsidRPr="00345D2A" w:rsidRDefault="00345D2A" w:rsidP="0002758C">
            <w:pPr>
              <w:jc w:val="center"/>
              <w:rPr>
                <w:rFonts w:ascii="Times New Roman" w:eastAsiaTheme="minorHAnsi" w:hAnsi="Times New Roman" w:cs="Times New Roman"/>
                <w:sz w:val="24"/>
                <w:szCs w:val="24"/>
                <w:lang w:val="es-CL"/>
              </w:rPr>
            </w:pPr>
          </w:p>
          <w:p w14:paraId="3BCE936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32,0</w:t>
            </w:r>
          </w:p>
          <w:p w14:paraId="7EFA466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68,0</w:t>
            </w:r>
          </w:p>
        </w:tc>
        <w:tc>
          <w:tcPr>
            <w:tcW w:w="801" w:type="dxa"/>
            <w:tcBorders>
              <w:top w:val="single" w:sz="4" w:space="0" w:color="auto"/>
              <w:bottom w:val="nil"/>
            </w:tcBorders>
          </w:tcPr>
          <w:p w14:paraId="626C227A" w14:textId="77777777" w:rsidR="00345D2A" w:rsidRPr="00345D2A" w:rsidRDefault="00345D2A" w:rsidP="0002758C">
            <w:pPr>
              <w:jc w:val="center"/>
              <w:rPr>
                <w:rFonts w:ascii="Times New Roman" w:eastAsiaTheme="minorHAnsi" w:hAnsi="Times New Roman" w:cs="Times New Roman"/>
                <w:sz w:val="24"/>
                <w:szCs w:val="24"/>
                <w:lang w:val="es-CL"/>
              </w:rPr>
            </w:pPr>
          </w:p>
          <w:p w14:paraId="697397B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83,4</w:t>
            </w:r>
          </w:p>
          <w:p w14:paraId="1290D2F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67,8</w:t>
            </w:r>
          </w:p>
        </w:tc>
        <w:tc>
          <w:tcPr>
            <w:tcW w:w="1847" w:type="dxa"/>
            <w:tcBorders>
              <w:top w:val="single" w:sz="4" w:space="0" w:color="auto"/>
              <w:bottom w:val="nil"/>
            </w:tcBorders>
          </w:tcPr>
          <w:p w14:paraId="58FA85D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35,243</w:t>
            </w:r>
          </w:p>
          <w:p w14:paraId="1DECFB0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2766C2F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[,156;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=1]</w:t>
            </w:r>
          </w:p>
        </w:tc>
        <w:tc>
          <w:tcPr>
            <w:tcW w:w="1902" w:type="dxa"/>
            <w:tcBorders>
              <w:top w:val="single" w:sz="4" w:space="0" w:color="auto"/>
              <w:bottom w:val="nil"/>
            </w:tcBorders>
          </w:tcPr>
          <w:p w14:paraId="2C523089" w14:textId="77777777" w:rsidR="00345D2A" w:rsidRPr="00345D2A" w:rsidRDefault="00345D2A" w:rsidP="0002758C">
            <w:pPr>
              <w:jc w:val="center"/>
              <w:rPr>
                <w:rFonts w:ascii="Times New Roman" w:eastAsiaTheme="minorHAnsi" w:hAnsi="Times New Roman" w:cs="Times New Roman"/>
                <w:sz w:val="24"/>
                <w:szCs w:val="24"/>
                <w:lang w:val="es-CL"/>
              </w:rPr>
            </w:pPr>
          </w:p>
          <w:p w14:paraId="681CB11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33,9</w:t>
            </w:r>
          </w:p>
          <w:p w14:paraId="2FC2977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66,1</w:t>
            </w:r>
          </w:p>
        </w:tc>
      </w:tr>
      <w:tr w:rsidR="00345D2A" w:rsidRPr="00512FDA" w14:paraId="54F1581D" w14:textId="77777777" w:rsidTr="0097175C">
        <w:trPr>
          <w:cnfStyle w:val="000000100000" w:firstRow="0" w:lastRow="0" w:firstColumn="0" w:lastColumn="0" w:oddVBand="0" w:evenVBand="0" w:oddHBand="1" w:evenHBand="0" w:firstRowFirstColumn="0" w:firstRowLastColumn="0" w:lastRowFirstColumn="0" w:lastRowLastColumn="0"/>
          <w:trHeight w:val="217"/>
        </w:trPr>
        <w:tc>
          <w:tcPr>
            <w:tcW w:w="2122" w:type="dxa"/>
            <w:tcBorders>
              <w:top w:val="nil"/>
              <w:bottom w:val="nil"/>
            </w:tcBorders>
          </w:tcPr>
          <w:p w14:paraId="5EB33BA5"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Quintil:</w:t>
            </w:r>
          </w:p>
          <w:p w14:paraId="1D0414EA"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I-II</w:t>
            </w:r>
          </w:p>
          <w:p w14:paraId="40A32508"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III-IV</w:t>
            </w:r>
          </w:p>
          <w:p w14:paraId="4DD07D72"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V</w:t>
            </w:r>
          </w:p>
        </w:tc>
        <w:tc>
          <w:tcPr>
            <w:tcW w:w="852" w:type="dxa"/>
            <w:tcBorders>
              <w:top w:val="nil"/>
              <w:bottom w:val="nil"/>
            </w:tcBorders>
          </w:tcPr>
          <w:p w14:paraId="52695A93" w14:textId="77777777" w:rsidR="00345D2A" w:rsidRPr="00345D2A" w:rsidRDefault="00345D2A" w:rsidP="0002758C">
            <w:pPr>
              <w:jc w:val="center"/>
              <w:rPr>
                <w:rFonts w:ascii="Times New Roman" w:eastAsiaTheme="minorHAnsi" w:hAnsi="Times New Roman" w:cs="Times New Roman"/>
                <w:sz w:val="24"/>
                <w:szCs w:val="24"/>
                <w:lang w:val="es-CL"/>
              </w:rPr>
            </w:pPr>
          </w:p>
          <w:p w14:paraId="2EC4A34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86,2</w:t>
            </w:r>
          </w:p>
          <w:p w14:paraId="48B8A78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13,3</w:t>
            </w:r>
          </w:p>
          <w:p w14:paraId="6EFF732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0,5</w:t>
            </w:r>
          </w:p>
        </w:tc>
        <w:tc>
          <w:tcPr>
            <w:tcW w:w="850" w:type="dxa"/>
            <w:tcBorders>
              <w:top w:val="nil"/>
              <w:bottom w:val="nil"/>
            </w:tcBorders>
          </w:tcPr>
          <w:p w14:paraId="58F19734" w14:textId="77777777" w:rsidR="00345D2A" w:rsidRPr="00345D2A" w:rsidRDefault="00345D2A" w:rsidP="0002758C">
            <w:pPr>
              <w:jc w:val="center"/>
              <w:rPr>
                <w:rFonts w:ascii="Times New Roman" w:eastAsiaTheme="minorHAnsi" w:hAnsi="Times New Roman" w:cs="Times New Roman"/>
                <w:sz w:val="24"/>
                <w:szCs w:val="24"/>
                <w:lang w:val="es-CL"/>
              </w:rPr>
            </w:pPr>
          </w:p>
          <w:p w14:paraId="47427F6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30,4</w:t>
            </w:r>
          </w:p>
          <w:p w14:paraId="5D1F7B1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19,0</w:t>
            </w:r>
          </w:p>
          <w:p w14:paraId="1BC33E2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11,1</w:t>
            </w:r>
          </w:p>
        </w:tc>
        <w:tc>
          <w:tcPr>
            <w:tcW w:w="754" w:type="dxa"/>
            <w:tcBorders>
              <w:top w:val="nil"/>
              <w:bottom w:val="nil"/>
            </w:tcBorders>
          </w:tcPr>
          <w:p w14:paraId="2C339171" w14:textId="77777777" w:rsidR="00345D2A" w:rsidRPr="00345D2A" w:rsidRDefault="00345D2A" w:rsidP="0002758C">
            <w:pPr>
              <w:jc w:val="center"/>
              <w:rPr>
                <w:rFonts w:ascii="Times New Roman" w:eastAsiaTheme="minorHAnsi" w:hAnsi="Times New Roman" w:cs="Times New Roman"/>
                <w:sz w:val="24"/>
                <w:szCs w:val="24"/>
                <w:lang w:val="es-CL"/>
              </w:rPr>
            </w:pPr>
          </w:p>
          <w:p w14:paraId="515F75E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76,5</w:t>
            </w:r>
          </w:p>
          <w:p w14:paraId="563A7D8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21,9</w:t>
            </w:r>
          </w:p>
          <w:p w14:paraId="1CED70E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1,5</w:t>
            </w:r>
          </w:p>
        </w:tc>
        <w:tc>
          <w:tcPr>
            <w:tcW w:w="801" w:type="dxa"/>
            <w:tcBorders>
              <w:top w:val="nil"/>
              <w:bottom w:val="nil"/>
            </w:tcBorders>
          </w:tcPr>
          <w:p w14:paraId="5C10A90D" w14:textId="77777777" w:rsidR="00345D2A" w:rsidRPr="00345D2A" w:rsidRDefault="00345D2A" w:rsidP="0002758C">
            <w:pPr>
              <w:jc w:val="center"/>
              <w:rPr>
                <w:rFonts w:ascii="Times New Roman" w:eastAsiaTheme="minorHAnsi" w:hAnsi="Times New Roman" w:cs="Times New Roman"/>
                <w:sz w:val="24"/>
                <w:szCs w:val="24"/>
                <w:lang w:val="es-CL"/>
              </w:rPr>
            </w:pPr>
          </w:p>
          <w:p w14:paraId="063249D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69,6</w:t>
            </w:r>
          </w:p>
          <w:p w14:paraId="5247891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81,0</w:t>
            </w:r>
          </w:p>
          <w:p w14:paraId="1D62CB8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88,9</w:t>
            </w:r>
          </w:p>
        </w:tc>
        <w:tc>
          <w:tcPr>
            <w:tcW w:w="1847" w:type="dxa"/>
            <w:tcBorders>
              <w:top w:val="nil"/>
              <w:bottom w:val="nil"/>
            </w:tcBorders>
          </w:tcPr>
          <w:p w14:paraId="7226351B" w14:textId="77777777" w:rsidR="00345D2A" w:rsidRPr="00345D2A" w:rsidRDefault="00345D2A" w:rsidP="0002758C">
            <w:pPr>
              <w:jc w:val="center"/>
              <w:rPr>
                <w:rFonts w:ascii="Times New Roman" w:eastAsiaTheme="minorHAnsi" w:hAnsi="Times New Roman" w:cs="Times New Roman"/>
                <w:sz w:val="24"/>
                <w:szCs w:val="24"/>
                <w:lang w:val="es-CL"/>
              </w:rPr>
            </w:pPr>
          </w:p>
          <w:p w14:paraId="3ED048D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17,125</w:t>
            </w:r>
          </w:p>
          <w:p w14:paraId="5786451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5514F13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[,108;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=2]</w:t>
            </w:r>
          </w:p>
        </w:tc>
        <w:tc>
          <w:tcPr>
            <w:tcW w:w="1902" w:type="dxa"/>
            <w:tcBorders>
              <w:top w:val="nil"/>
              <w:bottom w:val="nil"/>
            </w:tcBorders>
          </w:tcPr>
          <w:p w14:paraId="1F76F332" w14:textId="77777777" w:rsidR="00345D2A" w:rsidRPr="00345D2A" w:rsidRDefault="00345D2A" w:rsidP="0002758C">
            <w:pPr>
              <w:jc w:val="center"/>
              <w:rPr>
                <w:rFonts w:ascii="Times New Roman" w:eastAsiaTheme="minorHAnsi" w:hAnsi="Times New Roman" w:cs="Times New Roman"/>
                <w:sz w:val="24"/>
                <w:szCs w:val="24"/>
                <w:lang w:val="es-CL"/>
              </w:rPr>
            </w:pPr>
          </w:p>
          <w:p w14:paraId="315C96B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52,9</w:t>
            </w:r>
          </w:p>
          <w:p w14:paraId="480DA96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32,2</w:t>
            </w:r>
          </w:p>
          <w:p w14:paraId="4F2837C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14,8</w:t>
            </w:r>
          </w:p>
        </w:tc>
      </w:tr>
      <w:tr w:rsidR="00345D2A" w:rsidRPr="00512FDA" w14:paraId="537C252C" w14:textId="77777777" w:rsidTr="0097175C">
        <w:trPr>
          <w:trHeight w:val="217"/>
        </w:trPr>
        <w:tc>
          <w:tcPr>
            <w:tcW w:w="2122" w:type="dxa"/>
            <w:tcBorders>
              <w:top w:val="nil"/>
              <w:bottom w:val="nil"/>
            </w:tcBorders>
          </w:tcPr>
          <w:p w14:paraId="49CE238E" w14:textId="77777777" w:rsidR="00345D2A" w:rsidRPr="00345D2A" w:rsidRDefault="00345D2A" w:rsidP="0002758C">
            <w:pPr>
              <w:rPr>
                <w:rFonts w:ascii="Times New Roman" w:eastAsiaTheme="minorHAnsi" w:hAnsi="Times New Roman" w:cs="Times New Roman"/>
                <w:sz w:val="24"/>
                <w:szCs w:val="24"/>
                <w:lang w:val="es-CL"/>
              </w:rPr>
            </w:pPr>
            <w:proofErr w:type="spellStart"/>
            <w:proofErr w:type="gramStart"/>
            <w:r w:rsidRPr="00345D2A">
              <w:rPr>
                <w:rFonts w:ascii="Times New Roman" w:eastAsiaTheme="minorHAnsi" w:hAnsi="Times New Roman" w:cs="Times New Roman"/>
                <w:sz w:val="24"/>
                <w:szCs w:val="24"/>
                <w:lang w:val="es-CL"/>
              </w:rPr>
              <w:t>P.Generación</w:t>
            </w:r>
            <w:proofErr w:type="spellEnd"/>
            <w:proofErr w:type="gramEnd"/>
            <w:r w:rsidRPr="00345D2A">
              <w:rPr>
                <w:rFonts w:ascii="Times New Roman" w:eastAsiaTheme="minorHAnsi" w:hAnsi="Times New Roman" w:cs="Times New Roman"/>
                <w:sz w:val="24"/>
                <w:szCs w:val="24"/>
                <w:lang w:val="es-CL"/>
              </w:rPr>
              <w:t>:</w:t>
            </w:r>
          </w:p>
          <w:p w14:paraId="0436E252"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No</w:t>
            </w:r>
          </w:p>
          <w:p w14:paraId="48950E33"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Sí</w:t>
            </w:r>
          </w:p>
        </w:tc>
        <w:tc>
          <w:tcPr>
            <w:tcW w:w="852" w:type="dxa"/>
            <w:tcBorders>
              <w:top w:val="nil"/>
              <w:bottom w:val="nil"/>
            </w:tcBorders>
          </w:tcPr>
          <w:p w14:paraId="194E8D07" w14:textId="77777777" w:rsidR="00345D2A" w:rsidRPr="00345D2A" w:rsidRDefault="00345D2A" w:rsidP="0002758C">
            <w:pPr>
              <w:jc w:val="center"/>
              <w:rPr>
                <w:rFonts w:ascii="Times New Roman" w:eastAsiaTheme="minorHAnsi" w:hAnsi="Times New Roman" w:cs="Times New Roman"/>
                <w:sz w:val="24"/>
                <w:szCs w:val="24"/>
                <w:lang w:val="es-CL"/>
              </w:rPr>
            </w:pPr>
          </w:p>
          <w:p w14:paraId="7584F87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8,6</w:t>
            </w:r>
          </w:p>
          <w:p w14:paraId="093DE76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91,4</w:t>
            </w:r>
          </w:p>
        </w:tc>
        <w:tc>
          <w:tcPr>
            <w:tcW w:w="850" w:type="dxa"/>
            <w:tcBorders>
              <w:top w:val="nil"/>
              <w:bottom w:val="nil"/>
            </w:tcBorders>
          </w:tcPr>
          <w:p w14:paraId="26E2DDA4" w14:textId="77777777" w:rsidR="00345D2A" w:rsidRPr="00345D2A" w:rsidRDefault="00345D2A" w:rsidP="0002758C">
            <w:pPr>
              <w:jc w:val="center"/>
              <w:rPr>
                <w:rFonts w:ascii="Times New Roman" w:eastAsiaTheme="minorHAnsi" w:hAnsi="Times New Roman" w:cs="Times New Roman"/>
                <w:sz w:val="24"/>
                <w:szCs w:val="24"/>
                <w:lang w:val="es-CL"/>
              </w:rPr>
            </w:pPr>
          </w:p>
          <w:p w14:paraId="685DAF2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12,8</w:t>
            </w:r>
          </w:p>
          <w:p w14:paraId="6D15251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31,2</w:t>
            </w:r>
          </w:p>
        </w:tc>
        <w:tc>
          <w:tcPr>
            <w:tcW w:w="754" w:type="dxa"/>
            <w:tcBorders>
              <w:top w:val="nil"/>
              <w:bottom w:val="nil"/>
            </w:tcBorders>
          </w:tcPr>
          <w:p w14:paraId="5F3CA67D" w14:textId="77777777" w:rsidR="00345D2A" w:rsidRPr="00345D2A" w:rsidRDefault="00345D2A" w:rsidP="0002758C">
            <w:pPr>
              <w:jc w:val="center"/>
              <w:rPr>
                <w:rFonts w:ascii="Times New Roman" w:eastAsiaTheme="minorHAnsi" w:hAnsi="Times New Roman" w:cs="Times New Roman"/>
                <w:sz w:val="24"/>
                <w:szCs w:val="24"/>
                <w:lang w:val="es-CL"/>
              </w:rPr>
            </w:pPr>
          </w:p>
          <w:p w14:paraId="34CC000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22,6</w:t>
            </w:r>
          </w:p>
          <w:p w14:paraId="1129AE4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77,4</w:t>
            </w:r>
          </w:p>
        </w:tc>
        <w:tc>
          <w:tcPr>
            <w:tcW w:w="801" w:type="dxa"/>
            <w:tcBorders>
              <w:top w:val="nil"/>
              <w:bottom w:val="nil"/>
            </w:tcBorders>
          </w:tcPr>
          <w:p w14:paraId="070F1024" w14:textId="77777777" w:rsidR="00345D2A" w:rsidRPr="00345D2A" w:rsidRDefault="00345D2A" w:rsidP="0002758C">
            <w:pPr>
              <w:jc w:val="center"/>
              <w:rPr>
                <w:rFonts w:ascii="Times New Roman" w:eastAsiaTheme="minorHAnsi" w:hAnsi="Times New Roman" w:cs="Times New Roman"/>
                <w:sz w:val="24"/>
                <w:szCs w:val="24"/>
                <w:lang w:val="es-CL"/>
              </w:rPr>
            </w:pPr>
          </w:p>
          <w:p w14:paraId="67EAF9B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87,2</w:t>
            </w:r>
          </w:p>
          <w:p w14:paraId="3C7AA3A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68,8</w:t>
            </w:r>
          </w:p>
        </w:tc>
        <w:tc>
          <w:tcPr>
            <w:tcW w:w="1847" w:type="dxa"/>
            <w:tcBorders>
              <w:top w:val="nil"/>
              <w:bottom w:val="nil"/>
            </w:tcBorders>
          </w:tcPr>
          <w:p w14:paraId="47E4B35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36,476</w:t>
            </w:r>
          </w:p>
          <w:p w14:paraId="2BC074C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114DF42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[,160;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=1]</w:t>
            </w:r>
          </w:p>
        </w:tc>
        <w:tc>
          <w:tcPr>
            <w:tcW w:w="1902" w:type="dxa"/>
            <w:tcBorders>
              <w:top w:val="nil"/>
              <w:bottom w:val="nil"/>
            </w:tcBorders>
          </w:tcPr>
          <w:p w14:paraId="769B620A" w14:textId="77777777" w:rsidR="00345D2A" w:rsidRPr="00345D2A" w:rsidRDefault="00345D2A" w:rsidP="0002758C">
            <w:pPr>
              <w:jc w:val="center"/>
              <w:rPr>
                <w:rFonts w:ascii="Times New Roman" w:eastAsiaTheme="minorHAnsi" w:hAnsi="Times New Roman" w:cs="Times New Roman"/>
                <w:sz w:val="24"/>
                <w:szCs w:val="24"/>
                <w:lang w:val="es-CL"/>
              </w:rPr>
            </w:pPr>
          </w:p>
          <w:p w14:paraId="420D017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45,8</w:t>
            </w:r>
          </w:p>
          <w:p w14:paraId="07FEC29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54,2</w:t>
            </w:r>
          </w:p>
        </w:tc>
      </w:tr>
      <w:tr w:rsidR="00345D2A" w:rsidRPr="00512FDA" w14:paraId="15BE5652" w14:textId="77777777" w:rsidTr="0097175C">
        <w:trPr>
          <w:cnfStyle w:val="000000100000" w:firstRow="0" w:lastRow="0" w:firstColumn="0" w:lastColumn="0" w:oddVBand="0" w:evenVBand="0" w:oddHBand="1" w:evenHBand="0" w:firstRowFirstColumn="0" w:firstRowLastColumn="0" w:lastRowFirstColumn="0" w:lastRowLastColumn="0"/>
          <w:trHeight w:val="217"/>
        </w:trPr>
        <w:tc>
          <w:tcPr>
            <w:tcW w:w="2122" w:type="dxa"/>
            <w:tcBorders>
              <w:top w:val="nil"/>
              <w:bottom w:val="nil"/>
            </w:tcBorders>
          </w:tcPr>
          <w:p w14:paraId="5CAAEEA9"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lastRenderedPageBreak/>
              <w:t>Dependencia:</w:t>
            </w:r>
          </w:p>
          <w:p w14:paraId="2492B5E5"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 Pagado</w:t>
            </w:r>
          </w:p>
          <w:p w14:paraId="2B58C645"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P. </w:t>
            </w:r>
            <w:proofErr w:type="spellStart"/>
            <w:r w:rsidRPr="00345D2A">
              <w:rPr>
                <w:rFonts w:ascii="Times New Roman" w:eastAsiaTheme="minorHAnsi" w:hAnsi="Times New Roman" w:cs="Times New Roman"/>
                <w:sz w:val="24"/>
                <w:szCs w:val="24"/>
                <w:lang w:val="es-CL"/>
              </w:rPr>
              <w:t>Subv</w:t>
            </w:r>
            <w:proofErr w:type="spellEnd"/>
          </w:p>
          <w:p w14:paraId="07BB01C3"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Municipal</w:t>
            </w:r>
          </w:p>
        </w:tc>
        <w:tc>
          <w:tcPr>
            <w:tcW w:w="852" w:type="dxa"/>
            <w:tcBorders>
              <w:top w:val="nil"/>
              <w:bottom w:val="nil"/>
            </w:tcBorders>
          </w:tcPr>
          <w:p w14:paraId="2C3F4E43" w14:textId="77777777" w:rsidR="00345D2A" w:rsidRPr="00345D2A" w:rsidRDefault="00345D2A" w:rsidP="0002758C">
            <w:pPr>
              <w:jc w:val="center"/>
              <w:rPr>
                <w:rFonts w:ascii="Times New Roman" w:eastAsiaTheme="minorHAnsi" w:hAnsi="Times New Roman" w:cs="Times New Roman"/>
                <w:sz w:val="24"/>
                <w:szCs w:val="24"/>
                <w:lang w:val="es-CL"/>
              </w:rPr>
            </w:pPr>
          </w:p>
          <w:p w14:paraId="13AA319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033C374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5,4</w:t>
            </w:r>
          </w:p>
          <w:p w14:paraId="38209F9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94,6</w:t>
            </w:r>
          </w:p>
        </w:tc>
        <w:tc>
          <w:tcPr>
            <w:tcW w:w="850" w:type="dxa"/>
            <w:tcBorders>
              <w:top w:val="nil"/>
              <w:bottom w:val="nil"/>
            </w:tcBorders>
          </w:tcPr>
          <w:p w14:paraId="5696472F" w14:textId="77777777" w:rsidR="00345D2A" w:rsidRPr="00345D2A" w:rsidRDefault="00345D2A" w:rsidP="0002758C">
            <w:pPr>
              <w:jc w:val="center"/>
              <w:rPr>
                <w:rFonts w:ascii="Times New Roman" w:eastAsiaTheme="minorHAnsi" w:hAnsi="Times New Roman" w:cs="Times New Roman"/>
                <w:sz w:val="24"/>
                <w:szCs w:val="24"/>
                <w:lang w:val="es-CL"/>
              </w:rPr>
            </w:pPr>
          </w:p>
          <w:p w14:paraId="5E35A7D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4B7403A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6,4</w:t>
            </w:r>
          </w:p>
          <w:p w14:paraId="3CBCC16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34,5</w:t>
            </w:r>
          </w:p>
        </w:tc>
        <w:tc>
          <w:tcPr>
            <w:tcW w:w="754" w:type="dxa"/>
            <w:tcBorders>
              <w:top w:val="nil"/>
              <w:bottom w:val="nil"/>
            </w:tcBorders>
          </w:tcPr>
          <w:p w14:paraId="3054A546" w14:textId="77777777" w:rsidR="00345D2A" w:rsidRPr="00345D2A" w:rsidRDefault="00345D2A" w:rsidP="0002758C">
            <w:pPr>
              <w:jc w:val="center"/>
              <w:rPr>
                <w:rFonts w:ascii="Times New Roman" w:eastAsiaTheme="minorHAnsi" w:hAnsi="Times New Roman" w:cs="Times New Roman"/>
                <w:sz w:val="24"/>
                <w:szCs w:val="24"/>
                <w:lang w:val="es-CL"/>
              </w:rPr>
            </w:pPr>
          </w:p>
          <w:p w14:paraId="3A5536E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72276EB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30,5</w:t>
            </w:r>
          </w:p>
          <w:p w14:paraId="6DD0456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69,5</w:t>
            </w:r>
          </w:p>
        </w:tc>
        <w:tc>
          <w:tcPr>
            <w:tcW w:w="801" w:type="dxa"/>
            <w:tcBorders>
              <w:top w:val="nil"/>
              <w:bottom w:val="nil"/>
            </w:tcBorders>
          </w:tcPr>
          <w:p w14:paraId="6A03DDFB" w14:textId="77777777" w:rsidR="00345D2A" w:rsidRPr="00345D2A" w:rsidRDefault="00345D2A" w:rsidP="0002758C">
            <w:pPr>
              <w:jc w:val="center"/>
              <w:rPr>
                <w:rFonts w:ascii="Times New Roman" w:eastAsiaTheme="minorHAnsi" w:hAnsi="Times New Roman" w:cs="Times New Roman"/>
                <w:sz w:val="24"/>
                <w:szCs w:val="24"/>
                <w:lang w:val="es-CL"/>
              </w:rPr>
            </w:pPr>
          </w:p>
          <w:p w14:paraId="3167C45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74E5305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93,6</w:t>
            </w:r>
          </w:p>
          <w:p w14:paraId="177CBD3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65,5</w:t>
            </w:r>
          </w:p>
        </w:tc>
        <w:tc>
          <w:tcPr>
            <w:tcW w:w="1847" w:type="dxa"/>
            <w:tcBorders>
              <w:top w:val="nil"/>
              <w:bottom w:val="nil"/>
            </w:tcBorders>
          </w:tcPr>
          <w:p w14:paraId="2774D78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102,453</w:t>
            </w:r>
          </w:p>
          <w:p w14:paraId="487E28D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2AF2B50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[,265;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=1]</w:t>
            </w:r>
          </w:p>
        </w:tc>
        <w:tc>
          <w:tcPr>
            <w:tcW w:w="1902" w:type="dxa"/>
            <w:tcBorders>
              <w:top w:val="nil"/>
              <w:bottom w:val="nil"/>
            </w:tcBorders>
          </w:tcPr>
          <w:p w14:paraId="3C1781FE" w14:textId="77777777" w:rsidR="00345D2A" w:rsidRPr="00345D2A" w:rsidRDefault="00345D2A" w:rsidP="0002758C">
            <w:pPr>
              <w:jc w:val="center"/>
              <w:rPr>
                <w:rFonts w:ascii="Times New Roman" w:eastAsiaTheme="minorHAnsi" w:hAnsi="Times New Roman" w:cs="Times New Roman"/>
                <w:sz w:val="24"/>
                <w:szCs w:val="24"/>
                <w:lang w:val="es-CL"/>
              </w:rPr>
            </w:pPr>
          </w:p>
          <w:p w14:paraId="6CE2CCC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12,5</w:t>
            </w:r>
          </w:p>
          <w:p w14:paraId="53D7EB6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65,8</w:t>
            </w:r>
          </w:p>
          <w:p w14:paraId="1D6DBB7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21,7</w:t>
            </w:r>
          </w:p>
        </w:tc>
      </w:tr>
      <w:tr w:rsidR="00345D2A" w:rsidRPr="00512FDA" w14:paraId="24FEE79D" w14:textId="77777777" w:rsidTr="0097175C">
        <w:trPr>
          <w:trHeight w:val="217"/>
        </w:trPr>
        <w:tc>
          <w:tcPr>
            <w:tcW w:w="2122" w:type="dxa"/>
            <w:tcBorders>
              <w:top w:val="nil"/>
              <w:bottom w:val="nil"/>
            </w:tcBorders>
          </w:tcPr>
          <w:p w14:paraId="42024C33"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Preferencia:</w:t>
            </w:r>
          </w:p>
          <w:p w14:paraId="6D321425"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w:t>
            </w:r>
          </w:p>
          <w:p w14:paraId="353BC48E"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-II</w:t>
            </w:r>
          </w:p>
          <w:p w14:paraId="50F051D4"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-III o más</w:t>
            </w:r>
          </w:p>
        </w:tc>
        <w:tc>
          <w:tcPr>
            <w:tcW w:w="852" w:type="dxa"/>
            <w:tcBorders>
              <w:top w:val="nil"/>
              <w:bottom w:val="nil"/>
            </w:tcBorders>
          </w:tcPr>
          <w:p w14:paraId="2E800E7B" w14:textId="77777777" w:rsidR="00345D2A" w:rsidRPr="00345D2A" w:rsidRDefault="00345D2A" w:rsidP="0002758C">
            <w:pPr>
              <w:jc w:val="center"/>
              <w:rPr>
                <w:rFonts w:ascii="Times New Roman" w:eastAsiaTheme="minorHAnsi" w:hAnsi="Times New Roman" w:cs="Times New Roman"/>
                <w:sz w:val="24"/>
                <w:szCs w:val="24"/>
                <w:lang w:val="es-CL"/>
              </w:rPr>
            </w:pPr>
          </w:p>
          <w:p w14:paraId="01B83DB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86,5</w:t>
            </w:r>
          </w:p>
          <w:p w14:paraId="1424050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7,0</w:t>
            </w:r>
          </w:p>
          <w:p w14:paraId="44E085F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6,5</w:t>
            </w:r>
          </w:p>
        </w:tc>
        <w:tc>
          <w:tcPr>
            <w:tcW w:w="850" w:type="dxa"/>
            <w:tcBorders>
              <w:top w:val="nil"/>
              <w:bottom w:val="nil"/>
            </w:tcBorders>
          </w:tcPr>
          <w:p w14:paraId="7480A268" w14:textId="77777777" w:rsidR="00345D2A" w:rsidRPr="00345D2A" w:rsidRDefault="00345D2A" w:rsidP="0002758C">
            <w:pPr>
              <w:jc w:val="center"/>
              <w:rPr>
                <w:rFonts w:ascii="Times New Roman" w:eastAsiaTheme="minorHAnsi" w:hAnsi="Times New Roman" w:cs="Times New Roman"/>
                <w:sz w:val="24"/>
                <w:szCs w:val="24"/>
                <w:lang w:val="es-CL"/>
              </w:rPr>
            </w:pPr>
          </w:p>
          <w:p w14:paraId="05E360C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26,4</w:t>
            </w:r>
          </w:p>
          <w:p w14:paraId="7F04627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38,9</w:t>
            </w:r>
          </w:p>
          <w:p w14:paraId="66428DE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41,3</w:t>
            </w:r>
          </w:p>
        </w:tc>
        <w:tc>
          <w:tcPr>
            <w:tcW w:w="754" w:type="dxa"/>
            <w:tcBorders>
              <w:top w:val="nil"/>
              <w:bottom w:val="nil"/>
            </w:tcBorders>
          </w:tcPr>
          <w:p w14:paraId="224BB283" w14:textId="77777777" w:rsidR="00345D2A" w:rsidRPr="00345D2A" w:rsidRDefault="00345D2A" w:rsidP="0002758C">
            <w:pPr>
              <w:jc w:val="center"/>
              <w:rPr>
                <w:rFonts w:ascii="Times New Roman" w:eastAsiaTheme="minorHAnsi" w:hAnsi="Times New Roman" w:cs="Times New Roman"/>
                <w:sz w:val="24"/>
                <w:szCs w:val="24"/>
                <w:lang w:val="es-CL"/>
              </w:rPr>
            </w:pPr>
          </w:p>
          <w:p w14:paraId="4D0C174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92,3</w:t>
            </w:r>
          </w:p>
          <w:p w14:paraId="63E5771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4,2</w:t>
            </w:r>
          </w:p>
          <w:p w14:paraId="7515F8E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3,5</w:t>
            </w:r>
          </w:p>
        </w:tc>
        <w:tc>
          <w:tcPr>
            <w:tcW w:w="801" w:type="dxa"/>
            <w:tcBorders>
              <w:top w:val="nil"/>
              <w:bottom w:val="nil"/>
            </w:tcBorders>
          </w:tcPr>
          <w:p w14:paraId="66FAB06C" w14:textId="77777777" w:rsidR="00345D2A" w:rsidRPr="00345D2A" w:rsidRDefault="00345D2A" w:rsidP="0002758C">
            <w:pPr>
              <w:jc w:val="center"/>
              <w:rPr>
                <w:rFonts w:ascii="Times New Roman" w:eastAsiaTheme="minorHAnsi" w:hAnsi="Times New Roman" w:cs="Times New Roman"/>
                <w:sz w:val="24"/>
                <w:szCs w:val="24"/>
                <w:lang w:val="es-CL"/>
              </w:rPr>
            </w:pPr>
          </w:p>
          <w:p w14:paraId="3A4F1ED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73,6</w:t>
            </w:r>
          </w:p>
          <w:p w14:paraId="085EDE6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61,1</w:t>
            </w:r>
          </w:p>
          <w:p w14:paraId="3A869CB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58,7</w:t>
            </w:r>
          </w:p>
        </w:tc>
        <w:tc>
          <w:tcPr>
            <w:tcW w:w="1847" w:type="dxa"/>
            <w:tcBorders>
              <w:top w:val="nil"/>
              <w:bottom w:val="nil"/>
            </w:tcBorders>
          </w:tcPr>
          <w:p w14:paraId="5935D72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18,728</w:t>
            </w:r>
          </w:p>
          <w:p w14:paraId="018C4E3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(p&lt;,01)</w:t>
            </w:r>
          </w:p>
          <w:p w14:paraId="7EA0387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[,113;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 4]</w:t>
            </w:r>
          </w:p>
        </w:tc>
        <w:tc>
          <w:tcPr>
            <w:tcW w:w="1902" w:type="dxa"/>
            <w:tcBorders>
              <w:top w:val="nil"/>
              <w:bottom w:val="nil"/>
            </w:tcBorders>
          </w:tcPr>
          <w:p w14:paraId="63A218F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90,0</w:t>
            </w:r>
          </w:p>
          <w:p w14:paraId="5CA3F5D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6,0</w:t>
            </w:r>
          </w:p>
          <w:p w14:paraId="191A677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4,0</w:t>
            </w:r>
          </w:p>
        </w:tc>
      </w:tr>
      <w:tr w:rsidR="00345D2A" w:rsidRPr="00512FDA" w14:paraId="1563EBE0" w14:textId="77777777" w:rsidTr="0097175C">
        <w:trPr>
          <w:cnfStyle w:val="000000100000" w:firstRow="0" w:lastRow="0" w:firstColumn="0" w:lastColumn="0" w:oddVBand="0" w:evenVBand="0" w:oddHBand="1" w:evenHBand="0" w:firstRowFirstColumn="0" w:firstRowLastColumn="0" w:lastRowFirstColumn="0" w:lastRowLastColumn="0"/>
          <w:trHeight w:val="230"/>
        </w:trPr>
        <w:tc>
          <w:tcPr>
            <w:tcW w:w="2122" w:type="dxa"/>
            <w:tcBorders>
              <w:top w:val="nil"/>
              <w:bottom w:val="nil"/>
            </w:tcBorders>
          </w:tcPr>
          <w:p w14:paraId="62084727"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Ranking:</w:t>
            </w:r>
          </w:p>
          <w:p w14:paraId="729E8A31"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&lt;500</w:t>
            </w:r>
          </w:p>
          <w:p w14:paraId="472870A3"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500-575</w:t>
            </w:r>
          </w:p>
          <w:p w14:paraId="7575FA59"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575-650</w:t>
            </w:r>
          </w:p>
          <w:p w14:paraId="4A122011"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&gt;650</w:t>
            </w:r>
          </w:p>
        </w:tc>
        <w:tc>
          <w:tcPr>
            <w:tcW w:w="852" w:type="dxa"/>
            <w:tcBorders>
              <w:top w:val="nil"/>
              <w:bottom w:val="nil"/>
            </w:tcBorders>
          </w:tcPr>
          <w:p w14:paraId="34651035" w14:textId="77777777" w:rsidR="00345D2A" w:rsidRPr="00345D2A" w:rsidRDefault="00345D2A" w:rsidP="0002758C">
            <w:pPr>
              <w:jc w:val="center"/>
              <w:rPr>
                <w:rFonts w:ascii="Times New Roman" w:eastAsiaTheme="minorHAnsi" w:hAnsi="Times New Roman" w:cs="Times New Roman"/>
                <w:sz w:val="24"/>
                <w:szCs w:val="24"/>
                <w:lang w:val="es-CL"/>
              </w:rPr>
            </w:pPr>
          </w:p>
          <w:p w14:paraId="242B878A"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34FB7B2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0,7</w:t>
            </w:r>
          </w:p>
          <w:p w14:paraId="2EB0154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6,4</w:t>
            </w:r>
          </w:p>
          <w:p w14:paraId="342C3E2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92,9</w:t>
            </w:r>
          </w:p>
        </w:tc>
        <w:tc>
          <w:tcPr>
            <w:tcW w:w="850" w:type="dxa"/>
            <w:tcBorders>
              <w:top w:val="nil"/>
              <w:bottom w:val="nil"/>
            </w:tcBorders>
          </w:tcPr>
          <w:p w14:paraId="205901FC" w14:textId="77777777" w:rsidR="00345D2A" w:rsidRPr="00345D2A" w:rsidRDefault="00345D2A" w:rsidP="0002758C">
            <w:pPr>
              <w:jc w:val="center"/>
              <w:rPr>
                <w:rFonts w:ascii="Times New Roman" w:eastAsiaTheme="minorHAnsi" w:hAnsi="Times New Roman" w:cs="Times New Roman"/>
                <w:sz w:val="24"/>
                <w:szCs w:val="24"/>
                <w:lang w:val="es-CL"/>
              </w:rPr>
            </w:pPr>
          </w:p>
          <w:p w14:paraId="11ADF3A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5968C54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3,0</w:t>
            </w:r>
          </w:p>
          <w:p w14:paraId="2365017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16,9</w:t>
            </w:r>
          </w:p>
          <w:p w14:paraId="74F5454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32,5</w:t>
            </w:r>
          </w:p>
        </w:tc>
        <w:tc>
          <w:tcPr>
            <w:tcW w:w="754" w:type="dxa"/>
            <w:tcBorders>
              <w:top w:val="nil"/>
              <w:bottom w:val="nil"/>
            </w:tcBorders>
          </w:tcPr>
          <w:p w14:paraId="006FD751" w14:textId="77777777" w:rsidR="00345D2A" w:rsidRPr="00345D2A" w:rsidRDefault="00345D2A" w:rsidP="0002758C">
            <w:pPr>
              <w:jc w:val="center"/>
              <w:rPr>
                <w:rFonts w:ascii="Times New Roman" w:eastAsiaTheme="minorHAnsi" w:hAnsi="Times New Roman" w:cs="Times New Roman"/>
                <w:sz w:val="24"/>
                <w:szCs w:val="24"/>
                <w:lang w:val="es-CL"/>
              </w:rPr>
            </w:pPr>
          </w:p>
          <w:p w14:paraId="5DA3F12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3,9</w:t>
            </w:r>
          </w:p>
          <w:p w14:paraId="75673DE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9,2</w:t>
            </w:r>
          </w:p>
          <w:p w14:paraId="14BDEEC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12,2</w:t>
            </w:r>
          </w:p>
          <w:p w14:paraId="557F174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74,6</w:t>
            </w:r>
          </w:p>
        </w:tc>
        <w:tc>
          <w:tcPr>
            <w:tcW w:w="801" w:type="dxa"/>
            <w:tcBorders>
              <w:top w:val="nil"/>
              <w:bottom w:val="nil"/>
            </w:tcBorders>
          </w:tcPr>
          <w:p w14:paraId="07AD9CDF" w14:textId="77777777" w:rsidR="00345D2A" w:rsidRPr="00345D2A" w:rsidRDefault="00345D2A" w:rsidP="0002758C">
            <w:pPr>
              <w:jc w:val="center"/>
              <w:rPr>
                <w:rFonts w:ascii="Times New Roman" w:eastAsiaTheme="minorHAnsi" w:hAnsi="Times New Roman" w:cs="Times New Roman"/>
                <w:sz w:val="24"/>
                <w:szCs w:val="24"/>
                <w:lang w:val="es-CL"/>
              </w:rPr>
            </w:pPr>
          </w:p>
          <w:p w14:paraId="2A67DDD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100</w:t>
            </w:r>
          </w:p>
          <w:p w14:paraId="6DB58DB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97,0</w:t>
            </w:r>
          </w:p>
          <w:p w14:paraId="690A89C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83,2</w:t>
            </w:r>
          </w:p>
          <w:p w14:paraId="5455AC6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67,5</w:t>
            </w:r>
          </w:p>
        </w:tc>
        <w:tc>
          <w:tcPr>
            <w:tcW w:w="1847" w:type="dxa"/>
            <w:tcBorders>
              <w:top w:val="nil"/>
              <w:bottom w:val="nil"/>
            </w:tcBorders>
          </w:tcPr>
          <w:p w14:paraId="75C4D6D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68,176</w:t>
            </w:r>
          </w:p>
          <w:p w14:paraId="1B720E7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01A2569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[,216;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=3]</w:t>
            </w:r>
          </w:p>
        </w:tc>
        <w:tc>
          <w:tcPr>
            <w:tcW w:w="1902" w:type="dxa"/>
            <w:tcBorders>
              <w:top w:val="nil"/>
              <w:bottom w:val="nil"/>
            </w:tcBorders>
          </w:tcPr>
          <w:p w14:paraId="4BE05A0F" w14:textId="77777777" w:rsidR="00345D2A" w:rsidRPr="00345D2A" w:rsidRDefault="00345D2A" w:rsidP="0002758C">
            <w:pPr>
              <w:jc w:val="center"/>
              <w:rPr>
                <w:rFonts w:ascii="Times New Roman" w:eastAsiaTheme="minorHAnsi" w:hAnsi="Times New Roman" w:cs="Times New Roman"/>
                <w:sz w:val="24"/>
                <w:szCs w:val="24"/>
                <w:lang w:val="es-CL"/>
              </w:rPr>
            </w:pPr>
          </w:p>
          <w:p w14:paraId="78EBD9A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13,5</w:t>
            </w:r>
          </w:p>
          <w:p w14:paraId="0B0A9A3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26,8</w:t>
            </w:r>
          </w:p>
          <w:p w14:paraId="30CA034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27,0</w:t>
            </w:r>
          </w:p>
          <w:p w14:paraId="50EC541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32,7</w:t>
            </w:r>
          </w:p>
        </w:tc>
      </w:tr>
      <w:tr w:rsidR="00345D2A" w:rsidRPr="00512FDA" w14:paraId="1E352C36" w14:textId="77777777" w:rsidTr="0097175C">
        <w:trPr>
          <w:trHeight w:val="1134"/>
        </w:trPr>
        <w:tc>
          <w:tcPr>
            <w:tcW w:w="2122" w:type="dxa"/>
            <w:tcBorders>
              <w:top w:val="nil"/>
              <w:bottom w:val="nil"/>
            </w:tcBorders>
          </w:tcPr>
          <w:p w14:paraId="355CB636"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NEM:</w:t>
            </w:r>
          </w:p>
          <w:p w14:paraId="40C6F42F"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&lt;500</w:t>
            </w:r>
          </w:p>
          <w:p w14:paraId="2B927C40"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500-575</w:t>
            </w:r>
          </w:p>
          <w:p w14:paraId="2DB5808A"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575-650</w:t>
            </w:r>
          </w:p>
          <w:p w14:paraId="2710E715"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&gt;650</w:t>
            </w:r>
          </w:p>
        </w:tc>
        <w:tc>
          <w:tcPr>
            <w:tcW w:w="852" w:type="dxa"/>
            <w:tcBorders>
              <w:top w:val="nil"/>
              <w:bottom w:val="nil"/>
            </w:tcBorders>
          </w:tcPr>
          <w:p w14:paraId="4E7DC5E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4A1E0E6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2,5</w:t>
            </w:r>
          </w:p>
          <w:p w14:paraId="7E1A627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27,1</w:t>
            </w:r>
          </w:p>
          <w:p w14:paraId="553FACF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70,4</w:t>
            </w:r>
          </w:p>
        </w:tc>
        <w:tc>
          <w:tcPr>
            <w:tcW w:w="850" w:type="dxa"/>
            <w:tcBorders>
              <w:top w:val="nil"/>
              <w:bottom w:val="nil"/>
            </w:tcBorders>
          </w:tcPr>
          <w:p w14:paraId="06DC769A" w14:textId="77777777" w:rsidR="00345D2A" w:rsidRPr="00345D2A" w:rsidRDefault="00345D2A" w:rsidP="0002758C">
            <w:pPr>
              <w:jc w:val="center"/>
              <w:rPr>
                <w:rFonts w:ascii="Times New Roman" w:eastAsiaTheme="minorHAnsi" w:hAnsi="Times New Roman" w:cs="Times New Roman"/>
                <w:sz w:val="24"/>
                <w:szCs w:val="24"/>
                <w:lang w:val="es-CL"/>
              </w:rPr>
            </w:pPr>
          </w:p>
          <w:p w14:paraId="52BE9BC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
          <w:p w14:paraId="756A229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7,8</w:t>
            </w:r>
          </w:p>
          <w:p w14:paraId="03BDCEC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32,1</w:t>
            </w:r>
          </w:p>
          <w:p w14:paraId="23B26C8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30,4</w:t>
            </w:r>
          </w:p>
        </w:tc>
        <w:tc>
          <w:tcPr>
            <w:tcW w:w="754" w:type="dxa"/>
            <w:tcBorders>
              <w:top w:val="nil"/>
              <w:bottom w:val="nil"/>
            </w:tcBorders>
          </w:tcPr>
          <w:p w14:paraId="0EFB4946" w14:textId="77777777" w:rsidR="00345D2A" w:rsidRPr="00345D2A" w:rsidRDefault="00345D2A" w:rsidP="0002758C">
            <w:pPr>
              <w:jc w:val="center"/>
              <w:rPr>
                <w:rFonts w:ascii="Times New Roman" w:eastAsiaTheme="minorHAnsi" w:hAnsi="Times New Roman" w:cs="Times New Roman"/>
                <w:sz w:val="24"/>
                <w:szCs w:val="24"/>
                <w:lang w:val="es-CL"/>
              </w:rPr>
            </w:pPr>
          </w:p>
          <w:p w14:paraId="5936B30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4,1</w:t>
            </w:r>
          </w:p>
          <w:p w14:paraId="22801BD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11,3</w:t>
            </w:r>
          </w:p>
          <w:p w14:paraId="27B9F03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22,2</w:t>
            </w:r>
          </w:p>
          <w:p w14:paraId="2340216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62,3</w:t>
            </w:r>
          </w:p>
        </w:tc>
        <w:tc>
          <w:tcPr>
            <w:tcW w:w="801" w:type="dxa"/>
            <w:tcBorders>
              <w:top w:val="nil"/>
              <w:bottom w:val="nil"/>
            </w:tcBorders>
          </w:tcPr>
          <w:p w14:paraId="6E4F3114" w14:textId="77777777" w:rsidR="00345D2A" w:rsidRPr="00345D2A" w:rsidRDefault="00345D2A" w:rsidP="0002758C">
            <w:pPr>
              <w:jc w:val="center"/>
              <w:rPr>
                <w:rFonts w:ascii="Times New Roman" w:eastAsiaTheme="minorHAnsi" w:hAnsi="Times New Roman" w:cs="Times New Roman"/>
                <w:sz w:val="24"/>
                <w:szCs w:val="24"/>
                <w:lang w:val="es-CL"/>
              </w:rPr>
            </w:pPr>
          </w:p>
          <w:p w14:paraId="6F1ACE5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100</w:t>
            </w:r>
          </w:p>
          <w:p w14:paraId="726AC60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92,2</w:t>
            </w:r>
          </w:p>
          <w:p w14:paraId="053C067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67,9</w:t>
            </w:r>
          </w:p>
          <w:p w14:paraId="6ACFAEF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69,6</w:t>
            </w:r>
          </w:p>
        </w:tc>
        <w:tc>
          <w:tcPr>
            <w:tcW w:w="1847" w:type="dxa"/>
            <w:tcBorders>
              <w:top w:val="nil"/>
              <w:bottom w:val="nil"/>
            </w:tcBorders>
          </w:tcPr>
          <w:p w14:paraId="3C77D6A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48,613</w:t>
            </w:r>
          </w:p>
          <w:p w14:paraId="5C72A30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34E42B24"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[,183;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=3]</w:t>
            </w:r>
          </w:p>
        </w:tc>
        <w:tc>
          <w:tcPr>
            <w:tcW w:w="1902" w:type="dxa"/>
            <w:tcBorders>
              <w:top w:val="nil"/>
              <w:bottom w:val="nil"/>
            </w:tcBorders>
          </w:tcPr>
          <w:p w14:paraId="3057CC6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14,0</w:t>
            </w:r>
          </w:p>
          <w:p w14:paraId="3348B04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29,6</w:t>
            </w:r>
          </w:p>
          <w:p w14:paraId="06A07EF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33,1</w:t>
            </w:r>
          </w:p>
          <w:p w14:paraId="5633D9B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23,3</w:t>
            </w:r>
          </w:p>
        </w:tc>
      </w:tr>
      <w:tr w:rsidR="00345D2A" w:rsidRPr="00512FDA" w14:paraId="7A8B04E4" w14:textId="77777777" w:rsidTr="0097175C">
        <w:trPr>
          <w:cnfStyle w:val="000000100000" w:firstRow="0" w:lastRow="0" w:firstColumn="0" w:lastColumn="0" w:oddVBand="0" w:evenVBand="0" w:oddHBand="1" w:evenHBand="0" w:firstRowFirstColumn="0" w:firstRowLastColumn="0" w:lastRowFirstColumn="0" w:lastRowLastColumn="0"/>
          <w:trHeight w:val="230"/>
        </w:trPr>
        <w:tc>
          <w:tcPr>
            <w:tcW w:w="2122" w:type="dxa"/>
            <w:tcBorders>
              <w:top w:val="nil"/>
              <w:bottom w:val="nil"/>
            </w:tcBorders>
          </w:tcPr>
          <w:p w14:paraId="78EDD374"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Puntaje Leng:</w:t>
            </w:r>
          </w:p>
          <w:p w14:paraId="56D6000D"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&lt; 500</w:t>
            </w:r>
          </w:p>
          <w:p w14:paraId="6ACCD6C0"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500-575</w:t>
            </w:r>
          </w:p>
          <w:p w14:paraId="4F577065"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575-650</w:t>
            </w:r>
          </w:p>
          <w:p w14:paraId="687FBB37" w14:textId="77777777" w:rsidR="00345D2A" w:rsidRPr="00345D2A" w:rsidRDefault="00345D2A" w:rsidP="0002758C">
            <w:pPr>
              <w:numPr>
                <w:ilvl w:val="0"/>
                <w:numId w:val="1"/>
              </w:numPr>
              <w:pBdr>
                <w:top w:val="nil"/>
                <w:left w:val="nil"/>
                <w:bottom w:val="nil"/>
                <w:right w:val="nil"/>
                <w:between w:val="nil"/>
              </w:pBdr>
              <w:ind w:left="170"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&gt;650</w:t>
            </w:r>
          </w:p>
        </w:tc>
        <w:tc>
          <w:tcPr>
            <w:tcW w:w="852" w:type="dxa"/>
            <w:tcBorders>
              <w:top w:val="nil"/>
              <w:bottom w:val="nil"/>
            </w:tcBorders>
          </w:tcPr>
          <w:p w14:paraId="073E15BC" w14:textId="77777777" w:rsidR="00345D2A" w:rsidRPr="00345D2A" w:rsidRDefault="00345D2A" w:rsidP="0002758C">
            <w:pPr>
              <w:jc w:val="center"/>
              <w:rPr>
                <w:rFonts w:ascii="Times New Roman" w:eastAsiaTheme="minorHAnsi" w:hAnsi="Times New Roman" w:cs="Times New Roman"/>
                <w:sz w:val="24"/>
                <w:szCs w:val="24"/>
                <w:lang w:val="es-CL"/>
              </w:rPr>
            </w:pPr>
          </w:p>
          <w:p w14:paraId="73D47E3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79,9</w:t>
            </w:r>
          </w:p>
          <w:p w14:paraId="39FB420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17,4</w:t>
            </w:r>
          </w:p>
          <w:p w14:paraId="771FC60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2,5</w:t>
            </w:r>
          </w:p>
          <w:p w14:paraId="18FDC89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0,2</w:t>
            </w:r>
          </w:p>
        </w:tc>
        <w:tc>
          <w:tcPr>
            <w:tcW w:w="850" w:type="dxa"/>
            <w:tcBorders>
              <w:top w:val="nil"/>
              <w:bottom w:val="nil"/>
            </w:tcBorders>
          </w:tcPr>
          <w:p w14:paraId="5B047FF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61,6</w:t>
            </w:r>
          </w:p>
          <w:p w14:paraId="56AD713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13,4</w:t>
            </w:r>
          </w:p>
          <w:p w14:paraId="56DDCA1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3,5</w:t>
            </w:r>
          </w:p>
          <w:p w14:paraId="159F80A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0,9</w:t>
            </w:r>
          </w:p>
        </w:tc>
        <w:tc>
          <w:tcPr>
            <w:tcW w:w="754" w:type="dxa"/>
            <w:tcBorders>
              <w:top w:val="nil"/>
              <w:bottom w:val="nil"/>
            </w:tcBorders>
          </w:tcPr>
          <w:p w14:paraId="2317FA90" w14:textId="77777777" w:rsidR="00345D2A" w:rsidRPr="00345D2A" w:rsidRDefault="00345D2A" w:rsidP="0002758C">
            <w:pPr>
              <w:jc w:val="center"/>
              <w:rPr>
                <w:rFonts w:ascii="Times New Roman" w:eastAsiaTheme="minorHAnsi" w:hAnsi="Times New Roman" w:cs="Times New Roman"/>
                <w:sz w:val="24"/>
                <w:szCs w:val="24"/>
                <w:lang w:val="es-CL"/>
              </w:rPr>
            </w:pPr>
          </w:p>
          <w:p w14:paraId="69F4230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19,2</w:t>
            </w:r>
          </w:p>
          <w:p w14:paraId="55EFBC2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43,3</w:t>
            </w:r>
          </w:p>
          <w:p w14:paraId="6911CF0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26,5</w:t>
            </w:r>
          </w:p>
          <w:p w14:paraId="6B40157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11,0</w:t>
            </w:r>
          </w:p>
        </w:tc>
        <w:tc>
          <w:tcPr>
            <w:tcW w:w="801" w:type="dxa"/>
            <w:tcBorders>
              <w:top w:val="nil"/>
              <w:bottom w:val="nil"/>
            </w:tcBorders>
          </w:tcPr>
          <w:p w14:paraId="14851D0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38,4</w:t>
            </w:r>
          </w:p>
          <w:p w14:paraId="51B652A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86,6</w:t>
            </w:r>
          </w:p>
          <w:p w14:paraId="5A8DBFB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96,5</w:t>
            </w:r>
          </w:p>
          <w:p w14:paraId="0B008A4E"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99,1</w:t>
            </w:r>
          </w:p>
        </w:tc>
        <w:tc>
          <w:tcPr>
            <w:tcW w:w="1847" w:type="dxa"/>
            <w:tcBorders>
              <w:top w:val="nil"/>
              <w:bottom w:val="nil"/>
            </w:tcBorders>
          </w:tcPr>
          <w:p w14:paraId="2EC6760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478,696</w:t>
            </w:r>
          </w:p>
          <w:p w14:paraId="0EA9C98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22A4E642"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 xml:space="preserve">[,574; </w:t>
            </w:r>
            <w:proofErr w:type="spellStart"/>
            <w:r w:rsidRPr="00345D2A">
              <w:rPr>
                <w:rFonts w:ascii="Times New Roman" w:eastAsiaTheme="minorHAnsi" w:hAnsi="Times New Roman" w:cs="Times New Roman"/>
                <w:sz w:val="24"/>
                <w:szCs w:val="24"/>
                <w:lang w:val="es-CL"/>
              </w:rPr>
              <w:t>gl</w:t>
            </w:r>
            <w:proofErr w:type="spellEnd"/>
            <w:r w:rsidRPr="00345D2A">
              <w:rPr>
                <w:rFonts w:ascii="Times New Roman" w:eastAsiaTheme="minorHAnsi" w:hAnsi="Times New Roman" w:cs="Times New Roman"/>
                <w:sz w:val="24"/>
                <w:szCs w:val="24"/>
                <w:lang w:val="es-CL"/>
              </w:rPr>
              <w:t>=3]</w:t>
            </w:r>
          </w:p>
        </w:tc>
        <w:tc>
          <w:tcPr>
            <w:tcW w:w="1902" w:type="dxa"/>
            <w:tcBorders>
              <w:top w:val="nil"/>
              <w:bottom w:val="nil"/>
            </w:tcBorders>
          </w:tcPr>
          <w:p w14:paraId="2B223DE1" w14:textId="77777777" w:rsidR="00345D2A" w:rsidRPr="00345D2A" w:rsidRDefault="00345D2A" w:rsidP="0002758C">
            <w:pPr>
              <w:jc w:val="center"/>
              <w:rPr>
                <w:rFonts w:ascii="Times New Roman" w:eastAsiaTheme="minorHAnsi" w:hAnsi="Times New Roman" w:cs="Times New Roman"/>
                <w:sz w:val="24"/>
                <w:szCs w:val="24"/>
                <w:lang w:val="es-CL"/>
              </w:rPr>
            </w:pPr>
          </w:p>
          <w:p w14:paraId="5BACBAA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14,0</w:t>
            </w:r>
          </w:p>
          <w:p w14:paraId="0C81715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42,8</w:t>
            </w:r>
          </w:p>
          <w:p w14:paraId="5CE4B8F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31,5</w:t>
            </w:r>
          </w:p>
          <w:p w14:paraId="4D98D0B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11,6</w:t>
            </w:r>
          </w:p>
        </w:tc>
      </w:tr>
      <w:tr w:rsidR="00345D2A" w:rsidRPr="00512FDA" w14:paraId="3B813918" w14:textId="77777777" w:rsidTr="0097175C">
        <w:trPr>
          <w:trHeight w:val="230"/>
        </w:trPr>
        <w:tc>
          <w:tcPr>
            <w:tcW w:w="2122" w:type="dxa"/>
            <w:tcBorders>
              <w:top w:val="nil"/>
              <w:bottom w:val="single" w:sz="4" w:space="0" w:color="auto"/>
            </w:tcBorders>
          </w:tcPr>
          <w:p w14:paraId="4247A2ED" w14:textId="77777777" w:rsidR="00345D2A" w:rsidRPr="00345D2A" w:rsidRDefault="00345D2A" w:rsidP="0002758C">
            <w:pP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Puntaje Mat</w:t>
            </w:r>
          </w:p>
          <w:p w14:paraId="514240ED"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&lt;500</w:t>
            </w:r>
          </w:p>
          <w:p w14:paraId="75C1B456"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500-575</w:t>
            </w:r>
          </w:p>
          <w:p w14:paraId="23304B31"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575-650</w:t>
            </w:r>
          </w:p>
          <w:p w14:paraId="0EC16BB3" w14:textId="77777777" w:rsidR="00345D2A" w:rsidRPr="00345D2A" w:rsidRDefault="00345D2A" w:rsidP="0002758C">
            <w:pPr>
              <w:numPr>
                <w:ilvl w:val="0"/>
                <w:numId w:val="1"/>
              </w:numPr>
              <w:pBdr>
                <w:top w:val="nil"/>
                <w:left w:val="nil"/>
                <w:bottom w:val="nil"/>
                <w:right w:val="nil"/>
                <w:between w:val="nil"/>
              </w:pBdr>
              <w:ind w:left="171" w:hanging="142"/>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&gt;650</w:t>
            </w:r>
          </w:p>
        </w:tc>
        <w:tc>
          <w:tcPr>
            <w:tcW w:w="852" w:type="dxa"/>
            <w:tcBorders>
              <w:top w:val="nil"/>
              <w:bottom w:val="single" w:sz="4" w:space="0" w:color="auto"/>
            </w:tcBorders>
          </w:tcPr>
          <w:p w14:paraId="2D4D5DC9" w14:textId="77777777" w:rsidR="00345D2A" w:rsidRPr="00345D2A" w:rsidRDefault="00345D2A" w:rsidP="0002758C">
            <w:pPr>
              <w:jc w:val="center"/>
              <w:rPr>
                <w:rFonts w:ascii="Times New Roman" w:eastAsiaTheme="minorHAnsi" w:hAnsi="Times New Roman" w:cs="Times New Roman"/>
                <w:sz w:val="24"/>
                <w:szCs w:val="24"/>
                <w:lang w:val="es-CL"/>
              </w:rPr>
            </w:pPr>
          </w:p>
          <w:p w14:paraId="0C13C4D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88,8</w:t>
            </w:r>
          </w:p>
          <w:p w14:paraId="6D73E16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9,4</w:t>
            </w:r>
          </w:p>
          <w:p w14:paraId="119BBA3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1,5</w:t>
            </w:r>
          </w:p>
          <w:p w14:paraId="1E446D1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0,2</w:t>
            </w:r>
          </w:p>
        </w:tc>
        <w:tc>
          <w:tcPr>
            <w:tcW w:w="850" w:type="dxa"/>
            <w:tcBorders>
              <w:top w:val="nil"/>
              <w:bottom w:val="single" w:sz="4" w:space="0" w:color="auto"/>
            </w:tcBorders>
          </w:tcPr>
          <w:p w14:paraId="42199DF0" w14:textId="77777777" w:rsidR="00345D2A" w:rsidRPr="00345D2A" w:rsidRDefault="00345D2A" w:rsidP="0002758C">
            <w:pPr>
              <w:jc w:val="center"/>
              <w:rPr>
                <w:rFonts w:ascii="Times New Roman" w:eastAsiaTheme="minorHAnsi" w:hAnsi="Times New Roman" w:cs="Times New Roman"/>
                <w:sz w:val="24"/>
                <w:szCs w:val="24"/>
                <w:lang w:val="es-CL"/>
              </w:rPr>
            </w:pPr>
          </w:p>
          <w:p w14:paraId="6BCCDBD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55,3</w:t>
            </w:r>
          </w:p>
          <w:p w14:paraId="2D1A0D1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7,5</w:t>
            </w:r>
          </w:p>
          <w:p w14:paraId="5B75D4E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2,6</w:t>
            </w:r>
          </w:p>
          <w:p w14:paraId="52753A5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1,5</w:t>
            </w:r>
          </w:p>
        </w:tc>
        <w:tc>
          <w:tcPr>
            <w:tcW w:w="754" w:type="dxa"/>
            <w:tcBorders>
              <w:top w:val="nil"/>
              <w:bottom w:val="single" w:sz="4" w:space="0" w:color="auto"/>
            </w:tcBorders>
          </w:tcPr>
          <w:p w14:paraId="764C240C" w14:textId="77777777" w:rsidR="00345D2A" w:rsidRPr="00345D2A" w:rsidRDefault="00345D2A" w:rsidP="0002758C">
            <w:pPr>
              <w:jc w:val="center"/>
              <w:rPr>
                <w:rFonts w:ascii="Times New Roman" w:eastAsiaTheme="minorHAnsi" w:hAnsi="Times New Roman" w:cs="Times New Roman"/>
                <w:sz w:val="24"/>
                <w:szCs w:val="24"/>
                <w:lang w:val="es-CL"/>
              </w:rPr>
            </w:pPr>
          </w:p>
          <w:p w14:paraId="620FD7A5"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27,6</w:t>
            </w:r>
          </w:p>
          <w:p w14:paraId="14D0B561"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44,9</w:t>
            </w:r>
          </w:p>
          <w:p w14:paraId="25CAF4F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21,3</w:t>
            </w:r>
          </w:p>
          <w:p w14:paraId="7623D648"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6,2</w:t>
            </w:r>
          </w:p>
        </w:tc>
        <w:tc>
          <w:tcPr>
            <w:tcW w:w="801" w:type="dxa"/>
            <w:tcBorders>
              <w:top w:val="nil"/>
              <w:bottom w:val="single" w:sz="4" w:space="0" w:color="auto"/>
            </w:tcBorders>
          </w:tcPr>
          <w:p w14:paraId="57E07759" w14:textId="77777777" w:rsidR="00345D2A" w:rsidRPr="00345D2A" w:rsidRDefault="00345D2A" w:rsidP="0002758C">
            <w:pPr>
              <w:jc w:val="center"/>
              <w:rPr>
                <w:rFonts w:ascii="Times New Roman" w:eastAsiaTheme="minorHAnsi" w:hAnsi="Times New Roman" w:cs="Times New Roman"/>
                <w:sz w:val="24"/>
                <w:szCs w:val="24"/>
                <w:lang w:val="es-CL"/>
              </w:rPr>
            </w:pPr>
          </w:p>
          <w:p w14:paraId="594F8073"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44,7</w:t>
            </w:r>
          </w:p>
          <w:p w14:paraId="59FFA3ED"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92,5</w:t>
            </w:r>
          </w:p>
          <w:p w14:paraId="3F40A75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97,4</w:t>
            </w:r>
          </w:p>
          <w:p w14:paraId="2E61AD0C"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98,5</w:t>
            </w:r>
          </w:p>
        </w:tc>
        <w:tc>
          <w:tcPr>
            <w:tcW w:w="1847" w:type="dxa"/>
            <w:tcBorders>
              <w:top w:val="nil"/>
              <w:bottom w:val="single" w:sz="4" w:space="0" w:color="auto"/>
            </w:tcBorders>
          </w:tcPr>
          <w:p w14:paraId="74386E69"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444,515</w:t>
            </w:r>
          </w:p>
          <w:p w14:paraId="33F0B62B"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(p&lt;,00)</w:t>
            </w:r>
          </w:p>
          <w:p w14:paraId="34896B8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w:t>
            </w:r>
            <w:proofErr w:type="gramStart"/>
            <w:r w:rsidRPr="00345D2A">
              <w:rPr>
                <w:rFonts w:ascii="Times New Roman" w:eastAsiaTheme="minorHAnsi" w:hAnsi="Times New Roman" w:cs="Times New Roman"/>
                <w:sz w:val="24"/>
                <w:szCs w:val="24"/>
                <w:lang w:val="es-CL"/>
              </w:rPr>
              <w:t>553;gl</w:t>
            </w:r>
            <w:proofErr w:type="gramEnd"/>
            <w:r w:rsidRPr="00345D2A">
              <w:rPr>
                <w:rFonts w:ascii="Times New Roman" w:eastAsiaTheme="minorHAnsi" w:hAnsi="Times New Roman" w:cs="Times New Roman"/>
                <w:sz w:val="24"/>
                <w:szCs w:val="24"/>
                <w:lang w:val="es-CL"/>
              </w:rPr>
              <w:t>=3]</w:t>
            </w:r>
          </w:p>
        </w:tc>
        <w:tc>
          <w:tcPr>
            <w:tcW w:w="1902" w:type="dxa"/>
            <w:tcBorders>
              <w:top w:val="nil"/>
              <w:bottom w:val="single" w:sz="4" w:space="0" w:color="auto"/>
            </w:tcBorders>
          </w:tcPr>
          <w:p w14:paraId="16F021EC" w14:textId="77777777" w:rsidR="00345D2A" w:rsidRPr="00345D2A" w:rsidRDefault="00345D2A" w:rsidP="0002758C">
            <w:pPr>
              <w:jc w:val="center"/>
              <w:rPr>
                <w:rFonts w:ascii="Times New Roman" w:eastAsiaTheme="minorHAnsi" w:hAnsi="Times New Roman" w:cs="Times New Roman"/>
                <w:sz w:val="24"/>
                <w:szCs w:val="24"/>
                <w:lang w:val="es-CL"/>
              </w:rPr>
            </w:pPr>
          </w:p>
          <w:p w14:paraId="15520D77"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19,4</w:t>
            </w:r>
          </w:p>
          <w:p w14:paraId="07DB4096"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46,5</w:t>
            </w:r>
          </w:p>
          <w:p w14:paraId="0149705F"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27,8</w:t>
            </w:r>
          </w:p>
          <w:p w14:paraId="796890A0" w14:textId="77777777" w:rsidR="00345D2A" w:rsidRPr="00345D2A" w:rsidRDefault="00345D2A" w:rsidP="0002758C">
            <w:pPr>
              <w:jc w:val="center"/>
              <w:rPr>
                <w:rFonts w:ascii="Times New Roman" w:eastAsiaTheme="minorHAnsi" w:hAnsi="Times New Roman" w:cs="Times New Roman"/>
                <w:sz w:val="24"/>
                <w:szCs w:val="24"/>
                <w:lang w:val="es-CL"/>
              </w:rPr>
            </w:pPr>
            <w:r w:rsidRPr="00345D2A">
              <w:rPr>
                <w:rFonts w:ascii="Times New Roman" w:eastAsiaTheme="minorHAnsi" w:hAnsi="Times New Roman" w:cs="Times New Roman"/>
                <w:sz w:val="24"/>
                <w:szCs w:val="24"/>
                <w:lang w:val="es-CL"/>
              </w:rPr>
              <w:t>6,3</w:t>
            </w:r>
          </w:p>
        </w:tc>
      </w:tr>
    </w:tbl>
    <w:p w14:paraId="43319B2C" w14:textId="77777777" w:rsidR="00007543" w:rsidRDefault="00345D2A" w:rsidP="00007543">
      <w:pPr>
        <w:spacing w:line="240" w:lineRule="auto"/>
        <w:jc w:val="both"/>
        <w:rPr>
          <w:rFonts w:ascii="Times New Roman" w:hAnsi="Times New Roman" w:cs="Times New Roman"/>
          <w:sz w:val="22"/>
          <w:szCs w:val="22"/>
          <w:lang w:val="es-CL"/>
        </w:rPr>
      </w:pPr>
      <w:r w:rsidRPr="00007543">
        <w:rPr>
          <w:rFonts w:ascii="Times New Roman" w:hAnsi="Times New Roman" w:cs="Times New Roman"/>
          <w:sz w:val="22"/>
          <w:szCs w:val="22"/>
          <w:lang w:val="es-CL"/>
        </w:rPr>
        <w:t xml:space="preserve">Nota: ICE= Informado cupo especial; IR= informado regular; P. Generación= Alumno primera generación; P. Pagado= Colegio particular pagado; P. </w:t>
      </w:r>
      <w:proofErr w:type="spellStart"/>
      <w:proofErr w:type="gramStart"/>
      <w:r w:rsidRPr="00007543">
        <w:rPr>
          <w:rFonts w:ascii="Times New Roman" w:hAnsi="Times New Roman" w:cs="Times New Roman"/>
          <w:sz w:val="22"/>
          <w:szCs w:val="22"/>
          <w:lang w:val="es-CL"/>
        </w:rPr>
        <w:t>Subv</w:t>
      </w:r>
      <w:proofErr w:type="spellEnd"/>
      <w:r w:rsidRPr="00007543">
        <w:rPr>
          <w:rFonts w:ascii="Times New Roman" w:hAnsi="Times New Roman" w:cs="Times New Roman"/>
          <w:sz w:val="22"/>
          <w:szCs w:val="22"/>
          <w:lang w:val="es-CL"/>
        </w:rPr>
        <w:t>.=</w:t>
      </w:r>
      <w:proofErr w:type="gramEnd"/>
      <w:r w:rsidRPr="00007543">
        <w:rPr>
          <w:rFonts w:ascii="Times New Roman" w:hAnsi="Times New Roman" w:cs="Times New Roman"/>
          <w:sz w:val="22"/>
          <w:szCs w:val="22"/>
          <w:lang w:val="es-CL"/>
        </w:rPr>
        <w:t xml:space="preserve"> Colegio particular subvencionado; </w:t>
      </w:r>
      <w:proofErr w:type="spellStart"/>
      <w:r w:rsidRPr="00007543">
        <w:rPr>
          <w:rFonts w:ascii="Times New Roman" w:hAnsi="Times New Roman" w:cs="Times New Roman"/>
          <w:sz w:val="22"/>
          <w:szCs w:val="22"/>
          <w:lang w:val="es-CL"/>
        </w:rPr>
        <w:t>pd</w:t>
      </w:r>
      <w:proofErr w:type="spellEnd"/>
      <w:r w:rsidRPr="00007543">
        <w:rPr>
          <w:rFonts w:ascii="Times New Roman" w:hAnsi="Times New Roman" w:cs="Times New Roman"/>
          <w:sz w:val="22"/>
          <w:szCs w:val="22"/>
          <w:lang w:val="es-CL"/>
        </w:rPr>
        <w:t>=distribución de postulantes al interior del conglomerado según variable de caracterización, expresado en porcentaje; pc= concentración del postulante según variable de caracterización por conglomerado, expresado en porcentaje.</w:t>
      </w:r>
    </w:p>
    <w:p w14:paraId="5D4363C8" w14:textId="6B15ECFD" w:rsidR="00345D2A" w:rsidRPr="00007543" w:rsidRDefault="00345D2A" w:rsidP="00007543">
      <w:pPr>
        <w:spacing w:line="240" w:lineRule="auto"/>
        <w:jc w:val="both"/>
        <w:rPr>
          <w:rFonts w:ascii="Times New Roman" w:hAnsi="Times New Roman" w:cs="Times New Roman"/>
          <w:sz w:val="22"/>
          <w:szCs w:val="22"/>
          <w:lang w:val="es-CL"/>
        </w:rPr>
      </w:pPr>
      <w:r w:rsidRPr="00007543">
        <w:rPr>
          <w:rFonts w:ascii="Times New Roman" w:hAnsi="Times New Roman" w:cs="Times New Roman"/>
          <w:sz w:val="22"/>
          <w:szCs w:val="22"/>
          <w:lang w:val="es-CL"/>
        </w:rPr>
        <w:t>Fuente: Elaboración propia con datos DEMRE 2020</w:t>
      </w:r>
    </w:p>
    <w:p w14:paraId="5E952821"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Desde una perspectiva analítica inferencial de corte correlacional o asociativo se observa precisamente la incidencia de atributos socioculturales y económicos en la vía de ingreso por cupo especial. El acceso bajo esta modalidad se constituye en una acción preferente de mujeres (32,2%), pertenecientes al 40% más pobre (30,4%), ser primera generación (31,2%) y haberse educado en un colegio municipal (34,5%), marcando en todos los casos diferencias estadísticamente significativas con su grupo de comparación (p&lt;0,00). En efecto, dentro del segmento de mujeres la proporción que accede por cupo especial supera en un 94,0% a la de hombres, mientras que estas brechas por quintil de ingreso y primera generación alcanzan el 173,9% y 143,8% respectivamente.</w:t>
      </w:r>
    </w:p>
    <w:p w14:paraId="1B315F38"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lastRenderedPageBreak/>
        <w:t>En lo que refiere a los atributos de trayectoria escolar y rendimiento en las pruebas de admisión, se registran significativas diferencias entre los conglomerados analizados observándose en el matriculado por cupo especial una tendencia a poseer un mejor desempeño durante la enseñanza media, en términos de NEM y Ranking, a la vez que exhibe un peor rendimiento comparado en las baterías de pruebas del proceso de admisión. Para efectos ilustrativos, en el segmento matriculado cupo especial en pedagogía, un 79,9% y un 88,8% obtienen menos de 500 puntos en lenguaje y matemáticas respectivamente, mientras que, al considerar los componentes de trayectoria escolar, la totalidad de los matriculados superan este parámetro, concentrándose en un 92,9% y 70,4% por sobre la barrera de 650 puntos en Ranking y NEM.</w:t>
      </w:r>
    </w:p>
    <w:p w14:paraId="2B50AC35" w14:textId="501EAA07"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Al ajustar el análisis de proporciones desde una perspectiva inferencial con contrastes de asociación se observan similares tendencias, dando cuenta que el cupo especial es una modalidad de ingreso que se activa preferentemente en aquellos estudiantes que obtuvieron bajo puntaje en las pruebas de admisión (p&lt;0,00). Quienes se matriculan en pedagogía con menos de 500 puntos en las pruebas de lenguaje o matemáticas, un 61,6% y 55,3% lo hace utilizando el cupo especial. Proporción que se reduce significativamente conforme mejora el desempeño en estas pruebas. Los componentes de trayectoria escolar como NEM y Ranking, si bien manifiestan un comportamiento inverso, presentan una tendencia claramente menos acentuada, de modo que solo 1 de cada 3 matriculados con rendimiento sobre los 650 puntos acceden a los programas de pedagogía por vía especial.</w:t>
      </w:r>
    </w:p>
    <w:p w14:paraId="30D0F122" w14:textId="01AB6A8C" w:rsidR="00007543" w:rsidRDefault="00007543" w:rsidP="00007543">
      <w:pPr>
        <w:spacing w:line="240" w:lineRule="auto"/>
        <w:rPr>
          <w:rFonts w:ascii="Times New Roman" w:hAnsi="Times New Roman" w:cs="Times New Roman"/>
          <w:lang w:val="es-CL"/>
        </w:rPr>
      </w:pPr>
      <w:r w:rsidRPr="00007543">
        <w:rPr>
          <w:rFonts w:ascii="Times New Roman" w:hAnsi="Times New Roman" w:cs="Times New Roman"/>
          <w:b/>
          <w:bCs/>
          <w:lang w:val="es-CL"/>
        </w:rPr>
        <w:t>Gráfico 2:</w:t>
      </w:r>
      <w:r w:rsidRPr="00345D2A">
        <w:rPr>
          <w:rFonts w:ascii="Times New Roman" w:hAnsi="Times New Roman" w:cs="Times New Roman"/>
          <w:lang w:val="es-CL"/>
        </w:rPr>
        <w:t xml:space="preserve"> Itinerario decisional del ICE matriculado en pedagogía</w:t>
      </w:r>
    </w:p>
    <w:p w14:paraId="64AD1D8F" w14:textId="669374F5" w:rsidR="00345D2A" w:rsidRDefault="00345D2A" w:rsidP="00345D2A">
      <w:pPr>
        <w:spacing w:line="240" w:lineRule="auto"/>
        <w:rPr>
          <w:rFonts w:ascii="Times New Roman" w:hAnsi="Times New Roman" w:cs="Times New Roman"/>
          <w:lang w:val="es-CL"/>
        </w:rPr>
      </w:pPr>
      <w:r w:rsidRPr="00512FDA">
        <w:rPr>
          <w:rFonts w:ascii="Arial" w:eastAsia="Arial" w:hAnsi="Arial" w:cs="Arial"/>
          <w:noProof/>
          <w:lang w:val="es-VE"/>
        </w:rPr>
        <w:lastRenderedPageBreak/>
        <w:drawing>
          <wp:inline distT="0" distB="0" distL="0" distR="0" wp14:anchorId="41FAB90A" wp14:editId="6DC09F81">
            <wp:extent cx="5400040" cy="4494337"/>
            <wp:effectExtent l="0" t="0" r="0" b="1905"/>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8">
                      <a:extLst>
                        <a:ext uri="{BEBA8EAE-BF5A-486C-A8C5-ECC9F3942E4B}">
                          <a14:imgProps xmlns:a14="http://schemas.microsoft.com/office/drawing/2010/main">
                            <a14:imgLayer r:embed="rId9">
                              <a14:imgEffect>
                                <a14:sharpenSoften amount="50000"/>
                              </a14:imgEffect>
                            </a14:imgLayer>
                          </a14:imgProps>
                        </a:ext>
                      </a:extLst>
                    </a:blip>
                    <a:srcRect t="3752" b="3752"/>
                    <a:stretch/>
                  </pic:blipFill>
                  <pic:spPr bwMode="auto">
                    <a:xfrm>
                      <a:off x="0" y="0"/>
                      <a:ext cx="5400040" cy="4494337"/>
                    </a:xfrm>
                    <a:prstGeom prst="rect">
                      <a:avLst/>
                    </a:prstGeom>
                    <a:ln>
                      <a:noFill/>
                    </a:ln>
                    <a:extLst>
                      <a:ext uri="{53640926-AAD7-44D8-BBD7-CCE9431645EC}">
                        <a14:shadowObscured xmlns:a14="http://schemas.microsoft.com/office/drawing/2010/main"/>
                      </a:ext>
                    </a:extLst>
                  </pic:spPr>
                </pic:pic>
              </a:graphicData>
            </a:graphic>
          </wp:inline>
        </w:drawing>
      </w:r>
    </w:p>
    <w:p w14:paraId="433A6AE0" w14:textId="094F9BE2" w:rsidR="00345D2A" w:rsidRPr="00007543" w:rsidRDefault="00345D2A" w:rsidP="00007543">
      <w:pPr>
        <w:spacing w:line="240" w:lineRule="auto"/>
        <w:jc w:val="both"/>
        <w:rPr>
          <w:rFonts w:ascii="Times New Roman" w:hAnsi="Times New Roman" w:cs="Times New Roman"/>
          <w:sz w:val="22"/>
          <w:szCs w:val="22"/>
          <w:lang w:val="es-CL"/>
        </w:rPr>
      </w:pPr>
      <w:r w:rsidRPr="00007543">
        <w:rPr>
          <w:rFonts w:ascii="Times New Roman" w:hAnsi="Times New Roman" w:cs="Times New Roman"/>
          <w:sz w:val="22"/>
          <w:szCs w:val="22"/>
          <w:lang w:val="es-CL"/>
        </w:rPr>
        <w:t>Nota: ICE= Informado Cupo Especial; NEM=Notas de Enseñanza Media; P Matemáticas=Puntaje en Prueba de Matemáticas; P Lenguaje= Puntaje en Prueba de Lenguaje. Método de crecimiento CHAID; Variable dependiente=ICE Matriculado en pedagogía; Error estándar= ,008; Estimación=,118; Porcentaje global de clasificación=88,2%. Fuente: Elaboración propia con datos DEMRE 2020.</w:t>
      </w:r>
    </w:p>
    <w:p w14:paraId="567374DB"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Siendo la unidad de observación el estudiante informado como cupo especial que se matricula en pedagogía (ICE), se quiso determinar los factores que modelan su panorama decisional respecto de acogerse a esta vía de acceso u optar por la modalidad tradicional. Para este efecto, se utiliza la técnica estadística de árboles de clasificación; modelamiento multivariante que, resguardado previamente determinados criterios e índices de ajuste, configuró una estructura jerárquica de 3 predictores y 11 Nodos.</w:t>
      </w:r>
    </w:p>
    <w:p w14:paraId="2656C788"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En lo específico, el análisis de segmentación reconoce en términos de magnitud y significancia la influencia de variables asociadas al desempeño en las pruebas de admisión y de trayectoria escolar, tales como el puntaje en los test de lenguaje, de matemáticas y NEM. Factores de perfil socioeconómico o de dependencia educativa, no resultaron significativos.</w:t>
      </w:r>
    </w:p>
    <w:p w14:paraId="6A317B4E"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 xml:space="preserve">El factor con mayor capacidad discriminativa en el itinerario decisional del ICE matriculado en pedagogía, es el puntaje obtenido en la P Lenguaje para la admisión </w:t>
      </w:r>
      <w:r w:rsidRPr="00345D2A">
        <w:rPr>
          <w:rFonts w:ascii="Times New Roman" w:hAnsi="Times New Roman" w:cs="Times New Roman"/>
          <w:lang w:val="es-CL"/>
        </w:rPr>
        <w:lastRenderedPageBreak/>
        <w:t>universitaria [X2=478,515; p valor=0,000], variable que se segmenta en 3 Nodos, uno de ellos terminal. La probabilidad de matricularse vía especial aumenta conforme disminuyen los puntajes alcanzados en esta prueba, de modo que quienes superan los 575 puntos (n=404), una proporción marginal de ellos (2,7%) opta por matricularse bajo esta modalidad (Nodo 3), cifra que asciende al 61,6% cuando se obtiene menos de 500 puntos (Nodo 1).</w:t>
      </w:r>
    </w:p>
    <w:p w14:paraId="07544372"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En un segundo nivel jerárquico se encuentra el puntaje obtenido en la prueba de matemáticas (P Matemáticas), variable que se bifurca sobre la base idénticas categorías (&lt;= 500; &gt;500) para cada uno de los nodos precedentes (Nodo 1 [X2= 208,107; p valor=0,000] y Nodo 2 [X2= 70,317; p valor=0,000]), de modo que conforme disminuyen los puntajes en esta prueba, aumenta la probabilidad de matricularse por vía especial. En efecto, la elevada posibilidad de optar por esta vía de ingreso cuando se alcanza un bajo puntaje en lenguaje (Nodo 1) se ve significativamente incrementada cuando este mal desempeño es también acompañado por un bajo puntaje en matemáticas (Nodo 4), situando la proporción de estudiantes que en este Nodo 4 optan por matricularse vía especial en un 83,0%; mientras que en el otro nodo hijo alcanza un escaso 17,5%.</w:t>
      </w:r>
    </w:p>
    <w:p w14:paraId="46AC134D"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Como contraparte se observa que el Nodo 2 del primer nivel jerárquico se segmenta igualmente sobre la base del predictor P Matemáticas (&lt;=500; &gt;500), de modo que prácticamente la totalidad de quienes alcanzan más de 500 puntos en este test se matriculan vía regular (Nodo 7; 97,1%).</w:t>
      </w:r>
    </w:p>
    <w:p w14:paraId="526D553A"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 xml:space="preserve">En un tercer nivel jerárquico, aparece el NEM como predictor, particularmente para los Nodos 4 y 6 que refieren a conglomerados que obtienen menos de 500 puntos en la P Matemáticas, de modo </w:t>
      </w:r>
      <w:proofErr w:type="gramStart"/>
      <w:r w:rsidRPr="00345D2A">
        <w:rPr>
          <w:rFonts w:ascii="Times New Roman" w:hAnsi="Times New Roman" w:cs="Times New Roman"/>
          <w:lang w:val="es-CL"/>
        </w:rPr>
        <w:t>que</w:t>
      </w:r>
      <w:proofErr w:type="gramEnd"/>
      <w:r w:rsidRPr="00345D2A">
        <w:rPr>
          <w:rFonts w:ascii="Times New Roman" w:hAnsi="Times New Roman" w:cs="Times New Roman"/>
          <w:lang w:val="es-CL"/>
        </w:rPr>
        <w:t xml:space="preserve"> en estos nodos del nivel precedente, conforme mejora el desempeño escolar registrado durante la enseñanza media, aumenta la probabilidad de matricularse vía especial.</w:t>
      </w:r>
    </w:p>
    <w:p w14:paraId="476B6D42" w14:textId="77777777" w:rsidR="00345D2A" w:rsidRP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Para el caso de los estudiantes que registraron bajo puntaje en P Lenguaje y en P Matemáticas (Nodo 4) el comportamiento del NEM evidenció una significativa capacidad discriminativa [x2=15,986; p valor= 0,000]. De esta forma, cuando el desempeño escolar no supera los 650 puntos, un 72,2% se matricula vía especial (Nodo 8), cifra que asciende al 88,9% cuando se supera este umbral (Nodo 9). Por su parte, aquellos que derivan del Nodo 6, es decir, registran un regular desempeño en P Lenguaje (500-575 puntos) y no superan los 500 puntos en P Matemáticas, la modalidad de matrícula preferente es vía regular, aunque esta probabilidad se ve también afectada por el NEM [x2=10,616; p valor= 0,000].</w:t>
      </w:r>
    </w:p>
    <w:p w14:paraId="53910A39" w14:textId="7F4B58FC" w:rsidR="00345D2A" w:rsidRDefault="00345D2A" w:rsidP="00007543">
      <w:pPr>
        <w:spacing w:line="240" w:lineRule="auto"/>
        <w:jc w:val="both"/>
        <w:rPr>
          <w:rFonts w:ascii="Times New Roman" w:hAnsi="Times New Roman" w:cs="Times New Roman"/>
          <w:lang w:val="es-CL"/>
        </w:rPr>
      </w:pPr>
      <w:r w:rsidRPr="00345D2A">
        <w:rPr>
          <w:rFonts w:ascii="Times New Roman" w:hAnsi="Times New Roman" w:cs="Times New Roman"/>
          <w:lang w:val="es-CL"/>
        </w:rPr>
        <w:t>En síntesis, el árbol de segmentación releva la importancia del nivel de desempeño en los test de admisión y de trayectoria escolar por sobre otros factores de orden socioeconómico y educativo. De este modo, cuando se obtiene un bajo desempeño en P Lenguaje, la probabilidad de matricularse vía cupo especial (Nodo 1; 61,6%) se incrementa en un 34,7% cuando este comportamiento es acompañado de bajo rendimiento en P Matemáticas (Nodo 4; 83,0%); proporción que en un tercer nivel de desagregación se posiciona aditivamente en un 88,9% cuando este estudiante registra un alto desempeño escolar (Nodo 9).</w:t>
      </w:r>
    </w:p>
    <w:p w14:paraId="52F731B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lastRenderedPageBreak/>
        <w:t>DISCUSIÓN DE RESULTADOS</w:t>
      </w:r>
    </w:p>
    <w:p w14:paraId="703AD786"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En la búsqueda de corregir los sesgos de selección de las pruebas de admisión e igualar oportunidades de acceso a la educación superior de grupos históricamente vulnerables, se instalan determinados lineamientos de política pública de acción afirmativa que ofrecen modalidades de ingreso alternativo, tal como es el caso del Programa de Acceso y Acompañamiento Efectivo a la Educación Superior (PACE) objeto de análisis de este estudio (Cooper et al., 2019; Castro et al., 2016). En consecuencia, sobre la base de esta reducción de sesgo e igualdad de oportunidades pretendida, resulta lógico que el matriculado vía especial y matriculado vía general se puedan diferenciar según sus parámetros socioeconómicos y educativos, puesto que son precisamente estas coordenadas las que definen el ser informado o no como cupo especial, aunque sus proporciones y cuotas estarán matizadas en razón de la institución y carrera.</w:t>
      </w:r>
    </w:p>
    <w:p w14:paraId="1C6B29AA"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Se ha hallado que los análisis distributivos, inferenciales de asociación y el modelo multivariante de árboles de clasificación, dan cuenta de que la matrícula vía especial en pedagogía es una opción preferencial de alumnos con bajo puntaje en las pruebas de admisión, pero alto desempeño escolar. Por su parte, las coordenadas de naturaleza socioeconómica resultaron menos significativas, particularmente al realizar el análisis multivariante y controlar el efecto de interdependencia de los predictores.</w:t>
      </w:r>
    </w:p>
    <w:p w14:paraId="562A2D82"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En este sentido, los cupos especiales se orientarían a brindar oportunidades de continuación de estudios terciarios a estudiantes vulnerables que, pese a exhibir trayectorias escolares destacadas, no logran refrendar dicho rendimiento en las pruebas de admisión (</w:t>
      </w:r>
      <w:proofErr w:type="spellStart"/>
      <w:r w:rsidRPr="00007543">
        <w:rPr>
          <w:rFonts w:ascii="Times New Roman" w:hAnsi="Times New Roman" w:cs="Times New Roman"/>
          <w:lang w:val="es-CL"/>
        </w:rPr>
        <w:t>Kri</w:t>
      </w:r>
      <w:proofErr w:type="spellEnd"/>
      <w:r w:rsidRPr="00007543">
        <w:rPr>
          <w:rFonts w:ascii="Times New Roman" w:hAnsi="Times New Roman" w:cs="Times New Roman"/>
          <w:lang w:val="es-CL"/>
        </w:rPr>
        <w:t xml:space="preserve"> et al., 2013). Se constituye en una vía de ingreso alternativo que, al no considerar los resultados de estas pruebas en su algoritmo de cálculo para estimar el puntaje de ingreso, pretende corregir en parte los históricos sesgos de selección de estos test estandarizados (Opazo et al., 2018).</w:t>
      </w:r>
    </w:p>
    <w:p w14:paraId="2B20AA6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No </w:t>
      </w:r>
      <w:proofErr w:type="gramStart"/>
      <w:r w:rsidRPr="00007543">
        <w:rPr>
          <w:rFonts w:ascii="Times New Roman" w:hAnsi="Times New Roman" w:cs="Times New Roman"/>
          <w:lang w:val="es-CL"/>
        </w:rPr>
        <w:t>obstante</w:t>
      </w:r>
      <w:proofErr w:type="gramEnd"/>
      <w:r w:rsidRPr="00007543">
        <w:rPr>
          <w:rFonts w:ascii="Times New Roman" w:hAnsi="Times New Roman" w:cs="Times New Roman"/>
          <w:lang w:val="es-CL"/>
        </w:rPr>
        <w:t xml:space="preserve"> lo anterior, los análisis reportan que, al menos en lo que refiere a programas de pedagogía, el ingreso vía especial está más condicionado por los niveles de logros o desempeño alcanzado en las pruebas de admisión que por coordenadas socioeconómicas o atributos de origen. La ausencia o escasa diferenciación en el perfil socioeconómico de los alumnos que se matriculan en pedagogía según la vía de admisión utilizada, pone en cuestión la real capacidad inclusiva del programa PACE en determinadas carreras.</w:t>
      </w:r>
    </w:p>
    <w:p w14:paraId="1F35BA30"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Asimismo, diversos estudios han dado cuenta de la estrecha relación que existe entre orígenes socioeconómicos-educativos bajos y elección de carreras como pedagogía (</w:t>
      </w:r>
      <w:proofErr w:type="spellStart"/>
      <w:r w:rsidRPr="00007543">
        <w:rPr>
          <w:rFonts w:ascii="Times New Roman" w:hAnsi="Times New Roman" w:cs="Times New Roman"/>
          <w:lang w:val="es-CL"/>
        </w:rPr>
        <w:t>Dufraix</w:t>
      </w:r>
      <w:proofErr w:type="spellEnd"/>
      <w:r w:rsidRPr="00007543">
        <w:rPr>
          <w:rFonts w:ascii="Times New Roman" w:hAnsi="Times New Roman" w:cs="Times New Roman"/>
          <w:lang w:val="es-CL"/>
        </w:rPr>
        <w:t xml:space="preserve">, Fernández y Anguita, 2020). Dentro de estas carreras se observa relativa homogeneidad, con un perfil que se caracteriza por ser estudiantes mujeres, de bajo capital familiar, provenir de los quintiles de ingreso más pobres, haber egresado de establecimientos municipales o particulares subvencionados, ser primera generación en ingresar a la educación superior y por exhibir, comparativamente, deficientes niveles de logro en pruebas estandarizas como el SIMCE y pruebas de admisión a la universidad (Rodríguez et al., 2020; Gómez y Castillo, 2019; Gil-Llambías et al., 2019).  Por otra parte, y a pesar de las mejoras realizadas a nivel de política pública y empleabilidad, la profesión docente continúa siendo una actividad de baja valoración social que no ha </w:t>
      </w:r>
      <w:r w:rsidRPr="00007543">
        <w:rPr>
          <w:rFonts w:ascii="Times New Roman" w:hAnsi="Times New Roman" w:cs="Times New Roman"/>
          <w:lang w:val="es-CL"/>
        </w:rPr>
        <w:lastRenderedPageBreak/>
        <w:t xml:space="preserve">logrado atraer a los candidatos académicamente más talentosos (Acción Educar, 2021; </w:t>
      </w:r>
      <w:proofErr w:type="spellStart"/>
      <w:r w:rsidRPr="00007543">
        <w:rPr>
          <w:rFonts w:ascii="Times New Roman" w:hAnsi="Times New Roman" w:cs="Times New Roman"/>
          <w:lang w:val="es-CL"/>
        </w:rPr>
        <w:t>Hormazabal</w:t>
      </w:r>
      <w:proofErr w:type="spellEnd"/>
      <w:r w:rsidRPr="00007543">
        <w:rPr>
          <w:rFonts w:ascii="Times New Roman" w:hAnsi="Times New Roman" w:cs="Times New Roman"/>
          <w:lang w:val="es-CL"/>
        </w:rPr>
        <w:t xml:space="preserve">, </w:t>
      </w:r>
      <w:proofErr w:type="spellStart"/>
      <w:r w:rsidRPr="00007543">
        <w:rPr>
          <w:rFonts w:ascii="Times New Roman" w:hAnsi="Times New Roman" w:cs="Times New Roman"/>
          <w:lang w:val="es-CL"/>
        </w:rPr>
        <w:t>Abricot</w:t>
      </w:r>
      <w:proofErr w:type="spellEnd"/>
      <w:r w:rsidRPr="00007543">
        <w:rPr>
          <w:rFonts w:ascii="Times New Roman" w:hAnsi="Times New Roman" w:cs="Times New Roman"/>
          <w:lang w:val="es-CL"/>
        </w:rPr>
        <w:t>, Oyarzo, Alvarado y Bravo, 2020).</w:t>
      </w:r>
    </w:p>
    <w:p w14:paraId="6B348094"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De esta manera, en un contexto de calidad segmentada, un estudiante de mejor trayectoria escolar pero que no está circunscrito a la misma precariedad educativa que su par informado como cupo especial, no solo tendrá mayores posibilidades de exhibir mejores resultados en las pruebas de admisión, sino que además podrá postular a carreras más selectivas y de mayor prestigio social (Gómez y Castillo, 2019; Rodríguez y Castillo, 2014). Es decir, en este tipo de alumnos socialmente aventajados el panorama decisional se amplía abriendo un abanico de posibilidades para materializar otros anhelos vocacionales y elección profesional. En cambio, cuando el estudiante académicamente talentoso pertenece a los grupos más vulnerables, se restringe significativamente la disponibilidad y variedad de sus elecciones profesionales. De allí que en carreras como pedagogía no se observen diferencias relevantes en términos socioeconómicos entre estudiantes que ingresan vía cupo especial o vía regular, fenómeno que sí es posible constatar al momento de explorar su desempeño en las pruebas de admisión.</w:t>
      </w:r>
    </w:p>
    <w:p w14:paraId="58358FF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De allí que la precariedad educativa conduce en el estudiante talentoso a un ajuste de expectativas al no poder refrendar su buen rendimiento escolar en las pruebas de admisión universitaria. La baja correlación observada entre trayectoria escolar y rendimiento en las pruebas de admisión no solo es resultado de las diferenciadas políticas evaluativas expresadas en una inflación de calificaciones, sino que además es consecuencia de los problemas de formación académica y vacíos curriculares (Rodríguez et al.,2021; Rodríguez et al., 2020; Walker y García, 2019; Bellei, 2013). En efecto, en escenarios de precariedad tienden a disminuir los niveles de cobertura y profundidad curricular puesto que el docente no solo debe hacerse cargo de los hándicaps educativos realizando procesos remediales y de nivelación, sino que también atender a un conjunto de problemáticas de orden socioemocional y/o conductual que escapan de lo estrictamente pedagógico (</w:t>
      </w:r>
      <w:proofErr w:type="gramStart"/>
      <w:r w:rsidRPr="00007543">
        <w:rPr>
          <w:rFonts w:ascii="Times New Roman" w:hAnsi="Times New Roman" w:cs="Times New Roman"/>
          <w:lang w:val="es-CL"/>
        </w:rPr>
        <w:t>Gallegos</w:t>
      </w:r>
      <w:proofErr w:type="gramEnd"/>
      <w:r w:rsidRPr="00007543">
        <w:rPr>
          <w:rFonts w:ascii="Times New Roman" w:hAnsi="Times New Roman" w:cs="Times New Roman"/>
          <w:lang w:val="es-CL"/>
        </w:rPr>
        <w:t xml:space="preserve"> y Campos, 2021; Espinoza y González, 2015). Estas acciones, si bien procuran instalar condiciones para el aprendizaje, ralentizan la progresión curricular y configuran un quehacer pedagógico de complejidad que, al no ser extensivo a todo el sistema escolar, profundiza las desventajas y desigualdades que son constatadas en los procesos de admisión a la educación superior, incluso en los alumnos académicamente talentosos de sectores vulnerables. Ello explicaría por qué estudiantes informados como cupo especial que se matriculan en pedagogía perteneciendo a los percentiles de mejor desempeño escolar, no logran sostener igual estándar en las pruebas de admisión universitaria.</w:t>
      </w:r>
    </w:p>
    <w:p w14:paraId="19E20893"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Por otra parte, en familias vulnerables, particularmente con estudiantes talentosos, la educación superior es concebida como una inversión para conseguir movilidad social, prestigio y retornos económicos (</w:t>
      </w:r>
      <w:proofErr w:type="spellStart"/>
      <w:r w:rsidRPr="00007543">
        <w:rPr>
          <w:rFonts w:ascii="Times New Roman" w:hAnsi="Times New Roman" w:cs="Times New Roman"/>
          <w:lang w:val="es-CL"/>
        </w:rPr>
        <w:t>Böck</w:t>
      </w:r>
      <w:proofErr w:type="spellEnd"/>
      <w:r w:rsidRPr="00007543">
        <w:rPr>
          <w:rFonts w:ascii="Times New Roman" w:hAnsi="Times New Roman" w:cs="Times New Roman"/>
          <w:lang w:val="es-CL"/>
        </w:rPr>
        <w:t xml:space="preserve">, 2019; Ferrada, 2018). Si bien es cierto que el acceso a la educación superior se ha masificado y democratizado y que son los estudiantes junto a sus familias los que escogen dónde y qué quieren estudiar, la verdad es que las expectativas y elección educativa están condicionadas y restringidas por los recursos sociales, culturales y económicos que se disponen en el hogar, lo que convierte a la decisión educativa en una prerrogativa de clases, que reproduce brechas e inequidad </w:t>
      </w:r>
      <w:r w:rsidRPr="00007543">
        <w:rPr>
          <w:rFonts w:ascii="Times New Roman" w:hAnsi="Times New Roman" w:cs="Times New Roman"/>
          <w:lang w:val="es-CL"/>
        </w:rPr>
        <w:lastRenderedPageBreak/>
        <w:t>social (Rodríguez et al., 2021; Faúndez, Labarca, Cornejo, Villarroel, y Gil, 2017). Precisamente sería este panorama el que configura la relativa homogeneidad observada respecto del perfil del estudiante matriculado en pedagogía, incluso controlando por modalidad de acceso, a la vez que profundiza sus diferencias con otras elecciones profesionales.</w:t>
      </w:r>
    </w:p>
    <w:p w14:paraId="0F6FA834"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Que el estudiantado, en particular el que se matricula vía especial, obtenga un bajo desempeño en las pruebas de admisión universitaria no constituye un problema en sí mismo, por dos principales razones. En primer lugar, el ingreso vía cupo especial no solo viene a regular la otrora hegemonía que tenían las pruebas de admisión para el ingreso a la universidad y con ello reducir brechas socioeconómicas de origen, sino que además releva la importancia de la trayectoria escolar. En efecto, al considerar el desempeño escolar del estudiante se pesquisa también un conjunto de habilidades blandas de carácter transversal tanto o más fundamentales para el éxito académico en la educación superior. Desde la literatura consultada, se estima que un estudiante que despliega un buen desempeño durante la enseñanza media se caracteriza por una serie de atributos vinculantes con la responsabilidad, la perseverancia, el gusto y facilidad por el estudio, así como, particularmente en aquellos educados en contexto de vulnerabilidad, la resiliencia (Rodríguez et al., 2021; Gil-Llambías et al., 2019)</w:t>
      </w:r>
    </w:p>
    <w:p w14:paraId="49947A3A"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Y, en segundo lugar, las universidades que se adhieren a esta modalidad de ingreso, lo hacen con objeto de favorecer la inclusión social ofreciendo oportunidades educativas a estudiantes talentosos que de otra forma no hubiesen podido acceder (Cooper et al., 2019) y, en tanto entidades selectivas y de prestigio, resguardan la calidad del proceso formativo instalando acciones remediales y de acompañamiento que enfrentan tempranamente los hándicaps de entrada de sus estudiantes; acciones que deberían ser particularmente notorias en el caso de los matriculados vía especial atendiendo a los hallazgos aquí reportados en lo que refiere al rendimiento en las pruebas de matemáticas y lenguaje. Cabe hacer presente que los test de admisión están alineados con las bases curriculares para la enseñanza media y en su aplicación recogen, dado el contexto de profunda segmentación de la educación chilena, las diferenciadas coberturas de un currículum aparentemente universal (Cases, 2020; Bellei, 2013).</w:t>
      </w:r>
    </w:p>
    <w:p w14:paraId="6021EAC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Reconociendo la importancia de los cupos especiales para reducir sesgos y generar oportunidades educativas, el análisis aquí efectuado pone también en cuestión el eventual riesgo de un uso instrumental del mecanismo de admisión especial con objeto de subsanar los déficits de matrícula. Motivación que, en tanto externalidad no prevista, puede trastocar y contaminar el loable propósito de la inclusión social que inspira a esta política educativa. Esto resulta particularmente complejo dado el modelo de financiamiento que rige en la educación superior y las actuales condiciones en que se imparte la formación inicial docente (Rodríguez et al., 2020; Bellei y Valenzuela, 2010).</w:t>
      </w:r>
    </w:p>
    <w:p w14:paraId="1038706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En un contexto de financiamiento vía </w:t>
      </w:r>
      <w:proofErr w:type="spellStart"/>
      <w:r w:rsidRPr="00007543">
        <w:rPr>
          <w:rFonts w:ascii="Times New Roman" w:hAnsi="Times New Roman" w:cs="Times New Roman"/>
          <w:lang w:val="es-CL"/>
        </w:rPr>
        <w:t>voucher</w:t>
      </w:r>
      <w:proofErr w:type="spellEnd"/>
      <w:r w:rsidRPr="00007543">
        <w:rPr>
          <w:rFonts w:ascii="Times New Roman" w:hAnsi="Times New Roman" w:cs="Times New Roman"/>
          <w:lang w:val="es-CL"/>
        </w:rPr>
        <w:t xml:space="preserve">, donde los fondos siguen a los alumnos, los déficits de matrícula ponen en riesgo la sustentabilidad económica de un programa, a la vez que posibilita la instalación de estrategias institucionales como mecanismo de compensación, generando o haciendo uso de incentivos a la demanda que pueden pervertir la inspiración de esta política educativa. Riesgo del cual los programas de </w:t>
      </w:r>
      <w:r w:rsidRPr="00007543">
        <w:rPr>
          <w:rFonts w:ascii="Times New Roman" w:hAnsi="Times New Roman" w:cs="Times New Roman"/>
          <w:lang w:val="es-CL"/>
        </w:rPr>
        <w:lastRenderedPageBreak/>
        <w:t>admisión especial no estarían exentos. En efecto, los cupos especiales se pueden articular como una maniobra para complementar eventuales déficit de matrícula, sin tener que modificar las exigencias formalmente preestablecidas para el ingreso regular. Si bien esta puede ser una tesis controversial que requiere estudios más profundos, los hallazgos de esta investigación posibilitarían constituirla en una explicación provisional y tentativa; ello en atención a la escasa diferenciación por atributos socioeducativos y económicos en contra parte con la significativa relevancia que adquirieron los puntajes en las pruebas de admisión al comparar las diversas vías de ingreso a pedagogía.</w:t>
      </w:r>
    </w:p>
    <w:p w14:paraId="603C8A96"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A la luz de la evidencia establecida y al menos a lo que a pedagogía refiere, los cupos especiales pondrían en tensión el propósito de la inclusión social, toda vez que la formación inicial docente suele atender a una población de características sociales muy homogéneas y las vías de ingreso se constituyen principalmente en un clivaje entre quienes superan la barrera del puntaje mínimo de admisión y quienes no logran hacerlo, pero siempre referidos a una misma población.</w:t>
      </w:r>
    </w:p>
    <w:p w14:paraId="0D9D89AB"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De tal manera, en el proceso de dignificación docente se instalan un conjunto de medidas que, por un lado, mejora las condiciones laborales y oportunidades de perfeccionamiento para profesores en ejercicio y, por otro, aumenta las exigencias de ingreso a las carreras, además de generar una serie de incentivos a la demanda con objeto de atraer a estudiantes de mejor perfil académico. Los incentivos generados no tuvieron el impacto esperado y las mayores exigencias en puntaje para ingresar a pedagogía derivaron en lo inmediato en una fuerte y significativa reducción de sus niveles de matrícula, situación que pone en riesgo la sustentabilidad económica de estos programas en un contexto de financiamiento a la demanda (Acción Educar, 2021; Rodríguez et al., 2020). De allí la importancia que registra la vía de admisión especial en pedagogía tanto en número de cupos ofertados en comparación a otras carreras, la alta proporción que alcanzan en la composición de su matrícula, así como la significativa prevalencia, muy por sobre otro atributo, que adquiere el hecho de no haber obtenido los 500 puntos en las pruebas de admisión, puntaje formalmente exigido para el ingreso a pedagogía por la vía regular.</w:t>
      </w:r>
    </w:p>
    <w:p w14:paraId="06D82AA5" w14:textId="6FB70B2F" w:rsidR="00007543" w:rsidRPr="00345D2A"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En síntesis, es posible inferir que las políticas de inclusión social e igualdad de oportunidades educativas, encuentran su limitación en el modelo de financiamiento a la demanda del sistema educacional chileno, puesto que gran parte del sostén económico de los programas depende del cobro de arancel y de los volúmenes de la matrícula. El déficit y desinterés por programas como pedagogía, no solo pone en riesgo su viabilidad y sostenibilidad, sino que además en un contexto de mayores exigencias, obliga la articulación de mecanismos compensatorios que pueden enturbiar los principios inspiradores de esta política pública.</w:t>
      </w:r>
    </w:p>
    <w:p w14:paraId="12CE0BCB" w14:textId="6A82741F" w:rsidR="005F3B2E" w:rsidRDefault="005F3B2E" w:rsidP="00007543">
      <w:pPr>
        <w:spacing w:line="240" w:lineRule="auto"/>
        <w:jc w:val="both"/>
        <w:rPr>
          <w:rFonts w:ascii="Times New Roman" w:hAnsi="Times New Roman" w:cs="Times New Roman"/>
          <w:b/>
          <w:bCs/>
          <w:lang w:val="es-CL"/>
        </w:rPr>
      </w:pPr>
      <w:r w:rsidRPr="001A148A">
        <w:rPr>
          <w:rFonts w:ascii="Times New Roman" w:hAnsi="Times New Roman" w:cs="Times New Roman"/>
          <w:b/>
          <w:bCs/>
          <w:lang w:val="es-CL"/>
        </w:rPr>
        <w:t>Conclusiones</w:t>
      </w:r>
    </w:p>
    <w:p w14:paraId="4DA06848"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El sistema educacional chileno se encuentra profundamente segmentado. En la medida en que la vulnerabilidad crece, la cobertura y profundidad curricular disminuyen; situación que afecta incluso a alumnos de meritoria trayectoria escolar, quienes, dado su contexto de vulnerabilidad, no logran refrendar este desempeño en las pruebas de admisión. De allí que la asignación de cupos especiales o programas de admisión no </w:t>
      </w:r>
      <w:r w:rsidRPr="001A148A">
        <w:rPr>
          <w:rFonts w:ascii="Times New Roman" w:hAnsi="Times New Roman" w:cs="Times New Roman"/>
          <w:lang w:val="es-CL"/>
        </w:rPr>
        <w:lastRenderedPageBreak/>
        <w:t>tradicional, contribuyan a la inclusión social e igualdad de oportunidades educativas en el acceso a la educación superior.</w:t>
      </w:r>
    </w:p>
    <w:p w14:paraId="1DCD73CA"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No </w:t>
      </w:r>
      <w:proofErr w:type="gramStart"/>
      <w:r w:rsidRPr="001A148A">
        <w:rPr>
          <w:rFonts w:ascii="Times New Roman" w:hAnsi="Times New Roman" w:cs="Times New Roman"/>
          <w:lang w:val="es-CL"/>
        </w:rPr>
        <w:t>obstante</w:t>
      </w:r>
      <w:proofErr w:type="gramEnd"/>
      <w:r w:rsidRPr="001A148A">
        <w:rPr>
          <w:rFonts w:ascii="Times New Roman" w:hAnsi="Times New Roman" w:cs="Times New Roman"/>
          <w:lang w:val="es-CL"/>
        </w:rPr>
        <w:t xml:space="preserve"> lo anterior, y particularmente en lo que refiere a carreras como pedagogía, el perfil de estudiantes que acceden bajo esta modalidad se caracteriza preferencialmente por el bajo desempeño exhibido en las pruebas de admisión que por atributos socioeconómicos o familiares de origen; comportamiento de la demanda que pone en tensión la contribución a la </w:t>
      </w:r>
      <w:proofErr w:type="spellStart"/>
      <w:r w:rsidRPr="001A148A">
        <w:rPr>
          <w:rFonts w:ascii="Times New Roman" w:hAnsi="Times New Roman" w:cs="Times New Roman"/>
          <w:lang w:val="es-CL"/>
        </w:rPr>
        <w:t>mixturización</w:t>
      </w:r>
      <w:proofErr w:type="spellEnd"/>
      <w:r w:rsidRPr="001A148A">
        <w:rPr>
          <w:rFonts w:ascii="Times New Roman" w:hAnsi="Times New Roman" w:cs="Times New Roman"/>
          <w:lang w:val="es-CL"/>
        </w:rPr>
        <w:t xml:space="preserve"> del alumnado en determinados programas.</w:t>
      </w:r>
    </w:p>
    <w:p w14:paraId="6DDFD9DB"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 En efecto, la calidad educativa profundamente segmentada y el modelo de financiamiento a la demanda, condicionan determinadas externalidades en la política de inclusión social e igualdad de oportunidades.</w:t>
      </w:r>
    </w:p>
    <w:p w14:paraId="3FB59FB8"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En primer lugar, las universidades deben enfrentar los vacíos curriculares que presentan los estudiantes de admisión especial a fin de no comprometer sus índices de eficiencia interna y responder a las altas expectativas de estos; desafíos institucionales que desincentivarían la adscripción a la política de inclusión. En segundo lugar, el modelo de financiamiento vía </w:t>
      </w:r>
      <w:proofErr w:type="spellStart"/>
      <w:r w:rsidRPr="001A148A">
        <w:rPr>
          <w:rFonts w:ascii="Times New Roman" w:hAnsi="Times New Roman" w:cs="Times New Roman"/>
          <w:lang w:val="es-CL"/>
        </w:rPr>
        <w:t>voucher</w:t>
      </w:r>
      <w:proofErr w:type="spellEnd"/>
      <w:r w:rsidRPr="001A148A">
        <w:rPr>
          <w:rFonts w:ascii="Times New Roman" w:hAnsi="Times New Roman" w:cs="Times New Roman"/>
          <w:lang w:val="es-CL"/>
        </w:rPr>
        <w:t xml:space="preserve"> posibilita la instrumentalización de la admisión por vía especial para subsanar los déficits de matrícula. Lo anterior explicaría la baja adhesión que tienen las carreras de mayor prestigio, en contraposición al significativo número de cupos que asignan aquellas de baja valoración social y demanda, tal como sucede con pedagogía.</w:t>
      </w:r>
    </w:p>
    <w:p w14:paraId="35BD24BF"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Por su parte, en términos de demanda, pedagogía se ha caracterizado por ser opción preferencial de los segmentos de menores ingresos y de bajos puntajes en las pruebas de admisión; a lo que se suma, en cuanto a la oferta, una merma sostenida en sus niveles de matrícula dadas las mayores exigencias de ingreso y el débil impacto que ha tenido la política de incentivo para atraer estudiantes de mejor perfil académico. Estos atributos explicarían la homogeneidad socioeconómica observada en su alumnado con independencia de la vía de acceso, en comparación a la predominancia que adquiere el desempeño en las pruebas de admisión, particularmente bajo en los ingresos vía cupo especial.</w:t>
      </w:r>
    </w:p>
    <w:p w14:paraId="34377121"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Si bien la tesis del uso instrumental de esta política de inclusión es controversial y requiere de mayores análisis y nuevas investigaciones, por de pronto, esta se constituye en una hipótesis plausible al observar la magnitud y concentración de los cupos especiales en carreras como pedagogía, así como la prevalencia que registran los componentes de rendimiento en las pruebas de selección universitaria, dadas las actuales dificultades para completar sus vacantes regulares.</w:t>
      </w:r>
    </w:p>
    <w:p w14:paraId="4DFBCC3D" w14:textId="77777777" w:rsidR="001A148A"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En este escenario, la posible instrumentalización institucional de la admisión vía cupo especial, implica para las carreras de pedagogía desandar el camino recorrido que buscaba posicionarla como una alternativa profesional atractiva, exigente y de calidad, capaz de atraer a candidatos cada vez más talentosos y, por su intermedio, nutrirse del efecto grupo en los procesos de formación inicial docente.</w:t>
      </w:r>
    </w:p>
    <w:p w14:paraId="544B704F" w14:textId="4FD7246A" w:rsidR="00BC236F" w:rsidRPr="001A148A" w:rsidRDefault="001A148A" w:rsidP="00007543">
      <w:pPr>
        <w:spacing w:line="240" w:lineRule="auto"/>
        <w:jc w:val="both"/>
        <w:rPr>
          <w:rFonts w:ascii="Times New Roman" w:hAnsi="Times New Roman" w:cs="Times New Roman"/>
          <w:lang w:val="es-CL"/>
        </w:rPr>
      </w:pPr>
      <w:r w:rsidRPr="001A148A">
        <w:rPr>
          <w:rFonts w:ascii="Times New Roman" w:hAnsi="Times New Roman" w:cs="Times New Roman"/>
          <w:lang w:val="es-CL"/>
        </w:rPr>
        <w:t xml:space="preserve">Se comprende que, si bien se ha avanzado en la promoción de políticas de igualdad de oportunidades en el campo educativo, estos cambios serán superficiales y paliativos de </w:t>
      </w:r>
      <w:r w:rsidRPr="001A148A">
        <w:rPr>
          <w:rFonts w:ascii="Times New Roman" w:hAnsi="Times New Roman" w:cs="Times New Roman"/>
          <w:lang w:val="es-CL"/>
        </w:rPr>
        <w:lastRenderedPageBreak/>
        <w:t>no mediar un cambio estructural al modelo de financiamiento en educación superior, con el añadido que en el actual escenario los objetivos que inspiran la política de inclusión social, pueden verse contaminados por estrategias institucionales de fines espurios.</w:t>
      </w:r>
    </w:p>
    <w:p w14:paraId="39B57161" w14:textId="69DC08D7" w:rsidR="005F3B2E" w:rsidRPr="001A148A" w:rsidRDefault="005F3B2E" w:rsidP="007B5B5F">
      <w:pPr>
        <w:spacing w:line="240" w:lineRule="auto"/>
        <w:rPr>
          <w:rFonts w:ascii="Times New Roman" w:hAnsi="Times New Roman" w:cs="Times New Roman"/>
          <w:b/>
          <w:bCs/>
          <w:lang w:val="es-CL"/>
        </w:rPr>
      </w:pPr>
      <w:r w:rsidRPr="001A148A">
        <w:rPr>
          <w:rFonts w:ascii="Times New Roman" w:hAnsi="Times New Roman" w:cs="Times New Roman"/>
          <w:b/>
          <w:bCs/>
          <w:lang w:val="es-CL"/>
        </w:rPr>
        <w:t>Referencias Bibliográficas (APA 7)</w:t>
      </w:r>
    </w:p>
    <w:p w14:paraId="4A9479C8"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Arias, P., &amp; Villarroel, T. (2019). Radiografía a las carreras de pedagogía y propuestas para maximizar el impacto de la Ley de Desarrollo Profesional docente. Acción Educar.</w:t>
      </w:r>
    </w:p>
    <w:p w14:paraId="3D10C4B9"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Barra, I., López, N., Baltierra, F., &amp; Albornoz, M. (2018). Caracterización de primera generación de estudiantes PACE que ingresan a la Universidad de Talca. Cuadernos de inclusión(2), 18-31.</w:t>
      </w:r>
    </w:p>
    <w:p w14:paraId="4757C998" w14:textId="52EA7544"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Bellei, C. (2013). El estudio de la segregación socioeconómica y académica de la educación chilena. Estudios Pedagógicos, 39(1), 325-345. </w:t>
      </w:r>
      <w:hyperlink r:id="rId10" w:history="1">
        <w:r w:rsidRPr="00007543">
          <w:rPr>
            <w:rFonts w:ascii="Times New Roman" w:hAnsi="Times New Roman" w:cs="Times New Roman"/>
            <w:lang w:val="es-CL"/>
          </w:rPr>
          <w:t>http://www.scielo.cl/scielo.php?script=sci_arttext&amp;pid=S0718-07052013000100019</w:t>
        </w:r>
      </w:hyperlink>
      <w:r w:rsidRPr="00007543">
        <w:rPr>
          <w:rFonts w:ascii="Times New Roman" w:hAnsi="Times New Roman" w:cs="Times New Roman"/>
          <w:lang w:val="es-CL"/>
        </w:rPr>
        <w:t xml:space="preserve"> </w:t>
      </w:r>
    </w:p>
    <w:p w14:paraId="0DDDA4A3"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Bellei, C., &amp; Valenzuela, J. (2010). ¿Están las condiciones para que la docencia sea una profesión de alto estatus en Chile? Fin de ciclo, 257-283.</w:t>
      </w:r>
    </w:p>
    <w:p w14:paraId="0B01C19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Böck, N. (2019). Programa pace en la universidad de Chile. ¿A la sombra de la selección o parte de una política pública efectiva? Santiago de Chile: Magíster en Gestión y Políticas Públicas. Departamento de Ingeniería Industrial. .</w:t>
      </w:r>
    </w:p>
    <w:p w14:paraId="5D6C25BA" w14:textId="07A198A9"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Bourdieu, P., &amp; Passeron, J.-C. (2008). La reproducción: elementos para una teoría del sistema de enseñanza. Editorial Popular.</w:t>
      </w:r>
    </w:p>
    <w:p w14:paraId="18F03E0B"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 (2009). Los herederos: Los estudiantes y la cultura. Buenos Aires: siglo veintiuno.</w:t>
      </w:r>
    </w:p>
    <w:p w14:paraId="5388EDE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Canales, M., Bellei, C., &amp; Orellana, V. (2016). ¿Por qué elegir una escuela semiprivada? Sectores de clase social media y elección de escuela en un sistema de mercado. Estudios pedagógicos, 42(3), 89-109. doi:https://dx.doi.org/10</w:t>
      </w:r>
    </w:p>
    <w:p w14:paraId="471CBDAB" w14:textId="5D6A2E89"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Cases, R. (2020). ¿ Mejora o retroceso? El impacto de la reforma a la PSU en la brecha de puntajes según colegio de egreso. Tesis para optar al grado de Magíster en Economía. Santiago de Chile: Pontificia Universidad Católica de Chile. </w:t>
      </w:r>
      <w:hyperlink r:id="rId11" w:history="1">
        <w:r w:rsidRPr="00007543">
          <w:rPr>
            <w:rFonts w:ascii="Times New Roman" w:hAnsi="Times New Roman" w:cs="Times New Roman"/>
            <w:lang w:val="es-CL"/>
          </w:rPr>
          <w:t>https://repositorio.uc.cl/xmlui/bitstream/handle/11534/40134/Tesis%20-%20Roberto%20Cases.pdf?sequence=1&amp;isAllowed=y</w:t>
        </w:r>
      </w:hyperlink>
      <w:r w:rsidRPr="00007543">
        <w:rPr>
          <w:rFonts w:ascii="Times New Roman" w:hAnsi="Times New Roman" w:cs="Times New Roman"/>
          <w:lang w:val="es-CL"/>
        </w:rPr>
        <w:t xml:space="preserve"> </w:t>
      </w:r>
    </w:p>
    <w:p w14:paraId="34A52CC7" w14:textId="4D881EE0"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Castro, J., Frites, C., &amp; Vargas, P. (2016). El Programa de Acompañamiento y Acceso Efectivo a la Educación Superior (PACE). Notas acerca del diseño e implementación desde la Universidad de Santiago. Magíster en Gestión y Políticas Públicas.</w:t>
      </w:r>
    </w:p>
    <w:p w14:paraId="3FB39819" w14:textId="31C5F5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Cooper, R., Guevara, J., Rivera, M., Sanhueza, A., &amp; Tincani, M. (2019). Evaluación de Impacto del Programa PACE</w:t>
      </w:r>
      <w:r>
        <w:rPr>
          <w:rFonts w:ascii="Times New Roman" w:hAnsi="Times New Roman" w:cs="Times New Roman"/>
          <w:lang w:val="es-CL"/>
        </w:rPr>
        <w:t xml:space="preserve">. </w:t>
      </w:r>
      <w:r w:rsidRPr="00007543">
        <w:rPr>
          <w:rFonts w:ascii="Times New Roman" w:hAnsi="Times New Roman" w:cs="Times New Roman"/>
          <w:lang w:val="es-CL"/>
        </w:rPr>
        <w:t>Centro de Estudios MINEDUC (CEM).</w:t>
      </w:r>
    </w:p>
    <w:p w14:paraId="67DECDB2"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Córdoba, C., Rojas, K., &amp; Azócar, J. (2016). Selección de alumnos y co-pago como factores de segregación escolar: Presentación de tres casos de estudio. Psicoperspectivas, 15(1), 102-116.</w:t>
      </w:r>
    </w:p>
    <w:p w14:paraId="698624F7"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lastRenderedPageBreak/>
        <w:t>Dufraix, I., Fernández, E., &amp; Anguita, R. (2020). Perfil del estudiante de Pedagogía en Lengua Castellana y Comunicación y motivaciones asociadas a su elección profesional: un estudio de casos. Perspectiva Educacional, 59(1), 81-101. doi:http://dx.doi.org/10.4151/07189729-vol.59-iss.1-art.921</w:t>
      </w:r>
    </w:p>
    <w:p w14:paraId="5A4508D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Elacqua, G., &amp; Santos, H. (2013). Los efectos de la elección escolar en la segregación socioeconómica en Chile: Un análisis georreferenciado. Santiago de Chile: Documento de Referencia, núm. 1. Espacio Público.</w:t>
      </w:r>
    </w:p>
    <w:p w14:paraId="2572377E" w14:textId="1266B398"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Espinoza, Ó., &amp; González, L. (2015). Equidad en el Sistema de Educación Superior. En A. Bernasconi (Ed.), La Educación Superior en Chile: Transformación, desarrollo y crisis. Santiago de Chile: Colección Educación Superior, Ediciones UC. http://www.luisedogonzalez.cl/pdf/2015/2015-01.pdf</w:t>
      </w:r>
    </w:p>
    <w:p w14:paraId="29C7A681"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Etcheberrigaray, G., Lagos, J., ornejo, R., Albornoz, N., &amp; Fernández, R. (2017). Concepciones sobre docencia en el nuevo marco regulatorio del sistema escolar chileno. Revista de psicología (Santiago), 26(1), 14-26. doi:https://dx.doi.org/10.5354/0719-0581.2017.46693</w:t>
      </w:r>
    </w:p>
    <w:p w14:paraId="6B4B7282"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Faúndez, R., Labarca, J., Cornejo, M., Villarroel, M., &amp; Gil, F. (2017). Ranking 850, transición a la educación terciaria de estudiantes con desempeño educativo superior y puntaje PSU insuficiente. Pensamiento Educativo, 54(1), 1-11.</w:t>
      </w:r>
    </w:p>
    <w:p w14:paraId="4874E8A7" w14:textId="09048E23"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Ferrada, D. (2018). La igualdad de oportunidades en Chile. Opciones y consecuencias para la educación. En D. Ferrada, Políticas educativas y su impacto en las comunidades. Investigación en educación para la justicia social (págs. 19-40). Ediciones UCM.</w:t>
      </w:r>
    </w:p>
    <w:p w14:paraId="69C8D5BC" w14:textId="77777777" w:rsid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 xml:space="preserve">Gallegos-Mardones, J., &amp; Campos-Requena, N. (2021). Can higher education admission be more equitable? Evidence supporting the inclusion of relative ranking in the process. Economic Research, 34(1), 2539-2554. </w:t>
      </w:r>
      <w:proofErr w:type="spellStart"/>
      <w:proofErr w:type="gramStart"/>
      <w:r w:rsidRPr="00007543">
        <w:rPr>
          <w:rFonts w:ascii="Times New Roman" w:hAnsi="Times New Roman" w:cs="Times New Roman"/>
          <w:lang w:val="es-CL"/>
        </w:rPr>
        <w:t>doi:https</w:t>
      </w:r>
      <w:proofErr w:type="spellEnd"/>
      <w:r w:rsidRPr="00007543">
        <w:rPr>
          <w:rFonts w:ascii="Times New Roman" w:hAnsi="Times New Roman" w:cs="Times New Roman"/>
          <w:lang w:val="es-CL"/>
        </w:rPr>
        <w:t>://doi.org/10.1080/1331677X.2020.1833745</w:t>
      </w:r>
      <w:proofErr w:type="gramEnd"/>
    </w:p>
    <w:p w14:paraId="5FEA6F47" w14:textId="7D95757A"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Gil-Llambías, F., del Valle, R., Villarroel, M., &amp; Fuentes, C. (2019). Caracterización y desempeño académico de estudiantes de acceso inclusivo PACE en tres universidades chilenas. Revista Latinoamericana de Educación Inclusiva, 13(2), 259-271. doi:10.4067/S0718-73782019000200259</w:t>
      </w:r>
    </w:p>
    <w:p w14:paraId="3FBBF340"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Gómez, H., &amp; Castillo, S. (2019). Representaciones en torno a la elección de la docencia desde el discurso de las familias y el estudiantado de Pedagogía. Revista Educación, 43(1), 483-495. doi:https://dx.doi.org/10.15517/revedu.v43i1.28509</w:t>
      </w:r>
    </w:p>
    <w:p w14:paraId="286FACC7" w14:textId="5117E101"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Gubbins, V. (2014). Estrategias educativas de familias de clase alta: un estudio exploratorio. Revista mexicana de investigación educativa, 19(63), 1069-1089.</w:t>
      </w:r>
    </w:p>
    <w:p w14:paraId="5F440F8E"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Hernández, M., &amp; Carrasco, A. (2020). La transición de un mercado desregulado a un sistema de admisión escolar centralizado en Chile: mapeo de las respuestas de la clase media a las nuevas reglas de elección escolar. Compare: una revista de educación comparada e internacional, 1-18.</w:t>
      </w:r>
    </w:p>
    <w:p w14:paraId="51159C71"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lastRenderedPageBreak/>
        <w:t>Herrera, C., &amp; Rosales, F. (2019). Estrategia de acompañamiento académico para estudiantes con ingreso pace de la Universidad del Bío-Bío. In Congresos CLABES, 336-344.</w:t>
      </w:r>
    </w:p>
    <w:p w14:paraId="451F7D6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Hormazabal, N., Abricot, N., Oyarzo, K., Alvarado, M., &amp; Bravo, C. (2020). Programas de acceso especial a las carreras de pedagogía: Sus características en las Universidades del Estado de Chile. Sophia Austral, 25, 93-119. doi: https://dx.doi.org/10.4067/S0719-56052020000100093</w:t>
      </w:r>
    </w:p>
    <w:p w14:paraId="641BD1C1" w14:textId="1C1FC00D"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Kri, F., Gil, J., González, M., &amp; Lamatta, C. (2013). Ranking de notas como predictor del éxito en la educación superior. Estudio de caso USACH. Universidad de Santiago de Chile.</w:t>
      </w:r>
    </w:p>
    <w:p w14:paraId="1A4ACF6D" w14:textId="091780A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MINEDUC. (2015). Fundamentos del PACE. Elementos que fundamentan este Programa y su etapa Piloto. Ministerio de Educación.</w:t>
      </w:r>
    </w:p>
    <w:p w14:paraId="43045B2B" w14:textId="65AF368C"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Opazo, M., Maldonado, V., Medel, M., &amp; Molina, F. (2018). Programa Pace-Ucm: Inclusión y Matrícula efectiva. Congreso CLABES VIII.</w:t>
      </w:r>
    </w:p>
    <w:p w14:paraId="192A60E8"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Padilla, G., Rodríguez, C., &amp; Espinosa, D. (2022). Segregación y despoblamiento de la matrícula de escuelas públicas en Chile: un estudio de tendencia entre los años 2003 y 2018. Revista de la Escuela de Ciencias de la Educación, 1(17), 189-204.</w:t>
      </w:r>
    </w:p>
    <w:p w14:paraId="09D4676C" w14:textId="0DCC7553"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Rodríguez Garcés, C., &amp; Castillo Riquelme, V. (2014). Calidad en la formación inicial docente: los déficits de las competencias pedagógicas y disciplinares en Chile. Actualidades Investigativas en Educación, 14(2), 373-399. https://www.scielo.sa.cr/scielo.php?script=sci_arttext&amp;pid=S1409-47032014000200014</w:t>
      </w:r>
    </w:p>
    <w:p w14:paraId="3490441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Rodríguez, C., &amp; Padilla, G. (2016). Trayectoria Escolar y Ranking: valoraciones y estrategias institucionales en el nuevo escenario de selección universitaria. Estudios pedagógicos (Valdivia), 42(3), 313-326.</w:t>
      </w:r>
    </w:p>
    <w:p w14:paraId="1D922158"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Rodríguez, C., Espinosa, D., Padilla, G., &amp; Suazo, C. (2020). Selectividad e igualdad de oportunidades en carreras de pedagogía: Compleja convivencia en un contexto de financiamiento a la demanda. Perspectiva Educacional, 60(3), 110-131.</w:t>
      </w:r>
    </w:p>
    <w:p w14:paraId="0A15FCC5"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Rodríguez, C., Padilla, G., &amp; Espinosa, D. (2021). No todo es Prueba de Selección Universitaria: el Ranking como vía de inclusión a la universidad en Chile. Sophia, 17(2).</w:t>
      </w:r>
    </w:p>
    <w:p w14:paraId="088ED634" w14:textId="77BDAA2B"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Santos, H., &amp; Elacqua, G. (2016). Segregación socioeconómica escolar en Chile: elección de la escuela por los padres y un análisis contrafactual teórico. Revista CEPAL, 133-148. https://repositorio.cepal.org/handle/11362/40396</w:t>
      </w:r>
    </w:p>
    <w:p w14:paraId="6ABC4B0D" w14:textId="42363C9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Sanzana, G. (2018). Transición con equidad hacia universidades selectivas: el caso de las vías de acceso inclusivo en la universidad de Santiago. Ediciones USACH.</w:t>
      </w:r>
    </w:p>
    <w:p w14:paraId="54981A79"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Vergara, M., Arias, P., &amp; Villarroel, T. (26 de abril de 2021). Proyecto de ley de pedagogías: efectos en la admisión y déficit docente. Obtenido de Acción Educar: http://accioneducar.cl/proyecto-de-ley-de-pedagogias-efectos-en-la-admision-y-deficit-docente/</w:t>
      </w:r>
    </w:p>
    <w:p w14:paraId="6A3C6B3F" w14:textId="77777777" w:rsidR="00007543" w:rsidRPr="00007543"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lastRenderedPageBreak/>
        <w:t>Walker, J., &amp; García, R. (2019). La vocación pedagógica en contextos de pobreza: un estudio de caso desde la Universidad Católica Silva Henríquez, Chile. Revista Cubana de Educación Superior, 38(2).</w:t>
      </w:r>
    </w:p>
    <w:p w14:paraId="7E83515B" w14:textId="2AEB412E" w:rsidR="001923DC" w:rsidRPr="001A148A" w:rsidRDefault="00007543" w:rsidP="00007543">
      <w:pPr>
        <w:spacing w:line="240" w:lineRule="auto"/>
        <w:jc w:val="both"/>
        <w:rPr>
          <w:rFonts w:ascii="Times New Roman" w:hAnsi="Times New Roman" w:cs="Times New Roman"/>
          <w:lang w:val="es-CL"/>
        </w:rPr>
      </w:pPr>
      <w:r w:rsidRPr="00007543">
        <w:rPr>
          <w:rFonts w:ascii="Times New Roman" w:hAnsi="Times New Roman" w:cs="Times New Roman"/>
          <w:lang w:val="es-CL"/>
        </w:rPr>
        <w:t>Walker, W., González, G., &amp; García, R. (2020). Características socioacadémicas de estudiantes en Chile postulados con talento escolar para la pedagogía. Educação E Pesquisa, 46, 1-18. doi:https://doi.org/10.1590/S1678-46342020462194</w:t>
      </w:r>
    </w:p>
    <w:sectPr w:rsidR="001923DC" w:rsidRPr="001A148A"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DDD7" w14:textId="77777777" w:rsidR="00226B4B" w:rsidRPr="00BA642E" w:rsidRDefault="00226B4B" w:rsidP="00C802F5">
      <w:pPr>
        <w:spacing w:after="0" w:line="240" w:lineRule="auto"/>
      </w:pPr>
      <w:r w:rsidRPr="00BA642E">
        <w:separator/>
      </w:r>
    </w:p>
  </w:endnote>
  <w:endnote w:type="continuationSeparator" w:id="0">
    <w:p w14:paraId="5E0059BF" w14:textId="77777777" w:rsidR="00226B4B" w:rsidRPr="00BA642E" w:rsidRDefault="00226B4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8D4F" w14:textId="77777777" w:rsidR="00226B4B" w:rsidRPr="00BA642E" w:rsidRDefault="00226B4B" w:rsidP="00C802F5">
      <w:pPr>
        <w:spacing w:after="0" w:line="240" w:lineRule="auto"/>
      </w:pPr>
      <w:r w:rsidRPr="00BA642E">
        <w:separator/>
      </w:r>
    </w:p>
  </w:footnote>
  <w:footnote w:type="continuationSeparator" w:id="0">
    <w:p w14:paraId="6B44CED1" w14:textId="77777777" w:rsidR="00226B4B" w:rsidRPr="00BA642E" w:rsidRDefault="00226B4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A38E7"/>
    <w:multiLevelType w:val="multilevel"/>
    <w:tmpl w:val="5EB4A75E"/>
    <w:lvl w:ilvl="0">
      <w:numFmt w:val="bullet"/>
      <w:lvlText w:val="-"/>
      <w:lvlJc w:val="left"/>
      <w:pPr>
        <w:ind w:left="19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22987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7543"/>
    <w:rsid w:val="0002758C"/>
    <w:rsid w:val="001816D6"/>
    <w:rsid w:val="00185F5E"/>
    <w:rsid w:val="001923DC"/>
    <w:rsid w:val="001A148A"/>
    <w:rsid w:val="00226B4B"/>
    <w:rsid w:val="002327C3"/>
    <w:rsid w:val="00312392"/>
    <w:rsid w:val="00345D2A"/>
    <w:rsid w:val="004040C0"/>
    <w:rsid w:val="00437E9C"/>
    <w:rsid w:val="00550766"/>
    <w:rsid w:val="005F3B2E"/>
    <w:rsid w:val="00701F64"/>
    <w:rsid w:val="00783245"/>
    <w:rsid w:val="007B5B5F"/>
    <w:rsid w:val="007D233B"/>
    <w:rsid w:val="0085070B"/>
    <w:rsid w:val="0087697D"/>
    <w:rsid w:val="00954966"/>
    <w:rsid w:val="00A17247"/>
    <w:rsid w:val="00A44DF9"/>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normal2">
    <w:name w:val="Plain Table 2"/>
    <w:basedOn w:val="Tablanormal"/>
    <w:uiPriority w:val="42"/>
    <w:rsid w:val="00345D2A"/>
    <w:pPr>
      <w:spacing w:after="0" w:line="240" w:lineRule="auto"/>
    </w:pPr>
    <w:rPr>
      <w:rFonts w:ascii="Calibri" w:eastAsia="Calibri" w:hAnsi="Calibri" w:cs="Calibri"/>
      <w:kern w:val="0"/>
      <w:sz w:val="22"/>
      <w:szCs w:val="22"/>
      <w:lang w:val="es-CL" w:eastAsia="es-V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io.uc.cl/xmlui/bitstream/handle/11534/40134/Tesis%20-%20Roberto%20Cases.pdf?sequence=1&amp;isAllowed=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cielo.cl/scielo.php?script=sci_arttext&amp;pid=S0718-07052013000100019"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20</Pages>
  <Words>8231</Words>
  <Characters>45273</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Denisse Espinosa Valenzuela</cp:lastModifiedBy>
  <cp:revision>5</cp:revision>
  <dcterms:created xsi:type="dcterms:W3CDTF">2026-03-14T03:50:00Z</dcterms:created>
  <dcterms:modified xsi:type="dcterms:W3CDTF">2026-07-01T03:07:00Z</dcterms:modified>
</cp:coreProperties>
</file>