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49479" w14:textId="62F6FEA7" w:rsidR="005F3B2E" w:rsidRPr="00BA642E" w:rsidRDefault="00262E35" w:rsidP="001923DC">
      <w:pPr>
        <w:jc w:val="center"/>
        <w:rPr>
          <w:rFonts w:ascii="Times New Roman" w:hAnsi="Times New Roman" w:cs="Times New Roman"/>
        </w:rPr>
      </w:pPr>
      <w:r w:rsidRPr="007F4168">
        <w:rPr>
          <w:rFonts w:ascii="Times New Roman" w:eastAsia="Times New Roman" w:hAnsi="Times New Roman" w:cs="Times New Roman"/>
          <w:b/>
          <w:bCs/>
          <w:kern w:val="36"/>
          <w:lang w:eastAsia="es-ES"/>
        </w:rPr>
        <w:t>Evolución del Aseguramiento de la Calidad en Paraguay: Implementación del Sistema por Fases dentro del Modelo Nacional</w:t>
      </w:r>
    </w:p>
    <w:p w14:paraId="4E738780" w14:textId="6A1D2015" w:rsidR="005F3B2E" w:rsidRPr="00BA642E" w:rsidRDefault="00262E35" w:rsidP="005F3B2E">
      <w:pPr>
        <w:spacing w:after="0" w:line="240" w:lineRule="auto"/>
        <w:jc w:val="right"/>
        <w:rPr>
          <w:rFonts w:ascii="Times New Roman" w:hAnsi="Times New Roman" w:cs="Times New Roman"/>
        </w:rPr>
      </w:pPr>
      <w:r>
        <w:rPr>
          <w:rFonts w:ascii="Times New Roman" w:hAnsi="Times New Roman" w:cs="Times New Roman"/>
        </w:rPr>
        <w:t>Segovia Martínez, Myriam</w:t>
      </w:r>
    </w:p>
    <w:p w14:paraId="6C2AECCA" w14:textId="65D9883E" w:rsidR="005F3B2E" w:rsidRPr="00BA642E" w:rsidRDefault="00262E35" w:rsidP="005F3B2E">
      <w:pPr>
        <w:spacing w:after="0" w:line="240" w:lineRule="auto"/>
        <w:jc w:val="right"/>
        <w:rPr>
          <w:rFonts w:ascii="Times New Roman" w:hAnsi="Times New Roman" w:cs="Times New Roman"/>
        </w:rPr>
      </w:pPr>
      <w:r w:rsidRPr="007F4168">
        <w:rPr>
          <w:rFonts w:ascii="Times New Roman" w:eastAsia="Times New Roman" w:hAnsi="Times New Roman" w:cs="Times New Roman"/>
          <w:lang w:eastAsia="es-ES"/>
        </w:rPr>
        <w:t>Universidad Nacional del Este – Escuela de Posgrado, Ciudad del Este, Paraguay</w:t>
      </w:r>
    </w:p>
    <w:p w14:paraId="1FA0F857" w14:textId="74CE77FD" w:rsidR="005F3B2E" w:rsidRPr="00BA642E" w:rsidRDefault="00262E35" w:rsidP="00262E35">
      <w:pPr>
        <w:jc w:val="right"/>
        <w:rPr>
          <w:rFonts w:ascii="Times New Roman" w:hAnsi="Times New Roman" w:cs="Times New Roman"/>
        </w:rPr>
      </w:pPr>
      <w:r w:rsidRPr="007F4168">
        <w:rPr>
          <w:rFonts w:ascii="Times New Roman" w:eastAsia="Times New Roman" w:hAnsi="Times New Roman" w:cs="Times New Roman"/>
          <w:lang w:eastAsia="es-ES"/>
        </w:rPr>
        <w:t>myriam.segovia@posgradoune.edu.py</w:t>
      </w:r>
    </w:p>
    <w:p w14:paraId="35A6682C" w14:textId="03F85DB2" w:rsidR="00BA642E" w:rsidRPr="007B5B5F" w:rsidRDefault="00BA642E" w:rsidP="007B5B5F">
      <w:pPr>
        <w:spacing w:line="240" w:lineRule="auto"/>
        <w:jc w:val="both"/>
        <w:rPr>
          <w:rFonts w:ascii="Times New Roman" w:hAnsi="Times New Roman" w:cs="Times New Roman"/>
          <w:b/>
          <w:bCs/>
        </w:rPr>
      </w:pPr>
      <w:r w:rsidRPr="00303026">
        <w:rPr>
          <w:rFonts w:ascii="Times New Roman" w:hAnsi="Times New Roman" w:cs="Times New Roman"/>
          <w:b/>
          <w:bCs/>
          <w:lang w:val="es-ES"/>
        </w:rPr>
        <w:t>Resumen:</w:t>
      </w:r>
      <w:r w:rsidR="007B5B5F" w:rsidRPr="00303026">
        <w:rPr>
          <w:rFonts w:ascii="Times New Roman" w:hAnsi="Times New Roman" w:cs="Times New Roman"/>
          <w:b/>
          <w:bCs/>
          <w:lang w:val="es-ES"/>
        </w:rPr>
        <w:t xml:space="preserve"> </w:t>
      </w:r>
      <w:r w:rsidR="00262E35" w:rsidRPr="007F4168">
        <w:rPr>
          <w:rFonts w:ascii="Times New Roman" w:eastAsia="Times New Roman" w:hAnsi="Times New Roman" w:cs="Times New Roman"/>
          <w:lang w:eastAsia="es-ES"/>
        </w:rPr>
        <w:t xml:space="preserve">El presente estudio analiza la eficacia y la transición paradigmática en el modelo de evaluación de la educación superior en Paraguay, centrándose en la implementación del Sistema por Fases dentro del Modelo Nacional. Esta transición, fundamentada en la Resolución </w:t>
      </w:r>
      <w:proofErr w:type="spellStart"/>
      <w:r w:rsidR="00262E35" w:rsidRPr="007F4168">
        <w:rPr>
          <w:rFonts w:ascii="Times New Roman" w:eastAsia="Times New Roman" w:hAnsi="Times New Roman" w:cs="Times New Roman"/>
          <w:lang w:eastAsia="es-ES"/>
        </w:rPr>
        <w:t>N°</w:t>
      </w:r>
      <w:proofErr w:type="spellEnd"/>
      <w:r w:rsidR="00262E35" w:rsidRPr="007F4168">
        <w:rPr>
          <w:rFonts w:ascii="Times New Roman" w:eastAsia="Times New Roman" w:hAnsi="Times New Roman" w:cs="Times New Roman"/>
          <w:lang w:eastAsia="es-ES"/>
        </w:rPr>
        <w:t xml:space="preserve"> 309/2025 de la Agencia Nacional de Evaluación de la Educación Superior (ANEAES), reconfigura el esquema de evaluación integral uniforme por un enfoque secuencial y progresivo orientado a determinar el grado de cumplimiento de los criterios de calidad y la identificación oportuna de aspectos de mejora continua. La investigación adoptó un enfoque cuantitativo de corte transversal, empleando una muestra de N = 43 sujetos extraídos del Registro Nacional de Pares Evaluadores, caracterizados por un alto nivel académico (predominancia de Doctorado) y una edad promedio de 53.4 años. El instrumento</w:t>
      </w:r>
      <w:r w:rsidR="00262E35" w:rsidRPr="007F4168">
        <w:rPr>
          <w:rFonts w:ascii="Times New Roman" w:eastAsia="Times New Roman" w:hAnsi="Times New Roman" w:cs="Times New Roman"/>
          <w:color w:val="FF0000"/>
          <w:lang w:eastAsia="es-ES"/>
        </w:rPr>
        <w:t xml:space="preserve"> </w:t>
      </w:r>
      <w:r w:rsidR="00262E35" w:rsidRPr="007F4168">
        <w:rPr>
          <w:rFonts w:ascii="Times New Roman" w:eastAsia="Times New Roman" w:hAnsi="Times New Roman" w:cs="Times New Roman"/>
          <w:lang w:eastAsia="es-ES"/>
        </w:rPr>
        <w:t xml:space="preserve">de recolección de datos fue sometidos a un riguroso proceso psicométrico. Los hallazgos iniciales revelaron una fiabilidad </w:t>
      </w:r>
      <w:proofErr w:type="spellStart"/>
      <w:r w:rsidR="00262E35" w:rsidRPr="007F4168">
        <w:rPr>
          <w:rFonts w:ascii="Times New Roman" w:eastAsia="Times New Roman" w:hAnsi="Times New Roman" w:cs="Times New Roman"/>
          <w:lang w:eastAsia="es-ES"/>
        </w:rPr>
        <w:t>interevaluador</w:t>
      </w:r>
      <w:proofErr w:type="spellEnd"/>
      <w:r w:rsidR="00262E35" w:rsidRPr="007F4168">
        <w:rPr>
          <w:rFonts w:ascii="Times New Roman" w:eastAsia="Times New Roman" w:hAnsi="Times New Roman" w:cs="Times New Roman"/>
          <w:lang w:eastAsia="es-ES"/>
        </w:rPr>
        <w:t xml:space="preserve"> negativa mediante el coeficiente Alpha de </w:t>
      </w:r>
      <w:proofErr w:type="spellStart"/>
      <w:r w:rsidR="00262E35" w:rsidRPr="007F4168">
        <w:rPr>
          <w:rFonts w:ascii="Times New Roman" w:eastAsia="Times New Roman" w:hAnsi="Times New Roman" w:cs="Times New Roman"/>
          <w:lang w:eastAsia="es-ES"/>
        </w:rPr>
        <w:t>Krippendorff</w:t>
      </w:r>
      <w:proofErr w:type="spellEnd"/>
      <w:r w:rsidR="00262E35" w:rsidRPr="007F4168">
        <w:rPr>
          <w:rFonts w:ascii="Times New Roman" w:eastAsia="Times New Roman" w:hAnsi="Times New Roman" w:cs="Times New Roman"/>
          <w:lang w:eastAsia="es-ES"/>
        </w:rPr>
        <w:t xml:space="preserve"> (-0.11 en Calidad Técnica y -0.18 en Coherencia), lo que evidenció una polarización de criterios técnicos y discrepancias terminológicas sustantivas entre los jueces expertos. No obstante, tras una fase de ajuste y revalidación, se alcanzó una validez de contenido global de 0.86 según la V de Aiken, destacándose la dimensión de Representatividad con un valor de 0.90. El análisis de resultados muestra una percepción global favorable hacia la eficacia del sistema (82.8% de acuerdo), aunque se identifican desafíos operativos críticos, particularmente en la suficiencia del tiempo asignado a las visitas de campo (ítem 3.3), con un promedio de 3.55 y un 21.2% de desacuerdo. Se concluye que, si bien la base normativa es sólida, se requiere una estandarización técnica urgente para mitigar la subjetividad evaluativa</w:t>
      </w:r>
      <w:r w:rsidRPr="007B5B5F">
        <w:rPr>
          <w:rFonts w:ascii="Times New Roman" w:hAnsi="Times New Roman" w:cs="Times New Roman"/>
        </w:rPr>
        <w:t>.</w:t>
      </w:r>
    </w:p>
    <w:p w14:paraId="2994BAB3" w14:textId="52851853"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262E35" w:rsidRPr="007F4168">
        <w:rPr>
          <w:rFonts w:ascii="Times New Roman" w:eastAsia="Times New Roman" w:hAnsi="Times New Roman" w:cs="Times New Roman"/>
          <w:lang w:eastAsia="es-ES"/>
        </w:rPr>
        <w:t xml:space="preserve">ANEAES, Sistema por Fases, Aseguramiento de la Calidad, Pares Evaluadores, Paraguay, Resolución </w:t>
      </w:r>
      <w:proofErr w:type="spellStart"/>
      <w:r w:rsidR="00262E35" w:rsidRPr="007F4168">
        <w:rPr>
          <w:rFonts w:ascii="Times New Roman" w:eastAsia="Times New Roman" w:hAnsi="Times New Roman" w:cs="Times New Roman"/>
          <w:lang w:eastAsia="es-ES"/>
        </w:rPr>
        <w:t>N°</w:t>
      </w:r>
      <w:proofErr w:type="spellEnd"/>
      <w:r w:rsidR="00262E35" w:rsidRPr="007F4168">
        <w:rPr>
          <w:rFonts w:ascii="Times New Roman" w:eastAsia="Times New Roman" w:hAnsi="Times New Roman" w:cs="Times New Roman"/>
          <w:lang w:eastAsia="es-ES"/>
        </w:rPr>
        <w:t xml:space="preserve"> 309/2025.</w:t>
      </w:r>
    </w:p>
    <w:p w14:paraId="4134C550" w14:textId="2C93B39A" w:rsidR="00262E35" w:rsidRPr="00262E35" w:rsidRDefault="00262E35" w:rsidP="00262E35">
      <w:pPr>
        <w:spacing w:before="100" w:beforeAutospacing="1" w:after="100" w:afterAutospacing="1" w:line="240" w:lineRule="auto"/>
        <w:jc w:val="both"/>
        <w:outlineLvl w:val="2"/>
        <w:rPr>
          <w:rFonts w:ascii="Times New Roman" w:eastAsia="Times New Roman" w:hAnsi="Times New Roman" w:cs="Times New Roman"/>
          <w:b/>
          <w:lang w:eastAsia="es-ES"/>
        </w:rPr>
      </w:pPr>
      <w:r w:rsidRPr="00262E35">
        <w:rPr>
          <w:rFonts w:ascii="Times New Roman" w:eastAsia="Times New Roman" w:hAnsi="Times New Roman" w:cs="Times New Roman"/>
          <w:b/>
          <w:lang w:eastAsia="es-ES"/>
        </w:rPr>
        <w:t>Introducción</w:t>
      </w:r>
    </w:p>
    <w:p w14:paraId="208264D6"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Durante las últimas tres décadas, el aseguramiento de la calidad se ha consolidado como uno de los principales ejes de las políticas públicas de educación superior a nivel mundial, regional y nacional (Paraguay). La expansión de los sistemas universitarios, la internacionalización de la educación superior, el incremento de la movilidad académica y la creciente demanda de transparencia por parte de la sociedad han impulsado a numerosos países a fortalecer sus mecanismos de evaluación y acreditación, incorporándolos como instrumentos permanentes para garantizar la calidad y promover el mejoramiento de las instituciones de Educación Superior (Martin &amp; Stella, 2007; </w:t>
      </w:r>
      <w:proofErr w:type="spellStart"/>
      <w:r w:rsidRPr="007F4168">
        <w:rPr>
          <w:rFonts w:ascii="Times New Roman" w:eastAsia="Times New Roman" w:hAnsi="Times New Roman" w:cs="Times New Roman"/>
          <w:lang w:val="es-PY" w:eastAsia="es-PY"/>
        </w:rPr>
        <w:t>Organisation</w:t>
      </w:r>
      <w:proofErr w:type="spellEnd"/>
      <w:r w:rsidRPr="007F4168">
        <w:rPr>
          <w:rFonts w:ascii="Times New Roman" w:eastAsia="Times New Roman" w:hAnsi="Times New Roman" w:cs="Times New Roman"/>
          <w:lang w:val="es-PY" w:eastAsia="es-PY"/>
        </w:rPr>
        <w:t xml:space="preserve"> </w:t>
      </w:r>
      <w:proofErr w:type="spellStart"/>
      <w:r w:rsidRPr="007F4168">
        <w:rPr>
          <w:rFonts w:ascii="Times New Roman" w:eastAsia="Times New Roman" w:hAnsi="Times New Roman" w:cs="Times New Roman"/>
          <w:lang w:val="es-PY" w:eastAsia="es-PY"/>
        </w:rPr>
        <w:t>for</w:t>
      </w:r>
      <w:proofErr w:type="spellEnd"/>
      <w:r w:rsidRPr="007F4168">
        <w:rPr>
          <w:rFonts w:ascii="Times New Roman" w:eastAsia="Times New Roman" w:hAnsi="Times New Roman" w:cs="Times New Roman"/>
          <w:lang w:val="es-PY" w:eastAsia="es-PY"/>
        </w:rPr>
        <w:t xml:space="preserve"> </w:t>
      </w:r>
      <w:proofErr w:type="spellStart"/>
      <w:r w:rsidRPr="007F4168">
        <w:rPr>
          <w:rFonts w:ascii="Times New Roman" w:eastAsia="Times New Roman" w:hAnsi="Times New Roman" w:cs="Times New Roman"/>
          <w:lang w:val="es-PY" w:eastAsia="es-PY"/>
        </w:rPr>
        <w:t>Economic</w:t>
      </w:r>
      <w:proofErr w:type="spellEnd"/>
      <w:r w:rsidRPr="007F4168">
        <w:rPr>
          <w:rFonts w:ascii="Times New Roman" w:eastAsia="Times New Roman" w:hAnsi="Times New Roman" w:cs="Times New Roman"/>
          <w:lang w:val="es-PY" w:eastAsia="es-PY"/>
        </w:rPr>
        <w:t xml:space="preserve"> </w:t>
      </w:r>
      <w:proofErr w:type="spellStart"/>
      <w:r w:rsidRPr="007F4168">
        <w:rPr>
          <w:rFonts w:ascii="Times New Roman" w:eastAsia="Times New Roman" w:hAnsi="Times New Roman" w:cs="Times New Roman"/>
          <w:lang w:val="es-PY" w:eastAsia="es-PY"/>
        </w:rPr>
        <w:t>Co-operation</w:t>
      </w:r>
      <w:proofErr w:type="spellEnd"/>
      <w:r w:rsidRPr="007F4168">
        <w:rPr>
          <w:rFonts w:ascii="Times New Roman" w:eastAsia="Times New Roman" w:hAnsi="Times New Roman" w:cs="Times New Roman"/>
          <w:lang w:val="es-PY" w:eastAsia="es-PY"/>
        </w:rPr>
        <w:t xml:space="preserve"> and </w:t>
      </w:r>
      <w:proofErr w:type="spellStart"/>
      <w:r w:rsidRPr="007F4168">
        <w:rPr>
          <w:rFonts w:ascii="Times New Roman" w:eastAsia="Times New Roman" w:hAnsi="Times New Roman" w:cs="Times New Roman"/>
          <w:lang w:val="es-PY" w:eastAsia="es-PY"/>
        </w:rPr>
        <w:t>Development</w:t>
      </w:r>
      <w:proofErr w:type="spellEnd"/>
      <w:r w:rsidRPr="007F4168">
        <w:rPr>
          <w:rFonts w:ascii="Times New Roman" w:eastAsia="Times New Roman" w:hAnsi="Times New Roman" w:cs="Times New Roman"/>
          <w:lang w:val="es-PY" w:eastAsia="es-PY"/>
        </w:rPr>
        <w:t xml:space="preserve"> [OECD], 2008). En consecuencia, el aseguramiento de la calidad ha dejado de concebirse únicamente como un mecanismo de control externo para convertirse en una política orientada </w:t>
      </w:r>
      <w:r w:rsidRPr="007F4168">
        <w:rPr>
          <w:rFonts w:ascii="Times New Roman" w:eastAsia="Times New Roman" w:hAnsi="Times New Roman" w:cs="Times New Roman"/>
          <w:lang w:val="es-PY" w:eastAsia="es-PY"/>
        </w:rPr>
        <w:lastRenderedPageBreak/>
        <w:t>simultáneamente a la rendición de cuentas (</w:t>
      </w:r>
      <w:proofErr w:type="spellStart"/>
      <w:r w:rsidRPr="007F4168">
        <w:rPr>
          <w:rFonts w:ascii="Times New Roman" w:eastAsia="Times New Roman" w:hAnsi="Times New Roman" w:cs="Times New Roman"/>
          <w:i/>
          <w:iCs/>
          <w:lang w:val="es-PY" w:eastAsia="es-PY"/>
        </w:rPr>
        <w:t>accountability</w:t>
      </w:r>
      <w:proofErr w:type="spellEnd"/>
      <w:r w:rsidRPr="007F4168">
        <w:rPr>
          <w:rFonts w:ascii="Times New Roman" w:eastAsia="Times New Roman" w:hAnsi="Times New Roman" w:cs="Times New Roman"/>
          <w:lang w:val="es-PY" w:eastAsia="es-PY"/>
        </w:rPr>
        <w:t>) y al fortalecimiento continuo de las instituciones de educación superior (Martin &amp; Stella, 2007; Harvey, 2006).</w:t>
      </w:r>
    </w:p>
    <w:p w14:paraId="456316E5"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Uno de los principales desafíos de este campo radica en la propia definición del concepto de calidad. La literatura especializada coincide en que no existe una definición única y universalmente aceptada, debido a que la calidad responde a múltiples perspectivas, intereses y contextos institucionales. En su trabajo seminal, Harvey y Green (1993) identificaron cinco concepciones ampliamente reconocidas de la calidad en la educación superior: como excelencia, perfección o consistencia, adecuación al propósito, valor por dinero y transformación. Esta pluralidad conceptual ha orientado el desarrollo de diversos modelos de evaluación y acreditación en el mundo y explica la evolución desde enfoques centrados exclusivamente en el cumplimiento de estándares hacia sistemas que privilegian la mejora continua, el aprendizaje organizacional y la consolidación de una cultura de calidad (Harvey &amp; Green, 1993; Harvey &amp; Williams, 2010).</w:t>
      </w:r>
    </w:p>
    <w:p w14:paraId="05722F07"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Como consecuencia de esta evolución conceptual, la evaluación externa ha adquirido un papel estratégico dentro de los sistemas de aseguramiento de la calidad. Más que constituir un procedimiento de verificación administrativa, actualmente se reconoce como un mecanismo que contribuye a fortalecer la confianza pública, promover la transparencia institucional y generar información útil para la toma de decisiones y el mejoramiento continuo. Martin y Stella (2007) sostienen que los sistemas contemporáneos de evaluación externa deben equilibrar las funciones de control y mejora, de manera que la acreditación no represente únicamente una certificación del cumplimiento de estándares, sino también una oportunidad para estimular procesos permanentes de autorregulación institucional. En la misma línea, Harvey (2006) destaca que el impacto de los sistemas de aseguramiento de la calidad debe medirse no solo por los resultados de la acreditación, sino también por su capacidad para producir cambios sostenibles en las prácticas institucionales.</w:t>
      </w:r>
    </w:p>
    <w:p w14:paraId="0882DF3C"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Estas transformaciones han tenido una influencia significativa en América Latina, donde los sistemas nacionales de evaluación y acreditación han evolucionado hacia enfoques más integrales y orientados a la mejora continua. La creación de agencias especializadas, la consolidación de redes regionales de cooperación y la adopción de estándares compartidos reflejan un proceso de maduración de las políticas de aseguramiento de la calidad en la región. Asimismo, diversos estudios comparados muestran una tendencia creciente hacia modelos que incorporan mecanismos de seguimiento progresivo, evaluación continua y acompañamiento institucional, superando esquemas centrados exclusivamente en evaluaciones terminales (Martin &amp; Stella, 2007; Harvey &amp; Williams, 2010).</w:t>
      </w:r>
    </w:p>
    <w:p w14:paraId="1FBAC369"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Paraguay se inserta en este contexto mediante el desarrollo progresivo de su Sistema Nacional de Evaluación y Acreditación de la Educación Superior, liderado por la Agencia Nacional de Evaluación y Acreditación de la Educación Superior (ANEAES). Desde su creación, el Modelo Nacional de Evaluación y Acreditación ha contribuido al fortalecimiento de la cultura de evaluación en las instituciones de educación superior, </w:t>
      </w:r>
      <w:r w:rsidRPr="007F4168">
        <w:rPr>
          <w:rFonts w:ascii="Times New Roman" w:eastAsia="Times New Roman" w:hAnsi="Times New Roman" w:cs="Times New Roman"/>
          <w:lang w:val="es-PY" w:eastAsia="es-PY"/>
        </w:rPr>
        <w:lastRenderedPageBreak/>
        <w:t>promoviendo procesos sistemáticos de autoevaluación, evaluación externa y mejora institucional. No obstante, la experiencia acumulada durante los distintos ciclos de acreditación evidenció la necesidad de actualizar los procedimientos metodológicos con el propósito de hacerlos más flexibles, eficientes y acordes con las nuevas dinámicas del sistema universitario paraguayo.</w:t>
      </w:r>
    </w:p>
    <w:p w14:paraId="5AE758FA"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Para hacer frente a estas necesidades, la ANEAES aprobó la Resolución </w:t>
      </w:r>
      <w:proofErr w:type="spellStart"/>
      <w:r w:rsidRPr="007F4168">
        <w:rPr>
          <w:rFonts w:ascii="Times New Roman" w:eastAsia="Times New Roman" w:hAnsi="Times New Roman" w:cs="Times New Roman"/>
          <w:lang w:val="es-PY" w:eastAsia="es-PY"/>
        </w:rPr>
        <w:t>N.°</w:t>
      </w:r>
      <w:proofErr w:type="spellEnd"/>
      <w:r w:rsidRPr="007F4168">
        <w:rPr>
          <w:rFonts w:ascii="Times New Roman" w:eastAsia="Times New Roman" w:hAnsi="Times New Roman" w:cs="Times New Roman"/>
          <w:lang w:val="es-PY" w:eastAsia="es-PY"/>
        </w:rPr>
        <w:t xml:space="preserve"> 309/2025, mediante la cual implementó el Sistema de Evaluación de la Calidad de la Educación Superior por Fases. Este nuevo sistema reorganiza el proceso evaluativo en etapas sucesivas bajo una lógica de seguimiento progresivo, orientada a fortalecer el acompañamiento técnico a las instituciones, detectar oportunamente oportunidades de mejora y optimizar las evaluaciones externas. Sus principales innovaciones radican en la modalidad de evaluación por clúster de carreras o programas afines y la reorganización metodológica del proceso, distanciándose de la aplicación uniforme anterior.</w:t>
      </w:r>
    </w:p>
    <w:p w14:paraId="784D53BF"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Ante esta transición normativa, resulta necesario examinar cómo reciben y viabilizan estos nuevos criterios técnicos los actores encargados de aplicarlos en el campo. Para efectos de esta investigación, y dado el carácter transversal del diseño, el concepto de eficacia no se aborda desde una perspectiva de impacto acumulativo a largo plazo, sino que se delimita operacionalmente como eficacia percibida e idoneidad operacional inicial. Esto implica evaluar en qué medida los operadores directos de este esquema (los pares evaluadores) validan la capacidad del formato secuencial para cumplir con los fines misionales de aseguramiento de la calidad, racionalización de procesos y mejora </w:t>
      </w:r>
      <w:proofErr w:type="gramStart"/>
      <w:r w:rsidRPr="007F4168">
        <w:rPr>
          <w:rFonts w:ascii="Times New Roman" w:eastAsia="Times New Roman" w:hAnsi="Times New Roman" w:cs="Times New Roman"/>
          <w:lang w:val="es-PY" w:eastAsia="es-PY"/>
        </w:rPr>
        <w:t>continua</w:t>
      </w:r>
      <w:proofErr w:type="gramEnd"/>
      <w:r w:rsidRPr="007F4168">
        <w:rPr>
          <w:rFonts w:ascii="Times New Roman" w:eastAsia="Times New Roman" w:hAnsi="Times New Roman" w:cs="Times New Roman"/>
          <w:lang w:val="es-PY" w:eastAsia="es-PY"/>
        </w:rPr>
        <w:t xml:space="preserve"> instituidos por la ANEAES.</w:t>
      </w:r>
    </w:p>
    <w:p w14:paraId="4992B9ED"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La pertinencia de este enfoque se sustenta en la literatura sobre aseguramiento de la calidad, la cual reconoce que la efectividad de las nuevas metodologías de evaluación depende crucialmente de la apropiación que realizan los actores responsables de su aplicación (Kotter, 1996). En el ámbito de la evaluación externa, los pares evaluadores desempeñan un papel estratégico, ya que son quienes interpretan los criterios, analizan las evidencias institucionales y aplican las herramientas en las visitas de campo. Por ende, sus percepciones ofrecen información clave para valorar la viabilidad operativa de la reforma e identificar oportunidades de ajuste durante su despliegue inicial.</w:t>
      </w:r>
    </w:p>
    <w:p w14:paraId="1CF39689" w14:textId="66A82DE3" w:rsidR="00262E35"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A pesar de la relevancia de esta transformación, la producción científica sobre la fase inicial del Sistema de Evaluación por Fases en Paraguay es aún limitada. Si bien existen antecedentes sobre acreditación general en el país, son escasos los estudios que analizan empíricamente la respuesta de los evaluadores frente a esta transición procedimental. Con el objetivo de cubrir este vacío, la presente investigación analiza la percepción de los pares evaluadores acerca de la eficacia de la implementación del Sistema por Fases dentro del Modelo Nacional. A través de este abordaje, se busca aportar evidencia empírica que contribuya al perfeccionamiento del sistema y amplíe el conocimiento disponible sobre los procesos contemporáneos de innovación en la gestión de la calidad educativa.</w:t>
      </w:r>
    </w:p>
    <w:p w14:paraId="5CF53AC0" w14:textId="77777777" w:rsidR="00303026" w:rsidRPr="007F4168" w:rsidRDefault="00303026" w:rsidP="00262E35">
      <w:pPr>
        <w:spacing w:before="100" w:beforeAutospacing="1" w:after="100" w:afterAutospacing="1" w:line="240" w:lineRule="auto"/>
        <w:jc w:val="both"/>
        <w:rPr>
          <w:rFonts w:ascii="Times New Roman" w:eastAsia="Times New Roman" w:hAnsi="Times New Roman" w:cs="Times New Roman"/>
          <w:lang w:val="es-PY" w:eastAsia="es-PY"/>
        </w:rPr>
      </w:pPr>
    </w:p>
    <w:p w14:paraId="62D1F610" w14:textId="4BBF0F0D" w:rsidR="00262E35" w:rsidRPr="00262E35" w:rsidRDefault="00262E35" w:rsidP="00262E35">
      <w:pPr>
        <w:rPr>
          <w:rFonts w:ascii="Times New Roman" w:hAnsi="Times New Roman" w:cs="Times New Roman"/>
          <w:b/>
          <w:bCs/>
        </w:rPr>
      </w:pPr>
      <w:r w:rsidRPr="00262E35">
        <w:rPr>
          <w:rFonts w:ascii="Times New Roman" w:hAnsi="Times New Roman" w:cs="Times New Roman"/>
          <w:b/>
          <w:bCs/>
        </w:rPr>
        <w:lastRenderedPageBreak/>
        <w:t>Marco teórico</w:t>
      </w:r>
    </w:p>
    <w:p w14:paraId="2BD9A406" w14:textId="700412B7" w:rsidR="00262E35" w:rsidRPr="00262E35" w:rsidRDefault="00262E35" w:rsidP="00262E35">
      <w:pPr>
        <w:rPr>
          <w:rFonts w:ascii="Times New Roman" w:hAnsi="Times New Roman" w:cs="Times New Roman"/>
          <w:b/>
        </w:rPr>
      </w:pPr>
      <w:r w:rsidRPr="00262E35">
        <w:rPr>
          <w:rFonts w:ascii="Times New Roman" w:hAnsi="Times New Roman" w:cs="Times New Roman"/>
          <w:b/>
          <w:bCs/>
        </w:rPr>
        <w:t>La evolución del aseguramiento de la calidad en la educación superior</w:t>
      </w:r>
    </w:p>
    <w:p w14:paraId="57763659" w14:textId="77777777" w:rsidR="00262E35" w:rsidRPr="007F4168" w:rsidRDefault="00262E35" w:rsidP="00262E35">
      <w:pPr>
        <w:pStyle w:val="NormalWeb"/>
        <w:jc w:val="both"/>
      </w:pPr>
      <w:r>
        <w:t>La calidad constituye uno de los conceptos más complejos y debatidos en el ámbito de la educación superior, debido a que su significado ha evolucionado en función de los cambios experimentados por las instituciones universitarias, las demandas sociales y las políticas públicas orientadas al fortalecimiento de los sistemas educativos. En la actualidad, la calidad ya no se interpreta únicamente como el cumplimiento de estándares previamente establecidos, sino como la capacidad de las instituciones para responder de manera pertinente, eficaz y sostenible a las necesidades de la sociedad mediante procesos permanentes de mejora e innovación</w:t>
      </w:r>
      <w:r w:rsidRPr="007F4168">
        <w:t xml:space="preserve"> [UNESCO], </w:t>
      </w:r>
      <w:r>
        <w:t>2021</w:t>
      </w:r>
      <w:r w:rsidRPr="007F4168">
        <w:t>).</w:t>
      </w:r>
    </w:p>
    <w:p w14:paraId="6D0FC8B3" w14:textId="77777777" w:rsidR="00262E35" w:rsidRDefault="00262E35" w:rsidP="00262E35">
      <w:pPr>
        <w:pStyle w:val="NormalWeb"/>
        <w:jc w:val="both"/>
      </w:pPr>
      <w:r w:rsidRPr="007F4168">
        <w:t>Uno de los aportes teóricos más influyentes en este campo corresponde a Harvey y Green (1993), quienes sostienen que la calidad constituye un concepto multidimensional cuya interpretación depende de los propósitos y actores involucrados. Los autores identifican cinco enfoques fundamentales en la literatura: la calidad entendida como excelencia, como perfección o consistencia, como adecuación al propósito institucional, como eficiencia en el uso de los recursos y como transformación de los estudiantes y de las instituciones. Esta perspectiva continúa siendo un referente central del aseguramiento de la calidad, ya que reconoce que la evaluación no puede limitarse al cumplimiento de estándares, sino que debe considerar el impacto de los procesos educativos sobre el desarrollo institucional y la formación integral.</w:t>
      </w:r>
    </w:p>
    <w:p w14:paraId="1193691A" w14:textId="77777777" w:rsidR="00262E35" w:rsidRPr="007F4168" w:rsidRDefault="00262E35" w:rsidP="00262E35">
      <w:pPr>
        <w:pStyle w:val="NormalWeb"/>
        <w:jc w:val="both"/>
      </w:pPr>
      <w:r>
        <w:t xml:space="preserve">Aunque esta clasificación continúa siendo una referencia obligada en los estudios sobre aseguramiento de la calidad, el debate científico de los últimos años ha ampliado considerablemente esta visión. La UNESCO (2021), en el informe </w:t>
      </w:r>
      <w:proofErr w:type="spellStart"/>
      <w:r>
        <w:rPr>
          <w:rStyle w:val="nfasis"/>
          <w:rFonts w:eastAsiaTheme="majorEastAsia"/>
        </w:rPr>
        <w:t>Reimaginar</w:t>
      </w:r>
      <w:proofErr w:type="spellEnd"/>
      <w:r>
        <w:rPr>
          <w:rStyle w:val="nfasis"/>
          <w:rFonts w:eastAsiaTheme="majorEastAsia"/>
        </w:rPr>
        <w:t xml:space="preserve"> juntos nuestros futuros</w:t>
      </w:r>
      <w:r>
        <w:t>, sostiene que los sistemas educativos enfrentan el desafío de construir modelos de calidad capaces de responder a escenarios caracterizados por la innovación tecnológica, la internacionalización del conocimiento y la necesidad de garantizar una educación superior pertinente, inclusiva y socialmente responsable. Desde esta perspectiva, la calidad deja de entenderse como una condición estática y pasa a concebirse como un proceso dinámico que requiere mecanismos permanentes de evaluación, aprendizaje institucional y adaptación al cambio.</w:t>
      </w:r>
    </w:p>
    <w:p w14:paraId="5F33B77A" w14:textId="77777777" w:rsidR="00262E35" w:rsidRPr="007F4168" w:rsidRDefault="00262E35" w:rsidP="00262E35">
      <w:pPr>
        <w:pStyle w:val="NormalWeb"/>
        <w:jc w:val="both"/>
      </w:pPr>
      <w:r w:rsidRPr="007F4168">
        <w:t>A partir de estas contribuciones, el debate internacional se desplazó desde una visión centrada en la verificación de estándares hacia enfoques orientados al aprendizaje organizacional y al mejoramiento continuo. Harvey (2006) señala que la verdadera contribución del aseguramiento de la calidad consiste en estimular procesos permanentes de reflexión y desarrollo dentro de las instituciones. Esta transformación implica comprender la evaluación como un instrumento para la mejora y no exclusivamente como un mecanismo de control.</w:t>
      </w:r>
    </w:p>
    <w:p w14:paraId="5E12A387" w14:textId="77777777" w:rsidR="00262E35" w:rsidRPr="007F4168" w:rsidRDefault="00262E35" w:rsidP="00262E35">
      <w:pPr>
        <w:pStyle w:val="NormalWeb"/>
        <w:jc w:val="both"/>
      </w:pPr>
      <w:r w:rsidRPr="007F4168">
        <w:t xml:space="preserve">Este cambio de paradigma también ha sido impulsado por organismos multilaterales. La UNESCO (2021) plantea que la educación superior enfrenta el desafío de construir </w:t>
      </w:r>
      <w:r w:rsidRPr="007F4168">
        <w:lastRenderedPageBreak/>
        <w:t>sistemas capaces de responder a escenarios caracterizados por la acelerada transformación tecnológica, la internacionalización del conocimiento y la creciente exigencia de rendición de cuentas. En consecuencia, el fortalecimiento de una cultura institucional de calidad constituye un elemento indispensable para garantizar la pertinencia, la equidad y la sostenibilidad de las universidades.</w:t>
      </w:r>
    </w:p>
    <w:p w14:paraId="0C185494" w14:textId="77777777" w:rsidR="00262E35" w:rsidRDefault="00262E35" w:rsidP="00262E35">
      <w:pPr>
        <w:pStyle w:val="NormalWeb"/>
        <w:jc w:val="both"/>
      </w:pPr>
      <w:r w:rsidRPr="007F4168">
        <w:t xml:space="preserve">En el contexto iberoamericano, </w:t>
      </w:r>
      <w:r>
        <w:t>esta evolución conceptual también se refleja en investigaciones recientes desarrolladas en América Latina. Vilca Arana et al. (2024), mediante una revisión sistemática de la literatura sobre políticas de aseguramiento de la calidad en educación superior, concluyen que los sistemas nacionales han evolucionado desde modelos centrados en la verificación del cumplimiento normativo hacia enfoques que privilegian la mejora continua, la participación de los actores institucionales y la consolidación de una cultura de calidad.</w:t>
      </w:r>
      <w:r w:rsidRPr="007F4168">
        <w:t xml:space="preserve"> </w:t>
      </w:r>
    </w:p>
    <w:p w14:paraId="1C715FC6" w14:textId="77777777" w:rsidR="00262E35"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proofErr w:type="spellStart"/>
      <w:r w:rsidRPr="0058489C">
        <w:rPr>
          <w:rFonts w:ascii="Times New Roman" w:eastAsia="Times New Roman" w:hAnsi="Times New Roman" w:cs="Times New Roman"/>
          <w:lang w:val="es-PY" w:eastAsia="es-PY"/>
        </w:rPr>
        <w:t>Uvalić-Trumbić</w:t>
      </w:r>
      <w:proofErr w:type="spellEnd"/>
      <w:r w:rsidRPr="0058489C">
        <w:rPr>
          <w:rFonts w:ascii="Times New Roman" w:eastAsia="Times New Roman" w:hAnsi="Times New Roman" w:cs="Times New Roman"/>
          <w:lang w:val="es-PY" w:eastAsia="es-PY"/>
        </w:rPr>
        <w:t xml:space="preserve"> y Martin (2021) sostienen que las agencias de aseguramiento de la calidad se encuentran actualmente frente a una nueva generación de procesos de evaluación caracterizados por una mayor flexibilidad metodológica, el fortalecimiento de los mecanismos internos de calidad y la incorporación de enfoques basados en riesgos, con el propósito de hacer que la evaluación sea más pertinente y útil para las instituciones de educación superior</w:t>
      </w:r>
      <w:r>
        <w:rPr>
          <w:rFonts w:ascii="Times New Roman" w:eastAsia="Times New Roman" w:hAnsi="Times New Roman" w:cs="Times New Roman"/>
          <w:lang w:val="es-PY" w:eastAsia="es-PY"/>
        </w:rPr>
        <w:t>.</w:t>
      </w:r>
      <w:r w:rsidRPr="0058489C">
        <w:rPr>
          <w:rFonts w:ascii="Times New Roman" w:eastAsia="Times New Roman" w:hAnsi="Times New Roman" w:cs="Times New Roman"/>
          <w:lang w:val="es-PY" w:eastAsia="es-PY"/>
        </w:rPr>
        <w:t xml:space="preserve"> Los autores destacan que las agencias responsables del aseguramiento de la calidad buscan actualmente fortalecer las capacidades institucionales para la autorregulación, superando progresivamente los enfoques tradicionales basados exclusivamente en la fiscalización.</w:t>
      </w:r>
    </w:p>
    <w:p w14:paraId="4473F6A3" w14:textId="77777777" w:rsidR="00262E35" w:rsidRPr="0058489C"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3C492F">
        <w:rPr>
          <w:rFonts w:ascii="Times New Roman" w:eastAsia="Times New Roman" w:hAnsi="Times New Roman" w:cs="Times New Roman"/>
          <w:lang w:val="es-PY" w:eastAsia="es-PY"/>
        </w:rPr>
        <w:t>Las investigaciones más recientes coinciden en señalar que el principal desafío para los sistemas iberoamericanos ya no consiste únicamente en garantizar procesos técnicamente rigurosos, sino en lograr que la evaluación genere cambios efectivos dentro de las instituciones. Ramos-Calderón y Hernández-Limón (2024) sostienen que las agencias de acreditación enfrentan el reto de diseñar modelos que, además de emitir juicios sobre la calidad, promuevan procesos permanentes de aprendizaje institucional, innovación y fortalecimiento organizacional. Desde esta perspectiva, el éxito de un sistema de aseguramiento no depende exclusivamente de la solidez de sus estándares, sino también de su capacidad para producir mejoras sostenibles en la gestión académica y administrativa de las instituciones.</w:t>
      </w:r>
    </w:p>
    <w:p w14:paraId="2FC99E89" w14:textId="340C09EE"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La evaluación externa como promotora de una cultura de calidad.</w:t>
      </w:r>
    </w:p>
    <w:p w14:paraId="64D3C702" w14:textId="77777777" w:rsidR="00262E35" w:rsidRPr="007F4168" w:rsidRDefault="00262E35" w:rsidP="00262E35">
      <w:pPr>
        <w:pStyle w:val="NormalWeb"/>
        <w:jc w:val="both"/>
      </w:pPr>
      <w:r w:rsidRPr="007F4168">
        <w:t>Dentro de los sistemas de aseguramiento, la evaluación externa representa un mecanismo dinamizador para promover los procesos de mejora interna. Si bien inicialmente fue concebida como una estrategia destinada a verificar el cumplimiento de requisitos mínimos, existe consenso en que su principal aporte consiste en favorecer la autorregulación, el aprendizaje y el asentamiento de una cultura de la calidad (Martin &amp; Stella, 2007).</w:t>
      </w:r>
    </w:p>
    <w:p w14:paraId="2B867E61" w14:textId="77777777" w:rsidR="00262E35" w:rsidRPr="007F4168" w:rsidRDefault="00262E35" w:rsidP="00262E35">
      <w:pPr>
        <w:pStyle w:val="NormalWeb"/>
        <w:jc w:val="both"/>
      </w:pPr>
      <w:r w:rsidRPr="007F4168">
        <w:lastRenderedPageBreak/>
        <w:t>Desde esta mirada, la acreditación deja de representar únicamente un reconocimiento formal de condiciones para convertirse en un proceso sistemático de reflexión. Harvey y Williams (2010) sostienen que los sistemas de evaluación generan mayores beneficios cuando las instituciones utilizan los resultados obtenidos para orientar la planificación estratégica, revisar sus procesos académicos y fortalecer sus mecanismos internos de gestión.</w:t>
      </w:r>
    </w:p>
    <w:p w14:paraId="61AB233B" w14:textId="77777777" w:rsidR="00262E35" w:rsidRPr="007F4168" w:rsidRDefault="00262E35" w:rsidP="00262E35">
      <w:pPr>
        <w:pStyle w:val="NormalWeb"/>
        <w:jc w:val="both"/>
      </w:pPr>
      <w:r w:rsidRPr="007F4168">
        <w:t xml:space="preserve">Los efectos de la evaluación externa, sin embargo, no son automáticos. </w:t>
      </w:r>
      <w:proofErr w:type="spellStart"/>
      <w:r w:rsidRPr="007F4168">
        <w:t>Stensaker</w:t>
      </w:r>
      <w:proofErr w:type="spellEnd"/>
      <w:r w:rsidRPr="007F4168">
        <w:t xml:space="preserve"> (2008) advierte que el impacto de estos procesos depende de múltiples variables, entre ellas la claridad de los criterios de evaluación, la consistencia metodológica de los procedimientos, el compromiso de las autoridades y la apropiación que realizan los diferentes actores involucrados. En consecuencia, la calidad de un sistema de acreditación no puede valorarse únicamente por la existencia técnica de estándares o instrumentos, sino por la forma en que dichos elementos son implementados y utilizados durante el proceso evaluativo.</w:t>
      </w:r>
    </w:p>
    <w:p w14:paraId="7D738005" w14:textId="77777777" w:rsidR="00262E35" w:rsidRPr="007F4168" w:rsidRDefault="00262E35" w:rsidP="00262E35">
      <w:pPr>
        <w:pStyle w:val="NormalWeb"/>
        <w:jc w:val="both"/>
      </w:pPr>
      <w:r w:rsidRPr="007F4168">
        <w:t>Bajo estas premisas, la cultura de calidad constituye uno de los resultados más relevantes del aseguramiento institucional. Más que una condición estática alcanzada mediante la obtención de un sello de acreditación, representa la incorporación permanente de prácticas de autoevaluación, la utilización sistemática de evidencias y el compromiso con el mejoramiento continuo. La consolidación de esta cultura requiere que la comunidad educativa perciba la evaluación como un proceso de aprendizaje colectivo y no exclusivamente como una exigencia normativa.</w:t>
      </w:r>
    </w:p>
    <w:p w14:paraId="53034E1B" w14:textId="682BA98A"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Los pares evaluadores como actores estratégicos del aseguramiento de la calidad</w:t>
      </w:r>
    </w:p>
    <w:p w14:paraId="40D83940" w14:textId="77777777" w:rsidR="00262E35" w:rsidRPr="007F4168" w:rsidRDefault="00262E35" w:rsidP="00262E35">
      <w:pPr>
        <w:pStyle w:val="NormalWeb"/>
        <w:jc w:val="both"/>
      </w:pPr>
      <w:r w:rsidRPr="007F4168">
        <w:t>La literatura internacional reconoce a los pares evaluadores como uno de los pilares fundamentales de los sistemas de evaluación externa. Su participación garantiza que los juicios emitidos durante los procesos de acreditación se fundamenten en criterios académicos, experiencia profesional y conocimiento especializado de los contextos institucionales locales (Martin &amp; Stella, 2007).</w:t>
      </w:r>
    </w:p>
    <w:p w14:paraId="4219251D" w14:textId="77777777" w:rsidR="00262E35" w:rsidRPr="007F4168" w:rsidRDefault="00262E35" w:rsidP="00262E35">
      <w:pPr>
        <w:pStyle w:val="NormalWeb"/>
        <w:jc w:val="both"/>
      </w:pPr>
      <w:r w:rsidRPr="007F4168">
        <w:t>El papel de los evaluadores supera la mera verificación documental. Durante las visitas de campo, ellos interpretan las pautas técnicas, analizan evidencias, contrastan información obtenida mediante entrevistas y elaboran los dictámenes que sustentan las decisiones de acreditación. Por lo tanto, la efectividad del sistema depende, en gran medida, de la claridad metodológica de los instrumentos utilizados y de la capacitación que reciben los profesionales que los aplican.</w:t>
      </w:r>
    </w:p>
    <w:p w14:paraId="59B1B3B5" w14:textId="77777777" w:rsidR="00262E35" w:rsidRPr="007F4168" w:rsidRDefault="00262E35" w:rsidP="00262E35">
      <w:pPr>
        <w:pStyle w:val="NormalWeb"/>
        <w:jc w:val="both"/>
      </w:pPr>
      <w:proofErr w:type="spellStart"/>
      <w:r w:rsidRPr="007F4168">
        <w:t>Leiber</w:t>
      </w:r>
      <w:proofErr w:type="spellEnd"/>
      <w:r w:rsidRPr="007F4168">
        <w:t xml:space="preserve">, </w:t>
      </w:r>
      <w:proofErr w:type="spellStart"/>
      <w:r w:rsidRPr="007F4168">
        <w:t>Stensaker</w:t>
      </w:r>
      <w:proofErr w:type="spellEnd"/>
      <w:r w:rsidRPr="007F4168">
        <w:t xml:space="preserve"> y Harvey (2015) sostienen que uno de los aspectos menos estudiados dentro del aseguramiento de la calidad es precisamente la percepción de los actores que participan directamente en estas evaluaciones externas. Estos autores argumentan que comprender cómo experimentan los evaluadores las transformaciones metodológicas permite identificar fortalezas, dificultades y oportunidades de ajuste que no siempre son visibles mediante el análisis exclusivo de las estadísticas finales de acreditación.</w:t>
      </w:r>
    </w:p>
    <w:p w14:paraId="11480F5B" w14:textId="77777777" w:rsidR="00262E35" w:rsidRPr="007F4168" w:rsidRDefault="00262E35" w:rsidP="00262E35">
      <w:pPr>
        <w:pStyle w:val="NormalWeb"/>
        <w:jc w:val="both"/>
      </w:pPr>
      <w:r w:rsidRPr="007F4168">
        <w:lastRenderedPageBreak/>
        <w:t>Estudiar la percepción de los pares evaluadores adquiere una importancia estratégica cuando las agencias nacionales introducen modificaciones de fondo en sus dinámicas de evaluación. Sus apreciaciones constituyen una fuente empírica de alto valor para determinar la viabilidad operativa de las reformas, identificar necesidades específicas de capacitación y fortalecer la implementación práctica de los nuevos procedimientos.</w:t>
      </w:r>
    </w:p>
    <w:p w14:paraId="1481DF6B" w14:textId="0A8C671A"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Innovación metodológica y transición hacia modelos de evaluación progresiva</w:t>
      </w:r>
    </w:p>
    <w:p w14:paraId="5564B8AD" w14:textId="77777777" w:rsidR="00262E35" w:rsidRPr="007F4168" w:rsidRDefault="00262E35" w:rsidP="00262E35">
      <w:pPr>
        <w:pStyle w:val="NormalWeb"/>
        <w:jc w:val="both"/>
      </w:pPr>
      <w:r w:rsidRPr="007F4168">
        <w:t>Los sistemas de aseguramiento de la calidad evolucionan de manera constante como respuesta a las transformaciones estructurales de la educación superior. La expansión de la matrícula, la diversificación de las instituciones universitarias y la creciente complejidad de los procesos académicos han impulsado a las agencias de acreditación a revisar periódicamente sus metodologías para dotarlas de mayor eficiencia y pertinencia (Harvey &amp; Williams, 2010).</w:t>
      </w:r>
    </w:p>
    <w:p w14:paraId="140DB684" w14:textId="77777777" w:rsidR="00262E35" w:rsidRPr="007F4168" w:rsidRDefault="00262E35" w:rsidP="00262E35">
      <w:pPr>
        <w:pStyle w:val="NormalWeb"/>
        <w:jc w:val="both"/>
      </w:pPr>
      <w:r w:rsidRPr="007F4168">
        <w:t xml:space="preserve">En este escenario, diversos sistemas nacionales han comenzado a incorporar mecanismos de evaluación progresiva, seguimiento continuo y acompañamiento institucional, superando paulatinamente los esquemas tradicionales rígidos basados en evaluaciones de carácter terminal. </w:t>
      </w:r>
      <w:r>
        <w:t xml:space="preserve">Vilca Arana et al. (2024) </w:t>
      </w:r>
      <w:r w:rsidRPr="007F4168">
        <w:t>sostiene</w:t>
      </w:r>
      <w:r>
        <w:t xml:space="preserve">n </w:t>
      </w:r>
      <w:r w:rsidRPr="007F4168">
        <w:t>que estos enfoques favorecen procesos permanentes de mejora, al permitir que las instituciones reciban retroalimentación técnica durante distintas etapas de su desarrollo y no únicamente al finalizar un ciclo de acreditación.</w:t>
      </w:r>
    </w:p>
    <w:p w14:paraId="6D1FAE7B" w14:textId="77777777" w:rsidR="00262E35" w:rsidRPr="007F4168" w:rsidRDefault="00262E35" w:rsidP="00262E35">
      <w:pPr>
        <w:pStyle w:val="NormalWeb"/>
        <w:jc w:val="both"/>
      </w:pPr>
      <w:r w:rsidRPr="007F4168">
        <w:t>Estos planteamientos coinciden con las orientaciones del Instituto Internacional de la UNESCO para la Educación Superior en América Latina y el Caribe (UNESCO-IESALC, 2022), el cual destaca que el aseguramiento de la calidad debe trascender la certificación periódica de estándares para convertirse en un motor capaz de promover el desarrollo institucional, la innovación y la mejora continua de los procesos académicos. La evaluación adquiere así una dimensión estratégica que proporciona información relevante para orientar la planificación, fortalecer la gestión universitaria y favorecer una cultura organizacional basada en la revisión permanente.</w:t>
      </w:r>
    </w:p>
    <w:p w14:paraId="73759E4A" w14:textId="2B7B7250" w:rsidR="00262E35" w:rsidRDefault="00262E35" w:rsidP="00262E35">
      <w:pPr>
        <w:pStyle w:val="NormalWeb"/>
        <w:jc w:val="both"/>
      </w:pPr>
      <w:r w:rsidRPr="007F4168">
        <w:t>La implementación del Sistema de Evaluación de la Calidad de la Educación Superior por Fases adoptado por la ANEAES se inserta en esta tendencia internacional hacia esquemas más flexibles, progresivos y orientados al fortalecimiento institucional. Su incorporación supone una transformación metodológica que modifica la organización del proceso evaluativo y redefine la dinámica de trabajo tanto de las instituciones como de los pares evaluadores. Analizar la percepción de estos actores durante las primeras etapas de implementación constituye una oportunidad para generar evidencia empírica sobre el funcionamiento inicial de la reforma, identificar aspectos susceptibles de perfeccionamiento y contribuir al fortalecimiento del Sistema Nacional de Evaluación y Acreditación de la Educación Superior en Paraguay.</w:t>
      </w:r>
    </w:p>
    <w:p w14:paraId="39DD33A4" w14:textId="77777777" w:rsidR="000C19AD" w:rsidRPr="007F4168" w:rsidRDefault="000C19AD" w:rsidP="00262E35">
      <w:pPr>
        <w:pStyle w:val="NormalWeb"/>
        <w:jc w:val="both"/>
      </w:pPr>
    </w:p>
    <w:p w14:paraId="02467599" w14:textId="68868711" w:rsidR="00262E35" w:rsidRPr="00262E35" w:rsidRDefault="00262E35" w:rsidP="00262E35">
      <w:pPr>
        <w:rPr>
          <w:rFonts w:ascii="Times New Roman" w:hAnsi="Times New Roman" w:cs="Times New Roman"/>
          <w:b/>
          <w:bCs/>
        </w:rPr>
      </w:pPr>
      <w:r w:rsidRPr="00262E35">
        <w:rPr>
          <w:rFonts w:ascii="Times New Roman" w:hAnsi="Times New Roman" w:cs="Times New Roman"/>
          <w:b/>
          <w:bCs/>
        </w:rPr>
        <w:lastRenderedPageBreak/>
        <w:t>Marco normativo</w:t>
      </w:r>
    </w:p>
    <w:p w14:paraId="641A13AB" w14:textId="77777777" w:rsidR="00262E35" w:rsidRPr="007F4168" w:rsidRDefault="00262E35" w:rsidP="00262E35">
      <w:pPr>
        <w:pStyle w:val="NormalWeb"/>
        <w:jc w:val="both"/>
      </w:pPr>
      <w:r w:rsidRPr="007F4168">
        <w:t>La implementación del Sistema de Evaluación de la Calidad de la Educación Superior por Fases no constituye una innovación aislada dentro del sistema paraguayo de aseguramiento de la calidad, sino que se encuentra sustentada en un sólido marco jurídico e institucional que regula las competencias de la ANEAES y orienta el desarrollo de los procesos de evaluación externa y acreditación.</w:t>
      </w:r>
    </w:p>
    <w:p w14:paraId="577183F4" w14:textId="77777777" w:rsidR="00262E35" w:rsidRPr="007F4168" w:rsidRDefault="00262E35" w:rsidP="00262E35">
      <w:pPr>
        <w:pStyle w:val="NormalWeb"/>
        <w:jc w:val="both"/>
      </w:pPr>
      <w:r w:rsidRPr="007F4168">
        <w:t>El principal fundamento normativo se encuentra en la Ley N.º 2072/2003, «De creación de la Agencia Nacional de Evaluación y Acreditación de la Educación Superior», que establece las atribuciones institucionales de la ANEAES y define los mecanismos para la organización y ejecución de los procesos de evaluación de la educación superior en Paraguay. En particular, el artículo 5 dispone las competencias del Consejo Directivo de la Agencia, destacando entre ellas la administración de los recursos institucionales y la conformación del Registro Nacional de Pares Evaluadores por áreas disciplinarias (Ley N.º 2072/2003). Estas atribuciones otorgan a la Agencia la capacidad de desarrollar instrumentos técnicos, actualizar metodologías de evaluación y adecuar sus procedimientos a las necesidades emergentes del sistema, garantizando que la acreditación se constituya en una herramienta de mejoramiento continuo y no únicamente en un mecanismo de certificación.</w:t>
      </w:r>
    </w:p>
    <w:p w14:paraId="38E009A6" w14:textId="77777777" w:rsidR="00262E35" w:rsidRPr="007F4168" w:rsidRDefault="00262E35" w:rsidP="00262E35">
      <w:pPr>
        <w:pStyle w:val="NormalWeb"/>
        <w:jc w:val="both"/>
      </w:pPr>
      <w:r w:rsidRPr="007F4168">
        <w:t>La legitimidad institucional de estas decisiones se encuentra respaldada por los Decretos N.º 2940/2024 y N.º 3394/2025, mediante los cuales el Poder Ejecutivo designó a los integrantes del Consejo Directivo para el periodo 2025-2028. En ejercicio de las facultades conferidas por la Ley N.º 2072/2003, dicho órgano impulsó una serie de reformas orientadas a fortalecer la aplicación del Modelo Nacional, entre las cuales destaca la aprobación de la Resolución N.º 309/2025, que establece formalmente el Sistema de Evaluación de la Calidad de la Educación Superior por Fases.</w:t>
      </w:r>
    </w:p>
    <w:p w14:paraId="05DEEF43" w14:textId="77777777" w:rsidR="00262E35" w:rsidRPr="007F4168" w:rsidRDefault="00262E35" w:rsidP="00262E35">
      <w:pPr>
        <w:pStyle w:val="NormalWeb"/>
        <w:jc w:val="both"/>
      </w:pPr>
      <w:r w:rsidRPr="007F4168">
        <w:t>La Resolución N.º 309/2025 introduce una modificación sustancial en la organización del proceso evaluativo al estructurarlo en etapas progresivas y articuladas. Este enfoque permite desagregar la complejidad institucional en diferentes niveles de análisis, iniciando con una primera fase centrada en las condiciones básicas de gobernanza, gestión e infraestructura, para posteriormente avanzar hacia la evaluación de los procesos académicos, los resultados formativos y el impacto institucional. La lógica de esta metodología responde a la necesidad de identificar tempranamente riesgos y debilidades estructurales, favoreciendo la adopción oportuna de medidas correctivas y optimizando la utilización de los recursos destinados a los procesos de acreditación.</w:t>
      </w:r>
    </w:p>
    <w:p w14:paraId="548D9B88" w14:textId="77777777" w:rsidR="00262E35" w:rsidRPr="007F4168" w:rsidRDefault="00262E35" w:rsidP="00262E35">
      <w:pPr>
        <w:pStyle w:val="NormalWeb"/>
        <w:jc w:val="both"/>
      </w:pPr>
      <w:r w:rsidRPr="007F4168">
        <w:t xml:space="preserve">Desde la perspectiva del aseguramiento de la calidad, esta innovación se alinea con las tendencias internacionales que promueven mecanismos de evaluación progresiva y acompañamiento continuo, fortaleciendo el carácter formativo de la acreditación y ampliando las oportunidades de mejora institucional antes de la evaluación final. En este sentido, el Sistema por Fases representa una evolución metodológica en la aplicación del </w:t>
      </w:r>
      <w:r w:rsidRPr="007F4168">
        <w:lastRenderedPageBreak/>
        <w:t>Modelo Nacional de Evaluación y Acreditación, orientada a incrementar la eficacia de los procesos evaluativos y a consolidar una cultura institucional de calidad.</w:t>
      </w:r>
    </w:p>
    <w:p w14:paraId="5794811A" w14:textId="77777777" w:rsidR="00262E35" w:rsidRPr="007F4168" w:rsidRDefault="00262E35" w:rsidP="00262E35">
      <w:pPr>
        <w:pStyle w:val="NormalWeb"/>
        <w:jc w:val="both"/>
      </w:pPr>
      <w:r w:rsidRPr="007F4168">
        <w:t>La implementación efectiva de este sistema requiere, sin embargo, la participación de evaluadores debidamente capacitados y habilitados para aplicar los nuevos instrumentos y criterios metodológicos. En este contexto, la Resolución N.º 160/2026 adquiere especial relevancia al aprobar la nómina actualizada de profesionales que integran el Registro Nacional de Pares Evaluadores por un periodo de seis años. Dicho registro se encuentra regulado por las Resoluciones N.º 208/2025 y N.º 234/2025, las cuales establecen los requisitos, procedimientos y criterios para la incorporación y permanencia de los profesionales habilitados para participar en los procesos de evaluación externa.</w:t>
      </w:r>
    </w:p>
    <w:p w14:paraId="7729B455" w14:textId="77777777" w:rsidR="00262E35" w:rsidRPr="007F4168" w:rsidRDefault="00262E35" w:rsidP="00262E35">
      <w:pPr>
        <w:pStyle w:val="NormalWeb"/>
        <w:jc w:val="both"/>
      </w:pPr>
      <w:r w:rsidRPr="007F4168">
        <w:t>Estas disposiciones garantizan el cumplimiento de las exigencias establecidas en el artículo 16 de la Ley N.º 2072/2003, asegurando que los pares evaluadores posean la formación académica, experiencia profesional e idoneidad técnica necesarias para el ejercicio de sus funciones. Asimismo, refuerzan la confiabilidad y legitimidad del proceso evaluativo al asegurar que la aplicación de las nuevas matrices, guías de evaluación y procedimientos metodológicos sea realizada por profesionales capacitados y especializados.</w:t>
      </w:r>
    </w:p>
    <w:p w14:paraId="15F824AE" w14:textId="77777777" w:rsidR="00262E35" w:rsidRPr="007F4168" w:rsidRDefault="00262E35" w:rsidP="00262E35">
      <w:pPr>
        <w:pStyle w:val="NormalWeb"/>
        <w:jc w:val="both"/>
      </w:pPr>
      <w:r w:rsidRPr="007F4168">
        <w:t>En el contexto del Sistema de Evaluación por Fases, el rol del par evaluador adquiere una relevancia aún mayor. La implementación de esta dinámica exige una transición desde enfoques centrados predominantemente en la verificación documental hacia una evaluación más integral de los procesos institucionales y de la consistencia operativa de los programas académicos. En consecuencia, el evaluador asume una función técnico-operativa que requiere interpretar evidencias, valorar capacidades institucionales y emitir juicios fundamentados sobre el nivel de desarrollo alcanzado en cada fase del proceso. Esta transformación convierte a los pares evaluadores en actores estratégicos para la consolidación del sistema por fases y justifica la pertinencia de analizar sus percepciones respecto a la eficacia de su implementación.</w:t>
      </w:r>
    </w:p>
    <w:p w14:paraId="139593AB" w14:textId="176BE6EB"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Metodología</w:t>
      </w:r>
    </w:p>
    <w:p w14:paraId="6C4EB0DB" w14:textId="7612E67A" w:rsidR="00262E35" w:rsidRDefault="00262E35" w:rsidP="00262E35">
      <w:p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lang w:eastAsia="es-ES"/>
        </w:rPr>
        <w:t xml:space="preserve">La presente investigación se adscribe a un enfoque cuantitativo, con un alcance descriptivo y un diseño no experimental de corte transversal. El objetivo general del estudio consistió en analizar la percepción de los pares evaluadores respecto a la eficacia del Sistema de Evaluación por Fases implementado por la Agencia Nacional de Evaluación y Acreditación de la Educación Superior (ANEAES). Si bien en la fase de diseño se proyectaron instrumentos diferenciados para directivos y evaluadores, por razones de factibilidad temporal el estudio definitivo concentró su fase de aplicación exclusivamente en la dimensión técnico-operativa de los pares evaluadores. </w:t>
      </w:r>
    </w:p>
    <w:p w14:paraId="4E20D699" w14:textId="5CD58439" w:rsidR="000C19AD" w:rsidRDefault="000C19AD" w:rsidP="00262E35">
      <w:pPr>
        <w:spacing w:before="100" w:beforeAutospacing="1" w:after="100" w:afterAutospacing="1" w:line="240" w:lineRule="auto"/>
        <w:jc w:val="both"/>
        <w:rPr>
          <w:rFonts w:ascii="Times New Roman" w:eastAsia="Times New Roman" w:hAnsi="Times New Roman" w:cs="Times New Roman"/>
          <w:lang w:eastAsia="es-ES"/>
        </w:rPr>
      </w:pPr>
    </w:p>
    <w:p w14:paraId="063E53FB" w14:textId="77777777" w:rsidR="000C19AD" w:rsidRPr="007F4168" w:rsidRDefault="000C19AD" w:rsidP="00262E35">
      <w:pPr>
        <w:spacing w:before="100" w:beforeAutospacing="1" w:after="100" w:afterAutospacing="1" w:line="240" w:lineRule="auto"/>
        <w:jc w:val="both"/>
        <w:rPr>
          <w:rFonts w:ascii="Times New Roman" w:eastAsia="Times New Roman" w:hAnsi="Times New Roman" w:cs="Times New Roman"/>
          <w:lang w:eastAsia="es-ES"/>
        </w:rPr>
      </w:pPr>
    </w:p>
    <w:p w14:paraId="21E3A212" w14:textId="203FBC6C" w:rsidR="00262E35" w:rsidRPr="00262E35" w:rsidRDefault="00262E35" w:rsidP="00262E35">
      <w:pPr>
        <w:rPr>
          <w:rFonts w:ascii="Times New Roman" w:hAnsi="Times New Roman" w:cs="Times New Roman"/>
          <w:b/>
          <w:bCs/>
        </w:rPr>
      </w:pPr>
      <w:r w:rsidRPr="00262E35">
        <w:rPr>
          <w:rFonts w:ascii="Times New Roman" w:hAnsi="Times New Roman" w:cs="Times New Roman"/>
          <w:b/>
          <w:bCs/>
        </w:rPr>
        <w:lastRenderedPageBreak/>
        <w:t>Proceso de Validación y Viabilidad Técnica del Instrumento</w:t>
      </w:r>
    </w:p>
    <w:p w14:paraId="34CD3E38" w14:textId="77777777" w:rsidR="00262E35" w:rsidRPr="007F4168" w:rsidRDefault="00262E35" w:rsidP="00262E35">
      <w:pPr>
        <w:pStyle w:val="NormalWeb"/>
        <w:jc w:val="both"/>
      </w:pPr>
      <w:r w:rsidRPr="007F4168">
        <w:rPr>
          <w:rStyle w:val="citation-129"/>
        </w:rPr>
        <w:t>Con el propósito de asegurar el rigor métrico de la investigación, el cuestionario dirigido a los pares evaluadores fue sometido a un proceso secuencial de validación de contenido y análisis de concordancia mediante un comité de juicio de expertos compuesto por especialistas en investigación y en evaluación institucional y marco normativo de la educación superior en Paraguay</w:t>
      </w:r>
      <w:r w:rsidRPr="007F4168">
        <w:t xml:space="preserve">. </w:t>
      </w:r>
    </w:p>
    <w:p w14:paraId="40D8AE3B" w14:textId="1721BEAA"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 xml:space="preserve">Análisis de Concordancia </w:t>
      </w:r>
      <w:proofErr w:type="spellStart"/>
      <w:r w:rsidRPr="00262E35">
        <w:rPr>
          <w:rFonts w:ascii="Times New Roman" w:hAnsi="Times New Roman" w:cs="Times New Roman"/>
          <w:b/>
          <w:bCs/>
        </w:rPr>
        <w:t>Interevaluador</w:t>
      </w:r>
      <w:proofErr w:type="spellEnd"/>
      <w:r w:rsidRPr="00262E35">
        <w:rPr>
          <w:rFonts w:ascii="Times New Roman" w:hAnsi="Times New Roman" w:cs="Times New Roman"/>
          <w:b/>
          <w:bCs/>
        </w:rPr>
        <w:t xml:space="preserve"> (Fase Inicial)</w:t>
      </w:r>
    </w:p>
    <w:p w14:paraId="53A0D6A3" w14:textId="77777777" w:rsidR="00262E35" w:rsidRPr="007F4168" w:rsidRDefault="00262E35" w:rsidP="00262E35">
      <w:pPr>
        <w:pStyle w:val="NormalWeb"/>
        <w:jc w:val="both"/>
        <w:rPr>
          <w:rStyle w:val="citation-127"/>
        </w:rPr>
      </w:pPr>
      <w:r w:rsidRPr="007F4168">
        <w:rPr>
          <w:rStyle w:val="citation-128"/>
        </w:rPr>
        <w:t xml:space="preserve">En la fase preliminar de validación, se aplicó el coeficiente Alfa de </w:t>
      </w:r>
      <w:proofErr w:type="spellStart"/>
      <w:r w:rsidRPr="007F4168">
        <w:rPr>
          <w:rStyle w:val="citation-128"/>
        </w:rPr>
        <w:t>Krippendorff</w:t>
      </w:r>
      <w:proofErr w:type="spellEnd"/>
      <w:r w:rsidRPr="007F4168">
        <w:rPr>
          <w:rStyle w:val="citation-128"/>
        </w:rPr>
        <w:t xml:space="preserve"> (</w:t>
      </w:r>
      <w:r w:rsidRPr="007F4168">
        <w:t>α</w:t>
      </w:r>
      <w:r w:rsidRPr="007F4168">
        <w:rPr>
          <w:rStyle w:val="citation-128"/>
        </w:rPr>
        <w:t>) para cuantificar el grado de acuerdo entre los jueces respecto a las propiedades iniciales de los reactivos</w:t>
      </w:r>
      <w:r w:rsidRPr="007F4168">
        <w:t xml:space="preserve">. </w:t>
      </w:r>
      <w:r w:rsidRPr="007F4168">
        <w:rPr>
          <w:rStyle w:val="citation-127"/>
        </w:rPr>
        <w:t xml:space="preserve">Los resultados estadísticos de esta primera ronda revelaron valores negativos en las tres dimensiones analizadas: </w:t>
      </w:r>
    </w:p>
    <w:p w14:paraId="5C5716CF" w14:textId="77777777" w:rsidR="00262E35" w:rsidRPr="007F4168" w:rsidRDefault="00262E35" w:rsidP="00262E35">
      <w:pPr>
        <w:pStyle w:val="NormalWeb"/>
        <w:numPr>
          <w:ilvl w:val="0"/>
          <w:numId w:val="2"/>
        </w:numPr>
        <w:jc w:val="both"/>
        <w:rPr>
          <w:rStyle w:val="citation-127"/>
        </w:rPr>
      </w:pPr>
      <w:r w:rsidRPr="007F4168">
        <w:rPr>
          <w:rStyle w:val="citation-127"/>
        </w:rPr>
        <w:t>Calidad Técnica (</w:t>
      </w:r>
      <w:r w:rsidRPr="007F4168">
        <w:t xml:space="preserve">α </w:t>
      </w:r>
      <w:r w:rsidRPr="007F4168">
        <w:rPr>
          <w:rStyle w:val="math-inline"/>
        </w:rPr>
        <w:t>= -0.42</w:t>
      </w:r>
      <w:r w:rsidRPr="007F4168">
        <w:rPr>
          <w:rStyle w:val="citation-127"/>
        </w:rPr>
        <w:t xml:space="preserve">), </w:t>
      </w:r>
    </w:p>
    <w:p w14:paraId="1412FD1C" w14:textId="77777777" w:rsidR="00262E35" w:rsidRPr="007F4168" w:rsidRDefault="00262E35" w:rsidP="00262E35">
      <w:pPr>
        <w:pStyle w:val="NormalWeb"/>
        <w:numPr>
          <w:ilvl w:val="0"/>
          <w:numId w:val="2"/>
        </w:numPr>
        <w:jc w:val="both"/>
        <w:rPr>
          <w:rStyle w:val="citation-127"/>
        </w:rPr>
      </w:pPr>
      <w:r w:rsidRPr="007F4168">
        <w:rPr>
          <w:rStyle w:val="citation-127"/>
        </w:rPr>
        <w:t>Coherencia (</w:t>
      </w:r>
      <w:r w:rsidRPr="007F4168">
        <w:t xml:space="preserve">α </w:t>
      </w:r>
      <w:r w:rsidRPr="007F4168">
        <w:rPr>
          <w:rStyle w:val="math-inline"/>
        </w:rPr>
        <w:t>= -0.18</w:t>
      </w:r>
      <w:r w:rsidRPr="007F4168">
        <w:rPr>
          <w:rStyle w:val="citation-127"/>
        </w:rPr>
        <w:t>) y,</w:t>
      </w:r>
    </w:p>
    <w:p w14:paraId="3784E2F4" w14:textId="77777777" w:rsidR="00262E35" w:rsidRPr="007F4168" w:rsidRDefault="00262E35" w:rsidP="00262E35">
      <w:pPr>
        <w:pStyle w:val="NormalWeb"/>
        <w:numPr>
          <w:ilvl w:val="0"/>
          <w:numId w:val="2"/>
        </w:numPr>
        <w:jc w:val="both"/>
      </w:pPr>
      <w:r w:rsidRPr="007F4168">
        <w:rPr>
          <w:rStyle w:val="citation-127"/>
        </w:rPr>
        <w:t>Representatividad (</w:t>
      </w:r>
      <w:r w:rsidRPr="007F4168">
        <w:t xml:space="preserve">α </w:t>
      </w:r>
      <w:r w:rsidRPr="007F4168">
        <w:rPr>
          <w:rStyle w:val="math-inline"/>
        </w:rPr>
        <w:t>= -0.08</w:t>
      </w:r>
      <w:r w:rsidRPr="007F4168">
        <w:rPr>
          <w:rStyle w:val="citation-127"/>
        </w:rPr>
        <w:t>)</w:t>
      </w:r>
      <w:r w:rsidRPr="007F4168">
        <w:t xml:space="preserve">. </w:t>
      </w:r>
    </w:p>
    <w:p w14:paraId="000384EF" w14:textId="77777777" w:rsidR="00262E35" w:rsidRPr="007F4168" w:rsidRDefault="00262E35" w:rsidP="00262E35">
      <w:pPr>
        <w:pStyle w:val="NormalWeb"/>
        <w:jc w:val="both"/>
      </w:pPr>
      <w:r w:rsidRPr="007F4168">
        <w:rPr>
          <w:rStyle w:val="citation-126"/>
          <w:rFonts w:eastAsiaTheme="majorEastAsia"/>
        </w:rPr>
        <w:t>Desde la perspectiva psicométrica, la obtención de coeficientes negativos no representó un simple bajo acuerdo, sino una inconsistencia sistémica derivada de una polarización de criterios basada en discrepancias terminológicas de fondo sobre el nuevo esquema procedimental de la ANEAES</w:t>
      </w:r>
      <w:r w:rsidRPr="007F4168">
        <w:t xml:space="preserve">. </w:t>
      </w:r>
      <w:r w:rsidRPr="007F4168">
        <w:rPr>
          <w:rStyle w:val="citation-125"/>
        </w:rPr>
        <w:t>El análisis cualitativo de las hojas de evaluación permitió identificar colisiones semánticas complejas en categorías críticas como "esquema integral único", "evaluación externa final" y "modalidad clúster"</w:t>
      </w:r>
      <w:r w:rsidRPr="007F4168">
        <w:t xml:space="preserve">. </w:t>
      </w:r>
    </w:p>
    <w:p w14:paraId="220F7395" w14:textId="77777777" w:rsidR="00262E35" w:rsidRPr="007F4168" w:rsidRDefault="00262E35" w:rsidP="00262E35">
      <w:pPr>
        <w:pStyle w:val="NormalWeb"/>
        <w:jc w:val="both"/>
      </w:pPr>
      <w:r w:rsidRPr="007F4168">
        <w:rPr>
          <w:rStyle w:val="citation-124"/>
        </w:rPr>
        <w:t>Las observaciones técnicas de los expertos señalaron la necesidad de definir operacionalmente estos conceptos para evitar sesgos de interpretación</w:t>
      </w:r>
      <w:r w:rsidRPr="007F4168">
        <w:t xml:space="preserve">. </w:t>
      </w:r>
      <w:r w:rsidRPr="007F4168">
        <w:rPr>
          <w:rStyle w:val="citation-123"/>
        </w:rPr>
        <w:t>Asimismo, el ítem 1.3 (relativo a la suficiencia del tiempo de visita de la Primera Fase) obtuvo calificaciones nulas (</w:t>
      </w:r>
      <w:r w:rsidRPr="007F4168">
        <w:rPr>
          <w:rStyle w:val="math-inline"/>
        </w:rPr>
        <w:t>0, 0, 0</w:t>
      </w:r>
      <w:r w:rsidRPr="007F4168">
        <w:rPr>
          <w:rStyle w:val="citation-123"/>
        </w:rPr>
        <w:t>) debido a que, al momento de la validación, la ANEAES aún no había formalizado la Guía de Evaluación Externa correspondiente, lo que privaba al reactivo de una base objetiva de contrastación y forzó su posterior exclusión temporal del instrumento definitivo</w:t>
      </w:r>
      <w:r w:rsidRPr="007F4168">
        <w:t xml:space="preserve">. </w:t>
      </w:r>
    </w:p>
    <w:p w14:paraId="45D1DBCB" w14:textId="3F5D2331"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Cuantificación de la Validez de Contenido (V de Aiken)</w:t>
      </w:r>
    </w:p>
    <w:p w14:paraId="1EE9D90C" w14:textId="20286C6C" w:rsidR="00262E35" w:rsidRDefault="00262E35" w:rsidP="00262E35">
      <w:pPr>
        <w:pStyle w:val="NormalWeb"/>
      </w:pPr>
      <w:r w:rsidRPr="007F4168">
        <w:rPr>
          <w:rStyle w:val="citation-122"/>
        </w:rPr>
        <w:t>Tras la reformulación técnica y semántica de los reactivos basada en las observaciones del comité, el instrumento fue sometido a una segunda ronda de jueceo para el cálculo del coeficiente V de Aiken, con el fin de cuantificar la validez de contenido</w:t>
      </w:r>
      <w:r w:rsidRPr="007F4168">
        <w:t xml:space="preserve">. </w:t>
      </w:r>
    </w:p>
    <w:p w14:paraId="49D43377" w14:textId="77777777" w:rsidR="000C19AD" w:rsidRPr="007F4168" w:rsidRDefault="000C19AD" w:rsidP="00262E35">
      <w:pPr>
        <w:pStyle w:val="NormalWeb"/>
      </w:pPr>
    </w:p>
    <w:p w14:paraId="0C385883" w14:textId="77777777" w:rsidR="00262E35" w:rsidRPr="007F4168" w:rsidRDefault="00262E35" w:rsidP="00262E35">
      <w:pPr>
        <w:pStyle w:val="Ttulo2"/>
        <w:spacing w:before="0" w:after="0" w:line="240" w:lineRule="auto"/>
        <w:rPr>
          <w:rFonts w:ascii="Times New Roman" w:hAnsi="Times New Roman" w:cs="Times New Roman"/>
          <w:color w:val="auto"/>
          <w:sz w:val="24"/>
          <w:szCs w:val="24"/>
        </w:rPr>
      </w:pPr>
      <w:r w:rsidRPr="007F4168">
        <w:rPr>
          <w:rFonts w:ascii="Times New Roman" w:hAnsi="Times New Roman" w:cs="Times New Roman"/>
          <w:color w:val="auto"/>
          <w:sz w:val="24"/>
          <w:szCs w:val="24"/>
        </w:rPr>
        <w:lastRenderedPageBreak/>
        <w:t>Tabla 1</w:t>
      </w:r>
    </w:p>
    <w:p w14:paraId="68A84113" w14:textId="77777777" w:rsidR="00262E35" w:rsidRPr="007F4168" w:rsidRDefault="00262E35" w:rsidP="00262E35">
      <w:pPr>
        <w:pStyle w:val="NormalWeb"/>
        <w:spacing w:before="0" w:beforeAutospacing="0" w:after="0" w:afterAutospacing="0"/>
      </w:pPr>
      <w:r w:rsidRPr="007F4168">
        <w:rPr>
          <w:i/>
          <w:iCs/>
        </w:rPr>
        <w:t>Coeficientes de Validez de Contenido del Instrumento de Pares Evaluadores mediante V de Aiken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5"/>
        <w:gridCol w:w="2440"/>
        <w:gridCol w:w="2883"/>
      </w:tblGrid>
      <w:tr w:rsidR="00262E35" w:rsidRPr="007F4168" w14:paraId="66D67589" w14:textId="77777777" w:rsidTr="00262E35">
        <w:trPr>
          <w:trHeight w:val="544"/>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D56B8B" w14:textId="77777777" w:rsidR="00262E35" w:rsidRPr="007F4168" w:rsidRDefault="00262E35" w:rsidP="00262E35">
            <w:pPr>
              <w:spacing w:after="0" w:line="240" w:lineRule="auto"/>
              <w:rPr>
                <w:rFonts w:ascii="Times New Roman" w:hAnsi="Times New Roman" w:cs="Times New Roman"/>
              </w:rPr>
            </w:pPr>
            <w:r w:rsidRPr="007F4168">
              <w:rPr>
                <w:rStyle w:val="Textoennegrita"/>
                <w:rFonts w:ascii="Times New Roman" w:hAnsi="Times New Roman" w:cs="Times New Roman"/>
              </w:rPr>
              <w:t>Dimensión / Criterio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8B6DB8" w14:textId="77777777" w:rsidR="00262E35" w:rsidRPr="007F4168" w:rsidRDefault="00262E35" w:rsidP="00262E35">
            <w:pPr>
              <w:spacing w:after="0" w:line="240" w:lineRule="auto"/>
              <w:rPr>
                <w:rFonts w:ascii="Times New Roman" w:hAnsi="Times New Roman" w:cs="Times New Roman"/>
              </w:rPr>
            </w:pPr>
            <w:r w:rsidRPr="007F4168">
              <w:rPr>
                <w:rStyle w:val="Textoennegrita"/>
                <w:rFonts w:ascii="Times New Roman" w:hAnsi="Times New Roman" w:cs="Times New Roman"/>
              </w:rPr>
              <w:t>Promedio V de Aiken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FCE47E" w14:textId="77777777" w:rsidR="00262E35" w:rsidRPr="007F4168" w:rsidRDefault="00262E35" w:rsidP="00262E35">
            <w:pPr>
              <w:spacing w:after="0" w:line="240" w:lineRule="auto"/>
              <w:rPr>
                <w:rFonts w:ascii="Times New Roman" w:hAnsi="Times New Roman" w:cs="Times New Roman"/>
              </w:rPr>
            </w:pPr>
            <w:r w:rsidRPr="007F4168">
              <w:rPr>
                <w:rStyle w:val="Textoennegrita"/>
                <w:rFonts w:ascii="Times New Roman" w:hAnsi="Times New Roman" w:cs="Times New Roman"/>
              </w:rPr>
              <w:t>Interpretación Técnica</w:t>
            </w:r>
          </w:p>
        </w:tc>
      </w:tr>
      <w:tr w:rsidR="00262E35" w:rsidRPr="007F4168" w14:paraId="60C2F476" w14:textId="77777777" w:rsidTr="00262E35">
        <w:trPr>
          <w:trHeight w:val="538"/>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67F8B6"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bCs/>
              </w:rPr>
              <w:t>Calidad Técnica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BD4631"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rPr>
              <w:t>0.78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3AAB1B" w14:textId="77777777" w:rsidR="00262E35" w:rsidRPr="007F4168" w:rsidRDefault="00262E35" w:rsidP="00262E35">
            <w:pPr>
              <w:pStyle w:val="NormalWeb"/>
              <w:spacing w:after="0" w:afterAutospacing="0"/>
            </w:pPr>
            <w:r w:rsidRPr="007F4168">
              <w:rPr>
                <w:rStyle w:val="citation-121"/>
              </w:rPr>
              <w:t xml:space="preserve">Requiere Ajustes Menores </w:t>
            </w:r>
          </w:p>
        </w:tc>
      </w:tr>
      <w:tr w:rsidR="00262E35" w:rsidRPr="007F4168" w14:paraId="76742C84" w14:textId="77777777" w:rsidTr="00262E35">
        <w:trPr>
          <w:trHeight w:val="252"/>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2941E9"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bCs/>
              </w:rPr>
              <w:t>Coherencia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D268D3"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rPr>
              <w:t>0.88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0C570B" w14:textId="77777777" w:rsidR="00262E35" w:rsidRPr="007F4168" w:rsidRDefault="00262E35" w:rsidP="00262E35">
            <w:pPr>
              <w:pStyle w:val="NormalWeb"/>
              <w:spacing w:after="0" w:afterAutospacing="0"/>
            </w:pPr>
            <w:r w:rsidRPr="007F4168">
              <w:rPr>
                <w:rStyle w:val="citation-120"/>
              </w:rPr>
              <w:t xml:space="preserve">Validez Aceptable </w:t>
            </w:r>
          </w:p>
        </w:tc>
      </w:tr>
      <w:tr w:rsidR="00262E35" w:rsidRPr="007F4168" w14:paraId="5A7DB06C" w14:textId="77777777" w:rsidTr="0047509B">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DCB6E4"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bCs/>
              </w:rPr>
              <w:t>Representatividad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613B3E"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rPr>
              <w:t>0.90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2AA161" w14:textId="77777777" w:rsidR="00262E35" w:rsidRPr="007F4168" w:rsidRDefault="00262E35" w:rsidP="00262E35">
            <w:pPr>
              <w:pStyle w:val="NormalWeb"/>
              <w:spacing w:after="0" w:afterAutospacing="0"/>
            </w:pPr>
            <w:r w:rsidRPr="007F4168">
              <w:rPr>
                <w:rStyle w:val="citation-119"/>
              </w:rPr>
              <w:t xml:space="preserve">Validez Fuerte </w:t>
            </w:r>
          </w:p>
        </w:tc>
      </w:tr>
      <w:tr w:rsidR="00262E35" w:rsidRPr="007F4168" w14:paraId="1B293C59" w14:textId="77777777" w:rsidTr="0047509B">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E60331"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bCs/>
              </w:rPr>
              <w:t>Índice Global del Instrumento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152E1D" w14:textId="77777777" w:rsidR="00262E35" w:rsidRPr="007F4168" w:rsidRDefault="00262E35" w:rsidP="00262E35">
            <w:pPr>
              <w:spacing w:after="0" w:line="240" w:lineRule="auto"/>
              <w:rPr>
                <w:rFonts w:ascii="Times New Roman" w:hAnsi="Times New Roman" w:cs="Times New Roman"/>
              </w:rPr>
            </w:pPr>
            <w:r w:rsidRPr="007F4168">
              <w:rPr>
                <w:rFonts w:ascii="Times New Roman" w:hAnsi="Times New Roman" w:cs="Times New Roman"/>
              </w:rPr>
              <w:t>0.86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96FB08" w14:textId="77777777" w:rsidR="00262E35" w:rsidRPr="007F4168" w:rsidRDefault="00262E35" w:rsidP="00262E35">
            <w:pPr>
              <w:pStyle w:val="NormalWeb"/>
              <w:spacing w:after="0" w:afterAutospacing="0"/>
            </w:pPr>
            <w:r w:rsidRPr="007F4168">
              <w:rPr>
                <w:rStyle w:val="citation-118"/>
                <w:rFonts w:eastAsiaTheme="majorEastAsia"/>
              </w:rPr>
              <w:t xml:space="preserve">Validez General Aceptable </w:t>
            </w:r>
          </w:p>
        </w:tc>
      </w:tr>
    </w:tbl>
    <w:p w14:paraId="17FCDF07" w14:textId="77777777" w:rsidR="00262E35" w:rsidRPr="007F4168" w:rsidRDefault="00262E35" w:rsidP="00262E35">
      <w:pPr>
        <w:pStyle w:val="NormalWeb"/>
        <w:jc w:val="both"/>
        <w:rPr>
          <w:rStyle w:val="citation-122"/>
        </w:rPr>
      </w:pPr>
      <w:r w:rsidRPr="007F4168">
        <w:rPr>
          <w:rStyle w:val="citation-122"/>
        </w:rPr>
        <w:t>A nivel general, el instrumento alcanzó un índice de validez global satisfactorio de 0.86, lo que confirmó su pertinencia conceptual para los objetivos del estudio. Sin embargo, en la dimensión de Calidad Técnica (0.78), el ítem 1.2 presentó un promedio individual de 0.50. Las observaciones metodológicas puntualizaron que la expresión "evaluación externa final" inducía a confusión, dado que en el Sistema por Fases cada etapa cumple de manera autónoma con las fases de autoevaluación y evaluación externa. Con base en este dictamen, el reactivo fue reformulado hacia una redacción neutral y conceptualmente precisa antes de la aplicación del cuestionario definitivo.</w:t>
      </w:r>
    </w:p>
    <w:p w14:paraId="5B04C7F6" w14:textId="1B48894B"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Participantes y Criterios de Selección</w:t>
      </w:r>
    </w:p>
    <w:p w14:paraId="61781FF3" w14:textId="77777777" w:rsidR="00262E35" w:rsidRPr="007F4168" w:rsidRDefault="00262E35" w:rsidP="00262E35">
      <w:pPr>
        <w:pStyle w:val="NormalWeb"/>
        <w:jc w:val="both"/>
      </w:pPr>
      <w:r w:rsidRPr="007F4168">
        <w:rPr>
          <w:rStyle w:val="citation-113"/>
        </w:rPr>
        <w:t>La muestra final quedó constituida por 43 sujetos (</w:t>
      </w:r>
      <w:r w:rsidRPr="007F4168">
        <w:rPr>
          <w:rStyle w:val="math-inline"/>
        </w:rPr>
        <w:t>N = 43</w:t>
      </w:r>
      <w:r w:rsidRPr="007F4168">
        <w:rPr>
          <w:rStyle w:val="citation-113"/>
        </w:rPr>
        <w:t>), seleccionados mediante un muestreo no probabilístico por conveniencia, bajo criterios de inclusión que exigieron la certificación vigente como par evaluador y experiencia directa en los procesos de evaluación de la ANEAES</w:t>
      </w:r>
      <w:r w:rsidRPr="007F4168">
        <w:t xml:space="preserve">. El perfil sociodemográfico y técnico del grupo muestral arrojó las siguientes características: </w:t>
      </w:r>
    </w:p>
    <w:p w14:paraId="586EA995" w14:textId="77777777" w:rsidR="00262E35" w:rsidRPr="007F4168" w:rsidRDefault="00262E35" w:rsidP="00262E35">
      <w:pPr>
        <w:pStyle w:val="NormalWeb"/>
        <w:numPr>
          <w:ilvl w:val="0"/>
          <w:numId w:val="3"/>
        </w:numPr>
        <w:jc w:val="both"/>
      </w:pPr>
      <w:r w:rsidRPr="007F4168">
        <w:rPr>
          <w:rStyle w:val="citation-112"/>
          <w:bCs/>
        </w:rPr>
        <w:t>Población y Consentimiento:</w:t>
      </w:r>
      <w:r w:rsidRPr="007F4168">
        <w:rPr>
          <w:rStyle w:val="citation-112"/>
        </w:rPr>
        <w:t xml:space="preserve"> Los 43 participantes se desempeñaban de forma activa como integrantes de Comités de Evaluación Externa o de Equipos de Autoevaluación institucional en procesos locales</w:t>
      </w:r>
      <w:r w:rsidRPr="007F4168">
        <w:t xml:space="preserve">. </w:t>
      </w:r>
      <w:r w:rsidRPr="007F4168">
        <w:rPr>
          <w:rStyle w:val="citation-111"/>
        </w:rPr>
        <w:t>Se recopiló el 100% de los consentimientos informados firmados para el tratamiento agregado de los datos con fines académicos</w:t>
      </w:r>
      <w:r w:rsidRPr="007F4168">
        <w:t xml:space="preserve">. </w:t>
      </w:r>
    </w:p>
    <w:p w14:paraId="286CA015" w14:textId="77777777" w:rsidR="00262E35" w:rsidRPr="007F4168" w:rsidRDefault="00262E35" w:rsidP="00262E35">
      <w:pPr>
        <w:pStyle w:val="NormalWeb"/>
        <w:numPr>
          <w:ilvl w:val="0"/>
          <w:numId w:val="3"/>
        </w:numPr>
        <w:jc w:val="both"/>
      </w:pPr>
      <w:r w:rsidRPr="007F4168">
        <w:rPr>
          <w:rStyle w:val="citation-110"/>
          <w:bCs/>
        </w:rPr>
        <w:t>Perfil Etario:</w:t>
      </w:r>
      <w:r w:rsidRPr="007F4168">
        <w:rPr>
          <w:rStyle w:val="citation-110"/>
        </w:rPr>
        <w:t xml:space="preserve"> La media de edad se situó en 53.4 años (rango entre 36 y 70 años), reflejando un perfil muestral con madurez profesional y trayectoria en la educación superior</w:t>
      </w:r>
      <w:r w:rsidRPr="007F4168">
        <w:t xml:space="preserve">. </w:t>
      </w:r>
    </w:p>
    <w:p w14:paraId="6A460F22" w14:textId="77777777" w:rsidR="00262E35" w:rsidRPr="007F4168" w:rsidRDefault="00262E35" w:rsidP="00262E35">
      <w:pPr>
        <w:pStyle w:val="NormalWeb"/>
        <w:numPr>
          <w:ilvl w:val="0"/>
          <w:numId w:val="3"/>
        </w:numPr>
        <w:jc w:val="both"/>
      </w:pPr>
      <w:r w:rsidRPr="007F4168">
        <w:rPr>
          <w:rStyle w:val="citation-109"/>
          <w:rFonts w:eastAsiaTheme="majorEastAsia"/>
          <w:bCs/>
        </w:rPr>
        <w:lastRenderedPageBreak/>
        <w:t>Grado Académico:</w:t>
      </w:r>
      <w:r w:rsidRPr="007F4168">
        <w:rPr>
          <w:rStyle w:val="citation-109"/>
          <w:rFonts w:eastAsiaTheme="majorEastAsia"/>
        </w:rPr>
        <w:t xml:space="preserve"> Predominó el nivel de Doctorado, dando estricto cumplimiento a las exigencias establecidas en el Artículo 16 de la Ley N.º 2072/2003 para la evaluación de programas de posgrado y carreras de grado</w:t>
      </w:r>
      <w:r w:rsidRPr="007F4168">
        <w:t xml:space="preserve">. </w:t>
      </w:r>
    </w:p>
    <w:p w14:paraId="1CBF6C76" w14:textId="77777777" w:rsidR="00262E35" w:rsidRPr="007F4168" w:rsidRDefault="00262E35" w:rsidP="00262E35">
      <w:pPr>
        <w:pStyle w:val="NormalWeb"/>
        <w:numPr>
          <w:ilvl w:val="0"/>
          <w:numId w:val="3"/>
        </w:numPr>
        <w:jc w:val="both"/>
      </w:pPr>
      <w:r w:rsidRPr="007F4168">
        <w:rPr>
          <w:rStyle w:val="citation-109"/>
          <w:rFonts w:eastAsiaTheme="majorEastAsia"/>
        </w:rPr>
        <w:t>Certificación</w:t>
      </w:r>
      <w:r w:rsidRPr="007F4168">
        <w:rPr>
          <w:rStyle w:val="citation-108"/>
          <w:bCs/>
        </w:rPr>
        <w:t xml:space="preserve"> Institucional:</w:t>
      </w:r>
      <w:r w:rsidRPr="007F4168">
        <w:rPr>
          <w:rStyle w:val="citation-108"/>
        </w:rPr>
        <w:t xml:space="preserve"> </w:t>
      </w:r>
      <w:r w:rsidRPr="007F4168">
        <w:t>El 88.3% de la muestra (n = 38) contaba con certificación vigente expedida por la ANEAES e incluida en el Registro Nacional de Pares Evaluadores aprobado por la Resolución N.º 160/2026. Esta condición técnica garantiza que las respuestas provienen de actores con idoneidad legal y vigencia operativa para aplicar los lineamientos e instrumentos del Sistema por Fases regulados por la Resolución N.º 309/2025.</w:t>
      </w:r>
    </w:p>
    <w:p w14:paraId="76B0ADED" w14:textId="77777777" w:rsidR="00262E35" w:rsidRPr="007F4168" w:rsidRDefault="00262E35" w:rsidP="00262E35">
      <w:pPr>
        <w:pStyle w:val="NormalWeb"/>
        <w:numPr>
          <w:ilvl w:val="0"/>
          <w:numId w:val="3"/>
        </w:numPr>
        <w:jc w:val="both"/>
        <w:rPr>
          <w:bCs/>
        </w:rPr>
      </w:pPr>
      <w:r w:rsidRPr="007F4168">
        <w:rPr>
          <w:rStyle w:val="citation-107"/>
          <w:bCs/>
        </w:rPr>
        <w:t>Áreas del Conocimiento:</w:t>
      </w:r>
      <w:r w:rsidRPr="007F4168">
        <w:rPr>
          <w:rStyle w:val="citation-107"/>
        </w:rPr>
        <w:t xml:space="preserve"> Se registró una concentración mayoritaria de expertos adscritos a las Ciencias Sociales y Humanidades, complementada por evaluadores de las Ciencias de la Salud y disciplinas técnicas</w:t>
      </w:r>
      <w:r w:rsidRPr="007F4168">
        <w:t xml:space="preserve">. </w:t>
      </w:r>
    </w:p>
    <w:p w14:paraId="730D4CBD" w14:textId="77777777" w:rsidR="00262E35" w:rsidRPr="007F4168" w:rsidRDefault="00262E35" w:rsidP="00262E35">
      <w:pPr>
        <w:pStyle w:val="NormalWeb"/>
        <w:numPr>
          <w:ilvl w:val="0"/>
          <w:numId w:val="3"/>
        </w:numPr>
        <w:jc w:val="both"/>
        <w:rPr>
          <w:bCs/>
        </w:rPr>
      </w:pPr>
      <w:r w:rsidRPr="007F4168">
        <w:rPr>
          <w:rStyle w:val="citation-107"/>
        </w:rPr>
        <w:t>Experiencia en Modalidades de Evaluación:</w:t>
      </w:r>
      <w:r w:rsidRPr="007F4168">
        <w:t xml:space="preserve"> Los participantes reportaron experiencia práctica en procesos desarrollados bajo la modalidad individual y, de manera prevalente, en la modalidad clúster.</w:t>
      </w:r>
    </w:p>
    <w:p w14:paraId="6045E160" w14:textId="356B4F13"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Instrumentación y Dimensiones de Análisis</w:t>
      </w:r>
    </w:p>
    <w:p w14:paraId="73E3FD4F" w14:textId="77777777" w:rsidR="00262E35" w:rsidRPr="007F4168" w:rsidRDefault="00262E35" w:rsidP="00262E35">
      <w:pPr>
        <w:pStyle w:val="NormalWeb"/>
        <w:jc w:val="both"/>
      </w:pPr>
      <w:r w:rsidRPr="007F4168">
        <w:rPr>
          <w:rStyle w:val="citation-105"/>
        </w:rPr>
        <w:t>El instrumento definitivo consistió en un cuestionario estructurado compuesto por reactivos con escalamiento tipo Likert de cinco puntos (desde 1: Totalmente en desacuerdo, hasta 5: Totalmente de acuerdo)</w:t>
      </w:r>
      <w:r w:rsidRPr="007F4168">
        <w:t xml:space="preserve">. La estructura factorial del cuestionario se organizó en torno a tres dimensiones analíticas fundamentales: </w:t>
      </w:r>
    </w:p>
    <w:p w14:paraId="0C79ACF3" w14:textId="77777777" w:rsidR="00262E35" w:rsidRPr="007F4168" w:rsidRDefault="00262E35" w:rsidP="00262E35">
      <w:pPr>
        <w:pStyle w:val="NormalWeb"/>
        <w:numPr>
          <w:ilvl w:val="0"/>
          <w:numId w:val="4"/>
        </w:numPr>
        <w:jc w:val="both"/>
      </w:pPr>
      <w:r w:rsidRPr="007F4168">
        <w:rPr>
          <w:rStyle w:val="citation-104"/>
          <w:bCs/>
        </w:rPr>
        <w:t>Dimensión 1. Eficacia de la Transición y Gradualidad Operativa:</w:t>
      </w:r>
      <w:r w:rsidRPr="007F4168">
        <w:rPr>
          <w:rStyle w:val="citation-104"/>
        </w:rPr>
        <w:t xml:space="preserve"> Dirigida a evaluar la percepción de los evaluadores sobre la profundidad del análisis y la viabilidad temporal de las etapas secuenciales en comparación con el esquema integral único anterior</w:t>
      </w:r>
      <w:r w:rsidRPr="007F4168">
        <w:t xml:space="preserve">. </w:t>
      </w:r>
    </w:p>
    <w:p w14:paraId="32EC9376" w14:textId="77777777" w:rsidR="00262E35" w:rsidRPr="007F4168" w:rsidRDefault="00262E35" w:rsidP="00262E35">
      <w:pPr>
        <w:pStyle w:val="NormalWeb"/>
        <w:numPr>
          <w:ilvl w:val="0"/>
          <w:numId w:val="4"/>
        </w:numPr>
        <w:jc w:val="both"/>
      </w:pPr>
      <w:r w:rsidRPr="007F4168">
        <w:rPr>
          <w:rStyle w:val="citation-103"/>
          <w:bCs/>
        </w:rPr>
        <w:t>Dimensión 2. Aplicabilidad de Matrices y Lineamientos:</w:t>
      </w:r>
      <w:r w:rsidRPr="007F4168">
        <w:rPr>
          <w:rStyle w:val="citation-103"/>
        </w:rPr>
        <w:t xml:space="preserve"> Orientada a medir el nivel de claridad y consenso técnico que facilitan los criterios e indicadores formalizados en la Resolución N.º 309/2025</w:t>
      </w:r>
      <w:r w:rsidRPr="007F4168">
        <w:t xml:space="preserve">. </w:t>
      </w:r>
    </w:p>
    <w:p w14:paraId="38E1DDA6" w14:textId="77777777" w:rsidR="00262E35" w:rsidRPr="001643BB" w:rsidRDefault="00262E35" w:rsidP="00262E35">
      <w:pPr>
        <w:pStyle w:val="NormalWeb"/>
        <w:numPr>
          <w:ilvl w:val="0"/>
          <w:numId w:val="4"/>
        </w:numPr>
        <w:jc w:val="both"/>
        <w:rPr>
          <w:rStyle w:val="citation-103"/>
        </w:rPr>
      </w:pPr>
      <w:r w:rsidRPr="00DB2ED1">
        <w:rPr>
          <w:rStyle w:val="citation-102"/>
          <w:bCs/>
        </w:rPr>
        <w:t>Dimensión 3. Impacto en la Cultura de Calidad y Mejora:</w:t>
      </w:r>
      <w:r w:rsidRPr="007F4168">
        <w:rPr>
          <w:rStyle w:val="citation-102"/>
        </w:rPr>
        <w:t xml:space="preserve"> </w:t>
      </w:r>
      <w:r w:rsidRPr="001643BB">
        <w:rPr>
          <w:rStyle w:val="citation-103"/>
        </w:rPr>
        <w:t>Orientada a recolectar datos empíricos sobre la eficiencia operativa del levantamiento de información mediante la modalidad clúster y el impacto en la actitud (resistencia o apertura) de los actores evaluados ante el nuevo esquema secuencial.</w:t>
      </w:r>
    </w:p>
    <w:p w14:paraId="03F0148B" w14:textId="59830CCE"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Análisis de resultados por dimensiones</w:t>
      </w:r>
    </w:p>
    <w:p w14:paraId="2C50CF1F"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lang w:eastAsia="es-ES"/>
        </w:rPr>
        <w:t>El análisis descriptivo de las respuestas de los 43 pares evaluadores arroja luz sobre la percepción real de la reforma del Modelo Nacional.</w:t>
      </w:r>
    </w:p>
    <w:p w14:paraId="33269BB3" w14:textId="77777777" w:rsidR="00262E35" w:rsidRPr="007F4168" w:rsidRDefault="00262E35" w:rsidP="00262E35">
      <w:pPr>
        <w:pStyle w:val="isselectedend"/>
        <w:jc w:val="both"/>
      </w:pPr>
      <w:r w:rsidRPr="007F4168">
        <w:rPr>
          <w:bCs/>
          <w:lang w:eastAsia="es-ES"/>
        </w:rPr>
        <w:t>Dimensión 1: Eficacia de la Transición y Gradualidad (4 ítems)</w:t>
      </w:r>
      <w:r w:rsidRPr="007F4168">
        <w:rPr>
          <w:lang w:eastAsia="es-ES"/>
        </w:rPr>
        <w:t xml:space="preserve"> </w:t>
      </w:r>
      <w:r w:rsidRPr="007F4168">
        <w:t xml:space="preserve">La primera dimensión del instrumento exploró la percepción de los pares evaluadores respecto a la transición desde el modelo tradicional de evaluación hacia el Sistema de Evaluación de la Calidad de la Educación Superior por Fases. Los cuatro ítems analizados abordaron aspectos relacionados con la profundidad del proceso evaluativo, la coherencia de los criterios </w:t>
      </w:r>
      <w:r w:rsidRPr="007F4168">
        <w:lastRenderedPageBreak/>
        <w:t>establecidos, la capacidad del modelo para identificar oportunidades de mejora y la utilidad de su estructura secuencial para la emisión del dictamen técnico.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4"/>
        <w:gridCol w:w="1701"/>
        <w:gridCol w:w="1843"/>
      </w:tblGrid>
      <w:tr w:rsidR="00262E35" w:rsidRPr="007F4168" w14:paraId="76FE6055" w14:textId="77777777" w:rsidTr="0047509B">
        <w:trPr>
          <w:tblHeader/>
          <w:tblCellSpacing w:w="15" w:type="dxa"/>
        </w:trPr>
        <w:tc>
          <w:tcPr>
            <w:tcW w:w="1089" w:type="dxa"/>
            <w:tcBorders>
              <w:top w:val="single" w:sz="4" w:space="0" w:color="auto"/>
              <w:bottom w:val="single" w:sz="4" w:space="0" w:color="auto"/>
            </w:tcBorders>
            <w:vAlign w:val="center"/>
            <w:hideMark/>
          </w:tcPr>
          <w:p w14:paraId="6B2FE7C9" w14:textId="77777777" w:rsidR="00262E35" w:rsidRPr="007F4168" w:rsidRDefault="00262E35" w:rsidP="0047509B">
            <w:pPr>
              <w:spacing w:after="0" w:line="240" w:lineRule="auto"/>
              <w:jc w:val="both"/>
              <w:rPr>
                <w:rFonts w:ascii="Times New Roman" w:eastAsia="Times New Roman" w:hAnsi="Times New Roman" w:cs="Times New Roman"/>
                <w:bCs/>
                <w:lang w:val="es-PY" w:eastAsia="es-PY"/>
              </w:rPr>
            </w:pPr>
            <w:r w:rsidRPr="007F4168">
              <w:rPr>
                <w:rFonts w:ascii="Times New Roman" w:eastAsia="Times New Roman" w:hAnsi="Times New Roman" w:cs="Times New Roman"/>
                <w:bCs/>
                <w:lang w:val="es-PY" w:eastAsia="es-PY"/>
              </w:rPr>
              <w:t>Ítem</w:t>
            </w:r>
          </w:p>
        </w:tc>
        <w:tc>
          <w:tcPr>
            <w:tcW w:w="1671" w:type="dxa"/>
            <w:tcBorders>
              <w:top w:val="single" w:sz="4" w:space="0" w:color="auto"/>
              <w:bottom w:val="single" w:sz="4" w:space="0" w:color="auto"/>
            </w:tcBorders>
            <w:vAlign w:val="center"/>
            <w:hideMark/>
          </w:tcPr>
          <w:p w14:paraId="27DBE7FB" w14:textId="77777777" w:rsidR="00262E35" w:rsidRPr="007F4168" w:rsidRDefault="00262E35" w:rsidP="0047509B">
            <w:pPr>
              <w:spacing w:after="0" w:line="240" w:lineRule="auto"/>
              <w:jc w:val="both"/>
              <w:rPr>
                <w:rFonts w:ascii="Times New Roman" w:eastAsia="Times New Roman" w:hAnsi="Times New Roman" w:cs="Times New Roman"/>
                <w:bCs/>
                <w:lang w:val="es-PY" w:eastAsia="es-PY"/>
              </w:rPr>
            </w:pPr>
            <w:r w:rsidRPr="007F4168">
              <w:rPr>
                <w:rFonts w:ascii="Times New Roman" w:eastAsia="Times New Roman" w:hAnsi="Times New Roman" w:cs="Times New Roman"/>
                <w:bCs/>
                <w:lang w:val="es-PY" w:eastAsia="es-PY"/>
              </w:rPr>
              <w:t>Promedio (1–5)</w:t>
            </w:r>
          </w:p>
        </w:tc>
        <w:tc>
          <w:tcPr>
            <w:tcW w:w="1798" w:type="dxa"/>
            <w:tcBorders>
              <w:top w:val="single" w:sz="4" w:space="0" w:color="auto"/>
              <w:bottom w:val="single" w:sz="4" w:space="0" w:color="auto"/>
            </w:tcBorders>
            <w:vAlign w:val="center"/>
            <w:hideMark/>
          </w:tcPr>
          <w:p w14:paraId="3A5F59A2" w14:textId="77777777" w:rsidR="00262E35" w:rsidRPr="007F4168" w:rsidRDefault="00262E35" w:rsidP="0047509B">
            <w:pPr>
              <w:spacing w:after="0" w:line="240" w:lineRule="auto"/>
              <w:jc w:val="both"/>
              <w:rPr>
                <w:rFonts w:ascii="Times New Roman" w:eastAsia="Times New Roman" w:hAnsi="Times New Roman" w:cs="Times New Roman"/>
                <w:bCs/>
                <w:lang w:val="es-PY" w:eastAsia="es-PY"/>
              </w:rPr>
            </w:pPr>
            <w:r w:rsidRPr="007F4168">
              <w:rPr>
                <w:rFonts w:ascii="Times New Roman" w:eastAsia="Times New Roman" w:hAnsi="Times New Roman" w:cs="Times New Roman"/>
                <w:bCs/>
                <w:lang w:val="es-PY" w:eastAsia="es-PY"/>
              </w:rPr>
              <w:t>% de acuerdo</w:t>
            </w:r>
          </w:p>
        </w:tc>
      </w:tr>
      <w:tr w:rsidR="00262E35" w:rsidRPr="007F4168" w14:paraId="5B4340ED" w14:textId="77777777" w:rsidTr="0047509B">
        <w:trPr>
          <w:tblCellSpacing w:w="15" w:type="dxa"/>
        </w:trPr>
        <w:tc>
          <w:tcPr>
            <w:tcW w:w="1089" w:type="dxa"/>
            <w:tcBorders>
              <w:top w:val="single" w:sz="4" w:space="0" w:color="auto"/>
              <w:bottom w:val="single" w:sz="4" w:space="0" w:color="auto"/>
            </w:tcBorders>
            <w:vAlign w:val="center"/>
            <w:hideMark/>
          </w:tcPr>
          <w:p w14:paraId="17C29DD5"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1.1</w:t>
            </w:r>
          </w:p>
        </w:tc>
        <w:tc>
          <w:tcPr>
            <w:tcW w:w="1671" w:type="dxa"/>
            <w:tcBorders>
              <w:top w:val="single" w:sz="4" w:space="0" w:color="auto"/>
              <w:bottom w:val="single" w:sz="4" w:space="0" w:color="auto"/>
            </w:tcBorders>
            <w:vAlign w:val="center"/>
            <w:hideMark/>
          </w:tcPr>
          <w:p w14:paraId="202DBF16"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3,97</w:t>
            </w:r>
          </w:p>
        </w:tc>
        <w:tc>
          <w:tcPr>
            <w:tcW w:w="1798" w:type="dxa"/>
            <w:tcBorders>
              <w:top w:val="single" w:sz="4" w:space="0" w:color="auto"/>
              <w:bottom w:val="single" w:sz="4" w:space="0" w:color="auto"/>
            </w:tcBorders>
            <w:vAlign w:val="center"/>
            <w:hideMark/>
          </w:tcPr>
          <w:p w14:paraId="16086624"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83,8 %</w:t>
            </w:r>
          </w:p>
        </w:tc>
      </w:tr>
      <w:tr w:rsidR="00262E35" w:rsidRPr="007F4168" w14:paraId="2C920C84" w14:textId="77777777" w:rsidTr="0047509B">
        <w:trPr>
          <w:tblCellSpacing w:w="15" w:type="dxa"/>
        </w:trPr>
        <w:tc>
          <w:tcPr>
            <w:tcW w:w="1089" w:type="dxa"/>
            <w:tcBorders>
              <w:top w:val="single" w:sz="4" w:space="0" w:color="auto"/>
              <w:bottom w:val="single" w:sz="4" w:space="0" w:color="auto"/>
            </w:tcBorders>
            <w:vAlign w:val="center"/>
            <w:hideMark/>
          </w:tcPr>
          <w:p w14:paraId="3E1EB9BC"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1.2</w:t>
            </w:r>
          </w:p>
        </w:tc>
        <w:tc>
          <w:tcPr>
            <w:tcW w:w="1671" w:type="dxa"/>
            <w:tcBorders>
              <w:top w:val="single" w:sz="4" w:space="0" w:color="auto"/>
              <w:bottom w:val="single" w:sz="4" w:space="0" w:color="auto"/>
            </w:tcBorders>
            <w:vAlign w:val="center"/>
            <w:hideMark/>
          </w:tcPr>
          <w:p w14:paraId="3BC841E1"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3,95</w:t>
            </w:r>
          </w:p>
        </w:tc>
        <w:tc>
          <w:tcPr>
            <w:tcW w:w="1798" w:type="dxa"/>
            <w:tcBorders>
              <w:top w:val="single" w:sz="4" w:space="0" w:color="auto"/>
              <w:bottom w:val="single" w:sz="4" w:space="0" w:color="auto"/>
            </w:tcBorders>
            <w:vAlign w:val="center"/>
            <w:hideMark/>
          </w:tcPr>
          <w:p w14:paraId="0C9433C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81,6 %</w:t>
            </w:r>
          </w:p>
        </w:tc>
      </w:tr>
      <w:tr w:rsidR="00262E35" w:rsidRPr="007F4168" w14:paraId="14EAAC70" w14:textId="77777777" w:rsidTr="0047509B">
        <w:trPr>
          <w:tblCellSpacing w:w="15" w:type="dxa"/>
        </w:trPr>
        <w:tc>
          <w:tcPr>
            <w:tcW w:w="1089" w:type="dxa"/>
            <w:tcBorders>
              <w:top w:val="single" w:sz="4" w:space="0" w:color="auto"/>
              <w:bottom w:val="single" w:sz="4" w:space="0" w:color="auto"/>
            </w:tcBorders>
            <w:vAlign w:val="center"/>
            <w:hideMark/>
          </w:tcPr>
          <w:p w14:paraId="79F6ED88"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1.3</w:t>
            </w:r>
          </w:p>
        </w:tc>
        <w:tc>
          <w:tcPr>
            <w:tcW w:w="1671" w:type="dxa"/>
            <w:tcBorders>
              <w:top w:val="single" w:sz="4" w:space="0" w:color="auto"/>
              <w:bottom w:val="single" w:sz="4" w:space="0" w:color="auto"/>
            </w:tcBorders>
            <w:vAlign w:val="center"/>
            <w:hideMark/>
          </w:tcPr>
          <w:p w14:paraId="1103627C"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4,00</w:t>
            </w:r>
          </w:p>
        </w:tc>
        <w:tc>
          <w:tcPr>
            <w:tcW w:w="1798" w:type="dxa"/>
            <w:tcBorders>
              <w:top w:val="single" w:sz="4" w:space="0" w:color="auto"/>
              <w:bottom w:val="single" w:sz="4" w:space="0" w:color="auto"/>
            </w:tcBorders>
            <w:vAlign w:val="center"/>
            <w:hideMark/>
          </w:tcPr>
          <w:p w14:paraId="49E5EE1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84,2 %</w:t>
            </w:r>
          </w:p>
        </w:tc>
      </w:tr>
      <w:tr w:rsidR="00262E35" w:rsidRPr="007F4168" w14:paraId="242152A7" w14:textId="77777777" w:rsidTr="0047509B">
        <w:trPr>
          <w:tblCellSpacing w:w="15" w:type="dxa"/>
        </w:trPr>
        <w:tc>
          <w:tcPr>
            <w:tcW w:w="1089" w:type="dxa"/>
            <w:tcBorders>
              <w:top w:val="single" w:sz="4" w:space="0" w:color="auto"/>
              <w:bottom w:val="single" w:sz="4" w:space="0" w:color="auto"/>
            </w:tcBorders>
            <w:vAlign w:val="center"/>
            <w:hideMark/>
          </w:tcPr>
          <w:p w14:paraId="09E6094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1.4</w:t>
            </w:r>
          </w:p>
        </w:tc>
        <w:tc>
          <w:tcPr>
            <w:tcW w:w="1671" w:type="dxa"/>
            <w:tcBorders>
              <w:top w:val="single" w:sz="4" w:space="0" w:color="auto"/>
              <w:bottom w:val="single" w:sz="4" w:space="0" w:color="auto"/>
            </w:tcBorders>
            <w:vAlign w:val="center"/>
            <w:hideMark/>
          </w:tcPr>
          <w:p w14:paraId="58FD9771"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3,97</w:t>
            </w:r>
          </w:p>
        </w:tc>
        <w:tc>
          <w:tcPr>
            <w:tcW w:w="1798" w:type="dxa"/>
            <w:tcBorders>
              <w:top w:val="single" w:sz="4" w:space="0" w:color="auto"/>
              <w:bottom w:val="single" w:sz="4" w:space="0" w:color="auto"/>
            </w:tcBorders>
            <w:vAlign w:val="center"/>
            <w:hideMark/>
          </w:tcPr>
          <w:p w14:paraId="13A7B6ED"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81,6 %</w:t>
            </w:r>
          </w:p>
        </w:tc>
      </w:tr>
    </w:tbl>
    <w:p w14:paraId="2D6C9F1F" w14:textId="77777777" w:rsidR="00262E35" w:rsidRPr="007F4168" w:rsidRDefault="00262E35" w:rsidP="00262E35">
      <w:pPr>
        <w:spacing w:after="100" w:afterAutospacing="1" w:line="240" w:lineRule="auto"/>
        <w:jc w:val="both"/>
        <w:rPr>
          <w:rFonts w:ascii="Times New Roman" w:eastAsia="Times New Roman" w:hAnsi="Times New Roman" w:cs="Times New Roman"/>
          <w:i/>
          <w:iCs/>
          <w:lang w:val="es-PY" w:eastAsia="es-PY"/>
        </w:rPr>
      </w:pPr>
      <w:r w:rsidRPr="007F4168">
        <w:rPr>
          <w:rFonts w:ascii="Times New Roman" w:eastAsia="Times New Roman" w:hAnsi="Times New Roman" w:cs="Times New Roman"/>
          <w:i/>
          <w:iCs/>
          <w:lang w:val="es-PY" w:eastAsia="es-PY"/>
        </w:rPr>
        <w:t>Nota: Elaboración Propia en base a las respuestas obtenidas.</w:t>
      </w:r>
    </w:p>
    <w:p w14:paraId="3B21228E"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Los resultados evidencian una valoración ampliamente favorable del nuevo modelo de evaluación. Los porcentajes de acuerdo oscilaron entre el 81,6 % y el 84,2 %, mientras que los promedios obtenidos en la escala Likert se situaron entre 3,95 y 4,00 puntos, lo que refleja una percepción consistentemente positiva de los principales componentes del Sistema por Fases.</w:t>
      </w:r>
    </w:p>
    <w:p w14:paraId="01378791"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El ítem con mayor valoración fue el referido a la capacidad del diseño secuencial para identificar con mayor precisión las áreas de mejora de los programas o carreras evaluadas (ítem 1.3), con un promedio de 4,00 puntos y un 84,2 % de respuestas favorables. Este resultado sugiere que los pares evaluadores reconocen una de las principales fortalezas del nuevo modelo: la posibilidad de realizar una evaluación progresiva que facilita la identificación temprana de aspectos susceptibles de fortalecimiento antes de culminar el proceso de acreditación.</w:t>
      </w:r>
    </w:p>
    <w:p w14:paraId="4A588152"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Asimismo, el 83,8 % de los participantes manifestó que el Sistema por Fases permite realizar una evaluación más profunda que el esquema integral utilizado anteriormente (ítem 1.1), lo cual constituye un indicador relevante del grado de aceptación alcanzado por la reforma metodológica. Esta percepción resulta coherente con el propósito institucional de reorganizar el proceso evaluativo en etapas sucesivas que permitan un análisis más sistemático de las capacidades institucionales.</w:t>
      </w:r>
    </w:p>
    <w:p w14:paraId="4065F0BF"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Los resultados correspondientes a los ítems relacionados con la coherencia de los criterios de evaluación (81,6 %) y con la utilidad de la estructura secuencial para facilitar la emisión del dictamen técnico (81,6 %) presentan un comportamiento similar, reflejando una percepción homogénea entre los participantes acerca de la consistencia metodológica del nuevo sistema.</w:t>
      </w:r>
    </w:p>
    <w:p w14:paraId="21D1990B"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No obstante, aunque el predominio de respuestas favorables es evidente, también se observa una proporción reducida de respuestas en desacuerdo, que oscila entre el 8,1 % y el 13,2 %, así como un porcentaje menor de respuestas neutrales. Si bien estos valores no modifican la tendencia general, constituyen un indicio de que aún existen diferencias en la manera en que algunos pares evaluadores experimentan la transición hacia el nuevo modelo, aspecto que será retomado posteriormente en la discusión.</w:t>
      </w:r>
    </w:p>
    <w:p w14:paraId="00E903AE" w14:textId="77777777" w:rsidR="00262E35" w:rsidRPr="007F4168" w:rsidRDefault="00262E35" w:rsidP="00262E35">
      <w:pPr>
        <w:pStyle w:val="isselectedend"/>
        <w:jc w:val="both"/>
      </w:pPr>
      <w:r w:rsidRPr="007F4168">
        <w:rPr>
          <w:bCs/>
          <w:lang w:eastAsia="es-ES"/>
        </w:rPr>
        <w:lastRenderedPageBreak/>
        <w:t>Dimensión 2: Aplicabilidad Normativa y Matrices (4 ítems)</w:t>
      </w:r>
      <w:r w:rsidRPr="007F4168">
        <w:rPr>
          <w:lang w:eastAsia="es-ES"/>
        </w:rPr>
        <w:t xml:space="preserve"> </w:t>
      </w:r>
      <w:r w:rsidRPr="007F4168">
        <w:t>La segunda dimensión del instrumento analizó la percepción de los pares evaluadores respecto a la aplicabilidad de los principales componentes normativos y metodológicos incorporados por el Sistema de Evaluación de la Calidad de la Educación Superior por Fases. Los cuatro indicadores evaluaron aspectos relacionados con la utilidad de los lineamientos establecidos por la Resolución N.º 309/2025, la modalidad de evaluación por clúster, la objetividad de los instrumentos de campo y la claridad de las matrices utilizadas durante la Primera Fase del proceso evaluativo.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2422"/>
        <w:gridCol w:w="1701"/>
      </w:tblGrid>
      <w:tr w:rsidR="00262E35" w:rsidRPr="007F4168" w14:paraId="4F98D217" w14:textId="77777777" w:rsidTr="0047509B">
        <w:trPr>
          <w:tblHeader/>
          <w:tblCellSpacing w:w="15" w:type="dxa"/>
        </w:trPr>
        <w:tc>
          <w:tcPr>
            <w:tcW w:w="0" w:type="auto"/>
            <w:tcBorders>
              <w:top w:val="single" w:sz="4" w:space="0" w:color="auto"/>
              <w:bottom w:val="single" w:sz="4" w:space="0" w:color="auto"/>
            </w:tcBorders>
            <w:vAlign w:val="center"/>
            <w:hideMark/>
          </w:tcPr>
          <w:p w14:paraId="063EE509"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Ítem</w:t>
            </w:r>
          </w:p>
        </w:tc>
        <w:tc>
          <w:tcPr>
            <w:tcW w:w="2392" w:type="dxa"/>
            <w:tcBorders>
              <w:top w:val="single" w:sz="4" w:space="0" w:color="auto"/>
              <w:bottom w:val="single" w:sz="4" w:space="0" w:color="auto"/>
            </w:tcBorders>
            <w:vAlign w:val="center"/>
            <w:hideMark/>
          </w:tcPr>
          <w:p w14:paraId="35E52DF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Promedio (1–5)</w:t>
            </w:r>
          </w:p>
        </w:tc>
        <w:tc>
          <w:tcPr>
            <w:tcW w:w="1656" w:type="dxa"/>
            <w:tcBorders>
              <w:top w:val="single" w:sz="4" w:space="0" w:color="auto"/>
              <w:bottom w:val="single" w:sz="4" w:space="0" w:color="auto"/>
            </w:tcBorders>
            <w:vAlign w:val="center"/>
            <w:hideMark/>
          </w:tcPr>
          <w:p w14:paraId="342020D8"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de acuerdo</w:t>
            </w:r>
          </w:p>
        </w:tc>
      </w:tr>
      <w:tr w:rsidR="00262E35" w:rsidRPr="007F4168" w14:paraId="0E5EDC92" w14:textId="77777777" w:rsidTr="0047509B">
        <w:trPr>
          <w:tblCellSpacing w:w="15" w:type="dxa"/>
        </w:trPr>
        <w:tc>
          <w:tcPr>
            <w:tcW w:w="0" w:type="auto"/>
            <w:tcBorders>
              <w:top w:val="single" w:sz="4" w:space="0" w:color="auto"/>
              <w:bottom w:val="single" w:sz="4" w:space="0" w:color="auto"/>
            </w:tcBorders>
            <w:vAlign w:val="center"/>
            <w:hideMark/>
          </w:tcPr>
          <w:p w14:paraId="34C08B1B"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2.1</w:t>
            </w:r>
          </w:p>
        </w:tc>
        <w:tc>
          <w:tcPr>
            <w:tcW w:w="2392" w:type="dxa"/>
            <w:tcBorders>
              <w:top w:val="single" w:sz="4" w:space="0" w:color="auto"/>
              <w:bottom w:val="single" w:sz="4" w:space="0" w:color="auto"/>
            </w:tcBorders>
            <w:vAlign w:val="center"/>
            <w:hideMark/>
          </w:tcPr>
          <w:p w14:paraId="59A560FA"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3,97</w:t>
            </w:r>
          </w:p>
        </w:tc>
        <w:tc>
          <w:tcPr>
            <w:tcW w:w="1656" w:type="dxa"/>
            <w:tcBorders>
              <w:top w:val="single" w:sz="4" w:space="0" w:color="auto"/>
              <w:bottom w:val="single" w:sz="4" w:space="0" w:color="auto"/>
            </w:tcBorders>
            <w:vAlign w:val="center"/>
            <w:hideMark/>
          </w:tcPr>
          <w:p w14:paraId="38862C5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83,8 %</w:t>
            </w:r>
          </w:p>
        </w:tc>
      </w:tr>
      <w:tr w:rsidR="00262E35" w:rsidRPr="007F4168" w14:paraId="5205F4E3" w14:textId="77777777" w:rsidTr="0047509B">
        <w:trPr>
          <w:tblCellSpacing w:w="15" w:type="dxa"/>
        </w:trPr>
        <w:tc>
          <w:tcPr>
            <w:tcW w:w="0" w:type="auto"/>
            <w:tcBorders>
              <w:top w:val="single" w:sz="4" w:space="0" w:color="auto"/>
              <w:bottom w:val="single" w:sz="4" w:space="0" w:color="auto"/>
            </w:tcBorders>
            <w:vAlign w:val="center"/>
            <w:hideMark/>
          </w:tcPr>
          <w:p w14:paraId="684088E8"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2.2</w:t>
            </w:r>
          </w:p>
        </w:tc>
        <w:tc>
          <w:tcPr>
            <w:tcW w:w="2392" w:type="dxa"/>
            <w:tcBorders>
              <w:top w:val="single" w:sz="4" w:space="0" w:color="auto"/>
              <w:bottom w:val="single" w:sz="4" w:space="0" w:color="auto"/>
            </w:tcBorders>
            <w:vAlign w:val="center"/>
            <w:hideMark/>
          </w:tcPr>
          <w:p w14:paraId="0ED10B25"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4,13</w:t>
            </w:r>
          </w:p>
        </w:tc>
        <w:tc>
          <w:tcPr>
            <w:tcW w:w="1656" w:type="dxa"/>
            <w:tcBorders>
              <w:top w:val="single" w:sz="4" w:space="0" w:color="auto"/>
              <w:bottom w:val="single" w:sz="4" w:space="0" w:color="auto"/>
            </w:tcBorders>
            <w:vAlign w:val="center"/>
            <w:hideMark/>
          </w:tcPr>
          <w:p w14:paraId="04A53C46"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86,8 %</w:t>
            </w:r>
          </w:p>
        </w:tc>
      </w:tr>
      <w:tr w:rsidR="00262E35" w:rsidRPr="007F4168" w14:paraId="0BBF1BA0" w14:textId="77777777" w:rsidTr="0047509B">
        <w:trPr>
          <w:tblCellSpacing w:w="15" w:type="dxa"/>
        </w:trPr>
        <w:tc>
          <w:tcPr>
            <w:tcW w:w="0" w:type="auto"/>
            <w:tcBorders>
              <w:top w:val="single" w:sz="4" w:space="0" w:color="auto"/>
              <w:bottom w:val="single" w:sz="4" w:space="0" w:color="auto"/>
            </w:tcBorders>
            <w:vAlign w:val="center"/>
            <w:hideMark/>
          </w:tcPr>
          <w:p w14:paraId="49908FCA"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2.3</w:t>
            </w:r>
          </w:p>
        </w:tc>
        <w:tc>
          <w:tcPr>
            <w:tcW w:w="2392" w:type="dxa"/>
            <w:tcBorders>
              <w:top w:val="single" w:sz="4" w:space="0" w:color="auto"/>
              <w:bottom w:val="single" w:sz="4" w:space="0" w:color="auto"/>
            </w:tcBorders>
            <w:vAlign w:val="center"/>
            <w:hideMark/>
          </w:tcPr>
          <w:p w14:paraId="49E924BB"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3,89</w:t>
            </w:r>
          </w:p>
        </w:tc>
        <w:tc>
          <w:tcPr>
            <w:tcW w:w="1656" w:type="dxa"/>
            <w:tcBorders>
              <w:top w:val="single" w:sz="4" w:space="0" w:color="auto"/>
              <w:bottom w:val="single" w:sz="4" w:space="0" w:color="auto"/>
            </w:tcBorders>
            <w:vAlign w:val="center"/>
            <w:hideMark/>
          </w:tcPr>
          <w:p w14:paraId="1032E67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71,1 %</w:t>
            </w:r>
          </w:p>
        </w:tc>
      </w:tr>
      <w:tr w:rsidR="00262E35" w:rsidRPr="007F4168" w14:paraId="670685F6" w14:textId="77777777" w:rsidTr="0047509B">
        <w:trPr>
          <w:tblCellSpacing w:w="15" w:type="dxa"/>
        </w:trPr>
        <w:tc>
          <w:tcPr>
            <w:tcW w:w="0" w:type="auto"/>
            <w:tcBorders>
              <w:top w:val="single" w:sz="4" w:space="0" w:color="auto"/>
              <w:bottom w:val="single" w:sz="4" w:space="0" w:color="auto"/>
            </w:tcBorders>
            <w:vAlign w:val="center"/>
            <w:hideMark/>
          </w:tcPr>
          <w:p w14:paraId="3D9380CC"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2.4</w:t>
            </w:r>
          </w:p>
        </w:tc>
        <w:tc>
          <w:tcPr>
            <w:tcW w:w="2392" w:type="dxa"/>
            <w:tcBorders>
              <w:top w:val="single" w:sz="4" w:space="0" w:color="auto"/>
              <w:bottom w:val="single" w:sz="4" w:space="0" w:color="auto"/>
            </w:tcBorders>
            <w:vAlign w:val="center"/>
            <w:hideMark/>
          </w:tcPr>
          <w:p w14:paraId="5EC0EA6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4,05</w:t>
            </w:r>
          </w:p>
        </w:tc>
        <w:tc>
          <w:tcPr>
            <w:tcW w:w="1656" w:type="dxa"/>
            <w:tcBorders>
              <w:top w:val="single" w:sz="4" w:space="0" w:color="auto"/>
              <w:bottom w:val="single" w:sz="4" w:space="0" w:color="auto"/>
            </w:tcBorders>
            <w:vAlign w:val="center"/>
            <w:hideMark/>
          </w:tcPr>
          <w:p w14:paraId="29EC3DAB"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83,8 %</w:t>
            </w:r>
          </w:p>
        </w:tc>
      </w:tr>
    </w:tbl>
    <w:p w14:paraId="004E1B18" w14:textId="77777777" w:rsidR="00262E35" w:rsidRPr="007F4168" w:rsidRDefault="00262E35" w:rsidP="00262E35">
      <w:pPr>
        <w:spacing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i/>
          <w:iCs/>
          <w:lang w:val="es-PY" w:eastAsia="es-PY"/>
        </w:rPr>
        <w:t>Nota: Elaboración Propia en base a las respuestas obtenidas</w:t>
      </w:r>
    </w:p>
    <w:p w14:paraId="4F720A56"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Los resultados muestran que esta constituye la dimensión con la valoración más favorable de toda la investigación, alcanzando un promedio general de 4,01 puntos sobre cinco, con un 81,3 % de respuestas de acuerdo, un 10,0 % de respuestas neutrales y únicamente un 8,7 % de respuestas en desacuerdo. Estos resultados evidencian una percepción ampliamente positiva sobre la estructura metodológica del nuevo sistema y sugieren un elevado nivel de aceptación de los instrumentos técnicos que orientan su implementación.</w:t>
      </w:r>
    </w:p>
    <w:p w14:paraId="65035BEF"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El indicador mejor valorado corresponde al ítem 2.2, referido a la metodología de evaluación por clúster como estrategia que favorece la eficiencia del análisis de la información común entre programas o carreras afines. Este aspecto alcanzó un promedio de 4,13 puntos y el mayor porcentaje de acuerdo de toda la dimensión (86,8 %), lo que refleja que los pares evaluadores perciben esta modalidad como una innovación metodológica que favorece la eficiencia del proceso evaluativo sin comprometer el análisis técnico de las evidencias.</w:t>
      </w:r>
    </w:p>
    <w:p w14:paraId="4CEACE1E"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Asimismo, los resultados del ítem 2.4 muestran que el 83,8 % de los participantes considera que los indicadores contenidos en las Matrices de la Primera Fase pueden verificarse mediante evidencias precisas y claramente identificables, alcanzando un promedio de 4,05 puntos. Este hallazgo sugiere que las herramientas desarrolladas para operacionalizar la evaluación son percibidas como suficientemente consistentes para orientar el trabajo de los equipos evaluadores durante las visitas externas.</w:t>
      </w:r>
    </w:p>
    <w:p w14:paraId="66F23D1F"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De manera similar, el ítem 2.1, relacionado con los lineamientos establecidos en la Resolución N.º 309/2025 para favorecer el consenso técnico entre los integrantes del equipo evaluador, obtuvo un promedio de 3,97 puntos, con un 83,8 % de respuestas favorables. Estos resultados indican que el marco metodológico es percibido como un </w:t>
      </w:r>
      <w:r w:rsidRPr="007F4168">
        <w:rPr>
          <w:rFonts w:ascii="Times New Roman" w:eastAsia="Times New Roman" w:hAnsi="Times New Roman" w:cs="Times New Roman"/>
          <w:lang w:val="es-PY" w:eastAsia="es-PY"/>
        </w:rPr>
        <w:lastRenderedPageBreak/>
        <w:t>elemento que contribuye a la homogeneidad de los criterios aplicados durante el proceso de evaluación externa, fortaleciendo la consistencia de los dictámenes técnicos emitidos.</w:t>
      </w:r>
    </w:p>
    <w:p w14:paraId="761FC180"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No obstante, el comportamiento del ítem 2.3 introduce un matiz relevante dentro de la dimensión. Aunque mantiene una valoración positiva (promedio de 3,89 puntos), registra el porcentaje de acuerdo más bajo (71,1 %), acompañado del mayor nivel de respuestas neutrales (18,4 %) y un 10,5 % de respuestas en desacuerdo. Este patrón evidencia que la percepción sobre la capacidad de los instrumentos de campo para garantizar plenamente la objetividad del proceso evaluativo presenta una mayor variabilidad entre los participantes, lo que sugiere la existencia de diferentes experiencias en la aplicación práctica de dichos instrumentos.</w:t>
      </w:r>
    </w:p>
    <w:p w14:paraId="3B4F3347"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La homogeneidad observada en tres de los cuatro indicadores permite afirmar que los componentes normativos y metodológicos del Sistema de Evaluación por Fases han sido ampliamente aceptados por los pares evaluadores. Sin embargo, la menor valoración alcanzada por los instrumentos de campo pone de manifiesto que la consolidación del nuevo modelo no depende únicamente de la solidez de su diseño normativo, sino también de la manera en que sus herramientas metodológicas son implementadas durante el proceso de evaluación externa.</w:t>
      </w:r>
    </w:p>
    <w:p w14:paraId="686EF44C"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bCs/>
          <w:lang w:eastAsia="es-ES"/>
        </w:rPr>
        <w:t>Dimensión 3: Dinámica de Campo y Cultura Evaluativa (5 ítems)</w:t>
      </w:r>
      <w:r w:rsidRPr="007F4168">
        <w:rPr>
          <w:rFonts w:ascii="Times New Roman" w:eastAsia="Times New Roman" w:hAnsi="Times New Roman" w:cs="Times New Roman"/>
          <w:lang w:eastAsia="es-ES"/>
        </w:rPr>
        <w:t xml:space="preserve"> En contraste, esta dimensión es la que presenta mayor dispersión y puntos críticos que requieren atención inmediata de la gestión de la ANEAES. El promedio general descendió a 3.80.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5"/>
        <w:gridCol w:w="2422"/>
        <w:gridCol w:w="1701"/>
      </w:tblGrid>
      <w:tr w:rsidR="00262E35" w:rsidRPr="007F4168" w14:paraId="7E1CDE83" w14:textId="77777777" w:rsidTr="0047509B">
        <w:trPr>
          <w:tblHeader/>
          <w:tblCellSpacing w:w="15" w:type="dxa"/>
        </w:trPr>
        <w:tc>
          <w:tcPr>
            <w:tcW w:w="0" w:type="auto"/>
            <w:tcBorders>
              <w:top w:val="single" w:sz="4" w:space="0" w:color="auto"/>
              <w:bottom w:val="single" w:sz="4" w:space="0" w:color="auto"/>
            </w:tcBorders>
            <w:vAlign w:val="center"/>
            <w:hideMark/>
          </w:tcPr>
          <w:p w14:paraId="039EE8B8"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Ítem</w:t>
            </w:r>
          </w:p>
        </w:tc>
        <w:tc>
          <w:tcPr>
            <w:tcW w:w="2392" w:type="dxa"/>
            <w:tcBorders>
              <w:top w:val="single" w:sz="4" w:space="0" w:color="auto"/>
              <w:bottom w:val="single" w:sz="4" w:space="0" w:color="auto"/>
            </w:tcBorders>
            <w:vAlign w:val="center"/>
            <w:hideMark/>
          </w:tcPr>
          <w:p w14:paraId="02529DE9"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Promedio (1–5)</w:t>
            </w:r>
          </w:p>
        </w:tc>
        <w:tc>
          <w:tcPr>
            <w:tcW w:w="1656" w:type="dxa"/>
            <w:tcBorders>
              <w:top w:val="single" w:sz="4" w:space="0" w:color="auto"/>
              <w:bottom w:val="single" w:sz="4" w:space="0" w:color="auto"/>
            </w:tcBorders>
            <w:vAlign w:val="center"/>
            <w:hideMark/>
          </w:tcPr>
          <w:p w14:paraId="3680969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de acuerdo</w:t>
            </w:r>
          </w:p>
        </w:tc>
      </w:tr>
      <w:tr w:rsidR="00262E35" w:rsidRPr="007F4168" w14:paraId="25C64686" w14:textId="77777777" w:rsidTr="0047509B">
        <w:trPr>
          <w:tblCellSpacing w:w="15" w:type="dxa"/>
        </w:trPr>
        <w:tc>
          <w:tcPr>
            <w:tcW w:w="0" w:type="auto"/>
            <w:tcBorders>
              <w:top w:val="single" w:sz="4" w:space="0" w:color="auto"/>
              <w:bottom w:val="single" w:sz="4" w:space="0" w:color="auto"/>
            </w:tcBorders>
            <w:vAlign w:val="center"/>
            <w:hideMark/>
          </w:tcPr>
          <w:p w14:paraId="34915462"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3.1</w:t>
            </w:r>
          </w:p>
        </w:tc>
        <w:tc>
          <w:tcPr>
            <w:tcW w:w="2392" w:type="dxa"/>
            <w:tcBorders>
              <w:top w:val="single" w:sz="4" w:space="0" w:color="auto"/>
              <w:bottom w:val="single" w:sz="4" w:space="0" w:color="auto"/>
            </w:tcBorders>
            <w:vAlign w:val="bottom"/>
            <w:hideMark/>
          </w:tcPr>
          <w:p w14:paraId="465EF2C4"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3,97</w:t>
            </w:r>
          </w:p>
        </w:tc>
        <w:tc>
          <w:tcPr>
            <w:tcW w:w="1656" w:type="dxa"/>
            <w:tcBorders>
              <w:top w:val="single" w:sz="4" w:space="0" w:color="auto"/>
              <w:bottom w:val="single" w:sz="4" w:space="0" w:color="auto"/>
            </w:tcBorders>
            <w:vAlign w:val="bottom"/>
            <w:hideMark/>
          </w:tcPr>
          <w:p w14:paraId="439427C3"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75,0%</w:t>
            </w:r>
          </w:p>
        </w:tc>
      </w:tr>
      <w:tr w:rsidR="00262E35" w:rsidRPr="007F4168" w14:paraId="24E0F14C" w14:textId="77777777" w:rsidTr="0047509B">
        <w:trPr>
          <w:tblCellSpacing w:w="15" w:type="dxa"/>
        </w:trPr>
        <w:tc>
          <w:tcPr>
            <w:tcW w:w="0" w:type="auto"/>
            <w:tcBorders>
              <w:top w:val="single" w:sz="4" w:space="0" w:color="auto"/>
              <w:bottom w:val="single" w:sz="4" w:space="0" w:color="auto"/>
            </w:tcBorders>
            <w:vAlign w:val="center"/>
            <w:hideMark/>
          </w:tcPr>
          <w:p w14:paraId="428C3E9F"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3.2</w:t>
            </w:r>
          </w:p>
        </w:tc>
        <w:tc>
          <w:tcPr>
            <w:tcW w:w="2392" w:type="dxa"/>
            <w:tcBorders>
              <w:top w:val="single" w:sz="4" w:space="0" w:color="auto"/>
              <w:bottom w:val="single" w:sz="4" w:space="0" w:color="auto"/>
            </w:tcBorders>
            <w:vAlign w:val="bottom"/>
            <w:hideMark/>
          </w:tcPr>
          <w:p w14:paraId="194B3F98"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3,94</w:t>
            </w:r>
          </w:p>
        </w:tc>
        <w:tc>
          <w:tcPr>
            <w:tcW w:w="1656" w:type="dxa"/>
            <w:tcBorders>
              <w:top w:val="single" w:sz="4" w:space="0" w:color="auto"/>
              <w:bottom w:val="single" w:sz="4" w:space="0" w:color="auto"/>
            </w:tcBorders>
            <w:vAlign w:val="bottom"/>
            <w:hideMark/>
          </w:tcPr>
          <w:p w14:paraId="76D357EC"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78,8%</w:t>
            </w:r>
          </w:p>
        </w:tc>
      </w:tr>
      <w:tr w:rsidR="00262E35" w:rsidRPr="007F4168" w14:paraId="355E9B34" w14:textId="77777777" w:rsidTr="0047509B">
        <w:trPr>
          <w:tblCellSpacing w:w="15" w:type="dxa"/>
        </w:trPr>
        <w:tc>
          <w:tcPr>
            <w:tcW w:w="0" w:type="auto"/>
            <w:tcBorders>
              <w:top w:val="single" w:sz="4" w:space="0" w:color="auto"/>
              <w:bottom w:val="single" w:sz="4" w:space="0" w:color="auto"/>
            </w:tcBorders>
            <w:vAlign w:val="center"/>
            <w:hideMark/>
          </w:tcPr>
          <w:p w14:paraId="6495AE20"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3.3</w:t>
            </w:r>
          </w:p>
        </w:tc>
        <w:tc>
          <w:tcPr>
            <w:tcW w:w="2392" w:type="dxa"/>
            <w:tcBorders>
              <w:top w:val="single" w:sz="4" w:space="0" w:color="auto"/>
              <w:bottom w:val="single" w:sz="4" w:space="0" w:color="auto"/>
            </w:tcBorders>
            <w:vAlign w:val="bottom"/>
            <w:hideMark/>
          </w:tcPr>
          <w:p w14:paraId="5D45E055"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3,55</w:t>
            </w:r>
          </w:p>
        </w:tc>
        <w:tc>
          <w:tcPr>
            <w:tcW w:w="1656" w:type="dxa"/>
            <w:tcBorders>
              <w:top w:val="single" w:sz="4" w:space="0" w:color="auto"/>
              <w:bottom w:val="single" w:sz="4" w:space="0" w:color="auto"/>
            </w:tcBorders>
            <w:vAlign w:val="bottom"/>
            <w:hideMark/>
          </w:tcPr>
          <w:p w14:paraId="5CBC0D7F"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63,6%</w:t>
            </w:r>
          </w:p>
        </w:tc>
      </w:tr>
      <w:tr w:rsidR="00262E35" w:rsidRPr="007F4168" w14:paraId="230DF0E9" w14:textId="77777777" w:rsidTr="0047509B">
        <w:trPr>
          <w:tblCellSpacing w:w="15" w:type="dxa"/>
        </w:trPr>
        <w:tc>
          <w:tcPr>
            <w:tcW w:w="0" w:type="auto"/>
            <w:tcBorders>
              <w:top w:val="single" w:sz="4" w:space="0" w:color="auto"/>
              <w:bottom w:val="single" w:sz="4" w:space="0" w:color="auto"/>
            </w:tcBorders>
            <w:vAlign w:val="center"/>
            <w:hideMark/>
          </w:tcPr>
          <w:p w14:paraId="0974DA1C"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3.4</w:t>
            </w:r>
          </w:p>
        </w:tc>
        <w:tc>
          <w:tcPr>
            <w:tcW w:w="2392" w:type="dxa"/>
            <w:tcBorders>
              <w:top w:val="single" w:sz="4" w:space="0" w:color="auto"/>
              <w:bottom w:val="single" w:sz="4" w:space="0" w:color="auto"/>
            </w:tcBorders>
            <w:vAlign w:val="bottom"/>
            <w:hideMark/>
          </w:tcPr>
          <w:p w14:paraId="62E00AD5"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3,71</w:t>
            </w:r>
          </w:p>
        </w:tc>
        <w:tc>
          <w:tcPr>
            <w:tcW w:w="1656" w:type="dxa"/>
            <w:tcBorders>
              <w:top w:val="single" w:sz="4" w:space="0" w:color="auto"/>
              <w:bottom w:val="single" w:sz="4" w:space="0" w:color="auto"/>
            </w:tcBorders>
            <w:vAlign w:val="bottom"/>
            <w:hideMark/>
          </w:tcPr>
          <w:p w14:paraId="480C8317"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71,4%</w:t>
            </w:r>
          </w:p>
        </w:tc>
      </w:tr>
      <w:tr w:rsidR="00262E35" w:rsidRPr="007F4168" w14:paraId="414DDD1F" w14:textId="77777777" w:rsidTr="0047509B">
        <w:trPr>
          <w:tblCellSpacing w:w="15" w:type="dxa"/>
        </w:trPr>
        <w:tc>
          <w:tcPr>
            <w:tcW w:w="0" w:type="auto"/>
            <w:tcBorders>
              <w:top w:val="single" w:sz="4" w:space="0" w:color="auto"/>
              <w:bottom w:val="single" w:sz="4" w:space="0" w:color="auto"/>
            </w:tcBorders>
            <w:vAlign w:val="center"/>
          </w:tcPr>
          <w:p w14:paraId="68DFCF2B"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3.5</w:t>
            </w:r>
          </w:p>
        </w:tc>
        <w:tc>
          <w:tcPr>
            <w:tcW w:w="2392" w:type="dxa"/>
            <w:tcBorders>
              <w:top w:val="single" w:sz="4" w:space="0" w:color="auto"/>
              <w:bottom w:val="single" w:sz="4" w:space="0" w:color="auto"/>
            </w:tcBorders>
            <w:vAlign w:val="bottom"/>
          </w:tcPr>
          <w:p w14:paraId="6D1B8B1F" w14:textId="77777777" w:rsidR="00262E35" w:rsidRPr="007F4168" w:rsidRDefault="00262E35" w:rsidP="0047509B">
            <w:pPr>
              <w:spacing w:after="0" w:line="240" w:lineRule="auto"/>
              <w:jc w:val="both"/>
              <w:rPr>
                <w:rFonts w:ascii="Times New Roman" w:hAnsi="Times New Roman" w:cs="Times New Roman"/>
                <w:color w:val="000000"/>
              </w:rPr>
            </w:pPr>
            <w:r w:rsidRPr="007F4168">
              <w:rPr>
                <w:rFonts w:ascii="Times New Roman" w:hAnsi="Times New Roman" w:cs="Times New Roman"/>
                <w:color w:val="000000"/>
              </w:rPr>
              <w:t>3,82</w:t>
            </w:r>
          </w:p>
        </w:tc>
        <w:tc>
          <w:tcPr>
            <w:tcW w:w="1656" w:type="dxa"/>
            <w:tcBorders>
              <w:top w:val="single" w:sz="4" w:space="0" w:color="auto"/>
              <w:bottom w:val="single" w:sz="4" w:space="0" w:color="auto"/>
            </w:tcBorders>
            <w:vAlign w:val="bottom"/>
          </w:tcPr>
          <w:p w14:paraId="54B510AF" w14:textId="77777777" w:rsidR="00262E35" w:rsidRPr="007F4168" w:rsidRDefault="00262E35" w:rsidP="0047509B">
            <w:pPr>
              <w:spacing w:after="0" w:line="240" w:lineRule="auto"/>
              <w:jc w:val="both"/>
              <w:rPr>
                <w:rFonts w:ascii="Times New Roman" w:eastAsia="Times New Roman" w:hAnsi="Times New Roman" w:cs="Times New Roman"/>
                <w:lang w:val="es-PY" w:eastAsia="es-PY"/>
              </w:rPr>
            </w:pPr>
            <w:r w:rsidRPr="007F4168">
              <w:rPr>
                <w:rFonts w:ascii="Times New Roman" w:hAnsi="Times New Roman" w:cs="Times New Roman"/>
                <w:color w:val="000000"/>
              </w:rPr>
              <w:t>71,4%</w:t>
            </w:r>
          </w:p>
        </w:tc>
      </w:tr>
    </w:tbl>
    <w:p w14:paraId="6328B60B" w14:textId="77777777" w:rsidR="00262E35" w:rsidRPr="007F4168" w:rsidRDefault="00262E35" w:rsidP="00262E35">
      <w:pPr>
        <w:spacing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i/>
          <w:iCs/>
          <w:lang w:val="es-PY" w:eastAsia="es-PY"/>
        </w:rPr>
        <w:t>Nota: Elaboración Propia en base a las respuestas obtenidas</w:t>
      </w:r>
    </w:p>
    <w:p w14:paraId="2BDC9E49"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Los resultados evidencian una valoración global favorable de la implementación del nuevo modelo; sin embargo, muestran una mayor dispersión de las respuestas respecto a las dimensiones anteriores. Los porcentajes de acuerdo oscilan entre el 63,6 % y el 78,8 %, mientras que los promedios obtenidos en la escala Likert varían entre 3,55 y 3,97 puntos, lo que indica una percepción positiva, aunque menos homogénea, sobre algunos aspectos de la aplicación práctica del Sistema por Fases.</w:t>
      </w:r>
    </w:p>
    <w:p w14:paraId="49B12BA3"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El indicador con mayor nivel de aceptación corresponde al ítem 3.2, que alcanzó un promedio de 3,94 puntos y un 78,8 % de respuestas favorables. Este resultado evidencia que la mayoría de los pares evaluadores considera que este componente del proceso evaluativo contribuye positivamente al desarrollo de las actividades previstas durante la </w:t>
      </w:r>
      <w:r w:rsidRPr="007F4168">
        <w:rPr>
          <w:rFonts w:ascii="Times New Roman" w:eastAsia="Times New Roman" w:hAnsi="Times New Roman" w:cs="Times New Roman"/>
          <w:lang w:val="es-PY" w:eastAsia="es-PY"/>
        </w:rPr>
        <w:lastRenderedPageBreak/>
        <w:t>evaluación externa, reflejando una adecuada apropiación de los procedimientos establecidos por el nuevo modelo.</w:t>
      </w:r>
    </w:p>
    <w:p w14:paraId="2CE3F33E" w14:textId="77777777" w:rsidR="00262E35" w:rsidRPr="007F4168" w:rsidRDefault="00262E35" w:rsidP="00262E35">
      <w:pPr>
        <w:spacing w:before="100" w:beforeAutospacing="1" w:after="100" w:afterAutospacing="1" w:line="240" w:lineRule="auto"/>
        <w:jc w:val="both"/>
        <w:rPr>
          <w:rFonts w:ascii="Times New Roman" w:hAnsi="Times New Roman" w:cs="Times New Roman"/>
        </w:rPr>
      </w:pPr>
      <w:r w:rsidRPr="007F4168">
        <w:rPr>
          <w:rFonts w:ascii="Times New Roman" w:hAnsi="Times New Roman" w:cs="Times New Roman"/>
        </w:rPr>
        <w:t xml:space="preserve">De manera similar, el </w:t>
      </w:r>
      <w:r w:rsidRPr="00262E35">
        <w:rPr>
          <w:rStyle w:val="Textoennegrita"/>
          <w:rFonts w:ascii="Times New Roman" w:hAnsi="Times New Roman" w:cs="Times New Roman"/>
          <w:b w:val="0"/>
          <w:bCs w:val="0"/>
        </w:rPr>
        <w:t>ítem 3.1</w:t>
      </w:r>
      <w:r w:rsidRPr="00262E35">
        <w:rPr>
          <w:rFonts w:ascii="Times New Roman" w:hAnsi="Times New Roman" w:cs="Times New Roman"/>
          <w:b/>
          <w:bCs/>
        </w:rPr>
        <w:t xml:space="preserve"> </w:t>
      </w:r>
      <w:r w:rsidRPr="00262E35">
        <w:rPr>
          <w:rFonts w:ascii="Times New Roman" w:hAnsi="Times New Roman" w:cs="Times New Roman"/>
        </w:rPr>
        <w:t>obtuvo un promedio de</w:t>
      </w:r>
      <w:r w:rsidRPr="00262E35">
        <w:rPr>
          <w:rFonts w:ascii="Times New Roman" w:hAnsi="Times New Roman" w:cs="Times New Roman"/>
          <w:b/>
          <w:bCs/>
        </w:rPr>
        <w:t xml:space="preserve"> </w:t>
      </w:r>
      <w:r w:rsidRPr="00262E35">
        <w:rPr>
          <w:rStyle w:val="Textoennegrita"/>
          <w:rFonts w:ascii="Times New Roman" w:hAnsi="Times New Roman" w:cs="Times New Roman"/>
          <w:b w:val="0"/>
          <w:bCs w:val="0"/>
        </w:rPr>
        <w:t>3,97 puntos</w:t>
      </w:r>
      <w:r w:rsidRPr="00262E35">
        <w:rPr>
          <w:rFonts w:ascii="Times New Roman" w:hAnsi="Times New Roman" w:cs="Times New Roman"/>
          <w:b/>
          <w:bCs/>
        </w:rPr>
        <w:t xml:space="preserve"> </w:t>
      </w:r>
      <w:r w:rsidRPr="00262E35">
        <w:rPr>
          <w:rFonts w:ascii="Times New Roman" w:hAnsi="Times New Roman" w:cs="Times New Roman"/>
        </w:rPr>
        <w:t>y un</w:t>
      </w:r>
      <w:r w:rsidRPr="00262E35">
        <w:rPr>
          <w:rFonts w:ascii="Times New Roman" w:hAnsi="Times New Roman" w:cs="Times New Roman"/>
          <w:b/>
          <w:bCs/>
        </w:rPr>
        <w:t xml:space="preserve"> </w:t>
      </w:r>
      <w:r w:rsidRPr="00262E35">
        <w:rPr>
          <w:rStyle w:val="Textoennegrita"/>
          <w:rFonts w:ascii="Times New Roman" w:hAnsi="Times New Roman" w:cs="Times New Roman"/>
          <w:b w:val="0"/>
          <w:bCs w:val="0"/>
        </w:rPr>
        <w:t>75,0 % de respuestas de acuerdo</w:t>
      </w:r>
      <w:r w:rsidRPr="007F4168">
        <w:rPr>
          <w:rFonts w:ascii="Times New Roman" w:hAnsi="Times New Roman" w:cs="Times New Roman"/>
        </w:rPr>
        <w:t>, lo que confirma que este aspecto de la implementación también es valorado favorablemente por la mayoría de los participantes. Aunque se observa un porcentaje de respuestas neutrales (18,8 %), el reducido nivel de desacuerdo (6,3 %) indica que existe una percepción predominantemente positiva sobre este componente del proceso evaluativo.</w:t>
      </w:r>
    </w:p>
    <w:p w14:paraId="3FF761FF" w14:textId="77777777" w:rsidR="00262E35" w:rsidRDefault="00262E35" w:rsidP="00262E35">
      <w:pPr>
        <w:spacing w:before="100" w:beforeAutospacing="1" w:after="100" w:afterAutospacing="1" w:line="240" w:lineRule="auto"/>
        <w:jc w:val="both"/>
        <w:rPr>
          <w:rFonts w:ascii="Times New Roman" w:hAnsi="Times New Roman" w:cs="Times New Roman"/>
        </w:rPr>
      </w:pPr>
      <w:r w:rsidRPr="001643BB">
        <w:rPr>
          <w:rFonts w:ascii="Times New Roman" w:hAnsi="Times New Roman" w:cs="Times New Roman"/>
        </w:rPr>
        <w:t xml:space="preserve">El resultado más significativo corresponde al ítem 3.3, </w:t>
      </w:r>
      <w:r w:rsidRPr="007F4168">
        <w:rPr>
          <w:rFonts w:ascii="Times New Roman" w:hAnsi="Times New Roman" w:cs="Times New Roman"/>
        </w:rPr>
        <w:t>que registró el promedio más bajo de toda la investigación</w:t>
      </w:r>
      <w:r w:rsidRPr="001643BB">
        <w:rPr>
          <w:rFonts w:ascii="Times New Roman" w:hAnsi="Times New Roman" w:cs="Times New Roman"/>
        </w:rPr>
        <w:t xml:space="preserve"> (promedio 3,55). Este dato, sumado al 21,2% de desacuerdo, evidencia que el sistema impacta significativamente en la dinámica actitudinal de los actores. La dispersión observada sugiere que la percepción de insuficiencia del tiempo genera tensiones operativas que requieren un ajuste en la gestión de los cronogramas de campo.</w:t>
      </w:r>
    </w:p>
    <w:p w14:paraId="107750A0" w14:textId="77777777" w:rsidR="00262E35" w:rsidRPr="001643BB" w:rsidRDefault="00262E35" w:rsidP="00262E35">
      <w:pPr>
        <w:spacing w:before="100" w:beforeAutospacing="1" w:after="100" w:afterAutospacing="1" w:line="240" w:lineRule="auto"/>
        <w:jc w:val="both"/>
        <w:rPr>
          <w:rFonts w:ascii="Times New Roman" w:hAnsi="Times New Roman" w:cs="Times New Roman"/>
        </w:rPr>
      </w:pPr>
      <w:r w:rsidRPr="001643BB">
        <w:rPr>
          <w:rFonts w:ascii="Times New Roman" w:hAnsi="Times New Roman" w:cs="Times New Roman"/>
        </w:rPr>
        <w:t xml:space="preserve">En cuanto a los ítems 3.4 y 3.5, se registra un acuerdo del 71,4% respecto a que la modalidad clúster facilita la unificación del análisis de información común. Sin embargo, la persistencia de respuestas neutrales indica que los pares demandan precisiones operativas para asegurar que esta modalidad no diluya el rigor del dictamen individual de la carrera o programa. </w:t>
      </w:r>
    </w:p>
    <w:p w14:paraId="4C5CCD8F" w14:textId="78C2FD28"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 xml:space="preserve">Discusión </w:t>
      </w:r>
    </w:p>
    <w:p w14:paraId="1F46D313"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Los resultados obtenidos permiten afirmar que la implementación del Sistema de Evaluación de la Calidad de la Educación Superior por Fases ha sido valorada favorablemente por los pares evaluadores, aunque con diferencias según la dimensión analizada. En conjunto, los hallazgos muestran que el nuevo modelo cuenta con aceptación en sus fundamentos conceptuales y metodológicos, mientras que los principales desafíos se concentran en algunos aspectos de su implementación operativa. Esta tendencia coincide con lo señalado por la literatura especializada, que sostiene que los procesos de reforma en los sistemas de aseguramiento de la calidad suelen alcanzar primero legitimidad conceptual y posteriormente consolidarse mediante ajustes derivados de su aplicación práctica </w:t>
      </w:r>
      <w:r w:rsidRPr="00C768B6">
        <w:rPr>
          <w:rFonts w:ascii="Times New Roman" w:eastAsia="Times New Roman" w:hAnsi="Times New Roman" w:cs="Times New Roman"/>
          <w:lang w:val="es-PY" w:eastAsia="es-PY"/>
        </w:rPr>
        <w:t>(Vilca Arana et al., 2024; UNESCO-IESALC, 2024).</w:t>
      </w:r>
    </w:p>
    <w:p w14:paraId="7B1C377F" w14:textId="77777777" w:rsidR="00262E35" w:rsidRPr="007F4168" w:rsidRDefault="00262E35" w:rsidP="00262E35">
      <w:pPr>
        <w:spacing w:line="240" w:lineRule="auto"/>
        <w:jc w:val="both"/>
        <w:rPr>
          <w:rFonts w:ascii="Times New Roman" w:hAnsi="Times New Roman" w:cs="Times New Roman"/>
          <w:bCs/>
          <w:lang w:val="es-PY" w:eastAsia="es-PY"/>
        </w:rPr>
      </w:pPr>
      <w:r w:rsidRPr="007F4168">
        <w:rPr>
          <w:rFonts w:ascii="Times New Roman" w:hAnsi="Times New Roman" w:cs="Times New Roman"/>
          <w:bCs/>
          <w:lang w:val="es-PY" w:eastAsia="es-PY"/>
        </w:rPr>
        <w:t>Dimensión I</w:t>
      </w:r>
    </w:p>
    <w:p w14:paraId="0489FACD"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Los resultados de la primera dimensión indican que los pares evaluadores perciben la transición hacia el Sistema por Fases como una evolución favorable del Modelo Nacional de Evaluación y Acreditación. Esta percepción sugiere que el nuevo enfoque ha logrado generar confianza entre quienes participan directamente en los procesos de evaluación externa, aspecto fundamental para garantizar una implementación consistente.</w:t>
      </w:r>
    </w:p>
    <w:p w14:paraId="3C674119"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lastRenderedPageBreak/>
        <w:t>Este hallazgo coincide con Harvey y Green (1993), quienes sostienen que los sistemas de aseguramiento de la calidad adquieren mayor valor cuando son comprendidos como instrumentos de transformación institucional y no únicamente como mecanismos de verificación del cumplimiento de estándares. En ese sentido, la valoración positiva de los evaluadores refleja que el nuevo modelo es percibido como una oportunidad para fortalecer la capacidad de análisis institucional y favorecer procesos de mejora continua.</w:t>
      </w:r>
    </w:p>
    <w:p w14:paraId="60391F84"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5D6B49">
        <w:rPr>
          <w:rFonts w:ascii="Times New Roman" w:eastAsia="Times New Roman" w:hAnsi="Times New Roman" w:cs="Times New Roman"/>
          <w:lang w:val="es-PY" w:eastAsia="es-PY"/>
        </w:rPr>
        <w:t>Vilca Arana et al. (2024), en una revisión sistemática sobre políticas de aseguramiento de la calidad, concluyen que las reformas implementadas en la región privilegian procesos de evaluación progresivos, participativos y orientados al fortalecimiento institucional antes que al cumplimiento exclusivamente normativo</w:t>
      </w:r>
      <w:r w:rsidRPr="007F4168">
        <w:rPr>
          <w:rFonts w:ascii="Times New Roman" w:eastAsia="Times New Roman" w:hAnsi="Times New Roman" w:cs="Times New Roman"/>
          <w:lang w:val="es-PY" w:eastAsia="es-PY"/>
        </w:rPr>
        <w:t>. Desde esta perspectiva, los resultados obtenidos sugieren que la transición hacia el Sistema por Fases ha sido apropiada favorablemente por los pares evaluadores, generando condiciones propicias para su consolidación.</w:t>
      </w:r>
    </w:p>
    <w:p w14:paraId="0A7AF714" w14:textId="77777777" w:rsidR="00262E35" w:rsidRPr="007F4168" w:rsidRDefault="00262E35" w:rsidP="00262E35">
      <w:pPr>
        <w:spacing w:line="240" w:lineRule="auto"/>
        <w:jc w:val="both"/>
        <w:rPr>
          <w:rFonts w:ascii="Times New Roman" w:hAnsi="Times New Roman" w:cs="Times New Roman"/>
          <w:bCs/>
          <w:lang w:val="es-PY" w:eastAsia="es-PY"/>
        </w:rPr>
      </w:pPr>
      <w:r w:rsidRPr="007F4168">
        <w:rPr>
          <w:rFonts w:ascii="Times New Roman" w:hAnsi="Times New Roman" w:cs="Times New Roman"/>
          <w:bCs/>
          <w:lang w:val="es-PY" w:eastAsia="es-PY"/>
        </w:rPr>
        <w:t>Dimensión II</w:t>
      </w:r>
    </w:p>
    <w:p w14:paraId="2A6571DD"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La segunda dimensión evidencia que los componentes normativos y metodológicos del Sistema por Fases son percibidos como adecuados para orientar el desarrollo de las evaluaciones externas. Esta valoración resulta particularmente relevante porque pone de manifiesto que los lineamientos técnicos, las matrices de evaluación y los procedimientos establecidos por la ANEAES proporcionan un marco de referencia claro para el desempeño de los pares evaluadores.</w:t>
      </w:r>
    </w:p>
    <w:p w14:paraId="10CDFC96" w14:textId="77777777" w:rsidR="00262E35"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Estos resultados son coherentes con Harvey y Williams (2010), quienes señalan que la credibilidad de los sistemas de aseguramiento de la calidad depende de la existencia de criterios metodológicos transparentes, consistentes y compartidos por todos los actores involucrados. Cuando los procedimientos son comprendidos y aplicados de manera uniforme, aumenta la confiabilidad de los procesos de evaluación y se fortalece la legitimidad de las decisiones de acreditación.</w:t>
      </w:r>
    </w:p>
    <w:p w14:paraId="495FBD0A"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3C492F">
        <w:rPr>
          <w:rFonts w:ascii="Times New Roman" w:eastAsia="Times New Roman" w:hAnsi="Times New Roman" w:cs="Times New Roman"/>
          <w:lang w:val="es-PY" w:eastAsia="es-PY"/>
        </w:rPr>
        <w:t>La valoración favorable de los procesos de capacitación y actualización evidencia que los participantes reconocen la necesidad de desarrollar nuevas competencias técnicas para responder a las exigencias del Sistema por Fases. Esta percepción coincide con los planteamientos de Ramos-Calderón y Hernández-Limón (2024), quienes sostienen que uno de los principales desafíos de las agencias de aseguramiento de la calidad consiste en fortalecer la preparación de los equipos evaluadores para afrontar procesos cada vez más complejos, flexibles y sustentados en evidencia. En este sentido, la formación continua de los pares evaluadores constituye un componente esencial para garantizar la consistencia técnica y la credibilidad de los procesos de evaluación externa.</w:t>
      </w:r>
    </w:p>
    <w:p w14:paraId="78E40B76"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No obstante, la mayor variabilidad observada en algunos componentes metodológicos sugiere que determinados instrumentos podrían continuar perfeccionándose a medida que el Sistema por Fases acumule experiencia en su aplicación. En este sentido, la evidencia obtenida no cuestiona la solidez del diseño metodológico, sino que pone de manifiesto la </w:t>
      </w:r>
      <w:r w:rsidRPr="007F4168">
        <w:rPr>
          <w:rFonts w:ascii="Times New Roman" w:eastAsia="Times New Roman" w:hAnsi="Times New Roman" w:cs="Times New Roman"/>
          <w:lang w:val="es-PY" w:eastAsia="es-PY"/>
        </w:rPr>
        <w:lastRenderedPageBreak/>
        <w:t>importancia de mantener procesos permanentes de revisión y mejora, coherentes con los principios del aseguramiento de la calidad.</w:t>
      </w:r>
    </w:p>
    <w:p w14:paraId="4C658074" w14:textId="77777777" w:rsidR="00262E35" w:rsidRDefault="00262E35" w:rsidP="00262E35">
      <w:pPr>
        <w:spacing w:line="240" w:lineRule="auto"/>
        <w:jc w:val="both"/>
        <w:rPr>
          <w:rFonts w:ascii="Times New Roman" w:hAnsi="Times New Roman" w:cs="Times New Roman"/>
          <w:bCs/>
          <w:lang w:val="es-PY" w:eastAsia="es-PY"/>
        </w:rPr>
      </w:pPr>
    </w:p>
    <w:p w14:paraId="5F989E1C" w14:textId="6B76ECC0" w:rsidR="00262E35" w:rsidRPr="007F4168" w:rsidRDefault="00262E35" w:rsidP="00262E35">
      <w:pPr>
        <w:spacing w:line="240" w:lineRule="auto"/>
        <w:jc w:val="both"/>
        <w:rPr>
          <w:rFonts w:ascii="Times New Roman" w:hAnsi="Times New Roman" w:cs="Times New Roman"/>
          <w:bCs/>
          <w:lang w:val="es-PY" w:eastAsia="es-PY"/>
        </w:rPr>
      </w:pPr>
      <w:r w:rsidRPr="007F4168">
        <w:rPr>
          <w:rFonts w:ascii="Times New Roman" w:hAnsi="Times New Roman" w:cs="Times New Roman"/>
          <w:bCs/>
          <w:lang w:val="es-PY" w:eastAsia="es-PY"/>
        </w:rPr>
        <w:t>Dimensión III</w:t>
      </w:r>
    </w:p>
    <w:p w14:paraId="7CF675E7"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La tercera dimensión aporta el hallazgo más relevante de la investigación, al evidenciar que las percepciones de los pares evaluadores son más heterogéneas cuando el análisis se centra en la implementación operativa del modelo. Aunque la valoración general continúa siendo favorable, algunos componentes prácticos generan mayores diferencias de opinión, lo que indica que el proceso de consolidación del Sistema por Fases aún requiere ajustes derivados de la experiencia de aplicación.</w:t>
      </w:r>
    </w:p>
    <w:p w14:paraId="1616280A"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 xml:space="preserve">Esta situación coincide con </w:t>
      </w:r>
      <w:proofErr w:type="spellStart"/>
      <w:r w:rsidRPr="007F4168">
        <w:rPr>
          <w:rFonts w:ascii="Times New Roman" w:eastAsia="Times New Roman" w:hAnsi="Times New Roman" w:cs="Times New Roman"/>
          <w:lang w:val="es-PY" w:eastAsia="es-PY"/>
        </w:rPr>
        <w:t>Stensaker</w:t>
      </w:r>
      <w:proofErr w:type="spellEnd"/>
      <w:r w:rsidRPr="007F4168">
        <w:rPr>
          <w:rFonts w:ascii="Times New Roman" w:eastAsia="Times New Roman" w:hAnsi="Times New Roman" w:cs="Times New Roman"/>
          <w:lang w:val="es-PY" w:eastAsia="es-PY"/>
        </w:rPr>
        <w:t xml:space="preserve"> (2008), quien sostiene que los principales desafíos de los sistemas de aseguramiento de la calidad no suelen encontrarse en el diseño de las políticas, sino en su implementación efectiva dentro de las organizaciones. Del mismo modo, </w:t>
      </w:r>
      <w:proofErr w:type="spellStart"/>
      <w:r w:rsidRPr="007F4168">
        <w:rPr>
          <w:rFonts w:ascii="Times New Roman" w:eastAsia="Times New Roman" w:hAnsi="Times New Roman" w:cs="Times New Roman"/>
          <w:lang w:val="es-PY" w:eastAsia="es-PY"/>
        </w:rPr>
        <w:t>Leiber</w:t>
      </w:r>
      <w:proofErr w:type="spellEnd"/>
      <w:r w:rsidRPr="007F4168">
        <w:rPr>
          <w:rFonts w:ascii="Times New Roman" w:eastAsia="Times New Roman" w:hAnsi="Times New Roman" w:cs="Times New Roman"/>
          <w:lang w:val="es-PY" w:eastAsia="es-PY"/>
        </w:rPr>
        <w:t xml:space="preserve">, </w:t>
      </w:r>
      <w:proofErr w:type="spellStart"/>
      <w:r w:rsidRPr="007F4168">
        <w:rPr>
          <w:rFonts w:ascii="Times New Roman" w:eastAsia="Times New Roman" w:hAnsi="Times New Roman" w:cs="Times New Roman"/>
          <w:lang w:val="es-PY" w:eastAsia="es-PY"/>
        </w:rPr>
        <w:t>Stensaker</w:t>
      </w:r>
      <w:proofErr w:type="spellEnd"/>
      <w:r w:rsidRPr="007F4168">
        <w:rPr>
          <w:rFonts w:ascii="Times New Roman" w:eastAsia="Times New Roman" w:hAnsi="Times New Roman" w:cs="Times New Roman"/>
          <w:lang w:val="es-PY" w:eastAsia="es-PY"/>
        </w:rPr>
        <w:t xml:space="preserve"> y Harvey (2015) afirman que las percepciones de los pares evaluadores constituyen una fuente estratégica de información para identificar oportunidades de mejora en los procesos de evaluación externa.</w:t>
      </w:r>
    </w:p>
    <w:p w14:paraId="6B0ACAB1"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Las diferencias observadas en esta dimensión no deben interpretarse como una debilidad del modelo, sino como evidencia de un proceso de innovación institucional en desarrollo. La retroalimentación proporcionada por los pares evaluadores representa un insumo valioso para perfeccionar los procedimientos operativos, fortalecer los procesos de capacitación y consolidar progresivamente el Sistema de Evaluación por Fases como una herramienta orientada al mejoramiento continuo de la educación superior paraguaya.</w:t>
      </w:r>
    </w:p>
    <w:p w14:paraId="180ED7F2"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val="es-PY" w:eastAsia="es-PY"/>
        </w:rPr>
      </w:pPr>
      <w:r w:rsidRPr="007F4168">
        <w:rPr>
          <w:rFonts w:ascii="Times New Roman" w:eastAsia="Times New Roman" w:hAnsi="Times New Roman" w:cs="Times New Roman"/>
          <w:lang w:val="es-PY" w:eastAsia="es-PY"/>
        </w:rPr>
        <w:t>En conjunto, las tres dimensiones analizadas muestran un patrón consistente: el Sistema de Evaluación por Fases ha logrado una aceptación favorable entre los pares evaluadores, especialmente en relación con su propósito y su diseño metodológico, mientras que los principales desafíos se concentran en la consolidación de su implementación. Este comportamiento resulta coherente con la evolución descrita por la literatura internacional sobre aseguramiento de la calidad y permite concluir que el proceso impulsado por la ANEAES presenta condiciones favorables para su fortalecimiento mediante procesos continuos de evaluación, retroalimentación y mejora.</w:t>
      </w:r>
    </w:p>
    <w:p w14:paraId="0C7F2B45" w14:textId="25CCE4EB"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Conclusiones</w:t>
      </w:r>
    </w:p>
    <w:p w14:paraId="05ABAD11" w14:textId="77777777" w:rsidR="00262E35" w:rsidRPr="007F4168" w:rsidRDefault="00262E35" w:rsidP="00262E35">
      <w:p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lang w:eastAsia="es-ES"/>
        </w:rPr>
        <w:t xml:space="preserve">La implementación del Sistema por Fases en Paraguay, bajo el amparo de la Resolución </w:t>
      </w:r>
      <w:proofErr w:type="spellStart"/>
      <w:r w:rsidRPr="007F4168">
        <w:rPr>
          <w:rFonts w:ascii="Times New Roman" w:eastAsia="Times New Roman" w:hAnsi="Times New Roman" w:cs="Times New Roman"/>
          <w:lang w:eastAsia="es-ES"/>
        </w:rPr>
        <w:t>N°</w:t>
      </w:r>
      <w:proofErr w:type="spellEnd"/>
      <w:r w:rsidRPr="007F4168">
        <w:rPr>
          <w:rFonts w:ascii="Times New Roman" w:eastAsia="Times New Roman" w:hAnsi="Times New Roman" w:cs="Times New Roman"/>
          <w:lang w:eastAsia="es-ES"/>
        </w:rPr>
        <w:t xml:space="preserve"> 309/2025, constituye un hito en la madurez del aseguramiento de la calidad. Tras el análisis exhaustivo de los datos y las validaciones técnicas, se concluye lo siguiente:</w:t>
      </w:r>
    </w:p>
    <w:p w14:paraId="261B2517" w14:textId="77777777" w:rsidR="00262E35" w:rsidRPr="007F4168" w:rsidRDefault="00262E35" w:rsidP="00262E35">
      <w:pPr>
        <w:numPr>
          <w:ilvl w:val="0"/>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bCs/>
          <w:lang w:eastAsia="es-ES"/>
        </w:rPr>
        <w:lastRenderedPageBreak/>
        <w:t>Validación del Modelo:</w:t>
      </w:r>
      <w:r w:rsidRPr="007F4168">
        <w:rPr>
          <w:rFonts w:ascii="Times New Roman" w:eastAsia="Times New Roman" w:hAnsi="Times New Roman" w:cs="Times New Roman"/>
          <w:lang w:eastAsia="es-ES"/>
        </w:rPr>
        <w:t xml:space="preserve"> Existe una aceptación mayoritaria (82.8%) de que la transición hacia la gradualidad es el camino correcto para mejorar la profundidad de las evaluaciones y reducir la discrecionalidad.</w:t>
      </w:r>
    </w:p>
    <w:p w14:paraId="7A6ABADE" w14:textId="77777777" w:rsidR="00262E35" w:rsidRPr="007F4168" w:rsidRDefault="00262E35" w:rsidP="00262E35">
      <w:pPr>
        <w:numPr>
          <w:ilvl w:val="0"/>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bCs/>
          <w:lang w:eastAsia="es-ES"/>
        </w:rPr>
        <w:t>Urgencia de Ajustes Operativos:</w:t>
      </w:r>
      <w:r w:rsidRPr="007F4168">
        <w:rPr>
          <w:rFonts w:ascii="Times New Roman" w:eastAsia="Times New Roman" w:hAnsi="Times New Roman" w:cs="Times New Roman"/>
          <w:lang w:eastAsia="es-ES"/>
        </w:rPr>
        <w:t xml:space="preserve"> El hallazgo más crítico es la insuficiencia del tiempo de visita de evaluación externa. La ANEAES debe revisar sus cronogramas de campo; de lo contrario, el rigor metodológico del sistema por fases se verá comprometido por la premura operativa.</w:t>
      </w:r>
    </w:p>
    <w:p w14:paraId="6B8FDCD8" w14:textId="6CC739F7" w:rsidR="00262E35" w:rsidRPr="007F4168" w:rsidRDefault="00262E35" w:rsidP="00262E35">
      <w:pPr>
        <w:numPr>
          <w:ilvl w:val="0"/>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bCs/>
          <w:lang w:eastAsia="es-ES"/>
        </w:rPr>
        <w:t>Unificación de la Modalidad Clúster:</w:t>
      </w:r>
      <w:r w:rsidRPr="007F4168">
        <w:rPr>
          <w:rFonts w:ascii="Times New Roman" w:eastAsia="Times New Roman" w:hAnsi="Times New Roman" w:cs="Times New Roman"/>
          <w:lang w:eastAsia="es-ES"/>
        </w:rPr>
        <w:t xml:space="preserve"> Se recomienda la publicación de una Guía de Evaluación Externa específica para clústeres, que defina operacionalmente cómo se mantiene el rigor individual frente a la información común.</w:t>
      </w:r>
    </w:p>
    <w:p w14:paraId="0918309A" w14:textId="77777777" w:rsidR="00262E35" w:rsidRPr="007F4168" w:rsidRDefault="00262E35" w:rsidP="00262E35">
      <w:pPr>
        <w:numPr>
          <w:ilvl w:val="0"/>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bCs/>
          <w:lang w:eastAsia="es-ES"/>
        </w:rPr>
        <w:t>Propuesta de Glosario Operativo Institucional:</w:t>
      </w:r>
      <w:r w:rsidRPr="007F4168">
        <w:rPr>
          <w:rFonts w:ascii="Times New Roman" w:eastAsia="Times New Roman" w:hAnsi="Times New Roman" w:cs="Times New Roman"/>
          <w:lang w:eastAsia="es-ES"/>
        </w:rPr>
        <w:t xml:space="preserve"> Dada la baja fiabilidad inicial entre jueces expertos (Alpha de </w:t>
      </w:r>
      <w:proofErr w:type="spellStart"/>
      <w:r w:rsidRPr="007F4168">
        <w:rPr>
          <w:rFonts w:ascii="Times New Roman" w:eastAsia="Times New Roman" w:hAnsi="Times New Roman" w:cs="Times New Roman"/>
          <w:lang w:eastAsia="es-ES"/>
        </w:rPr>
        <w:t>Krippendorff</w:t>
      </w:r>
      <w:proofErr w:type="spellEnd"/>
      <w:r w:rsidRPr="007F4168">
        <w:rPr>
          <w:rFonts w:ascii="Times New Roman" w:eastAsia="Times New Roman" w:hAnsi="Times New Roman" w:cs="Times New Roman"/>
          <w:lang w:eastAsia="es-ES"/>
        </w:rPr>
        <w:t xml:space="preserve"> negativo), es imperativo que la Agencia oficialice un glosario de términos técnicos. Este glosario debe unificar definiciones para:</w:t>
      </w:r>
      <w:bookmarkStart w:id="0" w:name="_GoBack"/>
      <w:bookmarkEnd w:id="0"/>
    </w:p>
    <w:p w14:paraId="000D273E" w14:textId="77777777" w:rsidR="00262E35" w:rsidRPr="007F4168" w:rsidRDefault="00262E35" w:rsidP="00262E35">
      <w:pPr>
        <w:numPr>
          <w:ilvl w:val="1"/>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i/>
          <w:iCs/>
          <w:lang w:eastAsia="es-ES"/>
        </w:rPr>
        <w:t>Dictamen técnico:</w:t>
      </w:r>
      <w:r w:rsidRPr="007F4168">
        <w:rPr>
          <w:rFonts w:ascii="Times New Roman" w:eastAsia="Times New Roman" w:hAnsi="Times New Roman" w:cs="Times New Roman"/>
          <w:lang w:eastAsia="es-ES"/>
        </w:rPr>
        <w:t xml:space="preserve"> Diferenciándolo del informe descriptivo.</w:t>
      </w:r>
    </w:p>
    <w:p w14:paraId="13A717D8" w14:textId="77777777" w:rsidR="00262E35" w:rsidRPr="007F4168" w:rsidRDefault="00262E35" w:rsidP="00262E35">
      <w:pPr>
        <w:numPr>
          <w:ilvl w:val="1"/>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i/>
          <w:iCs/>
          <w:lang w:eastAsia="es-ES"/>
        </w:rPr>
        <w:t>Evidencias operativas:</w:t>
      </w:r>
      <w:r w:rsidRPr="007F4168">
        <w:rPr>
          <w:rFonts w:ascii="Times New Roman" w:eastAsia="Times New Roman" w:hAnsi="Times New Roman" w:cs="Times New Roman"/>
          <w:lang w:eastAsia="es-ES"/>
        </w:rPr>
        <w:t xml:space="preserve"> Clarificando que no son solo archivos digitales, sino realidades constatables.</w:t>
      </w:r>
    </w:p>
    <w:p w14:paraId="0C4A744B" w14:textId="77777777" w:rsidR="00262E35" w:rsidRPr="007F4168" w:rsidRDefault="00262E35" w:rsidP="00262E35">
      <w:pPr>
        <w:numPr>
          <w:ilvl w:val="1"/>
          <w:numId w:val="1"/>
        </w:numPr>
        <w:spacing w:before="100" w:beforeAutospacing="1" w:after="100" w:afterAutospacing="1" w:line="240" w:lineRule="auto"/>
        <w:jc w:val="both"/>
        <w:rPr>
          <w:rFonts w:ascii="Times New Roman" w:eastAsia="Times New Roman" w:hAnsi="Times New Roman" w:cs="Times New Roman"/>
          <w:lang w:eastAsia="es-ES"/>
        </w:rPr>
      </w:pPr>
      <w:r w:rsidRPr="007F4168">
        <w:rPr>
          <w:rFonts w:ascii="Times New Roman" w:eastAsia="Times New Roman" w:hAnsi="Times New Roman" w:cs="Times New Roman"/>
          <w:i/>
          <w:iCs/>
          <w:lang w:eastAsia="es-ES"/>
        </w:rPr>
        <w:t>Evaluación externa final vs. Acreditación:</w:t>
      </w:r>
      <w:r w:rsidRPr="007F4168">
        <w:rPr>
          <w:rFonts w:ascii="Times New Roman" w:eastAsia="Times New Roman" w:hAnsi="Times New Roman" w:cs="Times New Roman"/>
          <w:lang w:eastAsia="es-ES"/>
        </w:rPr>
        <w:t xml:space="preserve"> Para evitar colisiones conceptuales con la Ley 2072.</w:t>
      </w:r>
    </w:p>
    <w:p w14:paraId="1F5C1292" w14:textId="77777777" w:rsidR="00262E35" w:rsidRPr="00240F50" w:rsidRDefault="00262E35" w:rsidP="00262E35">
      <w:pPr>
        <w:numPr>
          <w:ilvl w:val="0"/>
          <w:numId w:val="1"/>
        </w:numPr>
        <w:spacing w:before="100" w:beforeAutospacing="1" w:after="100" w:afterAutospacing="1" w:line="240" w:lineRule="auto"/>
        <w:jc w:val="both"/>
        <w:outlineLvl w:val="2"/>
      </w:pPr>
      <w:r w:rsidRPr="00240F50">
        <w:rPr>
          <w:rFonts w:ascii="Times New Roman" w:eastAsia="Times New Roman" w:hAnsi="Times New Roman" w:cs="Times New Roman"/>
          <w:bCs/>
          <w:lang w:eastAsia="es-ES"/>
        </w:rPr>
        <w:t>Fortalecimiento del Perfil del Par:</w:t>
      </w:r>
      <w:r w:rsidRPr="00240F50">
        <w:rPr>
          <w:rFonts w:ascii="Times New Roman" w:eastAsia="Times New Roman" w:hAnsi="Times New Roman" w:cs="Times New Roman"/>
          <w:lang w:eastAsia="es-ES"/>
        </w:rPr>
        <w:t xml:space="preserve"> </w:t>
      </w:r>
      <w:r w:rsidRPr="00240F50">
        <w:rPr>
          <w:rFonts w:ascii="Times New Roman" w:eastAsia="Times New Roman" w:hAnsi="Times New Roman" w:cs="Times New Roman"/>
          <w:bCs/>
          <w:lang w:eastAsia="es-ES"/>
        </w:rPr>
        <w:t>La alta valoración de la Dimensión 2 sugiere que los pares confían en las matrices, pero la dispersión observada en la Dimensión 3 señala la necesidad imperativa de fortalecer el perfil del par evaluador mediante capacitación en mediación comunicativa y gestión de la dinámica actitudinal. Esto permitirá transformar la resistencia detectada en un proceso de acompañamiento técnico constructivo</w:t>
      </w:r>
    </w:p>
    <w:p w14:paraId="2A412A99" w14:textId="52193D7B" w:rsidR="00262E35" w:rsidRPr="00262E35" w:rsidRDefault="00262E35" w:rsidP="00262E35">
      <w:pPr>
        <w:rPr>
          <w:rFonts w:ascii="Times New Roman" w:hAnsi="Times New Roman" w:cs="Times New Roman"/>
          <w:b/>
          <w:bCs/>
        </w:rPr>
      </w:pPr>
      <w:r w:rsidRPr="00262E35">
        <w:rPr>
          <w:rFonts w:ascii="Times New Roman" w:hAnsi="Times New Roman" w:cs="Times New Roman"/>
          <w:b/>
          <w:bCs/>
        </w:rPr>
        <w:t>Referencias bibliográficas</w:t>
      </w:r>
    </w:p>
    <w:p w14:paraId="210C02C1" w14:textId="77777777" w:rsidR="00262E35" w:rsidRPr="007F4168" w:rsidRDefault="00262E35" w:rsidP="00262E35">
      <w:pPr>
        <w:pStyle w:val="pdq2pgselectionanchorcontainer"/>
        <w:jc w:val="both"/>
      </w:pPr>
      <w:r w:rsidRPr="007F4168">
        <w:t xml:space="preserve">Agencia Nacional de Evaluación y Acreditación de la Educación Superior. (2025). </w:t>
      </w:r>
      <w:r w:rsidRPr="007F4168">
        <w:rPr>
          <w:rStyle w:val="nfasis"/>
          <w:rFonts w:eastAsiaTheme="majorEastAsia"/>
        </w:rPr>
        <w:t>Modelo nacional de evaluación y acreditación de la educación superior. Sistema de evaluación de la calidad de la educación superior por fases</w:t>
      </w:r>
      <w:r w:rsidRPr="007F4168">
        <w:t xml:space="preserve">. ANEAES. </w:t>
      </w:r>
      <w:hyperlink r:id="rId8" w:history="1">
        <w:r w:rsidRPr="007F4168">
          <w:rPr>
            <w:rStyle w:val="Hipervnculo"/>
          </w:rPr>
          <w:t>https://www.aneaes.gov.py/modelo-nacional/</w:t>
        </w:r>
      </w:hyperlink>
    </w:p>
    <w:p w14:paraId="64D2716A" w14:textId="77777777" w:rsidR="00262E35" w:rsidRPr="007F4168" w:rsidRDefault="00262E35" w:rsidP="00262E35">
      <w:pPr>
        <w:pStyle w:val="NormalWeb"/>
        <w:jc w:val="both"/>
      </w:pPr>
      <w:r w:rsidRPr="007F4168">
        <w:t xml:space="preserve">Agencia Nacional de Evaluación y Acreditación de la Educación Superior. (2025). </w:t>
      </w:r>
      <w:proofErr w:type="gramStart"/>
      <w:r w:rsidRPr="007F4168">
        <w:rPr>
          <w:rStyle w:val="nfasis"/>
          <w:rFonts w:eastAsiaTheme="majorEastAsia"/>
        </w:rPr>
        <w:t>Resolución N.º</w:t>
      </w:r>
      <w:proofErr w:type="gramEnd"/>
      <w:r w:rsidRPr="007F4168">
        <w:rPr>
          <w:rStyle w:val="nfasis"/>
          <w:rFonts w:eastAsiaTheme="majorEastAsia"/>
        </w:rPr>
        <w:t xml:space="preserve"> 208/2025, por la cual se reglamenta el Registro Nacional de Pares Evaluadores</w:t>
      </w:r>
      <w:r w:rsidRPr="007F4168">
        <w:t xml:space="preserve">. </w:t>
      </w:r>
      <w:hyperlink r:id="rId9" w:history="1">
        <w:r w:rsidRPr="007F4168">
          <w:rPr>
            <w:rStyle w:val="Hipervnculo"/>
          </w:rPr>
          <w:t>https://www.aneaes.gov.py/wp-content/uploads/2026/03/A.4-01-Res.-N%C2%B0-208-2025-Proceso-de-formacion-y-seleccion-Pares-evaluadores.pdf</w:t>
        </w:r>
      </w:hyperlink>
    </w:p>
    <w:p w14:paraId="7855DE66" w14:textId="77777777" w:rsidR="00262E35" w:rsidRPr="007F4168" w:rsidRDefault="00262E35" w:rsidP="00262E35">
      <w:pPr>
        <w:pStyle w:val="NormalWeb"/>
        <w:jc w:val="both"/>
      </w:pPr>
      <w:r w:rsidRPr="007F4168">
        <w:t xml:space="preserve">Agencia Nacional de Evaluación y Acreditación de la Educación Superior. (2025). </w:t>
      </w:r>
      <w:proofErr w:type="gramStart"/>
      <w:r w:rsidRPr="007F4168">
        <w:rPr>
          <w:rStyle w:val="nfasis"/>
          <w:rFonts w:eastAsiaTheme="majorEastAsia"/>
        </w:rPr>
        <w:t>Resolución N.º</w:t>
      </w:r>
      <w:proofErr w:type="gramEnd"/>
      <w:r w:rsidRPr="007F4168">
        <w:rPr>
          <w:rStyle w:val="nfasis"/>
          <w:rFonts w:eastAsiaTheme="majorEastAsia"/>
        </w:rPr>
        <w:t xml:space="preserve"> 234/2025, por la cual se actualizan los criterios para la integración del Registro Nacional de Pares Evaluadores</w:t>
      </w:r>
      <w:r w:rsidRPr="007F4168">
        <w:t xml:space="preserve">. </w:t>
      </w:r>
      <w:hyperlink r:id="rId10" w:history="1">
        <w:r w:rsidRPr="007F4168">
          <w:rPr>
            <w:rStyle w:val="Hipervnculo"/>
          </w:rPr>
          <w:t>https://www.aneaes.gov.py/wp-content/uploads/2025/05/ResoluciA%C2%B3n-NAo-234_2025.pdf</w:t>
        </w:r>
      </w:hyperlink>
    </w:p>
    <w:p w14:paraId="1141E8AB" w14:textId="77777777" w:rsidR="00262E35" w:rsidRPr="007F4168" w:rsidRDefault="00262E35" w:rsidP="00262E35">
      <w:pPr>
        <w:pStyle w:val="NormalWeb"/>
        <w:jc w:val="both"/>
      </w:pPr>
      <w:r w:rsidRPr="007F4168">
        <w:t xml:space="preserve">Agencia Nacional de Evaluación y Acreditación de la Educación Superior. (2025). </w:t>
      </w:r>
      <w:proofErr w:type="gramStart"/>
      <w:r w:rsidRPr="007F4168">
        <w:rPr>
          <w:rStyle w:val="nfasis"/>
          <w:rFonts w:eastAsiaTheme="majorEastAsia"/>
        </w:rPr>
        <w:t>Resolución N.º</w:t>
      </w:r>
      <w:proofErr w:type="gramEnd"/>
      <w:r w:rsidRPr="007F4168">
        <w:rPr>
          <w:rStyle w:val="nfasis"/>
          <w:rFonts w:eastAsiaTheme="majorEastAsia"/>
        </w:rPr>
        <w:t xml:space="preserve"> 309/2025, por la cual se aprueba el Sistema de Evaluación de la Calidad </w:t>
      </w:r>
      <w:r w:rsidRPr="007F4168">
        <w:rPr>
          <w:rStyle w:val="nfasis"/>
          <w:rFonts w:eastAsiaTheme="majorEastAsia"/>
        </w:rPr>
        <w:lastRenderedPageBreak/>
        <w:t>de la Educación Superior por Fases</w:t>
      </w:r>
      <w:r w:rsidRPr="007F4168">
        <w:t xml:space="preserve">. </w:t>
      </w:r>
      <w:hyperlink r:id="rId11" w:tgtFrame="_new" w:history="1">
        <w:r w:rsidRPr="007F4168">
          <w:rPr>
            <w:rStyle w:val="Hipervnculo"/>
          </w:rPr>
          <w:t>https://www.aneaes.gov.py/wp-content/uploads/2025/06/RESOLUCION-No-309-2025-Aprobacion_fases-1.pdf</w:t>
        </w:r>
      </w:hyperlink>
    </w:p>
    <w:p w14:paraId="2887941B" w14:textId="77777777" w:rsidR="00262E35" w:rsidRPr="007F4168" w:rsidRDefault="00262E35" w:rsidP="00262E35">
      <w:pPr>
        <w:pStyle w:val="NormalWeb"/>
        <w:jc w:val="both"/>
      </w:pPr>
      <w:r w:rsidRPr="007F4168">
        <w:t xml:space="preserve">Agencia Nacional de Evaluación y Acreditación de la Educación Superior. (2026). </w:t>
      </w:r>
      <w:proofErr w:type="gramStart"/>
      <w:r w:rsidRPr="007F4168">
        <w:rPr>
          <w:rStyle w:val="nfasis"/>
          <w:rFonts w:eastAsiaTheme="majorEastAsia"/>
        </w:rPr>
        <w:t>Resolución N.º</w:t>
      </w:r>
      <w:proofErr w:type="gramEnd"/>
      <w:r w:rsidRPr="007F4168">
        <w:rPr>
          <w:rStyle w:val="nfasis"/>
          <w:rFonts w:eastAsiaTheme="majorEastAsia"/>
        </w:rPr>
        <w:t xml:space="preserve"> 160/2026, por la cual se aprueba la nómina del Registro Nacional de Pares Evaluadores</w:t>
      </w:r>
      <w:r w:rsidRPr="007F4168">
        <w:t xml:space="preserve">. </w:t>
      </w:r>
      <w:hyperlink r:id="rId12" w:history="1">
        <w:r w:rsidRPr="007F4168">
          <w:rPr>
            <w:rStyle w:val="Hipervnculo"/>
          </w:rPr>
          <w:t>https://www.aneaes.gov.py/wp-content/uploads/2026/05/RESOLUCION-No-160-2026-Por-la-cual-se-aprueba-la-nomina-de-pares-evaluadores-2.pdf</w:t>
        </w:r>
      </w:hyperlink>
    </w:p>
    <w:p w14:paraId="74499B2F" w14:textId="77777777" w:rsidR="00262E35" w:rsidRPr="007F4168" w:rsidRDefault="00262E35" w:rsidP="00262E35">
      <w:pPr>
        <w:pStyle w:val="NormalWeb"/>
        <w:jc w:val="both"/>
      </w:pPr>
      <w:r w:rsidRPr="007F4168">
        <w:t xml:space="preserve">Congreso Nacional de la República del Paraguay. (2003). </w:t>
      </w:r>
      <w:proofErr w:type="gramStart"/>
      <w:r w:rsidRPr="007F4168">
        <w:rPr>
          <w:rStyle w:val="nfasis"/>
          <w:rFonts w:eastAsiaTheme="majorEastAsia"/>
        </w:rPr>
        <w:t>Ley N.º</w:t>
      </w:r>
      <w:proofErr w:type="gramEnd"/>
      <w:r w:rsidRPr="007F4168">
        <w:rPr>
          <w:rStyle w:val="nfasis"/>
          <w:rFonts w:eastAsiaTheme="majorEastAsia"/>
        </w:rPr>
        <w:t xml:space="preserve"> 2072/2003. De creación de la Agencia Nacional de Evaluación y Acreditación de la Educación Superior</w:t>
      </w:r>
      <w:r w:rsidRPr="007F4168">
        <w:t xml:space="preserve">. </w:t>
      </w:r>
      <w:hyperlink r:id="rId13" w:history="1">
        <w:r w:rsidRPr="007F4168">
          <w:rPr>
            <w:rStyle w:val="Hipervnculo"/>
          </w:rPr>
          <w:t>https://www.aneaes.gov.py/wp-content/uploads/2023/12/Ley_de_la_ANEAES-2.pdf</w:t>
        </w:r>
      </w:hyperlink>
    </w:p>
    <w:p w14:paraId="46D34FF0" w14:textId="77777777" w:rsidR="00262E35" w:rsidRDefault="00262E35" w:rsidP="00262E35">
      <w:pPr>
        <w:pStyle w:val="NormalWeb"/>
        <w:jc w:val="both"/>
        <w:rPr>
          <w:rStyle w:val="Hipervnculo"/>
          <w:lang w:val="en-US"/>
        </w:rPr>
      </w:pPr>
      <w:r w:rsidRPr="007F4168">
        <w:rPr>
          <w:lang w:val="en-US"/>
        </w:rPr>
        <w:t xml:space="preserve">European Association for Quality Assurance in Higher Education. (2015). </w:t>
      </w:r>
      <w:r w:rsidRPr="007F4168">
        <w:rPr>
          <w:rStyle w:val="nfasis"/>
          <w:rFonts w:eastAsiaTheme="majorEastAsia"/>
          <w:lang w:val="en-US"/>
        </w:rPr>
        <w:t>Standards and guidelines for quality assurance in the European Higher Education Area (ESG 2015).</w:t>
      </w:r>
      <w:r w:rsidRPr="007F4168">
        <w:rPr>
          <w:lang w:val="en-US"/>
        </w:rPr>
        <w:t xml:space="preserve"> </w:t>
      </w:r>
      <w:hyperlink r:id="rId14" w:history="1">
        <w:r w:rsidRPr="007F4168">
          <w:rPr>
            <w:rStyle w:val="Hipervnculo"/>
            <w:lang w:val="en-US"/>
          </w:rPr>
          <w:t>https://www.eqar.eu/assets/uploads/2018/04/ESG_2015.pdf</w:t>
        </w:r>
      </w:hyperlink>
    </w:p>
    <w:p w14:paraId="33AE7963" w14:textId="77777777" w:rsidR="00262E35" w:rsidRPr="007F4168" w:rsidRDefault="00262E35" w:rsidP="00262E35">
      <w:pPr>
        <w:pStyle w:val="NormalWeb"/>
        <w:jc w:val="both"/>
      </w:pPr>
      <w:r w:rsidRPr="007F4168">
        <w:rPr>
          <w:lang w:val="en-US"/>
        </w:rPr>
        <w:t xml:space="preserve">Harvey, L., &amp; Green, D. (1993). Defining quality. </w:t>
      </w:r>
      <w:r w:rsidRPr="007F4168">
        <w:rPr>
          <w:rStyle w:val="nfasis"/>
          <w:rFonts w:eastAsiaTheme="majorEastAsia"/>
          <w:lang w:val="en-US"/>
        </w:rPr>
        <w:t>Assessment &amp; Evaluation in Higher Education, 18</w:t>
      </w:r>
      <w:r w:rsidRPr="007F4168">
        <w:rPr>
          <w:lang w:val="en-US"/>
        </w:rPr>
        <w:t xml:space="preserve">(1), 9–34. </w:t>
      </w:r>
      <w:hyperlink r:id="rId15" w:history="1">
        <w:r w:rsidRPr="007F4168">
          <w:rPr>
            <w:rStyle w:val="Hipervnculo"/>
          </w:rPr>
          <w:t>https://eclass.upatras.gr/modules/document/file.php/PN1589/Defining%20Quality%20Harvey%20and%20Green%20copy.pdf</w:t>
        </w:r>
      </w:hyperlink>
    </w:p>
    <w:p w14:paraId="4773A494" w14:textId="77777777" w:rsidR="00262E35" w:rsidRPr="007F4168" w:rsidRDefault="00262E35" w:rsidP="00262E35">
      <w:pPr>
        <w:pStyle w:val="NormalWeb"/>
        <w:jc w:val="both"/>
        <w:rPr>
          <w:lang w:val="en-US"/>
        </w:rPr>
      </w:pPr>
      <w:r w:rsidRPr="007F4168">
        <w:rPr>
          <w:lang w:val="en-US"/>
        </w:rPr>
        <w:t xml:space="preserve">Harvey, L., &amp; Williams, J. (2010). Fifteen years of quality in higher education (Part Two). </w:t>
      </w:r>
      <w:r w:rsidRPr="007F4168">
        <w:rPr>
          <w:rStyle w:val="nfasis"/>
          <w:rFonts w:eastAsiaTheme="majorEastAsia"/>
          <w:lang w:val="en-US"/>
        </w:rPr>
        <w:t>Quality in Higher Education, 16</w:t>
      </w:r>
      <w:r w:rsidRPr="007F4168">
        <w:rPr>
          <w:lang w:val="en-US"/>
        </w:rPr>
        <w:t xml:space="preserve">(2), 81–113. </w:t>
      </w:r>
      <w:hyperlink r:id="rId16" w:history="1">
        <w:r w:rsidRPr="007F4168">
          <w:rPr>
            <w:rStyle w:val="Hipervnculo"/>
            <w:lang w:val="en-US"/>
          </w:rPr>
          <w:t>https://www.qualityresearchinternational.com/Harvey%20papers/Harvey%20and%20Williams%2015%20Years%20Pt2.pdf</w:t>
        </w:r>
      </w:hyperlink>
    </w:p>
    <w:p w14:paraId="3A7DA4E5" w14:textId="77777777" w:rsidR="00262E35" w:rsidRDefault="00262E35" w:rsidP="00262E35">
      <w:pPr>
        <w:pStyle w:val="NormalWeb"/>
        <w:jc w:val="both"/>
        <w:rPr>
          <w:rStyle w:val="Hipervnculo"/>
          <w:lang w:val="en-US"/>
        </w:rPr>
      </w:pPr>
      <w:r w:rsidRPr="007F4168">
        <w:rPr>
          <w:lang w:val="en-US"/>
        </w:rPr>
        <w:t xml:space="preserve">International Network for Quality Assurance Agencies in Higher Education. (2022). </w:t>
      </w:r>
      <w:r w:rsidRPr="007F4168">
        <w:rPr>
          <w:rStyle w:val="nfasis"/>
          <w:rFonts w:eastAsiaTheme="majorEastAsia"/>
          <w:lang w:val="en-US"/>
        </w:rPr>
        <w:t>Guidelines of good practice</w:t>
      </w:r>
      <w:r w:rsidRPr="007F4168">
        <w:rPr>
          <w:lang w:val="en-US"/>
        </w:rPr>
        <w:t xml:space="preserve">. </w:t>
      </w:r>
      <w:hyperlink r:id="rId17" w:history="1">
        <w:r w:rsidRPr="007F4168">
          <w:rPr>
            <w:rStyle w:val="Hipervnculo"/>
            <w:lang w:val="en-US"/>
          </w:rPr>
          <w:t>https://www.inqaahe.org/wp-content/uploads/2024/05/INQAAHE-International-Standards-and-Guidelines-ISG.pdf</w:t>
        </w:r>
      </w:hyperlink>
    </w:p>
    <w:p w14:paraId="012BCAF3" w14:textId="77777777" w:rsidR="00262E35" w:rsidRPr="00303026" w:rsidRDefault="00262E35" w:rsidP="00262E35">
      <w:pPr>
        <w:pStyle w:val="NormalWeb"/>
        <w:jc w:val="both"/>
        <w:rPr>
          <w:rStyle w:val="Hipervnculo"/>
        </w:rPr>
      </w:pPr>
      <w:r w:rsidRPr="007F4168">
        <w:t xml:space="preserve">Instituto Internacional para la Educación Superior en América Latina y el Caribe. (2022). </w:t>
      </w:r>
      <w:r w:rsidRPr="007F4168">
        <w:rPr>
          <w:rStyle w:val="nfasis"/>
          <w:rFonts w:eastAsiaTheme="majorEastAsia"/>
        </w:rPr>
        <w:t>Pensar más allá de los límites: Perspectivas sobre los futuros de la educación superior hasta 2050</w:t>
      </w:r>
      <w:r w:rsidRPr="007F4168">
        <w:t xml:space="preserve">. </w:t>
      </w:r>
      <w:r w:rsidRPr="00303026">
        <w:t xml:space="preserve">UNESCO-IESALC. </w:t>
      </w:r>
      <w:hyperlink r:id="rId18" w:history="1">
        <w:r w:rsidRPr="00303026">
          <w:rPr>
            <w:rStyle w:val="Hipervnculo"/>
          </w:rPr>
          <w:t>https://unesdoc.unesco.org/ark:/48223/pf0000377529</w:t>
        </w:r>
      </w:hyperlink>
    </w:p>
    <w:p w14:paraId="08157305" w14:textId="77777777" w:rsidR="00262E35" w:rsidRPr="00303026" w:rsidRDefault="00262E35" w:rsidP="00262E35">
      <w:pPr>
        <w:pStyle w:val="NormalWeb"/>
        <w:jc w:val="both"/>
      </w:pPr>
      <w:r>
        <w:t xml:space="preserve">Instituto Internacional para la Educación Superior en América Latina y el Caribe. (2024). </w:t>
      </w:r>
      <w:r>
        <w:rPr>
          <w:rStyle w:val="nfasis"/>
          <w:rFonts w:eastAsiaTheme="majorEastAsia"/>
        </w:rPr>
        <w:t>Calidad de la educación superior en América Latina y el Caribe: antecedentes, situación actual y perspectivas</w:t>
      </w:r>
      <w:r>
        <w:t>. UNESCO-IESALC.</w:t>
      </w:r>
    </w:p>
    <w:p w14:paraId="39EA36C6" w14:textId="77777777" w:rsidR="00262E35" w:rsidRPr="007F4168" w:rsidRDefault="00262E35" w:rsidP="00262E35">
      <w:pPr>
        <w:pStyle w:val="NormalWeb"/>
        <w:jc w:val="both"/>
        <w:rPr>
          <w:lang w:val="en-US"/>
        </w:rPr>
      </w:pPr>
      <w:proofErr w:type="spellStart"/>
      <w:r w:rsidRPr="00303026">
        <w:t>Leiber</w:t>
      </w:r>
      <w:proofErr w:type="spellEnd"/>
      <w:r w:rsidRPr="00303026">
        <w:t xml:space="preserve">, T., </w:t>
      </w:r>
      <w:proofErr w:type="spellStart"/>
      <w:r w:rsidRPr="00303026">
        <w:t>Stensaker</w:t>
      </w:r>
      <w:proofErr w:type="spellEnd"/>
      <w:r w:rsidRPr="00303026">
        <w:t xml:space="preserve">, B., &amp; Harvey, L. (2015). </w:t>
      </w:r>
      <w:r w:rsidRPr="007F4168">
        <w:t xml:space="preserve">Evaluación del impacto de la garantía de calidad en la educación superior: metodología y diseños causales. </w:t>
      </w:r>
      <w:r w:rsidRPr="007F4168">
        <w:rPr>
          <w:rStyle w:val="nfasis"/>
          <w:rFonts w:eastAsiaTheme="majorEastAsia"/>
          <w:lang w:val="en-US"/>
        </w:rPr>
        <w:t>Quality in Higher Education, 21</w:t>
      </w:r>
      <w:r w:rsidRPr="007F4168">
        <w:rPr>
          <w:lang w:val="en-US"/>
        </w:rPr>
        <w:t xml:space="preserve">(3), 288–311. </w:t>
      </w:r>
      <w:hyperlink r:id="rId19" w:history="1">
        <w:r w:rsidRPr="007F4168">
          <w:rPr>
            <w:rStyle w:val="Hipervnculo"/>
            <w:lang w:val="en-US"/>
          </w:rPr>
          <w:t>https://www.researchgate.net/publication/290475190_Impact_evaluation_of_quality_assurance_in_higher_education_methodology_and_causal_designs</w:t>
        </w:r>
      </w:hyperlink>
    </w:p>
    <w:p w14:paraId="6944127F" w14:textId="77777777" w:rsidR="00262E35" w:rsidRPr="007F4168" w:rsidRDefault="00262E35" w:rsidP="00262E35">
      <w:pPr>
        <w:pStyle w:val="NormalWeb"/>
        <w:jc w:val="both"/>
        <w:rPr>
          <w:lang w:val="en-US"/>
        </w:rPr>
      </w:pPr>
      <w:r w:rsidRPr="007F4168">
        <w:rPr>
          <w:lang w:val="en-US"/>
        </w:rPr>
        <w:lastRenderedPageBreak/>
        <w:t xml:space="preserve">Martin, M., &amp; Stella, A. (2007). </w:t>
      </w:r>
      <w:r w:rsidRPr="007F4168">
        <w:rPr>
          <w:rStyle w:val="nfasis"/>
          <w:rFonts w:eastAsiaTheme="majorEastAsia"/>
          <w:lang w:val="en-US"/>
        </w:rPr>
        <w:t>External quality assurance in higher education: Making choices</w:t>
      </w:r>
      <w:r w:rsidRPr="007F4168">
        <w:rPr>
          <w:lang w:val="en-US"/>
        </w:rPr>
        <w:t xml:space="preserve">. UNESCO International Institute for Educational Planning. </w:t>
      </w:r>
      <w:hyperlink r:id="rId20" w:history="1">
        <w:r w:rsidRPr="007F4168">
          <w:rPr>
            <w:rStyle w:val="Hipervnculo"/>
            <w:lang w:val="en-US"/>
          </w:rPr>
          <w:t>https://unesdoc.unesco.org/ark:/48223/pf0000152045</w:t>
        </w:r>
      </w:hyperlink>
    </w:p>
    <w:p w14:paraId="73867C15" w14:textId="77777777" w:rsidR="00262E35" w:rsidRPr="007F4168" w:rsidRDefault="00262E35" w:rsidP="00262E35">
      <w:pPr>
        <w:pStyle w:val="NormalWeb"/>
        <w:jc w:val="both"/>
      </w:pPr>
      <w:r w:rsidRPr="007F4168">
        <w:t xml:space="preserve">Organización de las Naciones Unidas para la Educación, la Ciencia y la Cultura. (1998). </w:t>
      </w:r>
      <w:r w:rsidRPr="007F4168">
        <w:rPr>
          <w:rStyle w:val="nfasis"/>
          <w:rFonts w:eastAsiaTheme="majorEastAsia"/>
        </w:rPr>
        <w:t>Declaración mundial sobre la educación superior en el siglo XXI: Visión y acción</w:t>
      </w:r>
      <w:r w:rsidRPr="007F4168">
        <w:t xml:space="preserve">. </w:t>
      </w:r>
      <w:hyperlink r:id="rId21" w:history="1">
        <w:r w:rsidRPr="007F4168">
          <w:rPr>
            <w:rStyle w:val="Hipervnculo"/>
          </w:rPr>
          <w:t>https://unesdoc.unesco.org/ark:/48223/pf0000113878_spa</w:t>
        </w:r>
      </w:hyperlink>
    </w:p>
    <w:p w14:paraId="09532BB1" w14:textId="77777777" w:rsidR="00262E35" w:rsidRPr="007F4168" w:rsidRDefault="00262E35" w:rsidP="00262E35">
      <w:pPr>
        <w:pStyle w:val="NormalWeb"/>
        <w:jc w:val="both"/>
      </w:pPr>
      <w:r w:rsidRPr="007F4168">
        <w:t xml:space="preserve">Organización de las Naciones Unidas para la Educación, la Ciencia y la Cultura. (2021). </w:t>
      </w:r>
      <w:proofErr w:type="spellStart"/>
      <w:r w:rsidRPr="007F4168">
        <w:rPr>
          <w:rStyle w:val="nfasis"/>
          <w:rFonts w:eastAsiaTheme="majorEastAsia"/>
        </w:rPr>
        <w:t>Reimaginar</w:t>
      </w:r>
      <w:proofErr w:type="spellEnd"/>
      <w:r w:rsidRPr="007F4168">
        <w:rPr>
          <w:rStyle w:val="nfasis"/>
          <w:rFonts w:eastAsiaTheme="majorEastAsia"/>
        </w:rPr>
        <w:t xml:space="preserve"> juntos nuestros futuros: Un nuevo contrato social para la educación</w:t>
      </w:r>
      <w:r w:rsidRPr="007F4168">
        <w:t xml:space="preserve">. </w:t>
      </w:r>
      <w:hyperlink r:id="rId22" w:history="1">
        <w:r w:rsidRPr="007F4168">
          <w:rPr>
            <w:rStyle w:val="Hipervnculo"/>
          </w:rPr>
          <w:t>https://unesdoc.unesco.org/ark:/48223/pf0000379381_spa</w:t>
        </w:r>
      </w:hyperlink>
    </w:p>
    <w:p w14:paraId="56BFD4BB" w14:textId="77777777" w:rsidR="00262E35" w:rsidRPr="007F4168" w:rsidRDefault="00262E35" w:rsidP="00262E35">
      <w:pPr>
        <w:pStyle w:val="NormalWeb"/>
        <w:jc w:val="both"/>
      </w:pPr>
      <w:r w:rsidRPr="007F4168">
        <w:t xml:space="preserve">Poder Ejecutivo de la República del Paraguay. (2024). </w:t>
      </w:r>
      <w:r w:rsidRPr="007F4168">
        <w:rPr>
          <w:rStyle w:val="nfasis"/>
          <w:rFonts w:eastAsiaTheme="majorEastAsia"/>
        </w:rPr>
        <w:t>Decreto N.º 2940/2024, por el cual se designan miembros del Consejo Directivo de la Agencia Nacional de Evaluación y Acreditación de la Educación Superior</w:t>
      </w:r>
      <w:r w:rsidRPr="007F4168">
        <w:t xml:space="preserve">. </w:t>
      </w:r>
    </w:p>
    <w:p w14:paraId="1850E2F3" w14:textId="77777777" w:rsidR="00262E35" w:rsidRDefault="00262E35" w:rsidP="00262E35">
      <w:pPr>
        <w:pStyle w:val="NormalWeb"/>
        <w:jc w:val="both"/>
      </w:pPr>
      <w:r w:rsidRPr="007F4168">
        <w:t xml:space="preserve">Poder Ejecutivo de la República del Paraguay. (2025). </w:t>
      </w:r>
      <w:r w:rsidRPr="007F4168">
        <w:rPr>
          <w:rStyle w:val="nfasis"/>
          <w:rFonts w:eastAsiaTheme="majorEastAsia"/>
        </w:rPr>
        <w:t>Decreto N.º 3394/2025, por el cual se designan miembros del Consejo Directivo de la Agencia Nacional de Evaluación y Acreditación de la Educación Superior</w:t>
      </w:r>
      <w:r w:rsidRPr="007F4168">
        <w:t xml:space="preserve">. </w:t>
      </w:r>
    </w:p>
    <w:p w14:paraId="721F5605" w14:textId="77777777" w:rsidR="00262E35" w:rsidRPr="007F4168" w:rsidRDefault="00262E35" w:rsidP="00262E35">
      <w:pPr>
        <w:pStyle w:val="NormalWeb"/>
      </w:pPr>
      <w:r>
        <w:t xml:space="preserve">Ramos-Calderón, I. E., &amp; Hernández-Limón, O. (2024). </w:t>
      </w:r>
      <w:r>
        <w:rPr>
          <w:rStyle w:val="nfasis"/>
          <w:rFonts w:eastAsiaTheme="majorEastAsia"/>
        </w:rPr>
        <w:t>Los retos de las agencias de aseguramiento de la calidad de la educación superior</w:t>
      </w:r>
      <w:r>
        <w:t xml:space="preserve">. Revista Calidad en la Educación Superior, 15(1), 1–22. </w:t>
      </w:r>
      <w:hyperlink r:id="rId23" w:history="1">
        <w:r w:rsidRPr="00B87A5F">
          <w:rPr>
            <w:rStyle w:val="Hipervnculo"/>
            <w:rFonts w:eastAsiaTheme="majorEastAsia"/>
          </w:rPr>
          <w:t>https://revistas.uned.ac.cr/index.php/revistacalidad/article/view/5565</w:t>
        </w:r>
      </w:hyperlink>
    </w:p>
    <w:p w14:paraId="3734048A" w14:textId="77777777" w:rsidR="00262E35" w:rsidRPr="007F4168" w:rsidRDefault="00262E35" w:rsidP="00262E35">
      <w:pPr>
        <w:pStyle w:val="NormalWeb"/>
        <w:jc w:val="both"/>
      </w:pPr>
      <w:r w:rsidRPr="007F4168">
        <w:t xml:space="preserve">Red Iberoamericana para el Aseguramiento de la Calidad en la Educación Superior. (2019). </w:t>
      </w:r>
      <w:r w:rsidRPr="007F4168">
        <w:rPr>
          <w:rStyle w:val="nfasis"/>
          <w:rFonts w:eastAsiaTheme="majorEastAsia"/>
        </w:rPr>
        <w:t>Glosario internacional RIACES de evaluación de la calidad y acreditación</w:t>
      </w:r>
      <w:r w:rsidRPr="007F4168">
        <w:t xml:space="preserve">. </w:t>
      </w:r>
      <w:hyperlink r:id="rId24" w:history="1">
        <w:r w:rsidRPr="007F4168">
          <w:rPr>
            <w:rStyle w:val="Hipervnculo"/>
          </w:rPr>
          <w:t>https://traductoreslaplata.org/wp-content/uploads/2021/06/6-EVALUACION-DE-LA-CALIDAD-Espanol.pdf</w:t>
        </w:r>
      </w:hyperlink>
    </w:p>
    <w:p w14:paraId="619EEC63" w14:textId="77777777" w:rsidR="00262E35" w:rsidRPr="00303026" w:rsidRDefault="00262E35" w:rsidP="00262E35">
      <w:pPr>
        <w:pStyle w:val="NormalWeb"/>
        <w:jc w:val="both"/>
        <w:rPr>
          <w:lang w:val="en-US"/>
        </w:rPr>
      </w:pPr>
      <w:proofErr w:type="spellStart"/>
      <w:r w:rsidRPr="007F4168">
        <w:rPr>
          <w:lang w:val="en-US"/>
        </w:rPr>
        <w:t>Stensaker</w:t>
      </w:r>
      <w:proofErr w:type="spellEnd"/>
      <w:r w:rsidRPr="007F4168">
        <w:rPr>
          <w:lang w:val="en-US"/>
        </w:rPr>
        <w:t xml:space="preserve">, B. (2008). Outcomes of quality assurance: A discussion of knowledge, methodology and validity. </w:t>
      </w:r>
      <w:r w:rsidRPr="00303026">
        <w:rPr>
          <w:rStyle w:val="nfasis"/>
          <w:rFonts w:eastAsiaTheme="majorEastAsia"/>
          <w:lang w:val="en-US"/>
        </w:rPr>
        <w:t>Quality in Higher Education, 14</w:t>
      </w:r>
      <w:r w:rsidRPr="00303026">
        <w:rPr>
          <w:lang w:val="en-US"/>
        </w:rPr>
        <w:t xml:space="preserve">(1), 3–13. </w:t>
      </w:r>
    </w:p>
    <w:p w14:paraId="28DF6C08" w14:textId="77777777" w:rsidR="00262E35" w:rsidRPr="00303026" w:rsidRDefault="00172408" w:rsidP="00262E35">
      <w:pPr>
        <w:pStyle w:val="NormalWeb"/>
        <w:jc w:val="both"/>
        <w:rPr>
          <w:lang w:val="en-US"/>
        </w:rPr>
      </w:pPr>
      <w:hyperlink r:id="rId25" w:history="1">
        <w:r w:rsidR="00262E35" w:rsidRPr="00303026">
          <w:rPr>
            <w:rStyle w:val="Hipervnculo"/>
            <w:lang w:val="en-US"/>
          </w:rPr>
          <w:t>https://doi.org/10.1080/13538320802011532</w:t>
        </w:r>
      </w:hyperlink>
    </w:p>
    <w:p w14:paraId="1E402F1F" w14:textId="77777777" w:rsidR="00262E35" w:rsidRDefault="00262E35" w:rsidP="00262E35">
      <w:pPr>
        <w:pStyle w:val="NormalWeb"/>
        <w:jc w:val="both"/>
      </w:pPr>
      <w:proofErr w:type="spellStart"/>
      <w:r w:rsidRPr="00303026">
        <w:rPr>
          <w:lang w:val="en-US"/>
        </w:rPr>
        <w:t>Vilca</w:t>
      </w:r>
      <w:proofErr w:type="spellEnd"/>
      <w:r w:rsidRPr="00303026">
        <w:rPr>
          <w:lang w:val="en-US"/>
        </w:rPr>
        <w:t xml:space="preserve"> Arana, M., Flores Sotelo, W. S., Gutiérrez Aguilar, O. A., &amp; </w:t>
      </w:r>
      <w:proofErr w:type="spellStart"/>
      <w:r w:rsidRPr="00303026">
        <w:rPr>
          <w:lang w:val="en-US"/>
        </w:rPr>
        <w:t>Vilca</w:t>
      </w:r>
      <w:proofErr w:type="spellEnd"/>
      <w:r w:rsidRPr="00303026">
        <w:rPr>
          <w:lang w:val="en-US"/>
        </w:rPr>
        <w:t xml:space="preserve"> </w:t>
      </w:r>
      <w:proofErr w:type="spellStart"/>
      <w:r w:rsidRPr="00303026">
        <w:rPr>
          <w:lang w:val="en-US"/>
        </w:rPr>
        <w:t>Apaza</w:t>
      </w:r>
      <w:proofErr w:type="spellEnd"/>
      <w:r w:rsidRPr="00303026">
        <w:rPr>
          <w:lang w:val="en-US"/>
        </w:rPr>
        <w:t xml:space="preserve">, H. M. (2024). </w:t>
      </w:r>
      <w:r w:rsidRPr="00E82331">
        <w:rPr>
          <w:rStyle w:val="Textoennegrita"/>
          <w:rFonts w:eastAsiaTheme="majorEastAsia"/>
          <w:b w:val="0"/>
          <w:bCs w:val="0"/>
          <w:i/>
          <w:iCs/>
        </w:rPr>
        <w:t>Políticas de aseguramiento de la calidad de la educación superior: una revisión sistemática</w:t>
      </w:r>
      <w:r>
        <w:t xml:space="preserve">. </w:t>
      </w:r>
      <w:r w:rsidRPr="00E82331">
        <w:rPr>
          <w:rStyle w:val="nfasis"/>
          <w:rFonts w:eastAsiaTheme="majorEastAsia"/>
          <w:i w:val="0"/>
          <w:iCs w:val="0"/>
        </w:rPr>
        <w:t>Horizonte de la Ciencia, 14</w:t>
      </w:r>
      <w:r w:rsidRPr="00E82331">
        <w:rPr>
          <w:i/>
          <w:iCs/>
        </w:rPr>
        <w:t>(26), e2584.</w:t>
      </w:r>
      <w:r>
        <w:t xml:space="preserve"> </w:t>
      </w:r>
      <w:hyperlink r:id="rId26" w:history="1">
        <w:r w:rsidRPr="00B87A5F">
          <w:rPr>
            <w:rStyle w:val="Hipervnculo"/>
          </w:rPr>
          <w:t>https://doi.org/10.26490/uncp.horizonteciencia.2024.26.2584</w:t>
        </w:r>
      </w:hyperlink>
    </w:p>
    <w:p w14:paraId="1F5C854A" w14:textId="77777777" w:rsidR="00262E35" w:rsidRPr="007F4168" w:rsidRDefault="00262E35" w:rsidP="00262E35">
      <w:pPr>
        <w:pStyle w:val="NormalWeb"/>
        <w:jc w:val="both"/>
      </w:pPr>
    </w:p>
    <w:p w14:paraId="7E83515B" w14:textId="01F8CF49" w:rsidR="001923DC" w:rsidRPr="00BA642E" w:rsidRDefault="001923DC" w:rsidP="00262E35">
      <w:pPr>
        <w:spacing w:line="240" w:lineRule="auto"/>
        <w:rPr>
          <w:rFonts w:ascii="Times New Roman" w:hAnsi="Times New Roman" w:cs="Times New Roman"/>
          <w:lang w:val="pt-BR"/>
        </w:rPr>
      </w:pPr>
    </w:p>
    <w:sectPr w:rsidR="001923DC" w:rsidRPr="00BA642E" w:rsidSect="00701F64">
      <w:headerReference w:type="default" r:id="rId27"/>
      <w:footerReference w:type="default" r:id="rId2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2A28D" w14:textId="77777777" w:rsidR="00172408" w:rsidRPr="00BA642E" w:rsidRDefault="00172408" w:rsidP="00C802F5">
      <w:pPr>
        <w:spacing w:after="0" w:line="240" w:lineRule="auto"/>
      </w:pPr>
      <w:r w:rsidRPr="00BA642E">
        <w:separator/>
      </w:r>
    </w:p>
  </w:endnote>
  <w:endnote w:type="continuationSeparator" w:id="0">
    <w:p w14:paraId="4CF66F0B" w14:textId="77777777" w:rsidR="00172408" w:rsidRPr="00BA642E" w:rsidRDefault="0017240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2D0C5" w14:textId="77777777" w:rsidR="00172408" w:rsidRPr="00BA642E" w:rsidRDefault="00172408" w:rsidP="00C802F5">
      <w:pPr>
        <w:spacing w:after="0" w:line="240" w:lineRule="auto"/>
      </w:pPr>
      <w:r w:rsidRPr="00BA642E">
        <w:separator/>
      </w:r>
    </w:p>
  </w:footnote>
  <w:footnote w:type="continuationSeparator" w:id="0">
    <w:p w14:paraId="42CFB813" w14:textId="77777777" w:rsidR="00172408" w:rsidRPr="00BA642E" w:rsidRDefault="0017240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4CA"/>
    <w:multiLevelType w:val="hybridMultilevel"/>
    <w:tmpl w:val="7C1A9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7D7725"/>
    <w:multiLevelType w:val="multilevel"/>
    <w:tmpl w:val="2A02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01A3F"/>
    <w:multiLevelType w:val="multilevel"/>
    <w:tmpl w:val="2E5A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92CC5"/>
    <w:multiLevelType w:val="multilevel"/>
    <w:tmpl w:val="AD5C461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C19AD"/>
    <w:rsid w:val="00172408"/>
    <w:rsid w:val="001816D6"/>
    <w:rsid w:val="00185F5E"/>
    <w:rsid w:val="001923DC"/>
    <w:rsid w:val="002327C3"/>
    <w:rsid w:val="00262E35"/>
    <w:rsid w:val="00303026"/>
    <w:rsid w:val="00312392"/>
    <w:rsid w:val="004040C0"/>
    <w:rsid w:val="00437E9C"/>
    <w:rsid w:val="00550766"/>
    <w:rsid w:val="00584825"/>
    <w:rsid w:val="005F3B2E"/>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262E35"/>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isselectedend">
    <w:name w:val="isselectedend"/>
    <w:basedOn w:val="Normal"/>
    <w:rsid w:val="00262E35"/>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character" w:styleId="nfasis">
    <w:name w:val="Emphasis"/>
    <w:basedOn w:val="Fuentedeprrafopredeter"/>
    <w:uiPriority w:val="20"/>
    <w:qFormat/>
    <w:rsid w:val="00262E35"/>
    <w:rPr>
      <w:i/>
      <w:iCs/>
    </w:rPr>
  </w:style>
  <w:style w:type="character" w:styleId="Textoennegrita">
    <w:name w:val="Strong"/>
    <w:basedOn w:val="Fuentedeprrafopredeter"/>
    <w:uiPriority w:val="22"/>
    <w:qFormat/>
    <w:rsid w:val="00262E35"/>
    <w:rPr>
      <w:b/>
      <w:bCs/>
    </w:rPr>
  </w:style>
  <w:style w:type="paragraph" w:customStyle="1" w:styleId="pdq2pgselectionanchorcontainer">
    <w:name w:val="pdq2pg_selectionanchorcontainer"/>
    <w:basedOn w:val="Normal"/>
    <w:rsid w:val="00262E35"/>
    <w:pPr>
      <w:spacing w:before="100" w:beforeAutospacing="1" w:after="100" w:afterAutospacing="1" w:line="240" w:lineRule="auto"/>
    </w:pPr>
    <w:rPr>
      <w:rFonts w:ascii="Times New Roman" w:eastAsia="Times New Roman" w:hAnsi="Times New Roman" w:cs="Times New Roman"/>
      <w:kern w:val="0"/>
      <w:lang w:val="es-PY" w:eastAsia="es-PY"/>
      <w14:ligatures w14:val="none"/>
    </w:rPr>
  </w:style>
  <w:style w:type="character" w:customStyle="1" w:styleId="citation-129">
    <w:name w:val="citation-129"/>
    <w:basedOn w:val="Fuentedeprrafopredeter"/>
    <w:rsid w:val="00262E35"/>
  </w:style>
  <w:style w:type="character" w:customStyle="1" w:styleId="citation-128">
    <w:name w:val="citation-128"/>
    <w:basedOn w:val="Fuentedeprrafopredeter"/>
    <w:rsid w:val="00262E35"/>
  </w:style>
  <w:style w:type="character" w:customStyle="1" w:styleId="math-inline">
    <w:name w:val="math-inline"/>
    <w:basedOn w:val="Fuentedeprrafopredeter"/>
    <w:rsid w:val="00262E35"/>
  </w:style>
  <w:style w:type="character" w:customStyle="1" w:styleId="citation-127">
    <w:name w:val="citation-127"/>
    <w:basedOn w:val="Fuentedeprrafopredeter"/>
    <w:rsid w:val="00262E35"/>
  </w:style>
  <w:style w:type="character" w:customStyle="1" w:styleId="citation-126">
    <w:name w:val="citation-126"/>
    <w:basedOn w:val="Fuentedeprrafopredeter"/>
    <w:rsid w:val="00262E35"/>
  </w:style>
  <w:style w:type="character" w:customStyle="1" w:styleId="citation-125">
    <w:name w:val="citation-125"/>
    <w:basedOn w:val="Fuentedeprrafopredeter"/>
    <w:rsid w:val="00262E35"/>
  </w:style>
  <w:style w:type="character" w:customStyle="1" w:styleId="citation-124">
    <w:name w:val="citation-124"/>
    <w:basedOn w:val="Fuentedeprrafopredeter"/>
    <w:rsid w:val="00262E35"/>
  </w:style>
  <w:style w:type="character" w:customStyle="1" w:styleId="citation-123">
    <w:name w:val="citation-123"/>
    <w:basedOn w:val="Fuentedeprrafopredeter"/>
    <w:rsid w:val="00262E35"/>
  </w:style>
  <w:style w:type="character" w:customStyle="1" w:styleId="citation-122">
    <w:name w:val="citation-122"/>
    <w:basedOn w:val="Fuentedeprrafopredeter"/>
    <w:rsid w:val="00262E35"/>
  </w:style>
  <w:style w:type="character" w:customStyle="1" w:styleId="citation-121">
    <w:name w:val="citation-121"/>
    <w:basedOn w:val="Fuentedeprrafopredeter"/>
    <w:rsid w:val="00262E35"/>
  </w:style>
  <w:style w:type="character" w:customStyle="1" w:styleId="citation-120">
    <w:name w:val="citation-120"/>
    <w:basedOn w:val="Fuentedeprrafopredeter"/>
    <w:rsid w:val="00262E35"/>
  </w:style>
  <w:style w:type="character" w:customStyle="1" w:styleId="citation-119">
    <w:name w:val="citation-119"/>
    <w:basedOn w:val="Fuentedeprrafopredeter"/>
    <w:rsid w:val="00262E35"/>
  </w:style>
  <w:style w:type="character" w:customStyle="1" w:styleId="citation-118">
    <w:name w:val="citation-118"/>
    <w:basedOn w:val="Fuentedeprrafopredeter"/>
    <w:rsid w:val="00262E35"/>
  </w:style>
  <w:style w:type="character" w:customStyle="1" w:styleId="citation-113">
    <w:name w:val="citation-113"/>
    <w:basedOn w:val="Fuentedeprrafopredeter"/>
    <w:rsid w:val="00262E35"/>
  </w:style>
  <w:style w:type="character" w:customStyle="1" w:styleId="citation-112">
    <w:name w:val="citation-112"/>
    <w:basedOn w:val="Fuentedeprrafopredeter"/>
    <w:rsid w:val="00262E35"/>
  </w:style>
  <w:style w:type="character" w:customStyle="1" w:styleId="citation-111">
    <w:name w:val="citation-111"/>
    <w:basedOn w:val="Fuentedeprrafopredeter"/>
    <w:rsid w:val="00262E35"/>
  </w:style>
  <w:style w:type="character" w:customStyle="1" w:styleId="citation-110">
    <w:name w:val="citation-110"/>
    <w:basedOn w:val="Fuentedeprrafopredeter"/>
    <w:rsid w:val="00262E35"/>
  </w:style>
  <w:style w:type="character" w:customStyle="1" w:styleId="citation-109">
    <w:name w:val="citation-109"/>
    <w:basedOn w:val="Fuentedeprrafopredeter"/>
    <w:rsid w:val="00262E35"/>
  </w:style>
  <w:style w:type="character" w:customStyle="1" w:styleId="citation-108">
    <w:name w:val="citation-108"/>
    <w:basedOn w:val="Fuentedeprrafopredeter"/>
    <w:rsid w:val="00262E35"/>
  </w:style>
  <w:style w:type="character" w:customStyle="1" w:styleId="citation-107">
    <w:name w:val="citation-107"/>
    <w:basedOn w:val="Fuentedeprrafopredeter"/>
    <w:rsid w:val="00262E35"/>
  </w:style>
  <w:style w:type="character" w:customStyle="1" w:styleId="citation-105">
    <w:name w:val="citation-105"/>
    <w:basedOn w:val="Fuentedeprrafopredeter"/>
    <w:rsid w:val="00262E35"/>
  </w:style>
  <w:style w:type="character" w:customStyle="1" w:styleId="citation-104">
    <w:name w:val="citation-104"/>
    <w:basedOn w:val="Fuentedeprrafopredeter"/>
    <w:rsid w:val="00262E35"/>
  </w:style>
  <w:style w:type="character" w:customStyle="1" w:styleId="citation-103">
    <w:name w:val="citation-103"/>
    <w:basedOn w:val="Fuentedeprrafopredeter"/>
    <w:rsid w:val="00262E35"/>
  </w:style>
  <w:style w:type="character" w:customStyle="1" w:styleId="citation-102">
    <w:name w:val="citation-102"/>
    <w:basedOn w:val="Fuentedeprrafopredeter"/>
    <w:rsid w:val="00262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eaes.gov.py/modelo-nacional/" TargetMode="External"/><Relationship Id="rId13" Type="http://schemas.openxmlformats.org/officeDocument/2006/relationships/hyperlink" Target="https://www.aneaes.gov.py/wp-content/uploads/2023/12/Ley_de_la_ANEAES-2.pdf" TargetMode="External"/><Relationship Id="rId18" Type="http://schemas.openxmlformats.org/officeDocument/2006/relationships/hyperlink" Target="https://unesdoc.unesco.org/ark:/48223/pf0000377529" TargetMode="External"/><Relationship Id="rId26" Type="http://schemas.openxmlformats.org/officeDocument/2006/relationships/hyperlink" Target="https://doi.org/10.26490/uncp.horizonteciencia.2024.26.2584" TargetMode="External"/><Relationship Id="rId3" Type="http://schemas.openxmlformats.org/officeDocument/2006/relationships/styles" Target="styles.xml"/><Relationship Id="rId21" Type="http://schemas.openxmlformats.org/officeDocument/2006/relationships/hyperlink" Target="https://unesdoc.unesco.org/ark:/48223/pf0000113878_spa" TargetMode="External"/><Relationship Id="rId7" Type="http://schemas.openxmlformats.org/officeDocument/2006/relationships/endnotes" Target="endnotes.xml"/><Relationship Id="rId12" Type="http://schemas.openxmlformats.org/officeDocument/2006/relationships/hyperlink" Target="https://www.aneaes.gov.py/wp-content/uploads/2026/05/RESOLUCION-No-160-2026-Por-la-cual-se-aprueba-la-nomina-de-pares-evaluadores-2.pdf" TargetMode="External"/><Relationship Id="rId17" Type="http://schemas.openxmlformats.org/officeDocument/2006/relationships/hyperlink" Target="https://www.inqaahe.org/wp-content/uploads/2024/05/INQAAHE-International-Standards-and-Guidelines-ISG.pdf" TargetMode="External"/><Relationship Id="rId25" Type="http://schemas.openxmlformats.org/officeDocument/2006/relationships/hyperlink" Target="https://doi.org/10.1080/13538320802011532" TargetMode="External"/><Relationship Id="rId2" Type="http://schemas.openxmlformats.org/officeDocument/2006/relationships/numbering" Target="numbering.xml"/><Relationship Id="rId16" Type="http://schemas.openxmlformats.org/officeDocument/2006/relationships/hyperlink" Target="https://www.qualityresearchinternational.com/Harvey%20papers/Harvey%20and%20Williams%2015%20Years%20Pt2.pdf" TargetMode="External"/><Relationship Id="rId20" Type="http://schemas.openxmlformats.org/officeDocument/2006/relationships/hyperlink" Target="https://unesdoc.unesco.org/ark:/48223/pf000015204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eaes.gov.py/wp-content/uploads/2025/06/RESOLUCION-No-309-2025-Aprobacion_fases-1.pdf" TargetMode="External"/><Relationship Id="rId24" Type="http://schemas.openxmlformats.org/officeDocument/2006/relationships/hyperlink" Target="https://traductoreslaplata.org/wp-content/uploads/2021/06/6-EVALUACION-DE-LA-CALIDAD-Espanol.pdf" TargetMode="External"/><Relationship Id="rId5" Type="http://schemas.openxmlformats.org/officeDocument/2006/relationships/webSettings" Target="webSettings.xml"/><Relationship Id="rId15" Type="http://schemas.openxmlformats.org/officeDocument/2006/relationships/hyperlink" Target="https://eclass.upatras.gr/modules/document/file.php/PN1589/Defining%20Quality%20Harvey%20and%20Green%20copy.pdf" TargetMode="External"/><Relationship Id="rId23" Type="http://schemas.openxmlformats.org/officeDocument/2006/relationships/hyperlink" Target="https://revistas.uned.ac.cr/index.php/revistacalidad/article/view/5565" TargetMode="External"/><Relationship Id="rId28" Type="http://schemas.openxmlformats.org/officeDocument/2006/relationships/footer" Target="footer1.xml"/><Relationship Id="rId10" Type="http://schemas.openxmlformats.org/officeDocument/2006/relationships/hyperlink" Target="https://www.aneaes.gov.py/wp-content/uploads/2025/05/ResoluciA%C2%B3n-NAo-234_2025.pdf" TargetMode="External"/><Relationship Id="rId19" Type="http://schemas.openxmlformats.org/officeDocument/2006/relationships/hyperlink" Target="https://www.researchgate.net/publication/290475190_Impact_evaluation_of_quality_assurance_in_higher_education_methodology_and_causal_designs" TargetMode="External"/><Relationship Id="rId4" Type="http://schemas.openxmlformats.org/officeDocument/2006/relationships/settings" Target="settings.xml"/><Relationship Id="rId9" Type="http://schemas.openxmlformats.org/officeDocument/2006/relationships/hyperlink" Target="https://www.aneaes.gov.py/wp-content/uploads/2026/03/A.4-01-Res.-N%C2%B0-208-2025-Proceso-de-formacion-y-seleccion-Pares-evaluadores.pdf" TargetMode="External"/><Relationship Id="rId14" Type="http://schemas.openxmlformats.org/officeDocument/2006/relationships/hyperlink" Target="https://www.eqar.eu/assets/uploads/2018/04/ESG_2015.pdf" TargetMode="External"/><Relationship Id="rId22" Type="http://schemas.openxmlformats.org/officeDocument/2006/relationships/hyperlink" Target="https://unesdoc.unesco.org/ark:/48223/pf0000379381_spa"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7463A-1E9C-448B-AAF5-FECF67EE0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9237</Words>
  <Characters>50808</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Myriam Segovia</cp:lastModifiedBy>
  <cp:revision>2</cp:revision>
  <dcterms:created xsi:type="dcterms:W3CDTF">2026-06-30T19:58:00Z</dcterms:created>
  <dcterms:modified xsi:type="dcterms:W3CDTF">2026-06-30T19:58:00Z</dcterms:modified>
</cp:coreProperties>
</file>