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D007C" w14:textId="77777777" w:rsidR="008C0E2A" w:rsidRPr="008C0E2A" w:rsidRDefault="008C0E2A" w:rsidP="008C0E2A">
      <w:pPr>
        <w:spacing w:after="0" w:line="240" w:lineRule="auto"/>
        <w:ind w:right="-1"/>
        <w:jc w:val="center"/>
        <w:rPr>
          <w:rFonts w:ascii="Times New Roman" w:hAnsi="Times New Roman" w:cs="Times New Roman"/>
        </w:rPr>
      </w:pPr>
      <w:r w:rsidRPr="008C0E2A">
        <w:rPr>
          <w:rFonts w:ascii="Times New Roman" w:hAnsi="Times New Roman" w:cs="Times New Roman"/>
          <w:b/>
          <w:bCs/>
        </w:rPr>
        <w:t>Autonomía y regulación universitaria mirada desde los instrumentos de política. Los estándares de acreditación de carreras de grado (Art 43), primera generación, modelo de competencias y reconfiguración reciente (1995-2025)</w:t>
      </w:r>
    </w:p>
    <w:p w14:paraId="2F615339" w14:textId="6E7B2913" w:rsidR="008C0E2A" w:rsidRPr="008C0E2A" w:rsidRDefault="008C0E2A" w:rsidP="008C0E2A">
      <w:pPr>
        <w:spacing w:after="0" w:line="240" w:lineRule="auto"/>
        <w:ind w:right="-1"/>
        <w:jc w:val="right"/>
        <w:rPr>
          <w:rFonts w:ascii="Times New Roman" w:hAnsi="Times New Roman" w:cs="Times New Roman"/>
          <w:color w:val="222222"/>
          <w:shd w:val="clear" w:color="auto" w:fill="FFFFFF"/>
        </w:rPr>
      </w:pPr>
      <w:r w:rsidRPr="008C0E2A">
        <w:rPr>
          <w:rFonts w:ascii="Times New Roman" w:hAnsi="Times New Roman" w:cs="Times New Roman"/>
          <w:color w:val="222222"/>
          <w:shd w:val="clear" w:color="auto" w:fill="FFFFFF"/>
        </w:rPr>
        <w:t>Suasnábar</w:t>
      </w:r>
      <w:r>
        <w:rPr>
          <w:rFonts w:ascii="Times New Roman" w:hAnsi="Times New Roman" w:cs="Times New Roman"/>
          <w:color w:val="222222"/>
          <w:shd w:val="clear" w:color="auto" w:fill="FFFFFF"/>
        </w:rPr>
        <w:t xml:space="preserve">, </w:t>
      </w:r>
      <w:r w:rsidRPr="008C0E2A">
        <w:rPr>
          <w:rFonts w:ascii="Times New Roman" w:hAnsi="Times New Roman" w:cs="Times New Roman"/>
          <w:color w:val="222222"/>
          <w:shd w:val="clear" w:color="auto" w:fill="FFFFFF"/>
        </w:rPr>
        <w:t xml:space="preserve">Claudio </w:t>
      </w:r>
    </w:p>
    <w:p w14:paraId="43C2784B" w14:textId="77777777" w:rsidR="008C0E2A" w:rsidRPr="008C0E2A" w:rsidRDefault="008C0E2A" w:rsidP="008C0E2A">
      <w:pPr>
        <w:spacing w:after="0" w:line="240" w:lineRule="auto"/>
        <w:ind w:right="-1"/>
        <w:jc w:val="right"/>
        <w:rPr>
          <w:rFonts w:ascii="Times New Roman" w:hAnsi="Times New Roman" w:cs="Times New Roman"/>
          <w:bCs/>
        </w:rPr>
      </w:pPr>
      <w:r w:rsidRPr="008C0E2A">
        <w:rPr>
          <w:rFonts w:ascii="Times New Roman" w:hAnsi="Times New Roman" w:cs="Times New Roman"/>
          <w:bCs/>
        </w:rPr>
        <w:t>IdIHCS-CONICET / Universidad Nacional de La Plata</w:t>
      </w:r>
    </w:p>
    <w:p w14:paraId="307F0D01" w14:textId="58AEE8E2" w:rsidR="008C0E2A" w:rsidRPr="008C0E2A" w:rsidRDefault="008C0E2A" w:rsidP="008C0E2A">
      <w:pPr>
        <w:spacing w:after="0" w:line="240" w:lineRule="auto"/>
        <w:ind w:right="-1"/>
        <w:jc w:val="right"/>
        <w:rPr>
          <w:rFonts w:ascii="Times New Roman" w:hAnsi="Times New Roman" w:cs="Times New Roman"/>
          <w:bCs/>
        </w:rPr>
      </w:pPr>
      <w:proofErr w:type="spellStart"/>
      <w:r w:rsidRPr="008C0E2A">
        <w:rPr>
          <w:rFonts w:ascii="Times New Roman" w:hAnsi="Times New Roman" w:cs="Times New Roman"/>
          <w:bCs/>
        </w:rPr>
        <w:t>csuasnabar</w:t>
      </w:r>
      <w:proofErr w:type="spellEnd"/>
      <w:r w:rsidRPr="008C0E2A">
        <w:rPr>
          <w:rFonts w:ascii="Times New Roman" w:hAnsi="Times New Roman" w:cs="Times New Roman"/>
        </w:rPr>
        <w:t xml:space="preserve"> </w:t>
      </w:r>
      <w:r w:rsidRPr="008C0E2A">
        <w:rPr>
          <w:rFonts w:ascii="Times New Roman" w:hAnsi="Times New Roman" w:cs="Times New Roman"/>
          <w:bCs/>
        </w:rPr>
        <w:t>@gmail.com</w:t>
      </w:r>
    </w:p>
    <w:p w14:paraId="259DACA0" w14:textId="25A2A92C" w:rsidR="008C0E2A" w:rsidRPr="008C0E2A" w:rsidRDefault="008C0E2A" w:rsidP="008C0E2A">
      <w:pPr>
        <w:spacing w:after="0" w:line="240" w:lineRule="auto"/>
        <w:ind w:right="-1"/>
        <w:jc w:val="right"/>
        <w:rPr>
          <w:rFonts w:ascii="Times New Roman" w:hAnsi="Times New Roman" w:cs="Times New Roman"/>
          <w:bCs/>
        </w:rPr>
      </w:pPr>
      <w:proofErr w:type="spellStart"/>
      <w:r w:rsidRPr="008C0E2A">
        <w:rPr>
          <w:rFonts w:ascii="Times New Roman" w:hAnsi="Times New Roman" w:cs="Times New Roman"/>
          <w:bCs/>
        </w:rPr>
        <w:t>Nosiglia</w:t>
      </w:r>
      <w:proofErr w:type="spellEnd"/>
      <w:r>
        <w:rPr>
          <w:rFonts w:ascii="Times New Roman" w:hAnsi="Times New Roman" w:cs="Times New Roman"/>
          <w:bCs/>
        </w:rPr>
        <w:t xml:space="preserve">, </w:t>
      </w:r>
      <w:r w:rsidRPr="008C0E2A">
        <w:rPr>
          <w:rFonts w:ascii="Times New Roman" w:hAnsi="Times New Roman" w:cs="Times New Roman"/>
          <w:bCs/>
        </w:rPr>
        <w:t xml:space="preserve">Catalina </w:t>
      </w:r>
    </w:p>
    <w:p w14:paraId="02847AA2" w14:textId="29B87CEF" w:rsidR="008C0E2A" w:rsidRPr="008C0E2A" w:rsidRDefault="008C0E2A" w:rsidP="008C0E2A">
      <w:pPr>
        <w:spacing w:after="0" w:line="240" w:lineRule="auto"/>
        <w:ind w:right="-1"/>
        <w:jc w:val="right"/>
        <w:rPr>
          <w:rFonts w:ascii="Times New Roman" w:hAnsi="Times New Roman" w:cs="Times New Roman"/>
          <w:bCs/>
        </w:rPr>
      </w:pPr>
      <w:r w:rsidRPr="008C0E2A">
        <w:rPr>
          <w:rFonts w:ascii="Times New Roman" w:hAnsi="Times New Roman" w:cs="Times New Roman"/>
          <w:bCs/>
        </w:rPr>
        <w:t>IICE/Universidad de Buenos Aires</w:t>
      </w:r>
    </w:p>
    <w:p w14:paraId="6ACA80E0" w14:textId="65883CC3" w:rsidR="008C0E2A" w:rsidRPr="008C0E2A" w:rsidRDefault="008C0E2A" w:rsidP="008C0E2A">
      <w:pPr>
        <w:spacing w:after="0" w:line="240" w:lineRule="auto"/>
        <w:ind w:right="-1"/>
        <w:jc w:val="right"/>
        <w:rPr>
          <w:rFonts w:ascii="Times New Roman" w:hAnsi="Times New Roman" w:cs="Times New Roman"/>
        </w:rPr>
      </w:pPr>
      <w:r w:rsidRPr="008C0E2A">
        <w:rPr>
          <w:rFonts w:ascii="Times New Roman" w:hAnsi="Times New Roman" w:cs="Times New Roman"/>
        </w:rPr>
        <w:t>catinosiglia@gmail.com</w:t>
      </w:r>
    </w:p>
    <w:p w14:paraId="14A914B3" w14:textId="5C651B30" w:rsidR="008C0E2A" w:rsidRPr="008C0E2A" w:rsidRDefault="00BA642E" w:rsidP="008C0E2A">
      <w:pPr>
        <w:spacing w:line="240" w:lineRule="auto"/>
        <w:jc w:val="center"/>
        <w:rPr>
          <w:rFonts w:ascii="Times New Roman" w:hAnsi="Times New Roman" w:cs="Times New Roman"/>
          <w:b/>
          <w:bCs/>
        </w:rPr>
      </w:pPr>
      <w:r w:rsidRPr="008C0E2A">
        <w:rPr>
          <w:rFonts w:ascii="Times New Roman" w:hAnsi="Times New Roman" w:cs="Times New Roman"/>
          <w:b/>
          <w:bCs/>
        </w:rPr>
        <w:t>Resumen</w:t>
      </w:r>
    </w:p>
    <w:p w14:paraId="51A1E8FB" w14:textId="4537EF14" w:rsidR="008C0E2A" w:rsidRPr="008C0E2A" w:rsidRDefault="008C0E2A" w:rsidP="008C0E2A">
      <w:pPr>
        <w:spacing w:after="0" w:line="240" w:lineRule="auto"/>
        <w:ind w:right="-1"/>
        <w:jc w:val="both"/>
        <w:rPr>
          <w:rFonts w:ascii="Times New Roman" w:hAnsi="Times New Roman" w:cs="Times New Roman"/>
        </w:rPr>
      </w:pPr>
      <w:r w:rsidRPr="008C0E2A">
        <w:rPr>
          <w:rFonts w:ascii="Times New Roman" w:hAnsi="Times New Roman" w:cs="Times New Roman"/>
        </w:rPr>
        <w:t>Desde el retorno a la democracia y con más fuerza desde las reformas de la Educación Superior de la década de 1990, la discusión sobre el gobierno del sistema giró alrededor de la tensión entre autonomía y regulación estatal, la cual permitió conceptualizar distintos tipos de gobernanza universitaria a partir una caracterización más bien macro política del juego de fuerzas entre las autoridades gubernamentales y las distintos actores universitarios y no universitarios. Esta analítica si bien ha permitido comprender mejor la relación entre las orientaciones de política de cada gobierno y la agenda específica para la ES, presenta más problemas para dar cuenta, por un lado, de la persistencia o continuidad de ciertas líneas de acción que atraviesan gestiones gubernamentales (</w:t>
      </w:r>
      <w:proofErr w:type="spellStart"/>
      <w:r w:rsidRPr="008C0E2A">
        <w:rPr>
          <w:rFonts w:ascii="Times New Roman" w:hAnsi="Times New Roman" w:cs="Times New Roman"/>
          <w:i/>
          <w:iCs/>
        </w:rPr>
        <w:t>path</w:t>
      </w:r>
      <w:proofErr w:type="spellEnd"/>
      <w:r w:rsidRPr="008C0E2A">
        <w:rPr>
          <w:rFonts w:ascii="Times New Roman" w:hAnsi="Times New Roman" w:cs="Times New Roman"/>
          <w:i/>
          <w:iCs/>
        </w:rPr>
        <w:t xml:space="preserve"> </w:t>
      </w:r>
      <w:proofErr w:type="spellStart"/>
      <w:r w:rsidRPr="008C0E2A">
        <w:rPr>
          <w:rFonts w:ascii="Times New Roman" w:hAnsi="Times New Roman" w:cs="Times New Roman"/>
          <w:i/>
          <w:iCs/>
        </w:rPr>
        <w:t>dependence</w:t>
      </w:r>
      <w:proofErr w:type="spellEnd"/>
      <w:r w:rsidRPr="008C0E2A">
        <w:rPr>
          <w:rFonts w:ascii="Times New Roman" w:hAnsi="Times New Roman" w:cs="Times New Roman"/>
        </w:rPr>
        <w:t>), y por otro, de los contradictorios resultados que evidencian las políticas impulsadas que remiten a otro conjunto de causas de nivel meso (diseño e implementación de políticas) donde existen un grupo más reducido de estudios y a nivel micro que focaliza en los instrumentos de política, los cuales aún constituye un área de vacancia en el campo de las políticas de educación superior.</w:t>
      </w:r>
      <w:r>
        <w:rPr>
          <w:rFonts w:ascii="Times New Roman" w:hAnsi="Times New Roman" w:cs="Times New Roman"/>
        </w:rPr>
        <w:t xml:space="preserve"> </w:t>
      </w:r>
      <w:r w:rsidRPr="008C0E2A">
        <w:rPr>
          <w:rFonts w:ascii="Times New Roman" w:hAnsi="Times New Roman" w:cs="Times New Roman"/>
        </w:rPr>
        <w:t xml:space="preserve">Esta perspectiva centrada en los instrumentos de política y específicamente en el </w:t>
      </w:r>
      <w:proofErr w:type="spellStart"/>
      <w:r w:rsidRPr="008C0E2A">
        <w:rPr>
          <w:rFonts w:ascii="Times New Roman" w:hAnsi="Times New Roman" w:cs="Times New Roman"/>
        </w:rPr>
        <w:t>micro-diseño</w:t>
      </w:r>
      <w:proofErr w:type="spellEnd"/>
      <w:r w:rsidRPr="008C0E2A">
        <w:rPr>
          <w:rFonts w:ascii="Times New Roman" w:hAnsi="Times New Roman" w:cs="Times New Roman"/>
        </w:rPr>
        <w:t xml:space="preserve"> ha sido sistematizada por Capano y Howlett (2024) y reformulada Capano y </w:t>
      </w:r>
      <w:proofErr w:type="spellStart"/>
      <w:r w:rsidRPr="008C0E2A">
        <w:rPr>
          <w:rFonts w:ascii="Times New Roman" w:hAnsi="Times New Roman" w:cs="Times New Roman"/>
        </w:rPr>
        <w:t>Pritoni</w:t>
      </w:r>
      <w:proofErr w:type="spellEnd"/>
      <w:r w:rsidRPr="008C0E2A">
        <w:rPr>
          <w:rFonts w:ascii="Times New Roman" w:hAnsi="Times New Roman" w:cs="Times New Roman"/>
        </w:rPr>
        <w:t xml:space="preserve"> (2026) desarrollando un encuadre diferente que ubica a los instrumentos como “arquitecturas configurables” que explican más adecuadamente los resultados de las políticas en tanto interfaz operativa entre la racionalidad instrumental y la estrategia política. Asimismo, la dimensión temporal resulta clave para entender la propia transformación y reconfiguración de los instrumentos que siguiendo su conceptualización se expresa en las “especificaciones” y “calibraciones” que estructuran los objetivos que responde las preguntas operativas de “¿a quienes va dirigido esta intervención?” (población), “qué conducta se espera cambiar?” (resultados esperados) “¿cómo (funcionamiento)?”, y “¿en qué plazos?”.</w:t>
      </w:r>
    </w:p>
    <w:p w14:paraId="312C6999" w14:textId="780CCBCA" w:rsidR="008C0E2A" w:rsidRPr="008C0E2A" w:rsidRDefault="008C0E2A" w:rsidP="008C0E2A">
      <w:pPr>
        <w:spacing w:after="0" w:line="240" w:lineRule="auto"/>
        <w:ind w:right="-1"/>
        <w:jc w:val="both"/>
        <w:rPr>
          <w:rFonts w:ascii="Times New Roman" w:hAnsi="Times New Roman" w:cs="Times New Roman"/>
        </w:rPr>
      </w:pPr>
      <w:r w:rsidRPr="008C0E2A">
        <w:rPr>
          <w:rFonts w:ascii="Times New Roman" w:hAnsi="Times New Roman" w:cs="Times New Roman"/>
        </w:rPr>
        <w:t xml:space="preserve">Planteado de esta manera, la ponencia constituye una primera puesta en práctica de este instrumental conceptual explora la problemática de la regulación de los títulos que desde la sanción de la LES puso en centro las políticas de evaluación universitaria. En esta dirección, </w:t>
      </w:r>
      <w:r w:rsidR="00152752" w:rsidRPr="008C0E2A">
        <w:rPr>
          <w:rFonts w:ascii="Times New Roman" w:hAnsi="Times New Roman" w:cs="Times New Roman"/>
        </w:rPr>
        <w:t>la primera sección presenta una apretada síntesis de la perspectiva centrada en los instrumentos de política.</w:t>
      </w:r>
      <w:r w:rsidR="00937601">
        <w:rPr>
          <w:rFonts w:ascii="Times New Roman" w:hAnsi="Times New Roman" w:cs="Times New Roman"/>
        </w:rPr>
        <w:t xml:space="preserve"> </w:t>
      </w:r>
      <w:r w:rsidR="00C42970" w:rsidRPr="008C0E2A">
        <w:rPr>
          <w:rFonts w:ascii="Times New Roman" w:hAnsi="Times New Roman" w:cs="Times New Roman"/>
        </w:rPr>
        <w:t xml:space="preserve">La segunda sección se concentra en el derrotero seguido por un instrumento de política </w:t>
      </w:r>
      <w:r w:rsidR="00C42970">
        <w:rPr>
          <w:rFonts w:ascii="Times New Roman" w:hAnsi="Times New Roman" w:cs="Times New Roman"/>
        </w:rPr>
        <w:t xml:space="preserve">específico </w:t>
      </w:r>
      <w:r w:rsidR="00C42970" w:rsidRPr="008C0E2A">
        <w:rPr>
          <w:rFonts w:ascii="Times New Roman" w:hAnsi="Times New Roman" w:cs="Times New Roman"/>
        </w:rPr>
        <w:t>como es</w:t>
      </w:r>
      <w:r w:rsidR="00C42970">
        <w:rPr>
          <w:rFonts w:ascii="Times New Roman" w:hAnsi="Times New Roman" w:cs="Times New Roman"/>
        </w:rPr>
        <w:t xml:space="preserve"> la acreditación de carreras de grado </w:t>
      </w:r>
      <w:r w:rsidR="00C42970" w:rsidRPr="008C0E2A">
        <w:rPr>
          <w:rFonts w:ascii="Times New Roman" w:hAnsi="Times New Roman" w:cs="Times New Roman"/>
        </w:rPr>
        <w:t xml:space="preserve">durante el período 1995-2025. </w:t>
      </w:r>
      <w:r w:rsidR="00271806">
        <w:rPr>
          <w:rFonts w:ascii="Times New Roman" w:hAnsi="Times New Roman" w:cs="Times New Roman"/>
        </w:rPr>
        <w:t>L</w:t>
      </w:r>
      <w:r w:rsidR="008E17DA">
        <w:rPr>
          <w:rFonts w:ascii="Times New Roman" w:hAnsi="Times New Roman" w:cs="Times New Roman"/>
        </w:rPr>
        <w:t xml:space="preserve">as conclusiones </w:t>
      </w:r>
      <w:r w:rsidR="008E17DA" w:rsidRPr="008C0E2A">
        <w:rPr>
          <w:rFonts w:ascii="Times New Roman" w:hAnsi="Times New Roman" w:cs="Times New Roman"/>
        </w:rPr>
        <w:t>propone</w:t>
      </w:r>
      <w:r w:rsidR="00271806">
        <w:rPr>
          <w:rFonts w:ascii="Times New Roman" w:hAnsi="Times New Roman" w:cs="Times New Roman"/>
        </w:rPr>
        <w:t>n</w:t>
      </w:r>
      <w:r w:rsidR="008E17DA" w:rsidRPr="008C0E2A">
        <w:rPr>
          <w:rFonts w:ascii="Times New Roman" w:hAnsi="Times New Roman" w:cs="Times New Roman"/>
        </w:rPr>
        <w:t xml:space="preserve"> </w:t>
      </w:r>
      <w:r w:rsidR="008E17DA">
        <w:rPr>
          <w:rFonts w:ascii="Times New Roman" w:hAnsi="Times New Roman" w:cs="Times New Roman"/>
        </w:rPr>
        <w:t xml:space="preserve">a modo de hipótesis </w:t>
      </w:r>
      <w:r w:rsidR="008E17DA" w:rsidRPr="008C0E2A">
        <w:rPr>
          <w:rFonts w:ascii="Times New Roman" w:hAnsi="Times New Roman" w:cs="Times New Roman"/>
        </w:rPr>
        <w:t>una primera y tentativa periodización: emergencia o primera generación (1995-2010), modelo de competencias (2011-2021) y reconfiguración reciente (2022-2025).</w:t>
      </w:r>
    </w:p>
    <w:p w14:paraId="0FDBCF0D" w14:textId="063AF5A7" w:rsidR="008C0E2A" w:rsidRPr="008C0E2A" w:rsidRDefault="008C0E2A" w:rsidP="008C0E2A">
      <w:pPr>
        <w:spacing w:after="0" w:line="240" w:lineRule="auto"/>
        <w:ind w:right="-1"/>
        <w:jc w:val="both"/>
        <w:rPr>
          <w:rFonts w:ascii="Times New Roman" w:hAnsi="Times New Roman" w:cs="Times New Roman"/>
        </w:rPr>
      </w:pPr>
      <w:r w:rsidRPr="008C0E2A">
        <w:rPr>
          <w:rFonts w:ascii="Times New Roman" w:hAnsi="Times New Roman" w:cs="Times New Roman"/>
          <w:b/>
          <w:bCs/>
        </w:rPr>
        <w:t>Palabras claves:</w:t>
      </w:r>
      <w:r w:rsidRPr="008C0E2A">
        <w:rPr>
          <w:rFonts w:ascii="Times New Roman" w:hAnsi="Times New Roman" w:cs="Times New Roman"/>
        </w:rPr>
        <w:t xml:space="preserve"> Políticas de Educación Superior - Autonomía Universitaria – Gobernanza Universitaria – Acreditación de grado – Estándares </w:t>
      </w:r>
    </w:p>
    <w:p w14:paraId="68A64071" w14:textId="3D85A869" w:rsidR="008C0E2A" w:rsidRPr="008C0E2A" w:rsidRDefault="00BA642E" w:rsidP="00FE5A0D">
      <w:pPr>
        <w:spacing w:line="240" w:lineRule="auto"/>
        <w:rPr>
          <w:rFonts w:ascii="Times New Roman" w:hAnsi="Times New Roman" w:cs="Times New Roman"/>
          <w:b/>
          <w:bCs/>
        </w:rPr>
      </w:pPr>
      <w:r w:rsidRPr="007B5B5F">
        <w:rPr>
          <w:rFonts w:ascii="Times New Roman" w:hAnsi="Times New Roman" w:cs="Times New Roman"/>
          <w:b/>
          <w:bCs/>
        </w:rPr>
        <w:lastRenderedPageBreak/>
        <w:t>Introducción</w:t>
      </w:r>
    </w:p>
    <w:p w14:paraId="4D0326DC" w14:textId="77777777" w:rsidR="008C0E2A" w:rsidRPr="008C0E2A" w:rsidRDefault="008C0E2A" w:rsidP="00FE5A0D">
      <w:pPr>
        <w:ind w:right="-1"/>
        <w:jc w:val="both"/>
        <w:rPr>
          <w:rFonts w:ascii="Times New Roman" w:hAnsi="Times New Roman" w:cs="Times New Roman"/>
        </w:rPr>
      </w:pPr>
      <w:r w:rsidRPr="008C0E2A">
        <w:rPr>
          <w:rFonts w:ascii="Times New Roman" w:hAnsi="Times New Roman" w:cs="Times New Roman"/>
        </w:rPr>
        <w:t>Desde el retorno a la democracia y con más fuerza desde las reformas de la Educación Superior de la década de 1990, la discusión sobre el gobierno del sistema giró alrededor de la tensión entre autonomía y regulación estatal, la cual permitió conceptualizar distintos tipos de gobernanza universitaria a partir una caracterización más bien macro política del juego de fuerzas entre las autoridades gubernamentales y las distintos actores universitarios y no universitarios. Esta analítica si bien ha permitido comprender mejor la relación entre las orientaciones de política de cada gobierno y la agenda específica para la ES, presenta más problemas para dar cuenta, por un lado, de la persistencia o continuidad de ciertas líneas de acción que atraviesan gestiones gubernamentales (</w:t>
      </w:r>
      <w:proofErr w:type="spellStart"/>
      <w:r w:rsidRPr="008C0E2A">
        <w:rPr>
          <w:rFonts w:ascii="Times New Roman" w:hAnsi="Times New Roman" w:cs="Times New Roman"/>
          <w:i/>
          <w:iCs/>
        </w:rPr>
        <w:t>path</w:t>
      </w:r>
      <w:proofErr w:type="spellEnd"/>
      <w:r w:rsidRPr="008C0E2A">
        <w:rPr>
          <w:rFonts w:ascii="Times New Roman" w:hAnsi="Times New Roman" w:cs="Times New Roman"/>
          <w:i/>
          <w:iCs/>
        </w:rPr>
        <w:t xml:space="preserve"> </w:t>
      </w:r>
      <w:proofErr w:type="spellStart"/>
      <w:r w:rsidRPr="008C0E2A">
        <w:rPr>
          <w:rFonts w:ascii="Times New Roman" w:hAnsi="Times New Roman" w:cs="Times New Roman"/>
          <w:i/>
          <w:iCs/>
        </w:rPr>
        <w:t>dependence</w:t>
      </w:r>
      <w:proofErr w:type="spellEnd"/>
      <w:r w:rsidRPr="008C0E2A">
        <w:rPr>
          <w:rFonts w:ascii="Times New Roman" w:hAnsi="Times New Roman" w:cs="Times New Roman"/>
        </w:rPr>
        <w:t>), y por otro, de los contradictorios resultados que evidencian las políticas impulsadas que remiten a otro conjunto de causas de nivel meso (diseño e implementación de políticas) donde existen un grupo más reducido de estudios y a nivel micro que focaliza en los instrumentos de política, los cuales aún constituye un área de vacancia en el campo de las políticas de educación superior.</w:t>
      </w:r>
    </w:p>
    <w:p w14:paraId="0CF6B0C6" w14:textId="77777777" w:rsidR="008C0E2A" w:rsidRPr="008C0E2A" w:rsidRDefault="008C0E2A" w:rsidP="00FE5A0D">
      <w:pPr>
        <w:ind w:right="-1"/>
        <w:jc w:val="both"/>
        <w:rPr>
          <w:rFonts w:ascii="Times New Roman" w:hAnsi="Times New Roman" w:cs="Times New Roman"/>
        </w:rPr>
      </w:pPr>
      <w:r w:rsidRPr="008C0E2A">
        <w:rPr>
          <w:rFonts w:ascii="Times New Roman" w:hAnsi="Times New Roman" w:cs="Times New Roman"/>
        </w:rPr>
        <w:t xml:space="preserve">Esta perspectiva centrada en los instrumentos de política y específicamente en el </w:t>
      </w:r>
      <w:proofErr w:type="spellStart"/>
      <w:r w:rsidRPr="008C0E2A">
        <w:rPr>
          <w:rFonts w:ascii="Times New Roman" w:hAnsi="Times New Roman" w:cs="Times New Roman"/>
        </w:rPr>
        <w:t>micro-diseño</w:t>
      </w:r>
      <w:proofErr w:type="spellEnd"/>
      <w:r w:rsidRPr="008C0E2A">
        <w:rPr>
          <w:rFonts w:ascii="Times New Roman" w:hAnsi="Times New Roman" w:cs="Times New Roman"/>
        </w:rPr>
        <w:t xml:space="preserve"> ha sido sistematizada por Capano y Howlett (2024) y reformulada Capano y </w:t>
      </w:r>
      <w:proofErr w:type="spellStart"/>
      <w:r w:rsidRPr="008C0E2A">
        <w:rPr>
          <w:rFonts w:ascii="Times New Roman" w:hAnsi="Times New Roman" w:cs="Times New Roman"/>
        </w:rPr>
        <w:t>Pritoni</w:t>
      </w:r>
      <w:proofErr w:type="spellEnd"/>
      <w:r w:rsidRPr="008C0E2A">
        <w:rPr>
          <w:rFonts w:ascii="Times New Roman" w:hAnsi="Times New Roman" w:cs="Times New Roman"/>
        </w:rPr>
        <w:t xml:space="preserve"> (2026) desarrollando un encuadre diferente que ubica a los instrumentos como “arquitecturas configurables” que explican más adecuadamente los resultados de las políticas en tanto interfaz operativa entre la racionalidad instrumental y la estrategia política. Asimismo, la dimensión temporal resulta clave para entender la propia transformación y reconfiguración de los instrumentos que siguiendo su conceptualización se expresa en las “especificaciones” y “calibraciones” que estructuran los objetivos que responde las preguntas operativas de “¿a quienes va dirigido esta intervención?” (población), “qué conducta se espera cambiar?” (resultados esperados) “¿cómo (funcionamiento)?”, y “¿en qué plazos?”.</w:t>
      </w:r>
    </w:p>
    <w:p w14:paraId="77C2E171" w14:textId="3B29B5D4" w:rsidR="008C0E2A" w:rsidRPr="008C0E2A" w:rsidRDefault="008C0E2A" w:rsidP="00FE5A0D">
      <w:pPr>
        <w:ind w:right="-1"/>
        <w:jc w:val="both"/>
        <w:rPr>
          <w:rFonts w:ascii="Times New Roman" w:hAnsi="Times New Roman" w:cs="Times New Roman"/>
        </w:rPr>
      </w:pPr>
      <w:r w:rsidRPr="008C0E2A">
        <w:rPr>
          <w:rFonts w:ascii="Times New Roman" w:hAnsi="Times New Roman" w:cs="Times New Roman"/>
        </w:rPr>
        <w:t xml:space="preserve">Planteado de esta manera, la ponencia constituye una primera </w:t>
      </w:r>
      <w:r w:rsidR="00175003">
        <w:rPr>
          <w:rFonts w:ascii="Times New Roman" w:hAnsi="Times New Roman" w:cs="Times New Roman"/>
        </w:rPr>
        <w:t>aproximación</w:t>
      </w:r>
      <w:r w:rsidRPr="008C0E2A">
        <w:rPr>
          <w:rFonts w:ascii="Times New Roman" w:hAnsi="Times New Roman" w:cs="Times New Roman"/>
        </w:rPr>
        <w:t xml:space="preserve"> de este instrumental conceptual tomando como foco de análisis la problemática de la regulación de los títulos que</w:t>
      </w:r>
      <w:r w:rsidR="007511CC" w:rsidRPr="008C0E2A">
        <w:rPr>
          <w:rFonts w:ascii="Times New Roman" w:hAnsi="Times New Roman" w:cs="Times New Roman"/>
        </w:rPr>
        <w:t xml:space="preserve"> </w:t>
      </w:r>
      <w:r w:rsidRPr="008C0E2A">
        <w:rPr>
          <w:rFonts w:ascii="Times New Roman" w:hAnsi="Times New Roman" w:cs="Times New Roman"/>
        </w:rPr>
        <w:t xml:space="preserve">desde la sanción de la LES puso en centro las políticas de evaluación universitaria. En esta dirección, la primera sección del trabajo presenta una apretada síntesis de la perspectiva centrada en los instrumentos de política y los aportes principales de los trabajos de Capano y Howlett (2024) y Capano y </w:t>
      </w:r>
      <w:proofErr w:type="spellStart"/>
      <w:r w:rsidRPr="008C0E2A">
        <w:rPr>
          <w:rFonts w:ascii="Times New Roman" w:hAnsi="Times New Roman" w:cs="Times New Roman"/>
        </w:rPr>
        <w:t>Pritoni</w:t>
      </w:r>
      <w:proofErr w:type="spellEnd"/>
      <w:r w:rsidRPr="008C0E2A">
        <w:rPr>
          <w:rFonts w:ascii="Times New Roman" w:hAnsi="Times New Roman" w:cs="Times New Roman"/>
        </w:rPr>
        <w:t xml:space="preserve"> (2026). La segunda sección se concentra en el derrotero seguido por un instrumento de política </w:t>
      </w:r>
      <w:r w:rsidR="007E5135">
        <w:rPr>
          <w:rFonts w:ascii="Times New Roman" w:hAnsi="Times New Roman" w:cs="Times New Roman"/>
        </w:rPr>
        <w:t xml:space="preserve">específico </w:t>
      </w:r>
      <w:r w:rsidRPr="008C0E2A">
        <w:rPr>
          <w:rFonts w:ascii="Times New Roman" w:hAnsi="Times New Roman" w:cs="Times New Roman"/>
        </w:rPr>
        <w:t>como es</w:t>
      </w:r>
      <w:r w:rsidR="00FE59E8">
        <w:rPr>
          <w:rFonts w:ascii="Times New Roman" w:hAnsi="Times New Roman" w:cs="Times New Roman"/>
        </w:rPr>
        <w:t xml:space="preserve"> la acreditación de carreras de grado </w:t>
      </w:r>
      <w:r w:rsidR="00FE59E8" w:rsidRPr="008C0E2A">
        <w:rPr>
          <w:rFonts w:ascii="Times New Roman" w:hAnsi="Times New Roman" w:cs="Times New Roman"/>
        </w:rPr>
        <w:t xml:space="preserve">(Art 43 de la </w:t>
      </w:r>
      <w:r w:rsidR="0014368C" w:rsidRPr="008C0E2A">
        <w:rPr>
          <w:rFonts w:ascii="Times New Roman" w:hAnsi="Times New Roman" w:cs="Times New Roman"/>
        </w:rPr>
        <w:t>LES) durante</w:t>
      </w:r>
      <w:r w:rsidRPr="008C0E2A">
        <w:rPr>
          <w:rFonts w:ascii="Times New Roman" w:hAnsi="Times New Roman" w:cs="Times New Roman"/>
        </w:rPr>
        <w:t xml:space="preserve"> el período 1995-2025. </w:t>
      </w:r>
      <w:r w:rsidR="004D53B0">
        <w:rPr>
          <w:rFonts w:ascii="Times New Roman" w:hAnsi="Times New Roman" w:cs="Times New Roman"/>
        </w:rPr>
        <w:t xml:space="preserve">Por último, en las conclusiones se </w:t>
      </w:r>
      <w:r w:rsidRPr="008C0E2A">
        <w:rPr>
          <w:rFonts w:ascii="Times New Roman" w:hAnsi="Times New Roman" w:cs="Times New Roman"/>
        </w:rPr>
        <w:t xml:space="preserve">propone </w:t>
      </w:r>
      <w:r w:rsidR="004D53B0">
        <w:rPr>
          <w:rFonts w:ascii="Times New Roman" w:hAnsi="Times New Roman" w:cs="Times New Roman"/>
        </w:rPr>
        <w:t xml:space="preserve">a modo de hipótesis </w:t>
      </w:r>
      <w:r w:rsidRPr="008C0E2A">
        <w:rPr>
          <w:rFonts w:ascii="Times New Roman" w:hAnsi="Times New Roman" w:cs="Times New Roman"/>
        </w:rPr>
        <w:t>una primera y tentativa periodización de la problemática de regulación de los títulos donde es factible identificar tres momentos: emergencia o primera generación (1995-2010), modelo de competencias (2011-2021) y reconfiguración reciente (2022-2025).</w:t>
      </w:r>
    </w:p>
    <w:p w14:paraId="2FD138AD" w14:textId="5FE88F00" w:rsidR="005F3B2E" w:rsidRPr="008C0E2A" w:rsidRDefault="005F3B2E" w:rsidP="008C0E2A">
      <w:pPr>
        <w:ind w:right="850"/>
        <w:jc w:val="both"/>
        <w:rPr>
          <w:rFonts w:ascii="Arial" w:hAnsi="Arial" w:cs="Arial"/>
          <w:sz w:val="22"/>
          <w:szCs w:val="22"/>
        </w:rPr>
      </w:pPr>
      <w:r w:rsidRPr="007B5B5F">
        <w:rPr>
          <w:rFonts w:ascii="Times New Roman" w:hAnsi="Times New Roman" w:cs="Times New Roman"/>
          <w:b/>
          <w:bCs/>
        </w:rPr>
        <w:lastRenderedPageBreak/>
        <w:t>Desarrollo</w:t>
      </w:r>
    </w:p>
    <w:p w14:paraId="438FE4DC" w14:textId="77777777" w:rsidR="00FE5A0D" w:rsidRPr="00FE5A0D" w:rsidRDefault="00FE5A0D" w:rsidP="00FE5A0D">
      <w:pPr>
        <w:ind w:right="-1"/>
        <w:jc w:val="both"/>
        <w:rPr>
          <w:rFonts w:ascii="Times New Roman" w:hAnsi="Times New Roman" w:cs="Times New Roman"/>
          <w:b/>
          <w:bCs/>
        </w:rPr>
      </w:pPr>
      <w:r w:rsidRPr="00FE5A0D">
        <w:rPr>
          <w:rFonts w:ascii="Times New Roman" w:hAnsi="Times New Roman" w:cs="Times New Roman"/>
          <w:b/>
          <w:bCs/>
        </w:rPr>
        <w:t>De lo macro a lo micro y de los “paradigmas de política” a los instrumentos de política</w:t>
      </w:r>
    </w:p>
    <w:p w14:paraId="024B9761" w14:textId="7048DDFC" w:rsidR="00FE5A0D" w:rsidRPr="00FE5A0D" w:rsidRDefault="000119D3" w:rsidP="00FE5A0D">
      <w:pPr>
        <w:ind w:right="-1"/>
        <w:jc w:val="both"/>
        <w:rPr>
          <w:rFonts w:ascii="Times New Roman" w:hAnsi="Times New Roman" w:cs="Times New Roman"/>
        </w:rPr>
      </w:pPr>
      <w:r>
        <w:rPr>
          <w:rFonts w:ascii="Times New Roman" w:hAnsi="Times New Roman" w:cs="Times New Roman"/>
        </w:rPr>
        <w:t>Esta</w:t>
      </w:r>
      <w:r w:rsidR="00FE5A0D" w:rsidRPr="00FE5A0D">
        <w:rPr>
          <w:rFonts w:ascii="Times New Roman" w:hAnsi="Times New Roman" w:cs="Times New Roman"/>
        </w:rPr>
        <w:t xml:space="preserve"> preocupación por los instrumentos de política se inscribe en los debates de la ciencia política de los años 80/90 sobre la autonomía del Estado y el cambio de política que tendrán como telón de fondo el ascenso de las corrientes neoliberales. Peter Hall (1993) sería uno de los primeros en señalar la importancia de las ideas en el proceso político a partir de un esquema analítico que contempla por una parte tres variables: objetivos (metas) que orientan la política, los instrumentos para alcanzar esas metas y los ajustes de los instrumentos. Y por otra, identifica tres niveles de cambio: el nivel micro (cambios de primer orden) donde el cambio refiere a una ajuste de los instrumentos que supone a su vez un “aprendizaje social” realizado por los funcionarios estatales, el nivel meso (cambios de segundo orden) supone la introducción de nuevos instrumentos que también expresan este aprendiza social intra estatal, y por último, el nivel macro (tercer orden de cambio) donde la transformación es más profunda porque conlleva un cambio simultáneo en los ajustes, instrumentos y objetivos, y a la vez, expresa la emergencia de corrientes opinión en la espera pública que presionan desde fuera del Estado.</w:t>
      </w:r>
    </w:p>
    <w:p w14:paraId="28FB1458" w14:textId="2967FF33" w:rsidR="00FE5A0D" w:rsidRPr="00FE5A0D" w:rsidRDefault="00FE5A0D" w:rsidP="00FE5A0D">
      <w:pPr>
        <w:ind w:right="-1"/>
        <w:jc w:val="both"/>
        <w:rPr>
          <w:rFonts w:ascii="Times New Roman" w:hAnsi="Times New Roman" w:cs="Times New Roman"/>
        </w:rPr>
      </w:pPr>
      <w:r w:rsidRPr="00FE5A0D">
        <w:rPr>
          <w:rFonts w:ascii="Times New Roman" w:hAnsi="Times New Roman" w:cs="Times New Roman"/>
        </w:rPr>
        <w:t xml:space="preserve">El concepto de “paradigma de política” </w:t>
      </w:r>
      <w:r w:rsidR="00940D33">
        <w:rPr>
          <w:rFonts w:ascii="Times New Roman" w:hAnsi="Times New Roman" w:cs="Times New Roman"/>
        </w:rPr>
        <w:t xml:space="preserve">acuñado por el mismo Hall </w:t>
      </w:r>
      <w:r w:rsidRPr="00FE5A0D">
        <w:rPr>
          <w:rFonts w:ascii="Times New Roman" w:hAnsi="Times New Roman" w:cs="Times New Roman"/>
        </w:rPr>
        <w:t xml:space="preserve">se volvería el marco interpretativo dominante para explicar esta transformación estructural tal como las reformas educativas y de educación superior en América Latina que en caso de esta última se </w:t>
      </w:r>
      <w:r w:rsidR="008021E9">
        <w:rPr>
          <w:rFonts w:ascii="Times New Roman" w:hAnsi="Times New Roman" w:cs="Times New Roman"/>
        </w:rPr>
        <w:t>manifestaría</w:t>
      </w:r>
      <w:r w:rsidRPr="00FE5A0D">
        <w:rPr>
          <w:rFonts w:ascii="Times New Roman" w:hAnsi="Times New Roman" w:cs="Times New Roman"/>
        </w:rPr>
        <w:t xml:space="preserve"> en un cambio de la gobernanza de la educación superior y en las relaciones entre el Estado y Universidad.</w:t>
      </w:r>
    </w:p>
    <w:p w14:paraId="43483EF9" w14:textId="445D64EE" w:rsidR="00FE5A0D" w:rsidRDefault="00FE5A0D" w:rsidP="00FE5A0D">
      <w:pPr>
        <w:ind w:right="-1"/>
        <w:jc w:val="both"/>
        <w:rPr>
          <w:rFonts w:ascii="Times New Roman" w:hAnsi="Times New Roman" w:cs="Times New Roman"/>
        </w:rPr>
      </w:pPr>
      <w:r w:rsidRPr="00FE5A0D">
        <w:rPr>
          <w:rFonts w:ascii="Times New Roman" w:hAnsi="Times New Roman" w:cs="Times New Roman"/>
        </w:rPr>
        <w:t xml:space="preserve">Reformulando la tipología de Hall, </w:t>
      </w:r>
      <w:proofErr w:type="spellStart"/>
      <w:r w:rsidRPr="00FE5A0D">
        <w:rPr>
          <w:rFonts w:ascii="Times New Roman" w:hAnsi="Times New Roman" w:cs="Times New Roman"/>
        </w:rPr>
        <w:t>Cashore</w:t>
      </w:r>
      <w:proofErr w:type="spellEnd"/>
      <w:r w:rsidRPr="00FE5A0D">
        <w:rPr>
          <w:rFonts w:ascii="Times New Roman" w:hAnsi="Times New Roman" w:cs="Times New Roman"/>
        </w:rPr>
        <w:t xml:space="preserve"> y Howlett (2007) </w:t>
      </w:r>
      <w:r w:rsidR="006E0732">
        <w:rPr>
          <w:rFonts w:ascii="Times New Roman" w:hAnsi="Times New Roman" w:cs="Times New Roman"/>
        </w:rPr>
        <w:t xml:space="preserve">desarrollan </w:t>
      </w:r>
      <w:r w:rsidR="003C2F9F">
        <w:rPr>
          <w:rFonts w:ascii="Times New Roman" w:hAnsi="Times New Roman" w:cs="Times New Roman"/>
        </w:rPr>
        <w:t>l</w:t>
      </w:r>
      <w:r w:rsidR="006E0732">
        <w:rPr>
          <w:rFonts w:ascii="Times New Roman" w:hAnsi="Times New Roman" w:cs="Times New Roman"/>
        </w:rPr>
        <w:t>a tri</w:t>
      </w:r>
      <w:r w:rsidR="003C2F9F">
        <w:rPr>
          <w:rFonts w:ascii="Times New Roman" w:hAnsi="Times New Roman" w:cs="Times New Roman"/>
        </w:rPr>
        <w:t xml:space="preserve">partición </w:t>
      </w:r>
      <w:proofErr w:type="spellStart"/>
      <w:r w:rsidR="003C2F9F">
        <w:rPr>
          <w:rFonts w:ascii="Times New Roman" w:hAnsi="Times New Roman" w:cs="Times New Roman"/>
        </w:rPr>
        <w:t>macro-meso-micro</w:t>
      </w:r>
      <w:proofErr w:type="spellEnd"/>
      <w:r w:rsidR="003C2F9F">
        <w:rPr>
          <w:rFonts w:ascii="Times New Roman" w:hAnsi="Times New Roman" w:cs="Times New Roman"/>
        </w:rPr>
        <w:t xml:space="preserve"> a partir de </w:t>
      </w:r>
      <w:r w:rsidRPr="00FE5A0D">
        <w:rPr>
          <w:rFonts w:ascii="Times New Roman" w:hAnsi="Times New Roman" w:cs="Times New Roman"/>
        </w:rPr>
        <w:t>dos dimensiones cruzadas: por un lado, los tres niveles de contenido de la política que se corresponden con los niveles m</w:t>
      </w:r>
      <w:r w:rsidR="003A4DB4">
        <w:rPr>
          <w:rFonts w:ascii="Times New Roman" w:hAnsi="Times New Roman" w:cs="Times New Roman"/>
        </w:rPr>
        <w:t>encionados</w:t>
      </w:r>
      <w:r w:rsidRPr="00FE5A0D">
        <w:rPr>
          <w:rFonts w:ascii="Times New Roman" w:hAnsi="Times New Roman" w:cs="Times New Roman"/>
        </w:rPr>
        <w:t>; y por otro, una distinción entre fines (</w:t>
      </w:r>
      <w:proofErr w:type="spellStart"/>
      <w:r w:rsidRPr="00FE5A0D">
        <w:rPr>
          <w:rFonts w:ascii="Times New Roman" w:hAnsi="Times New Roman" w:cs="Times New Roman"/>
        </w:rPr>
        <w:t>ends</w:t>
      </w:r>
      <w:proofErr w:type="spellEnd"/>
      <w:r w:rsidRPr="00FE5A0D">
        <w:rPr>
          <w:rFonts w:ascii="Times New Roman" w:hAnsi="Times New Roman" w:cs="Times New Roman"/>
        </w:rPr>
        <w:t>) y medios (</w:t>
      </w:r>
      <w:proofErr w:type="spellStart"/>
      <w:r w:rsidRPr="00FE5A0D">
        <w:rPr>
          <w:rFonts w:ascii="Times New Roman" w:hAnsi="Times New Roman" w:cs="Times New Roman"/>
        </w:rPr>
        <w:t>means</w:t>
      </w:r>
      <w:proofErr w:type="spellEnd"/>
      <w:r w:rsidRPr="00FE5A0D">
        <w:rPr>
          <w:rFonts w:ascii="Times New Roman" w:hAnsi="Times New Roman" w:cs="Times New Roman"/>
        </w:rPr>
        <w:t>). Esta última dimensión permite ampliar y complejizar la noción de instrumentos de política pensándolo como “arquitecturas” que articulan y combinan las distintas formas en que se operacionalizan los instrumentos en los distintos niveles siguiendo la distinción fines/medio.</w:t>
      </w:r>
    </w:p>
    <w:p w14:paraId="45A4C07B" w14:textId="29499823" w:rsidR="00FE5A0D" w:rsidRPr="00FE5A0D" w:rsidRDefault="000B49A2" w:rsidP="00FE5A0D">
      <w:pPr>
        <w:ind w:right="850"/>
        <w:jc w:val="both"/>
        <w:rPr>
          <w:rFonts w:ascii="Times New Roman" w:hAnsi="Times New Roman" w:cs="Times New Roman"/>
        </w:rPr>
      </w:pPr>
      <w:r>
        <w:rPr>
          <w:rFonts w:ascii="Times New Roman" w:hAnsi="Times New Roman" w:cs="Times New Roman"/>
        </w:rPr>
        <w:t xml:space="preserve">Cuadro </w:t>
      </w:r>
      <w:r w:rsidR="00FE5A0D" w:rsidRPr="00FE5A0D">
        <w:rPr>
          <w:rFonts w:ascii="Times New Roman" w:hAnsi="Times New Roman" w:cs="Times New Roman"/>
        </w:rPr>
        <w:t xml:space="preserve">1. Tipología modificada de </w:t>
      </w:r>
      <w:proofErr w:type="spellStart"/>
      <w:r w:rsidR="00FE5A0D" w:rsidRPr="00FE5A0D">
        <w:rPr>
          <w:rFonts w:ascii="Times New Roman" w:hAnsi="Times New Roman" w:cs="Times New Roman"/>
        </w:rPr>
        <w:t>Cashore</w:t>
      </w:r>
      <w:proofErr w:type="spellEnd"/>
      <w:r w:rsidR="00FE5A0D" w:rsidRPr="00FE5A0D">
        <w:rPr>
          <w:rFonts w:ascii="Times New Roman" w:hAnsi="Times New Roman" w:cs="Times New Roman"/>
        </w:rPr>
        <w:t xml:space="preserve"> y Howlett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8"/>
        <w:gridCol w:w="2551"/>
        <w:gridCol w:w="2693"/>
        <w:gridCol w:w="2552"/>
      </w:tblGrid>
      <w:tr w:rsidR="00FE5A0D" w:rsidRPr="00FE5A0D" w14:paraId="7E3B6F27" w14:textId="77777777" w:rsidTr="005361B6">
        <w:trPr>
          <w:trHeight w:val="323"/>
        </w:trPr>
        <w:tc>
          <w:tcPr>
            <w:tcW w:w="988" w:type="dxa"/>
            <w:shd w:val="clear" w:color="auto" w:fill="D0CECE" w:themeFill="background2" w:themeFillShade="E6"/>
            <w:tcMar>
              <w:top w:w="100" w:type="dxa"/>
              <w:left w:w="100" w:type="dxa"/>
              <w:bottom w:w="100" w:type="dxa"/>
              <w:right w:w="100" w:type="dxa"/>
            </w:tcMar>
          </w:tcPr>
          <w:p w14:paraId="5C790958" w14:textId="77777777" w:rsidR="00FE5A0D" w:rsidRPr="00633367" w:rsidRDefault="00FE5A0D" w:rsidP="00FE5A0D">
            <w:pPr>
              <w:spacing w:after="0" w:line="240" w:lineRule="auto"/>
              <w:rPr>
                <w:rFonts w:ascii="Times New Roman" w:hAnsi="Times New Roman" w:cs="Times New Roman"/>
                <w:sz w:val="22"/>
                <w:szCs w:val="22"/>
              </w:rPr>
            </w:pPr>
          </w:p>
        </w:tc>
        <w:tc>
          <w:tcPr>
            <w:tcW w:w="2551" w:type="dxa"/>
            <w:shd w:val="clear" w:color="auto" w:fill="D0CECE" w:themeFill="background2" w:themeFillShade="E6"/>
            <w:tcMar>
              <w:top w:w="100" w:type="dxa"/>
              <w:left w:w="100" w:type="dxa"/>
              <w:bottom w:w="100" w:type="dxa"/>
              <w:right w:w="100" w:type="dxa"/>
            </w:tcMar>
          </w:tcPr>
          <w:p w14:paraId="2A686CEE" w14:textId="77777777" w:rsidR="00FE5A0D" w:rsidRPr="00633367" w:rsidRDefault="00FE5A0D" w:rsidP="00FE5A0D">
            <w:pPr>
              <w:spacing w:after="0" w:line="240" w:lineRule="auto"/>
              <w:rPr>
                <w:rFonts w:ascii="Times New Roman" w:hAnsi="Times New Roman" w:cs="Times New Roman"/>
                <w:b/>
                <w:bCs/>
                <w:sz w:val="22"/>
                <w:szCs w:val="22"/>
              </w:rPr>
            </w:pPr>
          </w:p>
        </w:tc>
        <w:tc>
          <w:tcPr>
            <w:tcW w:w="2693" w:type="dxa"/>
            <w:shd w:val="clear" w:color="auto" w:fill="D0CECE" w:themeFill="background2" w:themeFillShade="E6"/>
            <w:tcMar>
              <w:top w:w="100" w:type="dxa"/>
              <w:left w:w="100" w:type="dxa"/>
              <w:bottom w:w="100" w:type="dxa"/>
              <w:right w:w="100" w:type="dxa"/>
            </w:tcMar>
          </w:tcPr>
          <w:p w14:paraId="0327B8E3" w14:textId="77777777" w:rsidR="00FE5A0D" w:rsidRPr="00633367" w:rsidRDefault="00FE5A0D" w:rsidP="00FE5A0D">
            <w:pPr>
              <w:spacing w:after="0" w:line="240" w:lineRule="auto"/>
              <w:jc w:val="center"/>
              <w:rPr>
                <w:rFonts w:ascii="Times New Roman" w:hAnsi="Times New Roman" w:cs="Times New Roman"/>
                <w:b/>
                <w:bCs/>
                <w:sz w:val="22"/>
                <w:szCs w:val="22"/>
              </w:rPr>
            </w:pPr>
            <w:r w:rsidRPr="00633367">
              <w:rPr>
                <w:rFonts w:ascii="Times New Roman" w:hAnsi="Times New Roman" w:cs="Times New Roman"/>
                <w:b/>
                <w:bCs/>
                <w:sz w:val="22"/>
                <w:szCs w:val="22"/>
              </w:rPr>
              <w:t>Contenido de la política</w:t>
            </w:r>
          </w:p>
        </w:tc>
        <w:tc>
          <w:tcPr>
            <w:tcW w:w="2552" w:type="dxa"/>
            <w:shd w:val="clear" w:color="auto" w:fill="D0CECE" w:themeFill="background2" w:themeFillShade="E6"/>
            <w:tcMar>
              <w:top w:w="100" w:type="dxa"/>
              <w:left w:w="100" w:type="dxa"/>
              <w:bottom w:w="100" w:type="dxa"/>
              <w:right w:w="100" w:type="dxa"/>
            </w:tcMar>
          </w:tcPr>
          <w:p w14:paraId="25EC8873" w14:textId="77777777" w:rsidR="00FE5A0D" w:rsidRPr="00633367" w:rsidRDefault="00FE5A0D" w:rsidP="00FE5A0D">
            <w:pPr>
              <w:spacing w:after="0" w:line="240" w:lineRule="auto"/>
              <w:rPr>
                <w:rFonts w:ascii="Times New Roman" w:hAnsi="Times New Roman" w:cs="Times New Roman"/>
                <w:b/>
                <w:bCs/>
                <w:sz w:val="22"/>
                <w:szCs w:val="22"/>
              </w:rPr>
            </w:pPr>
          </w:p>
        </w:tc>
      </w:tr>
      <w:tr w:rsidR="00FE5A0D" w:rsidRPr="00FE5A0D" w14:paraId="47DD1DB1" w14:textId="77777777" w:rsidTr="005361B6">
        <w:trPr>
          <w:trHeight w:val="348"/>
        </w:trPr>
        <w:tc>
          <w:tcPr>
            <w:tcW w:w="988" w:type="dxa"/>
            <w:tcMar>
              <w:top w:w="100" w:type="dxa"/>
              <w:left w:w="100" w:type="dxa"/>
              <w:bottom w:w="100" w:type="dxa"/>
              <w:right w:w="100" w:type="dxa"/>
            </w:tcMar>
          </w:tcPr>
          <w:p w14:paraId="49243808" w14:textId="77777777" w:rsidR="00FE5A0D" w:rsidRPr="00633367" w:rsidRDefault="00FE5A0D" w:rsidP="00633367">
            <w:pPr>
              <w:spacing w:after="0"/>
              <w:rPr>
                <w:rFonts w:ascii="Times New Roman" w:hAnsi="Times New Roman" w:cs="Times New Roman"/>
                <w:sz w:val="22"/>
                <w:szCs w:val="22"/>
              </w:rPr>
            </w:pPr>
          </w:p>
        </w:tc>
        <w:tc>
          <w:tcPr>
            <w:tcW w:w="2551" w:type="dxa"/>
            <w:shd w:val="clear" w:color="auto" w:fill="F2F2F2"/>
            <w:tcMar>
              <w:top w:w="100" w:type="dxa"/>
              <w:left w:w="100" w:type="dxa"/>
              <w:bottom w:w="100" w:type="dxa"/>
              <w:right w:w="100" w:type="dxa"/>
            </w:tcMar>
          </w:tcPr>
          <w:p w14:paraId="0D867755"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b/>
                <w:bCs/>
                <w:sz w:val="22"/>
                <w:szCs w:val="22"/>
              </w:rPr>
              <w:t>Metas (macro)</w:t>
            </w:r>
          </w:p>
        </w:tc>
        <w:tc>
          <w:tcPr>
            <w:tcW w:w="2693" w:type="dxa"/>
            <w:shd w:val="clear" w:color="auto" w:fill="F2F2F2"/>
            <w:tcMar>
              <w:top w:w="100" w:type="dxa"/>
              <w:left w:w="100" w:type="dxa"/>
              <w:bottom w:w="100" w:type="dxa"/>
              <w:right w:w="100" w:type="dxa"/>
            </w:tcMar>
          </w:tcPr>
          <w:p w14:paraId="7A9CA4FC"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b/>
                <w:bCs/>
                <w:sz w:val="22"/>
                <w:szCs w:val="22"/>
              </w:rPr>
              <w:t>Objetivos (meso)</w:t>
            </w:r>
          </w:p>
        </w:tc>
        <w:tc>
          <w:tcPr>
            <w:tcW w:w="2552" w:type="dxa"/>
            <w:shd w:val="clear" w:color="auto" w:fill="F2F2F2"/>
            <w:tcMar>
              <w:top w:w="100" w:type="dxa"/>
              <w:left w:w="100" w:type="dxa"/>
              <w:bottom w:w="100" w:type="dxa"/>
              <w:right w:w="100" w:type="dxa"/>
            </w:tcMar>
          </w:tcPr>
          <w:p w14:paraId="66723EB9"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b/>
                <w:bCs/>
                <w:sz w:val="22"/>
                <w:szCs w:val="22"/>
              </w:rPr>
              <w:t xml:space="preserve">Ajustes / </w:t>
            </w:r>
            <w:proofErr w:type="spellStart"/>
            <w:r w:rsidRPr="00633367">
              <w:rPr>
                <w:rFonts w:ascii="Times New Roman" w:hAnsi="Times New Roman" w:cs="Times New Roman"/>
                <w:b/>
                <w:bCs/>
                <w:sz w:val="22"/>
                <w:szCs w:val="22"/>
              </w:rPr>
              <w:t>Settings</w:t>
            </w:r>
            <w:proofErr w:type="spellEnd"/>
            <w:r w:rsidRPr="00633367">
              <w:rPr>
                <w:rFonts w:ascii="Times New Roman" w:hAnsi="Times New Roman" w:cs="Times New Roman"/>
                <w:b/>
                <w:bCs/>
                <w:sz w:val="22"/>
                <w:szCs w:val="22"/>
              </w:rPr>
              <w:t xml:space="preserve"> (micro)</w:t>
            </w:r>
          </w:p>
        </w:tc>
      </w:tr>
      <w:tr w:rsidR="00FE5A0D" w:rsidRPr="00FE5A0D" w14:paraId="5E5D2963" w14:textId="77777777" w:rsidTr="005361B6">
        <w:tc>
          <w:tcPr>
            <w:tcW w:w="988" w:type="dxa"/>
            <w:shd w:val="clear" w:color="auto" w:fill="F2F2F2"/>
            <w:tcMar>
              <w:top w:w="100" w:type="dxa"/>
              <w:left w:w="100" w:type="dxa"/>
              <w:bottom w:w="100" w:type="dxa"/>
              <w:right w:w="100" w:type="dxa"/>
            </w:tcMar>
          </w:tcPr>
          <w:p w14:paraId="08C8EB04"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b/>
                <w:bCs/>
                <w:sz w:val="22"/>
                <w:szCs w:val="22"/>
              </w:rPr>
              <w:lastRenderedPageBreak/>
              <w:t>Fines (</w:t>
            </w:r>
            <w:proofErr w:type="spellStart"/>
            <w:r w:rsidRPr="00633367">
              <w:rPr>
                <w:rFonts w:ascii="Times New Roman" w:hAnsi="Times New Roman" w:cs="Times New Roman"/>
                <w:b/>
                <w:bCs/>
                <w:sz w:val="22"/>
                <w:szCs w:val="22"/>
              </w:rPr>
              <w:t>ends</w:t>
            </w:r>
            <w:proofErr w:type="spellEnd"/>
            <w:r w:rsidRPr="00633367">
              <w:rPr>
                <w:rFonts w:ascii="Times New Roman" w:hAnsi="Times New Roman" w:cs="Times New Roman"/>
                <w:b/>
                <w:bCs/>
                <w:sz w:val="22"/>
                <w:szCs w:val="22"/>
              </w:rPr>
              <w:t>)</w:t>
            </w:r>
          </w:p>
        </w:tc>
        <w:tc>
          <w:tcPr>
            <w:tcW w:w="2551" w:type="dxa"/>
            <w:tcMar>
              <w:top w:w="100" w:type="dxa"/>
              <w:left w:w="100" w:type="dxa"/>
              <w:bottom w:w="100" w:type="dxa"/>
              <w:right w:w="100" w:type="dxa"/>
            </w:tcMar>
          </w:tcPr>
          <w:p w14:paraId="1EECB885"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sz w:val="22"/>
                <w:szCs w:val="22"/>
              </w:rPr>
              <w:t xml:space="preserve">¿Qué tipo de ideas gobiernan el desarrollo de la política? </w:t>
            </w:r>
          </w:p>
        </w:tc>
        <w:tc>
          <w:tcPr>
            <w:tcW w:w="2693" w:type="dxa"/>
            <w:tcMar>
              <w:top w:w="100" w:type="dxa"/>
              <w:left w:w="100" w:type="dxa"/>
              <w:bottom w:w="100" w:type="dxa"/>
              <w:right w:w="100" w:type="dxa"/>
            </w:tcMar>
          </w:tcPr>
          <w:p w14:paraId="7A6F8567"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sz w:val="22"/>
                <w:szCs w:val="22"/>
              </w:rPr>
              <w:t xml:space="preserve">¿Qué requisitos específicos se formalizan a partir de las metas?  </w:t>
            </w:r>
          </w:p>
        </w:tc>
        <w:tc>
          <w:tcPr>
            <w:tcW w:w="2552" w:type="dxa"/>
            <w:tcMar>
              <w:top w:w="100" w:type="dxa"/>
              <w:left w:w="100" w:type="dxa"/>
              <w:bottom w:w="100" w:type="dxa"/>
              <w:right w:w="100" w:type="dxa"/>
            </w:tcMar>
          </w:tcPr>
          <w:p w14:paraId="235DBE60"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sz w:val="22"/>
                <w:szCs w:val="22"/>
              </w:rPr>
              <w:t xml:space="preserve">¿Cuáles son los objetivos concretos sobre el terreno?  </w:t>
            </w:r>
          </w:p>
        </w:tc>
      </w:tr>
      <w:tr w:rsidR="00FE5A0D" w:rsidRPr="00FE5A0D" w14:paraId="6F0EC60B" w14:textId="77777777" w:rsidTr="005361B6">
        <w:tc>
          <w:tcPr>
            <w:tcW w:w="988" w:type="dxa"/>
            <w:shd w:val="clear" w:color="auto" w:fill="F2F2F2"/>
            <w:tcMar>
              <w:top w:w="100" w:type="dxa"/>
              <w:left w:w="100" w:type="dxa"/>
              <w:bottom w:w="100" w:type="dxa"/>
              <w:right w:w="100" w:type="dxa"/>
            </w:tcMar>
          </w:tcPr>
          <w:p w14:paraId="3709A3DE"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b/>
                <w:bCs/>
                <w:sz w:val="22"/>
                <w:szCs w:val="22"/>
              </w:rPr>
              <w:t>Medios (</w:t>
            </w:r>
            <w:proofErr w:type="spellStart"/>
            <w:r w:rsidRPr="00633367">
              <w:rPr>
                <w:rFonts w:ascii="Times New Roman" w:hAnsi="Times New Roman" w:cs="Times New Roman"/>
                <w:b/>
                <w:bCs/>
                <w:sz w:val="22"/>
                <w:szCs w:val="22"/>
              </w:rPr>
              <w:t>means</w:t>
            </w:r>
            <w:proofErr w:type="spellEnd"/>
            <w:r w:rsidRPr="00633367">
              <w:rPr>
                <w:rFonts w:ascii="Times New Roman" w:hAnsi="Times New Roman" w:cs="Times New Roman"/>
                <w:b/>
                <w:bCs/>
                <w:sz w:val="22"/>
                <w:szCs w:val="22"/>
              </w:rPr>
              <w:t>)</w:t>
            </w:r>
          </w:p>
        </w:tc>
        <w:tc>
          <w:tcPr>
            <w:tcW w:w="2551" w:type="dxa"/>
            <w:tcMar>
              <w:top w:w="100" w:type="dxa"/>
              <w:left w:w="100" w:type="dxa"/>
              <w:bottom w:w="100" w:type="dxa"/>
              <w:right w:w="100" w:type="dxa"/>
            </w:tcMar>
          </w:tcPr>
          <w:p w14:paraId="07E03A84"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sz w:val="22"/>
                <w:szCs w:val="22"/>
              </w:rPr>
              <w:t>¿Qué normas generales guían las preferencias de implementación?  (ej.: uso de instrumentos coercitivos vs. persuasión moral)</w:t>
            </w:r>
          </w:p>
        </w:tc>
        <w:tc>
          <w:tcPr>
            <w:tcW w:w="2693" w:type="dxa"/>
            <w:tcMar>
              <w:top w:w="100" w:type="dxa"/>
              <w:left w:w="100" w:type="dxa"/>
              <w:bottom w:w="100" w:type="dxa"/>
              <w:right w:w="100" w:type="dxa"/>
            </w:tcMar>
          </w:tcPr>
          <w:p w14:paraId="40319CA4"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sz w:val="22"/>
                <w:szCs w:val="22"/>
              </w:rPr>
              <w:t>¿Qué tipos específicos de instrumentos se utilizan?  (ej.: incentivos fiscales, empresas públicas)</w:t>
            </w:r>
          </w:p>
        </w:tc>
        <w:tc>
          <w:tcPr>
            <w:tcW w:w="2552" w:type="dxa"/>
            <w:tcMar>
              <w:top w:w="100" w:type="dxa"/>
              <w:left w:w="100" w:type="dxa"/>
              <w:bottom w:w="100" w:type="dxa"/>
              <w:right w:w="100" w:type="dxa"/>
            </w:tcMar>
          </w:tcPr>
          <w:p w14:paraId="4A530C61" w14:textId="77777777" w:rsidR="00FE5A0D" w:rsidRPr="00633367" w:rsidRDefault="00FE5A0D" w:rsidP="00633367">
            <w:pPr>
              <w:spacing w:after="0"/>
              <w:rPr>
                <w:rFonts w:ascii="Times New Roman" w:hAnsi="Times New Roman" w:cs="Times New Roman"/>
                <w:sz w:val="22"/>
                <w:szCs w:val="22"/>
              </w:rPr>
            </w:pPr>
            <w:r w:rsidRPr="00633367">
              <w:rPr>
                <w:rFonts w:ascii="Times New Roman" w:hAnsi="Times New Roman" w:cs="Times New Roman"/>
                <w:sz w:val="22"/>
                <w:szCs w:val="22"/>
              </w:rPr>
              <w:t>¿De qué manera específica se usa el instrumento?  (ej.: niveles de subsidio, comisiones regulatorias autónomas)</w:t>
            </w:r>
          </w:p>
        </w:tc>
      </w:tr>
    </w:tbl>
    <w:p w14:paraId="24D087EA" w14:textId="77777777" w:rsidR="00FE5A0D" w:rsidRPr="000B49A2" w:rsidRDefault="00FE5A0D" w:rsidP="00FE5A0D">
      <w:pPr>
        <w:spacing w:after="200"/>
        <w:rPr>
          <w:rFonts w:ascii="Times New Roman" w:hAnsi="Times New Roman" w:cs="Times New Roman"/>
          <w:sz w:val="20"/>
          <w:szCs w:val="20"/>
        </w:rPr>
      </w:pPr>
      <w:r w:rsidRPr="000B49A2">
        <w:rPr>
          <w:rFonts w:ascii="Times New Roman" w:hAnsi="Times New Roman" w:cs="Times New Roman"/>
          <w:sz w:val="20"/>
          <w:szCs w:val="20"/>
        </w:rPr>
        <w:t xml:space="preserve">Fuente: </w:t>
      </w:r>
      <w:proofErr w:type="spellStart"/>
      <w:r w:rsidRPr="000B49A2">
        <w:rPr>
          <w:rFonts w:ascii="Times New Roman" w:hAnsi="Times New Roman" w:cs="Times New Roman"/>
          <w:sz w:val="20"/>
          <w:szCs w:val="20"/>
        </w:rPr>
        <w:t>Cashore</w:t>
      </w:r>
      <w:proofErr w:type="spellEnd"/>
      <w:r w:rsidRPr="000B49A2">
        <w:rPr>
          <w:rFonts w:ascii="Times New Roman" w:hAnsi="Times New Roman" w:cs="Times New Roman"/>
          <w:sz w:val="20"/>
          <w:szCs w:val="20"/>
        </w:rPr>
        <w:t xml:space="preserve"> y Howlett (2007)</w:t>
      </w:r>
    </w:p>
    <w:p w14:paraId="6EFACF7B" w14:textId="4BF92949" w:rsidR="00FE5A0D" w:rsidRPr="00FE5A0D" w:rsidRDefault="00FE5A0D" w:rsidP="00FE59E8">
      <w:pPr>
        <w:ind w:right="-1"/>
        <w:jc w:val="both"/>
        <w:rPr>
          <w:rFonts w:ascii="Times New Roman" w:hAnsi="Times New Roman" w:cs="Times New Roman"/>
        </w:rPr>
      </w:pPr>
      <w:r w:rsidRPr="00FE5A0D">
        <w:rPr>
          <w:rFonts w:ascii="Times New Roman" w:hAnsi="Times New Roman" w:cs="Times New Roman"/>
        </w:rPr>
        <w:t xml:space="preserve">De tal manera, el nivel macro es el más abstracto y estructural ya que abarca los paradigmas de política y las lógicas políticas generales que determinan qué constituye un problema legítimo y una solución deseable, así como también los marcos normativo-cognitivos </w:t>
      </w:r>
      <w:r w:rsidR="009343B9">
        <w:rPr>
          <w:rFonts w:ascii="Times New Roman" w:hAnsi="Times New Roman" w:cs="Times New Roman"/>
        </w:rPr>
        <w:t>que orienta el proceso de</w:t>
      </w:r>
      <w:r w:rsidRPr="00FE5A0D">
        <w:rPr>
          <w:rFonts w:ascii="Times New Roman" w:hAnsi="Times New Roman" w:cs="Times New Roman"/>
        </w:rPr>
        <w:t xml:space="preserve"> implementación.</w:t>
      </w:r>
    </w:p>
    <w:p w14:paraId="26F699B8" w14:textId="5B90DD05" w:rsidR="00FE5A0D" w:rsidRPr="00FE5A0D" w:rsidRDefault="00FE5A0D" w:rsidP="00FE59E8">
      <w:pPr>
        <w:spacing w:after="200"/>
        <w:ind w:right="-1"/>
        <w:jc w:val="both"/>
        <w:rPr>
          <w:rFonts w:ascii="Times New Roman" w:hAnsi="Times New Roman" w:cs="Times New Roman"/>
        </w:rPr>
      </w:pPr>
      <w:r w:rsidRPr="00FE5A0D">
        <w:rPr>
          <w:rFonts w:ascii="Times New Roman" w:hAnsi="Times New Roman" w:cs="Times New Roman"/>
        </w:rPr>
        <w:t>El nivel meso o “intermedio” donde las metas/objetivos abstractos se "operacionalizan" en requisitos formales de política</w:t>
      </w:r>
      <w:r w:rsidR="00480B31">
        <w:rPr>
          <w:rFonts w:ascii="Times New Roman" w:hAnsi="Times New Roman" w:cs="Times New Roman"/>
        </w:rPr>
        <w:t>, el cual</w:t>
      </w:r>
      <w:r w:rsidRPr="00FE5A0D">
        <w:rPr>
          <w:rFonts w:ascii="Times New Roman" w:hAnsi="Times New Roman" w:cs="Times New Roman"/>
        </w:rPr>
        <w:t xml:space="preserve"> supone la elección de “familias de herramientas” (los instrumentos de política y sus combinaciones) para alcanzar los objetivos de las políticas (por ej. regulaciones, impuestos, subsidios, información).</w:t>
      </w:r>
    </w:p>
    <w:p w14:paraId="5D740162" w14:textId="77777777" w:rsidR="00FE5A0D" w:rsidRDefault="00FE5A0D" w:rsidP="00FE59E8">
      <w:pPr>
        <w:pStyle w:val="Ttulo2"/>
        <w:spacing w:before="240" w:after="120"/>
        <w:ind w:right="-1"/>
        <w:jc w:val="both"/>
        <w:rPr>
          <w:rFonts w:ascii="Times New Roman" w:hAnsi="Times New Roman" w:cs="Times New Roman"/>
          <w:color w:val="auto"/>
          <w:sz w:val="24"/>
          <w:szCs w:val="24"/>
        </w:rPr>
      </w:pPr>
      <w:r w:rsidRPr="00FE5A0D">
        <w:rPr>
          <w:rFonts w:ascii="Times New Roman" w:hAnsi="Times New Roman" w:cs="Times New Roman"/>
          <w:color w:val="auto"/>
          <w:sz w:val="24"/>
          <w:szCs w:val="24"/>
        </w:rPr>
        <w:t>El nivel micro es el nivel más concreto y operativo, o sea las maneras exactas de "cómo se hace" la política en la práctica cotidiana y/o en terreno, lo cual supone ajustes o calibraciones (</w:t>
      </w:r>
      <w:proofErr w:type="spellStart"/>
      <w:r w:rsidRPr="00FE5A0D">
        <w:rPr>
          <w:rFonts w:ascii="Times New Roman" w:hAnsi="Times New Roman" w:cs="Times New Roman"/>
          <w:color w:val="auto"/>
          <w:sz w:val="24"/>
          <w:szCs w:val="24"/>
        </w:rPr>
        <w:t>settings</w:t>
      </w:r>
      <w:proofErr w:type="spellEnd"/>
      <w:r w:rsidRPr="00FE5A0D">
        <w:rPr>
          <w:rFonts w:ascii="Times New Roman" w:hAnsi="Times New Roman" w:cs="Times New Roman"/>
          <w:color w:val="auto"/>
          <w:sz w:val="24"/>
          <w:szCs w:val="24"/>
        </w:rPr>
        <w:t>) de los instrumentos de política.</w:t>
      </w:r>
    </w:p>
    <w:p w14:paraId="5EF18C2A" w14:textId="5C59F2E1" w:rsidR="00BF6220" w:rsidRPr="007347D1" w:rsidRDefault="007347D1" w:rsidP="00312C66">
      <w:pPr>
        <w:jc w:val="both"/>
        <w:rPr>
          <w:rFonts w:ascii="Times New Roman" w:hAnsi="Times New Roman" w:cs="Times New Roman"/>
          <w:lang w:val="es-ES"/>
        </w:rPr>
      </w:pPr>
      <w:r w:rsidRPr="007347D1">
        <w:rPr>
          <w:rFonts w:ascii="Times New Roman" w:hAnsi="Times New Roman" w:cs="Times New Roman"/>
          <w:lang w:val="es-ES"/>
        </w:rPr>
        <w:t>Como vemos esta perspectiva r</w:t>
      </w:r>
      <w:r>
        <w:rPr>
          <w:rFonts w:ascii="Times New Roman" w:hAnsi="Times New Roman" w:cs="Times New Roman"/>
          <w:lang w:val="es-ES"/>
        </w:rPr>
        <w:t xml:space="preserve">eposiciona el lugar y relevancia de la definición y elección de los instrumentos de política </w:t>
      </w:r>
      <w:r w:rsidR="00312C66">
        <w:rPr>
          <w:rFonts w:ascii="Times New Roman" w:hAnsi="Times New Roman" w:cs="Times New Roman"/>
          <w:lang w:val="es-ES"/>
        </w:rPr>
        <w:t>dentro de los procesos de diseño e implementación</w:t>
      </w:r>
      <w:r w:rsidR="00E91282">
        <w:rPr>
          <w:rFonts w:ascii="Times New Roman" w:hAnsi="Times New Roman" w:cs="Times New Roman"/>
          <w:lang w:val="es-ES"/>
        </w:rPr>
        <w:t xml:space="preserve"> cuy</w:t>
      </w:r>
      <w:r w:rsidR="00A5005F">
        <w:rPr>
          <w:rFonts w:ascii="Times New Roman" w:hAnsi="Times New Roman" w:cs="Times New Roman"/>
          <w:lang w:val="es-ES"/>
        </w:rPr>
        <w:t>o alineamiento o no (</w:t>
      </w:r>
      <w:r w:rsidR="00E91282">
        <w:rPr>
          <w:rFonts w:ascii="Times New Roman" w:hAnsi="Times New Roman" w:cs="Times New Roman"/>
          <w:lang w:val="es-ES"/>
        </w:rPr>
        <w:t xml:space="preserve">consistencia y coherencia </w:t>
      </w:r>
      <w:r w:rsidR="006F73AF">
        <w:rPr>
          <w:rFonts w:ascii="Times New Roman" w:hAnsi="Times New Roman" w:cs="Times New Roman"/>
          <w:lang w:val="es-ES"/>
        </w:rPr>
        <w:t>entre fines y medios, entre objetivos e instrumentos</w:t>
      </w:r>
      <w:r w:rsidR="00A5005F">
        <w:rPr>
          <w:rFonts w:ascii="Times New Roman" w:hAnsi="Times New Roman" w:cs="Times New Roman"/>
          <w:lang w:val="es-ES"/>
        </w:rPr>
        <w:t>)</w:t>
      </w:r>
      <w:r w:rsidR="00193ECD">
        <w:rPr>
          <w:rFonts w:ascii="Times New Roman" w:hAnsi="Times New Roman" w:cs="Times New Roman"/>
          <w:lang w:val="es-ES"/>
        </w:rPr>
        <w:t xml:space="preserve">. Esta </w:t>
      </w:r>
      <w:r w:rsidR="00D913B3">
        <w:rPr>
          <w:rFonts w:ascii="Times New Roman" w:hAnsi="Times New Roman" w:cs="Times New Roman"/>
          <w:lang w:val="es-ES"/>
        </w:rPr>
        <w:t xml:space="preserve">analítica </w:t>
      </w:r>
      <w:r w:rsidR="00A5005F">
        <w:rPr>
          <w:rFonts w:ascii="Times New Roman" w:hAnsi="Times New Roman" w:cs="Times New Roman"/>
          <w:lang w:val="es-ES"/>
        </w:rPr>
        <w:t xml:space="preserve">permite </w:t>
      </w:r>
      <w:r w:rsidR="00F0509C">
        <w:rPr>
          <w:rFonts w:ascii="Times New Roman" w:hAnsi="Times New Roman" w:cs="Times New Roman"/>
          <w:lang w:val="es-ES"/>
        </w:rPr>
        <w:t xml:space="preserve">dar respuesta a la </w:t>
      </w:r>
      <w:r w:rsidR="009E035E">
        <w:rPr>
          <w:rFonts w:ascii="Times New Roman" w:hAnsi="Times New Roman" w:cs="Times New Roman"/>
          <w:lang w:val="es-ES"/>
        </w:rPr>
        <w:t xml:space="preserve">paradoja de las reformas de la educación superior en América Latina </w:t>
      </w:r>
      <w:r w:rsidR="0064658F">
        <w:rPr>
          <w:rFonts w:ascii="Times New Roman" w:hAnsi="Times New Roman" w:cs="Times New Roman"/>
          <w:lang w:val="es-ES"/>
        </w:rPr>
        <w:t>que desde los años 90 adoptaron una</w:t>
      </w:r>
      <w:r w:rsidR="00543056">
        <w:rPr>
          <w:rFonts w:ascii="Times New Roman" w:hAnsi="Times New Roman" w:cs="Times New Roman"/>
          <w:lang w:val="es-ES"/>
        </w:rPr>
        <w:t xml:space="preserve"> mi</w:t>
      </w:r>
      <w:r w:rsidR="008D3213">
        <w:rPr>
          <w:rFonts w:ascii="Times New Roman" w:hAnsi="Times New Roman" w:cs="Times New Roman"/>
          <w:lang w:val="es-ES"/>
        </w:rPr>
        <w:t>sma</w:t>
      </w:r>
      <w:r w:rsidR="0064658F">
        <w:rPr>
          <w:rFonts w:ascii="Times New Roman" w:hAnsi="Times New Roman" w:cs="Times New Roman"/>
          <w:lang w:val="es-ES"/>
        </w:rPr>
        <w:t xml:space="preserve"> agenda de reforma </w:t>
      </w:r>
      <w:r w:rsidR="004A1694">
        <w:rPr>
          <w:rFonts w:ascii="Times New Roman" w:hAnsi="Times New Roman" w:cs="Times New Roman"/>
          <w:lang w:val="es-ES"/>
        </w:rPr>
        <w:t>de la gobernanza de la educación superior</w:t>
      </w:r>
      <w:r w:rsidR="00AC4072">
        <w:rPr>
          <w:rFonts w:ascii="Times New Roman" w:hAnsi="Times New Roman" w:cs="Times New Roman"/>
          <w:lang w:val="es-ES"/>
        </w:rPr>
        <w:t xml:space="preserve"> (</w:t>
      </w:r>
      <w:r w:rsidR="004A1694">
        <w:rPr>
          <w:rFonts w:ascii="Times New Roman" w:hAnsi="Times New Roman" w:cs="Times New Roman"/>
          <w:lang w:val="es-ES"/>
        </w:rPr>
        <w:t xml:space="preserve">agencias nacionales de </w:t>
      </w:r>
      <w:r w:rsidR="000275AD">
        <w:rPr>
          <w:rFonts w:ascii="Times New Roman" w:hAnsi="Times New Roman" w:cs="Times New Roman"/>
          <w:lang w:val="es-ES"/>
        </w:rPr>
        <w:t xml:space="preserve">control de la calidad, marcos normativos </w:t>
      </w:r>
      <w:r w:rsidR="00543056">
        <w:rPr>
          <w:rFonts w:ascii="Times New Roman" w:hAnsi="Times New Roman" w:cs="Times New Roman"/>
          <w:lang w:val="es-ES"/>
        </w:rPr>
        <w:t xml:space="preserve">de </w:t>
      </w:r>
      <w:r w:rsidR="000B4881">
        <w:rPr>
          <w:rFonts w:ascii="Times New Roman" w:hAnsi="Times New Roman" w:cs="Times New Roman"/>
          <w:lang w:val="es-ES"/>
        </w:rPr>
        <w:t xml:space="preserve">evaluación y acreditación, </w:t>
      </w:r>
      <w:r w:rsidR="00543056">
        <w:rPr>
          <w:rFonts w:ascii="Times New Roman" w:hAnsi="Times New Roman" w:cs="Times New Roman"/>
          <w:lang w:val="es-ES"/>
        </w:rPr>
        <w:t>financiamiento por proyectos, etc.</w:t>
      </w:r>
      <w:r w:rsidR="00AC4072">
        <w:rPr>
          <w:rFonts w:ascii="Times New Roman" w:hAnsi="Times New Roman" w:cs="Times New Roman"/>
          <w:lang w:val="es-ES"/>
        </w:rPr>
        <w:t>) con resultados</w:t>
      </w:r>
      <w:r w:rsidR="00D913B3">
        <w:rPr>
          <w:rFonts w:ascii="Times New Roman" w:hAnsi="Times New Roman" w:cs="Times New Roman"/>
          <w:lang w:val="es-ES"/>
        </w:rPr>
        <w:t xml:space="preserve"> diferentes </w:t>
      </w:r>
      <w:r w:rsidR="00BF6220">
        <w:rPr>
          <w:rFonts w:ascii="Times New Roman" w:hAnsi="Times New Roman" w:cs="Times New Roman"/>
          <w:lang w:val="es-ES"/>
        </w:rPr>
        <w:t>(</w:t>
      </w:r>
      <w:r w:rsidR="00390BCA">
        <w:rPr>
          <w:rFonts w:ascii="Times New Roman" w:hAnsi="Times New Roman" w:cs="Times New Roman"/>
          <w:lang w:val="es-ES"/>
        </w:rPr>
        <w:t>González</w:t>
      </w:r>
      <w:r w:rsidR="00BF6220">
        <w:rPr>
          <w:rFonts w:ascii="Times New Roman" w:hAnsi="Times New Roman" w:cs="Times New Roman"/>
          <w:lang w:val="es-ES"/>
        </w:rPr>
        <w:t xml:space="preserve"> Ledesma, 2014)</w:t>
      </w:r>
      <w:r w:rsidR="00694E2A">
        <w:rPr>
          <w:rFonts w:ascii="Times New Roman" w:hAnsi="Times New Roman" w:cs="Times New Roman"/>
          <w:lang w:val="es-ES"/>
        </w:rPr>
        <w:t xml:space="preserve">. </w:t>
      </w:r>
    </w:p>
    <w:p w14:paraId="7C8970CB" w14:textId="0F59DE22" w:rsidR="00C22914" w:rsidRDefault="00694E2A" w:rsidP="002E7610">
      <w:pPr>
        <w:jc w:val="both"/>
        <w:rPr>
          <w:rFonts w:ascii="Times New Roman" w:hAnsi="Times New Roman" w:cs="Times New Roman"/>
        </w:rPr>
      </w:pPr>
      <w:r>
        <w:rPr>
          <w:rFonts w:ascii="Times New Roman" w:hAnsi="Times New Roman" w:cs="Times New Roman"/>
        </w:rPr>
        <w:t xml:space="preserve">De tal modo, </w:t>
      </w:r>
      <w:r w:rsidR="00C22914">
        <w:rPr>
          <w:rFonts w:ascii="Times New Roman" w:hAnsi="Times New Roman" w:cs="Times New Roman"/>
        </w:rPr>
        <w:t xml:space="preserve">esta perspectiva </w:t>
      </w:r>
      <w:r>
        <w:rPr>
          <w:rFonts w:ascii="Times New Roman" w:hAnsi="Times New Roman" w:cs="Times New Roman"/>
        </w:rPr>
        <w:t xml:space="preserve">posibilita </w:t>
      </w:r>
      <w:r w:rsidR="007423B6" w:rsidRPr="008C0E2A">
        <w:rPr>
          <w:rFonts w:ascii="Times New Roman" w:hAnsi="Times New Roman" w:cs="Times New Roman"/>
        </w:rPr>
        <w:t>dar cuenta</w:t>
      </w:r>
      <w:r w:rsidR="00851345">
        <w:rPr>
          <w:rFonts w:ascii="Times New Roman" w:hAnsi="Times New Roman" w:cs="Times New Roman"/>
        </w:rPr>
        <w:t xml:space="preserve"> tanto</w:t>
      </w:r>
      <w:r w:rsidR="007423B6" w:rsidRPr="008C0E2A">
        <w:rPr>
          <w:rFonts w:ascii="Times New Roman" w:hAnsi="Times New Roman" w:cs="Times New Roman"/>
        </w:rPr>
        <w:t xml:space="preserve"> de la persistencia o continuidad de ciertas líneas de acción que atraviesan gestiones gubernamentales (</w:t>
      </w:r>
      <w:proofErr w:type="spellStart"/>
      <w:r w:rsidR="007423B6" w:rsidRPr="008C0E2A">
        <w:rPr>
          <w:rFonts w:ascii="Times New Roman" w:hAnsi="Times New Roman" w:cs="Times New Roman"/>
          <w:i/>
          <w:iCs/>
        </w:rPr>
        <w:t>path</w:t>
      </w:r>
      <w:proofErr w:type="spellEnd"/>
      <w:r w:rsidR="007423B6" w:rsidRPr="008C0E2A">
        <w:rPr>
          <w:rFonts w:ascii="Times New Roman" w:hAnsi="Times New Roman" w:cs="Times New Roman"/>
          <w:i/>
          <w:iCs/>
        </w:rPr>
        <w:t xml:space="preserve"> </w:t>
      </w:r>
      <w:proofErr w:type="spellStart"/>
      <w:r w:rsidR="007423B6" w:rsidRPr="008C0E2A">
        <w:rPr>
          <w:rFonts w:ascii="Times New Roman" w:hAnsi="Times New Roman" w:cs="Times New Roman"/>
          <w:i/>
          <w:iCs/>
        </w:rPr>
        <w:t>dependence</w:t>
      </w:r>
      <w:proofErr w:type="spellEnd"/>
      <w:r w:rsidR="007423B6" w:rsidRPr="008C0E2A">
        <w:rPr>
          <w:rFonts w:ascii="Times New Roman" w:hAnsi="Times New Roman" w:cs="Times New Roman"/>
        </w:rPr>
        <w:t xml:space="preserve">), </w:t>
      </w:r>
      <w:r w:rsidR="00851345">
        <w:rPr>
          <w:rFonts w:ascii="Times New Roman" w:hAnsi="Times New Roman" w:cs="Times New Roman"/>
        </w:rPr>
        <w:t>como</w:t>
      </w:r>
      <w:r w:rsidR="007423B6" w:rsidRPr="008C0E2A">
        <w:rPr>
          <w:rFonts w:ascii="Times New Roman" w:hAnsi="Times New Roman" w:cs="Times New Roman"/>
        </w:rPr>
        <w:t xml:space="preserve"> de los contradictorios resultados</w:t>
      </w:r>
      <w:r w:rsidR="00B50753">
        <w:rPr>
          <w:rFonts w:ascii="Times New Roman" w:hAnsi="Times New Roman" w:cs="Times New Roman"/>
        </w:rPr>
        <w:t xml:space="preserve"> a partir ya no solamente de</w:t>
      </w:r>
      <w:r w:rsidR="0006363A">
        <w:rPr>
          <w:rFonts w:ascii="Times New Roman" w:hAnsi="Times New Roman" w:cs="Times New Roman"/>
        </w:rPr>
        <w:t xml:space="preserve"> los paradigmas de política y las lógicas/dinámicas de los actores </w:t>
      </w:r>
      <w:r w:rsidR="00926356">
        <w:rPr>
          <w:rFonts w:ascii="Times New Roman" w:hAnsi="Times New Roman" w:cs="Times New Roman"/>
        </w:rPr>
        <w:t xml:space="preserve">(niveles macro y meso) sino </w:t>
      </w:r>
      <w:r w:rsidR="00FC3BEA">
        <w:rPr>
          <w:rFonts w:ascii="Times New Roman" w:hAnsi="Times New Roman" w:cs="Times New Roman"/>
        </w:rPr>
        <w:t xml:space="preserve">al diseño de los instrumentos del nivel micro. </w:t>
      </w:r>
    </w:p>
    <w:p w14:paraId="4E9F6AB7" w14:textId="212E7772" w:rsidR="00FE5A0D" w:rsidRPr="00FE5A0D" w:rsidRDefault="001049DF" w:rsidP="00FE59E8">
      <w:pPr>
        <w:ind w:right="-1"/>
        <w:jc w:val="both"/>
        <w:rPr>
          <w:rFonts w:ascii="Times New Roman" w:hAnsi="Times New Roman" w:cs="Times New Roman"/>
        </w:rPr>
      </w:pPr>
      <w:r>
        <w:rPr>
          <w:rFonts w:ascii="Times New Roman" w:hAnsi="Times New Roman" w:cs="Times New Roman"/>
        </w:rPr>
        <w:lastRenderedPageBreak/>
        <w:t>Resumiendo</w:t>
      </w:r>
      <w:r w:rsidR="00FE5A0D" w:rsidRPr="00FE5A0D">
        <w:rPr>
          <w:rFonts w:ascii="Times New Roman" w:hAnsi="Times New Roman" w:cs="Times New Roman"/>
        </w:rPr>
        <w:t xml:space="preserve">, esta perspectiva centrada en los instrumentos de política ha sido sistematizada por Capano y Howlett (2024) y reformulada Capano y </w:t>
      </w:r>
      <w:proofErr w:type="spellStart"/>
      <w:r w:rsidR="00FE5A0D" w:rsidRPr="00FE5A0D">
        <w:rPr>
          <w:rFonts w:ascii="Times New Roman" w:hAnsi="Times New Roman" w:cs="Times New Roman"/>
        </w:rPr>
        <w:t>Pritoni</w:t>
      </w:r>
      <w:proofErr w:type="spellEnd"/>
      <w:r w:rsidR="00FE5A0D" w:rsidRPr="00FE5A0D">
        <w:rPr>
          <w:rFonts w:ascii="Times New Roman" w:hAnsi="Times New Roman" w:cs="Times New Roman"/>
        </w:rPr>
        <w:t xml:space="preserve"> (2026) desarrollando un encuadre diferente que ubica a los instrumentos como “arquitecturas configurables” que explican más adecuadamente los resultados de las políticas en tanto interfaz operativa entre la racionalidad instrumental y la estrategia política. </w:t>
      </w:r>
    </w:p>
    <w:p w14:paraId="54CDBB35" w14:textId="77777777" w:rsidR="00FE5A0D" w:rsidRPr="00FE5A0D" w:rsidRDefault="00FE5A0D" w:rsidP="00FE59E8">
      <w:pPr>
        <w:ind w:right="-1"/>
        <w:jc w:val="both"/>
        <w:rPr>
          <w:rFonts w:ascii="Times New Roman" w:hAnsi="Times New Roman" w:cs="Times New Roman"/>
        </w:rPr>
      </w:pPr>
      <w:r w:rsidRPr="00FE5A0D">
        <w:rPr>
          <w:rFonts w:ascii="Times New Roman" w:hAnsi="Times New Roman" w:cs="Times New Roman"/>
        </w:rPr>
        <w:t>Para estos autores, los paradigmas de política y acuerdos de gobernanza del nivel macro y las familias de instrumentos del nivel meso definen la dirección general de la acción política pero la política en la práctica cotidiana se concreta en el nivel micro y cuyo éxito depende de la capacidad de modificar el comportamiento y reglas institucionales.</w:t>
      </w:r>
    </w:p>
    <w:p w14:paraId="7393BA17" w14:textId="6244B0AC" w:rsidR="00FE5A0D" w:rsidRDefault="00FE5A0D" w:rsidP="00FE59E8">
      <w:pPr>
        <w:ind w:right="-1"/>
        <w:jc w:val="both"/>
        <w:rPr>
          <w:rFonts w:ascii="Times New Roman" w:hAnsi="Times New Roman" w:cs="Times New Roman"/>
        </w:rPr>
      </w:pPr>
      <w:r w:rsidRPr="00FE5A0D">
        <w:rPr>
          <w:rFonts w:ascii="Times New Roman" w:hAnsi="Times New Roman" w:cs="Times New Roman"/>
        </w:rPr>
        <w:t>Asimismo, la dimensión temporal resulta clave para entender la propia transformación y reconfiguración de los instrumentos que siguiendo su conceptualización se expresa en las “especificaciones” que estructuran los objetivos que responde las preguntas operativas de “¿a quienes va dirigido esta intervención?” (población), “qué conducta se espera cambiar?” (resultados esperados) “¿cómo (funcionamiento)?”, y “¿en qué plazos?”.</w:t>
      </w:r>
    </w:p>
    <w:p w14:paraId="3C6F52AD" w14:textId="32F21B43" w:rsidR="00EF4BB8" w:rsidRDefault="004C6208" w:rsidP="00FE59E8">
      <w:pPr>
        <w:ind w:right="-1"/>
        <w:jc w:val="both"/>
        <w:rPr>
          <w:rFonts w:ascii="Times New Roman" w:hAnsi="Times New Roman" w:cs="Times New Roman"/>
        </w:rPr>
      </w:pPr>
      <w:r>
        <w:rPr>
          <w:rFonts w:ascii="Times New Roman" w:hAnsi="Times New Roman" w:cs="Times New Roman"/>
        </w:rPr>
        <w:t>L</w:t>
      </w:r>
      <w:r w:rsidR="00271E56">
        <w:rPr>
          <w:rFonts w:ascii="Times New Roman" w:hAnsi="Times New Roman" w:cs="Times New Roman"/>
        </w:rPr>
        <w:t>a</w:t>
      </w:r>
      <w:r w:rsidR="00271E56" w:rsidRPr="00FE5A0D">
        <w:rPr>
          <w:rFonts w:ascii="Times New Roman" w:hAnsi="Times New Roman" w:cs="Times New Roman"/>
        </w:rPr>
        <w:t xml:space="preserve"> “calibraci</w:t>
      </w:r>
      <w:r w:rsidR="00556C93">
        <w:rPr>
          <w:rFonts w:ascii="Times New Roman" w:hAnsi="Times New Roman" w:cs="Times New Roman"/>
        </w:rPr>
        <w:t>ón</w:t>
      </w:r>
      <w:r w:rsidR="00271E56" w:rsidRPr="00FE5A0D">
        <w:rPr>
          <w:rFonts w:ascii="Times New Roman" w:hAnsi="Times New Roman" w:cs="Times New Roman"/>
        </w:rPr>
        <w:t>”</w:t>
      </w:r>
      <w:r w:rsidR="00271E56">
        <w:rPr>
          <w:rFonts w:ascii="Times New Roman" w:hAnsi="Times New Roman" w:cs="Times New Roman"/>
        </w:rPr>
        <w:t xml:space="preserve"> de los instrumentos </w:t>
      </w:r>
      <w:r w:rsidR="00556C93">
        <w:rPr>
          <w:rFonts w:ascii="Times New Roman" w:hAnsi="Times New Roman" w:cs="Times New Roman"/>
        </w:rPr>
        <w:t xml:space="preserve">pueden identificarse </w:t>
      </w:r>
      <w:r w:rsidR="00246B50">
        <w:rPr>
          <w:rFonts w:ascii="Times New Roman" w:hAnsi="Times New Roman" w:cs="Times New Roman"/>
        </w:rPr>
        <w:t xml:space="preserve">siete dimensiones: la primera </w:t>
      </w:r>
      <w:r w:rsidR="00246B50" w:rsidRPr="00714727">
        <w:rPr>
          <w:rFonts w:ascii="Times New Roman" w:hAnsi="Times New Roman" w:cs="Times New Roman"/>
        </w:rPr>
        <w:t>refiere a los destinatarios primarios, definidos como los actores cuya participación es crucial para alcanzar los objetivos de la política.</w:t>
      </w:r>
      <w:r w:rsidR="000F162C">
        <w:rPr>
          <w:rFonts w:ascii="Times New Roman" w:hAnsi="Times New Roman" w:cs="Times New Roman"/>
        </w:rPr>
        <w:t xml:space="preserve"> La segunda </w:t>
      </w:r>
      <w:r w:rsidR="009851AE" w:rsidRPr="00714727">
        <w:rPr>
          <w:rFonts w:ascii="Times New Roman" w:hAnsi="Times New Roman" w:cs="Times New Roman"/>
        </w:rPr>
        <w:t>se relaciona con los recursos adicionales, específicamente las capacidades financieras, humanas y organizativas movilizadas para apoyar la implementación</w:t>
      </w:r>
      <w:r w:rsidR="009851AE">
        <w:rPr>
          <w:rFonts w:ascii="Times New Roman" w:hAnsi="Times New Roman" w:cs="Times New Roman"/>
        </w:rPr>
        <w:t xml:space="preserve">. La tercera </w:t>
      </w:r>
      <w:r w:rsidR="007B76D2" w:rsidRPr="00714727">
        <w:rPr>
          <w:rFonts w:ascii="Times New Roman" w:hAnsi="Times New Roman" w:cs="Times New Roman"/>
        </w:rPr>
        <w:t>se relaciona con la organización responsable de la implementación, es decir, los organismos administrativos que traducen las disposiciones legales en acciones operativas.</w:t>
      </w:r>
      <w:r w:rsidR="007B76D2">
        <w:rPr>
          <w:rFonts w:ascii="Times New Roman" w:hAnsi="Times New Roman" w:cs="Times New Roman"/>
        </w:rPr>
        <w:t xml:space="preserve"> La cuarta </w:t>
      </w:r>
      <w:r w:rsidR="00F878A3" w:rsidRPr="00714727">
        <w:rPr>
          <w:rFonts w:ascii="Times New Roman" w:hAnsi="Times New Roman" w:cs="Times New Roman"/>
        </w:rPr>
        <w:t xml:space="preserve">se relaciona con la </w:t>
      </w:r>
      <w:proofErr w:type="spellStart"/>
      <w:r w:rsidR="00F878A3" w:rsidRPr="00714727">
        <w:rPr>
          <w:rFonts w:ascii="Times New Roman" w:hAnsi="Times New Roman" w:cs="Times New Roman"/>
        </w:rPr>
        <w:t>intrusividad</w:t>
      </w:r>
      <w:proofErr w:type="spellEnd"/>
      <w:r w:rsidR="00BE5A6B">
        <w:rPr>
          <w:rFonts w:ascii="Times New Roman" w:hAnsi="Times New Roman" w:cs="Times New Roman"/>
        </w:rPr>
        <w:t xml:space="preserve"> </w:t>
      </w:r>
      <w:r w:rsidR="00F878A3" w:rsidRPr="00714727">
        <w:rPr>
          <w:rFonts w:ascii="Times New Roman" w:hAnsi="Times New Roman" w:cs="Times New Roman"/>
        </w:rPr>
        <w:t>defin</w:t>
      </w:r>
      <w:r w:rsidR="00BE5A6B">
        <w:rPr>
          <w:rFonts w:ascii="Times New Roman" w:hAnsi="Times New Roman" w:cs="Times New Roman"/>
        </w:rPr>
        <w:t>ida</w:t>
      </w:r>
      <w:r w:rsidR="00F878A3" w:rsidRPr="00714727">
        <w:rPr>
          <w:rFonts w:ascii="Times New Roman" w:hAnsi="Times New Roman" w:cs="Times New Roman"/>
        </w:rPr>
        <w:t xml:space="preserve"> como el grado en que el instrumento restringe la autonomía de comportamiento y toma de decisiones de los involucrados.</w:t>
      </w:r>
      <w:r w:rsidR="00840E27">
        <w:rPr>
          <w:rFonts w:ascii="Times New Roman" w:hAnsi="Times New Roman" w:cs="Times New Roman"/>
        </w:rPr>
        <w:t xml:space="preserve"> La quinta </w:t>
      </w:r>
      <w:r w:rsidR="00840E27" w:rsidRPr="00714727">
        <w:rPr>
          <w:rFonts w:ascii="Times New Roman" w:hAnsi="Times New Roman" w:cs="Times New Roman"/>
        </w:rPr>
        <w:t>se relaciona con la discreción de los implementadores, o el grado de autonomía otorgado a los actores administrativos para adaptar el instrumento a las condiciones contextuales.</w:t>
      </w:r>
      <w:r w:rsidR="006D208E">
        <w:rPr>
          <w:rFonts w:ascii="Times New Roman" w:hAnsi="Times New Roman" w:cs="Times New Roman"/>
        </w:rPr>
        <w:t xml:space="preserve"> </w:t>
      </w:r>
      <w:r w:rsidR="006D208E" w:rsidRPr="00714727">
        <w:rPr>
          <w:rFonts w:ascii="Times New Roman" w:hAnsi="Times New Roman" w:cs="Times New Roman"/>
        </w:rPr>
        <w:t>La sexta se relaciona con las reglas de rendición de cuentas, que se definen como los acuerdos formales que especifican quién asume la responsabilidad de los resultados de las políticas y ante quién debe rendir cuentas.</w:t>
      </w:r>
      <w:r w:rsidR="002235AA">
        <w:rPr>
          <w:rFonts w:ascii="Times New Roman" w:hAnsi="Times New Roman" w:cs="Times New Roman"/>
        </w:rPr>
        <w:t xml:space="preserve"> Y la séptima</w:t>
      </w:r>
      <w:r w:rsidR="0063495D">
        <w:rPr>
          <w:rFonts w:ascii="Times New Roman" w:hAnsi="Times New Roman" w:cs="Times New Roman"/>
        </w:rPr>
        <w:t>, e</w:t>
      </w:r>
      <w:r w:rsidR="002235AA" w:rsidRPr="00714727">
        <w:rPr>
          <w:rFonts w:ascii="Times New Roman" w:hAnsi="Times New Roman" w:cs="Times New Roman"/>
        </w:rPr>
        <w:t>l monitoreo y la auditoría se refieren a las herramientas y actividades operativas mediante las cuales se verifica y se aplica la rendición de cuentas: cómo se observa, mide y sanciona el cumplimiento, el desempeño y la adhesión a las reglas a lo largo del tiempo.</w:t>
      </w:r>
    </w:p>
    <w:p w14:paraId="65AECE81" w14:textId="77777777" w:rsidR="005361B6" w:rsidRDefault="005361B6" w:rsidP="00FE59E8">
      <w:pPr>
        <w:ind w:right="-1"/>
        <w:jc w:val="both"/>
        <w:rPr>
          <w:rFonts w:ascii="Times New Roman" w:hAnsi="Times New Roman" w:cs="Times New Roman"/>
        </w:rPr>
      </w:pPr>
    </w:p>
    <w:p w14:paraId="50FB3F6D" w14:textId="29D7270A" w:rsidR="00EF4BB8" w:rsidRPr="000B49A2" w:rsidRDefault="000B49A2" w:rsidP="000B49A2">
      <w:pPr>
        <w:pStyle w:val="Textoindependiente"/>
        <w:ind w:left="0"/>
      </w:pPr>
      <w:r w:rsidRPr="000B49A2">
        <w:rPr>
          <w:spacing w:val="-4"/>
        </w:rPr>
        <w:t xml:space="preserve">Cuadro </w:t>
      </w:r>
      <w:r>
        <w:rPr>
          <w:spacing w:val="-4"/>
        </w:rPr>
        <w:t>2</w:t>
      </w:r>
      <w:r w:rsidRPr="000B49A2">
        <w:rPr>
          <w:spacing w:val="-4"/>
        </w:rPr>
        <w:t xml:space="preserve">. </w:t>
      </w:r>
      <w:proofErr w:type="spellStart"/>
      <w:r w:rsidR="00EF4BB8" w:rsidRPr="000B49A2">
        <w:rPr>
          <w:spacing w:val="-4"/>
        </w:rPr>
        <w:t>Micro-dimension</w:t>
      </w:r>
      <w:r w:rsidR="0063495D" w:rsidRPr="000B49A2">
        <w:rPr>
          <w:spacing w:val="-4"/>
        </w:rPr>
        <w:t>es</w:t>
      </w:r>
      <w:proofErr w:type="spellEnd"/>
      <w:r w:rsidR="00EF4BB8" w:rsidRPr="000B49A2">
        <w:rPr>
          <w:spacing w:val="-11"/>
        </w:rPr>
        <w:t xml:space="preserve"> </w:t>
      </w:r>
      <w:r w:rsidR="0063495D" w:rsidRPr="000B49A2">
        <w:rPr>
          <w:spacing w:val="-4"/>
        </w:rPr>
        <w:t>del Diseño del diseño de política</w:t>
      </w:r>
    </w:p>
    <w:p w14:paraId="51BD20BF" w14:textId="77777777" w:rsidR="00EF4BB8" w:rsidRPr="0063495D" w:rsidRDefault="00EF4BB8" w:rsidP="00EF4BB8">
      <w:pPr>
        <w:pStyle w:val="Textoindependiente"/>
        <w:spacing w:before="5"/>
        <w:ind w:left="0"/>
        <w:jc w:val="left"/>
        <w:rPr>
          <w:sz w:val="18"/>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2"/>
        <w:gridCol w:w="4527"/>
      </w:tblGrid>
      <w:tr w:rsidR="00EF4BB8" w:rsidRPr="00714727" w14:paraId="661C1B9D" w14:textId="77777777" w:rsidTr="000B49A2">
        <w:trPr>
          <w:trHeight w:val="407"/>
        </w:trPr>
        <w:tc>
          <w:tcPr>
            <w:tcW w:w="4262" w:type="dxa"/>
          </w:tcPr>
          <w:p w14:paraId="5F9E2BA8" w14:textId="77777777" w:rsidR="00EF4BB8" w:rsidRPr="00714727" w:rsidRDefault="00EF4BB8" w:rsidP="00403771">
            <w:pPr>
              <w:pStyle w:val="TableParagraph"/>
              <w:spacing w:line="263" w:lineRule="exact"/>
              <w:ind w:left="830"/>
              <w:rPr>
                <w:i/>
                <w:sz w:val="24"/>
              </w:rPr>
            </w:pPr>
            <w:r w:rsidRPr="0045334B">
              <w:rPr>
                <w:i/>
                <w:iCs/>
              </w:rPr>
              <w:t>Objetivo ESPECIFICACIONES</w:t>
            </w:r>
          </w:p>
        </w:tc>
        <w:tc>
          <w:tcPr>
            <w:tcW w:w="4527" w:type="dxa"/>
          </w:tcPr>
          <w:p w14:paraId="0D85EE85" w14:textId="4E52F693" w:rsidR="00EF4BB8" w:rsidRPr="00A47E06" w:rsidRDefault="00EF4BB8" w:rsidP="00A47E06">
            <w:pPr>
              <w:pStyle w:val="Textoindependiente"/>
              <w:spacing w:before="57"/>
              <w:jc w:val="center"/>
              <w:rPr>
                <w:i/>
                <w:iCs/>
              </w:rPr>
            </w:pPr>
            <w:r w:rsidRPr="0045334B">
              <w:rPr>
                <w:i/>
                <w:iCs/>
              </w:rPr>
              <w:t>Instrumentos CALIBRACIONES</w:t>
            </w:r>
          </w:p>
        </w:tc>
      </w:tr>
      <w:tr w:rsidR="00EF4BB8" w:rsidRPr="00714727" w14:paraId="6CFB06C5" w14:textId="77777777" w:rsidTr="000B49A2">
        <w:trPr>
          <w:trHeight w:val="2540"/>
        </w:trPr>
        <w:tc>
          <w:tcPr>
            <w:tcW w:w="4262" w:type="dxa"/>
          </w:tcPr>
          <w:p w14:paraId="5F5C31D2" w14:textId="77777777" w:rsidR="00EF4BB8" w:rsidRDefault="00EF4BB8" w:rsidP="00403771">
            <w:pPr>
              <w:pStyle w:val="Textoindependiente"/>
              <w:spacing w:line="360" w:lineRule="auto"/>
              <w:ind w:left="142"/>
            </w:pPr>
          </w:p>
          <w:p w14:paraId="6EF032AF" w14:textId="77777777" w:rsidR="00EF4BB8" w:rsidRPr="00746C62" w:rsidRDefault="00EF4BB8" w:rsidP="00A47E06">
            <w:pPr>
              <w:pStyle w:val="Textoindependiente"/>
              <w:spacing w:line="480" w:lineRule="auto"/>
              <w:ind w:left="129"/>
              <w:rPr>
                <w:lang w:val="es-419"/>
              </w:rPr>
            </w:pPr>
            <w:r w:rsidRPr="00746C62">
              <w:rPr>
                <w:lang w:val="es-419"/>
              </w:rPr>
              <w:t>1. Designación de la población objetivo</w:t>
            </w:r>
          </w:p>
          <w:p w14:paraId="0FD544E9" w14:textId="77777777" w:rsidR="00EF4BB8" w:rsidRPr="00746C62" w:rsidRDefault="00EF4BB8" w:rsidP="00A47E06">
            <w:pPr>
              <w:pStyle w:val="Textoindependiente"/>
              <w:spacing w:line="480" w:lineRule="auto"/>
              <w:ind w:left="129"/>
              <w:rPr>
                <w:lang w:val="es-419"/>
              </w:rPr>
            </w:pPr>
            <w:r w:rsidRPr="00746C62">
              <w:rPr>
                <w:lang w:val="es-419"/>
              </w:rPr>
              <w:t>2. Resultado esperado de la intervención</w:t>
            </w:r>
          </w:p>
          <w:p w14:paraId="03C15053" w14:textId="77777777" w:rsidR="00EF4BB8" w:rsidRPr="00714727" w:rsidRDefault="00EF4BB8" w:rsidP="00A47E06">
            <w:pPr>
              <w:pStyle w:val="Textoindependiente"/>
              <w:spacing w:line="480" w:lineRule="auto"/>
              <w:ind w:left="129"/>
              <w:rPr>
                <w:sz w:val="24"/>
              </w:rPr>
            </w:pPr>
            <w:r w:rsidRPr="00746C62">
              <w:rPr>
                <w:lang w:val="es-419"/>
              </w:rPr>
              <w:t>3. Plazo para alcanzar el objetivo deseado</w:t>
            </w:r>
          </w:p>
        </w:tc>
        <w:tc>
          <w:tcPr>
            <w:tcW w:w="4527" w:type="dxa"/>
          </w:tcPr>
          <w:p w14:paraId="2A33440A" w14:textId="77777777" w:rsidR="00EF4BB8" w:rsidRPr="00746C62" w:rsidRDefault="00EF4BB8" w:rsidP="00A47E06">
            <w:pPr>
              <w:pStyle w:val="Textoindependiente"/>
              <w:spacing w:line="360" w:lineRule="auto"/>
              <w:ind w:left="272" w:hanging="11"/>
              <w:jc w:val="left"/>
              <w:rPr>
                <w:lang w:val="es-419"/>
              </w:rPr>
            </w:pPr>
            <w:r>
              <w:t xml:space="preserve">1. </w:t>
            </w:r>
            <w:r w:rsidRPr="00746C62">
              <w:rPr>
                <w:lang w:val="es-419"/>
              </w:rPr>
              <w:t>Destinatarios principales</w:t>
            </w:r>
          </w:p>
          <w:p w14:paraId="0BC5FCD7" w14:textId="77777777" w:rsidR="00EF4BB8" w:rsidRPr="00746C62" w:rsidRDefault="00EF4BB8" w:rsidP="00A47E06">
            <w:pPr>
              <w:pStyle w:val="Textoindependiente"/>
              <w:spacing w:line="360" w:lineRule="auto"/>
              <w:ind w:left="272" w:hanging="11"/>
              <w:jc w:val="left"/>
              <w:rPr>
                <w:lang w:val="es-419"/>
              </w:rPr>
            </w:pPr>
            <w:r w:rsidRPr="00746C62">
              <w:rPr>
                <w:lang w:val="es-419"/>
              </w:rPr>
              <w:t>2. Recursos adicionales</w:t>
            </w:r>
          </w:p>
          <w:p w14:paraId="45818957" w14:textId="77777777" w:rsidR="00EF4BB8" w:rsidRPr="00746C62" w:rsidRDefault="00EF4BB8" w:rsidP="00A47E06">
            <w:pPr>
              <w:pStyle w:val="Textoindependiente"/>
              <w:spacing w:line="360" w:lineRule="auto"/>
              <w:ind w:left="272" w:hanging="11"/>
              <w:jc w:val="left"/>
              <w:rPr>
                <w:lang w:val="es-419"/>
              </w:rPr>
            </w:pPr>
            <w:r w:rsidRPr="00746C62">
              <w:rPr>
                <w:lang w:val="es-419"/>
              </w:rPr>
              <w:t>3. Organización a cargo de la implementación</w:t>
            </w:r>
          </w:p>
          <w:p w14:paraId="157EA227" w14:textId="77777777" w:rsidR="00EF4BB8" w:rsidRPr="00746C62" w:rsidRDefault="00EF4BB8" w:rsidP="00A47E06">
            <w:pPr>
              <w:pStyle w:val="Textoindependiente"/>
              <w:spacing w:line="360" w:lineRule="auto"/>
              <w:ind w:left="272" w:hanging="11"/>
              <w:jc w:val="left"/>
              <w:rPr>
                <w:lang w:val="es-419"/>
              </w:rPr>
            </w:pPr>
            <w:r w:rsidRPr="00746C62">
              <w:rPr>
                <w:lang w:val="es-419"/>
              </w:rPr>
              <w:t>4. Intrusión</w:t>
            </w:r>
          </w:p>
          <w:p w14:paraId="361F79F3" w14:textId="77777777" w:rsidR="00EF4BB8" w:rsidRPr="00746C62" w:rsidRDefault="00EF4BB8" w:rsidP="00A47E06">
            <w:pPr>
              <w:pStyle w:val="Textoindependiente"/>
              <w:spacing w:line="360" w:lineRule="auto"/>
              <w:ind w:left="272" w:hanging="11"/>
              <w:jc w:val="left"/>
              <w:rPr>
                <w:lang w:val="es-419"/>
              </w:rPr>
            </w:pPr>
            <w:r w:rsidRPr="00746C62">
              <w:rPr>
                <w:lang w:val="es-419"/>
              </w:rPr>
              <w:t>5. Discreción de los implementadores</w:t>
            </w:r>
          </w:p>
          <w:p w14:paraId="70963990" w14:textId="77777777" w:rsidR="00EF4BB8" w:rsidRPr="00746C62" w:rsidRDefault="00EF4BB8" w:rsidP="00A47E06">
            <w:pPr>
              <w:pStyle w:val="Textoindependiente"/>
              <w:spacing w:line="360" w:lineRule="auto"/>
              <w:ind w:left="272" w:hanging="11"/>
              <w:jc w:val="left"/>
              <w:rPr>
                <w:lang w:val="es-419"/>
              </w:rPr>
            </w:pPr>
            <w:r w:rsidRPr="00746C62">
              <w:rPr>
                <w:lang w:val="es-419"/>
              </w:rPr>
              <w:t>6. Normas de rendición de cuentas</w:t>
            </w:r>
          </w:p>
          <w:p w14:paraId="4E2B44CB" w14:textId="77777777" w:rsidR="00EF4BB8" w:rsidRPr="009E2CE0" w:rsidRDefault="00EF4BB8" w:rsidP="00A47E06">
            <w:pPr>
              <w:pStyle w:val="Textoindependiente"/>
              <w:spacing w:line="360" w:lineRule="auto"/>
              <w:ind w:left="272" w:hanging="11"/>
              <w:jc w:val="left"/>
            </w:pPr>
            <w:r w:rsidRPr="00746C62">
              <w:rPr>
                <w:lang w:val="es-419"/>
              </w:rPr>
              <w:t>7. Monitoreo y auditoría</w:t>
            </w:r>
          </w:p>
        </w:tc>
      </w:tr>
    </w:tbl>
    <w:p w14:paraId="753FAA66" w14:textId="77777777" w:rsidR="00EF4BB8" w:rsidRDefault="00EF4BB8" w:rsidP="00EF4BB8">
      <w:pPr>
        <w:pStyle w:val="Textoindependiente"/>
        <w:spacing w:before="57"/>
        <w:ind w:left="0"/>
        <w:jc w:val="left"/>
      </w:pPr>
    </w:p>
    <w:p w14:paraId="751D61DD" w14:textId="77777777" w:rsidR="00FE5A0D" w:rsidRPr="00FE5A0D" w:rsidRDefault="00FE5A0D" w:rsidP="00FE59E8">
      <w:pPr>
        <w:tabs>
          <w:tab w:val="left" w:pos="2445"/>
        </w:tabs>
        <w:ind w:right="-1"/>
        <w:jc w:val="both"/>
        <w:rPr>
          <w:rFonts w:ascii="Times New Roman" w:hAnsi="Times New Roman" w:cs="Times New Roman"/>
          <w:b/>
          <w:bCs/>
        </w:rPr>
      </w:pPr>
      <w:r w:rsidRPr="00FE5A0D">
        <w:rPr>
          <w:rFonts w:ascii="Times New Roman" w:hAnsi="Times New Roman" w:cs="Times New Roman"/>
          <w:b/>
          <w:bCs/>
        </w:rPr>
        <w:t>La acreditación de carreras de grado (Art 43 de la LES)</w:t>
      </w:r>
    </w:p>
    <w:p w14:paraId="03405DD0" w14:textId="1C857EC2" w:rsidR="00FE5A0D" w:rsidRPr="00FE5A0D" w:rsidRDefault="00FE5A0D" w:rsidP="00FE59E8">
      <w:pPr>
        <w:tabs>
          <w:tab w:val="left" w:pos="2445"/>
        </w:tabs>
        <w:ind w:right="-1"/>
        <w:jc w:val="both"/>
        <w:rPr>
          <w:rFonts w:ascii="Times New Roman" w:hAnsi="Times New Roman" w:cs="Times New Roman"/>
        </w:rPr>
      </w:pPr>
      <w:r w:rsidRPr="00FE5A0D">
        <w:rPr>
          <w:rFonts w:ascii="Times New Roman" w:hAnsi="Times New Roman" w:cs="Times New Roman"/>
        </w:rPr>
        <w:t xml:space="preserve">La regulación de los títulos y habilitaciones profesionales en la Argentina constituye una problemática cuyo origen se remonta a la universidad colonial y </w:t>
      </w:r>
      <w:r w:rsidR="00AB65B4">
        <w:rPr>
          <w:rFonts w:ascii="Times New Roman" w:hAnsi="Times New Roman" w:cs="Times New Roman"/>
        </w:rPr>
        <w:t xml:space="preserve">que </w:t>
      </w:r>
      <w:r w:rsidRPr="00FE5A0D">
        <w:rPr>
          <w:rFonts w:ascii="Times New Roman" w:hAnsi="Times New Roman" w:cs="Times New Roman"/>
        </w:rPr>
        <w:t>a lo largo del tiempo se fue reconfigurando hasta nuestros días. Los dos temas centrales que organizan los debates sobre la regulación pueden resumirse en una primera pregunta por “¿Quién garantiza la calidad de los títulos y diplomas?” donde el gobierno, la universidad, el mercado y las corporaciones profesionales disputan la centralidad/exclusividad de esta tarea. Y la segunda pregunta refiere a “¿Cuáles son los mecanismos de garantía de la calidad?” donde se abre distintas alternativas no excluyentes como el reconocimiento oficial y validez nacional de títulos o sea un procedimiento burocrático-estatal, la acreditación de carreras y programas o sea un proceso de evaluación según estándares y la regulación del ejercicio profesional por las corporaciones.</w:t>
      </w:r>
    </w:p>
    <w:p w14:paraId="34BA4E1D" w14:textId="10ADB594" w:rsidR="00FE5A0D" w:rsidRPr="00FE5A0D" w:rsidRDefault="00FE5A0D" w:rsidP="00FE59E8">
      <w:pPr>
        <w:tabs>
          <w:tab w:val="left" w:pos="2445"/>
        </w:tabs>
        <w:ind w:right="-1"/>
        <w:jc w:val="both"/>
        <w:rPr>
          <w:rFonts w:ascii="Times New Roman" w:hAnsi="Times New Roman" w:cs="Times New Roman"/>
        </w:rPr>
      </w:pPr>
      <w:r w:rsidRPr="00FE5A0D">
        <w:rPr>
          <w:rFonts w:ascii="Times New Roman" w:hAnsi="Times New Roman" w:cs="Times New Roman"/>
        </w:rPr>
        <w:t>Ciertamente, la regulación de los títulos y habilidades profesionales es una problemática</w:t>
      </w:r>
      <w:r w:rsidR="009D11B5">
        <w:rPr>
          <w:rFonts w:ascii="Times New Roman" w:hAnsi="Times New Roman" w:cs="Times New Roman"/>
        </w:rPr>
        <w:t xml:space="preserve"> inscripta</w:t>
      </w:r>
      <w:r w:rsidRPr="00FE5A0D">
        <w:rPr>
          <w:rFonts w:ascii="Times New Roman" w:hAnsi="Times New Roman" w:cs="Times New Roman"/>
        </w:rPr>
        <w:t xml:space="preserve"> en la propia histórica de la universidad como institución axial de la modernidad</w:t>
      </w:r>
      <w:r w:rsidR="00D34585">
        <w:rPr>
          <w:rFonts w:ascii="Times New Roman" w:hAnsi="Times New Roman" w:cs="Times New Roman"/>
        </w:rPr>
        <w:t xml:space="preserve"> </w:t>
      </w:r>
      <w:r w:rsidRPr="00FE5A0D">
        <w:rPr>
          <w:rFonts w:ascii="Times New Roman" w:hAnsi="Times New Roman" w:cs="Times New Roman"/>
        </w:rPr>
        <w:t>que marca las tensiones entre el Estado, las corporaciones profesionales y la propia universidad que adoptará diferentes características según los países.</w:t>
      </w:r>
    </w:p>
    <w:p w14:paraId="6A5377E3" w14:textId="77777777" w:rsidR="00FE5A0D" w:rsidRPr="00FE5A0D" w:rsidRDefault="00FE5A0D" w:rsidP="00FE59E8">
      <w:pPr>
        <w:tabs>
          <w:tab w:val="left" w:pos="2445"/>
        </w:tabs>
        <w:ind w:right="-1"/>
        <w:jc w:val="both"/>
        <w:rPr>
          <w:rFonts w:ascii="Times New Roman" w:hAnsi="Times New Roman" w:cs="Times New Roman"/>
        </w:rPr>
      </w:pPr>
      <w:r w:rsidRPr="00FE5A0D">
        <w:rPr>
          <w:rFonts w:ascii="Times New Roman" w:hAnsi="Times New Roman" w:cs="Times New Roman"/>
        </w:rPr>
        <w:t xml:space="preserve">La acreditación de las carreras de grado en Argentina es una política reciente que se instala con la Ley de Educación 24521 de 1995 a fin de dar garantía de calidad a las titulaciones de grado y posgrado. </w:t>
      </w:r>
    </w:p>
    <w:p w14:paraId="1F2B3900" w14:textId="29340E9B" w:rsidR="00FE5A0D" w:rsidRDefault="00FE5A0D" w:rsidP="00FE59E8">
      <w:pPr>
        <w:tabs>
          <w:tab w:val="left" w:pos="2445"/>
        </w:tabs>
        <w:ind w:right="-1"/>
        <w:jc w:val="both"/>
        <w:rPr>
          <w:rFonts w:ascii="Times New Roman" w:hAnsi="Times New Roman" w:cs="Times New Roman"/>
        </w:rPr>
      </w:pPr>
      <w:r w:rsidRPr="00FE5A0D">
        <w:rPr>
          <w:rFonts w:ascii="Times New Roman" w:hAnsi="Times New Roman" w:cs="Times New Roman"/>
        </w:rPr>
        <w:t xml:space="preserve">Como señala </w:t>
      </w:r>
      <w:proofErr w:type="spellStart"/>
      <w:r w:rsidRPr="00FE5A0D">
        <w:rPr>
          <w:rFonts w:ascii="Times New Roman" w:hAnsi="Times New Roman" w:cs="Times New Roman"/>
        </w:rPr>
        <w:t>Nosiglia</w:t>
      </w:r>
      <w:proofErr w:type="spellEnd"/>
      <w:r w:rsidRPr="00FE5A0D">
        <w:rPr>
          <w:rFonts w:ascii="Times New Roman" w:hAnsi="Times New Roman" w:cs="Times New Roman"/>
        </w:rPr>
        <w:t xml:space="preserve"> (2014) esta modalidad de regulación reconoce dos antecedentes</w:t>
      </w:r>
      <w:r w:rsidR="004821E0">
        <w:rPr>
          <w:rFonts w:ascii="Times New Roman" w:hAnsi="Times New Roman" w:cs="Times New Roman"/>
        </w:rPr>
        <w:t>:</w:t>
      </w:r>
      <w:r w:rsidR="00FF0F70">
        <w:rPr>
          <w:rFonts w:ascii="Times New Roman" w:hAnsi="Times New Roman" w:cs="Times New Roman"/>
        </w:rPr>
        <w:t xml:space="preserve"> el primero,</w:t>
      </w:r>
      <w:r w:rsidRPr="00FE5A0D">
        <w:rPr>
          <w:rFonts w:ascii="Times New Roman" w:hAnsi="Times New Roman" w:cs="Times New Roman"/>
        </w:rPr>
        <w:t xml:space="preserve"> l</w:t>
      </w:r>
      <w:r w:rsidR="00EA2D92">
        <w:rPr>
          <w:rFonts w:ascii="Times New Roman" w:hAnsi="Times New Roman" w:cs="Times New Roman"/>
        </w:rPr>
        <w:t>os dictámenes del</w:t>
      </w:r>
      <w:r w:rsidRPr="00FE5A0D">
        <w:rPr>
          <w:rFonts w:ascii="Times New Roman" w:hAnsi="Times New Roman" w:cs="Times New Roman"/>
        </w:rPr>
        <w:t xml:space="preserve"> Consejo Nacional de Educación Superior organismo de asesoramiento </w:t>
      </w:r>
      <w:r w:rsidR="00EA2D92">
        <w:rPr>
          <w:rFonts w:ascii="Times New Roman" w:hAnsi="Times New Roman" w:cs="Times New Roman"/>
        </w:rPr>
        <w:t xml:space="preserve">cread </w:t>
      </w:r>
      <w:r w:rsidRPr="00FE5A0D">
        <w:rPr>
          <w:rFonts w:ascii="Times New Roman" w:hAnsi="Times New Roman" w:cs="Times New Roman"/>
        </w:rPr>
        <w:t>por Decreto 06/93 recom</w:t>
      </w:r>
      <w:r w:rsidR="00EA2D92">
        <w:rPr>
          <w:rFonts w:ascii="Times New Roman" w:hAnsi="Times New Roman" w:cs="Times New Roman"/>
        </w:rPr>
        <w:t>endaban</w:t>
      </w:r>
      <w:r w:rsidRPr="00FE5A0D">
        <w:rPr>
          <w:rFonts w:ascii="Times New Roman" w:hAnsi="Times New Roman" w:cs="Times New Roman"/>
        </w:rPr>
        <w:t xml:space="preserve"> la acreditación de carreras e instituciones universitarias a través de una agencia gubernamental o una asociación legalmente responsable para otorgar reconocimiento público. El segundo antecedente es la discusión previa a la LES de los tres anteproyectos de ley presentados donde uno de los temas más discutidos fue la de separar la habilitación académica a cargo de las universidades y la habilitación profesional que se proponía instituciones creadas para tal fin. Esta propuesta no prosperó, pero si logró introducir</w:t>
      </w:r>
      <w:r w:rsidR="00736584">
        <w:rPr>
          <w:rFonts w:ascii="Times New Roman" w:hAnsi="Times New Roman" w:cs="Times New Roman"/>
        </w:rPr>
        <w:t xml:space="preserve"> en la ley finalmente aprobada</w:t>
      </w:r>
      <w:r w:rsidRPr="00FE5A0D">
        <w:rPr>
          <w:rFonts w:ascii="Times New Roman" w:hAnsi="Times New Roman" w:cs="Times New Roman"/>
        </w:rPr>
        <w:t xml:space="preserve"> la </w:t>
      </w:r>
      <w:r w:rsidRPr="00FE5A0D">
        <w:rPr>
          <w:rFonts w:ascii="Times New Roman" w:hAnsi="Times New Roman" w:cs="Times New Roman"/>
        </w:rPr>
        <w:lastRenderedPageBreak/>
        <w:t>necesidad de un mecanismo obligatorio y periódico de acreditación de carreras de grado y posgrado.</w:t>
      </w:r>
    </w:p>
    <w:p w14:paraId="48407F98" w14:textId="756AB3EF" w:rsidR="005E75E5" w:rsidRDefault="00660E08" w:rsidP="005E75E5">
      <w:pPr>
        <w:tabs>
          <w:tab w:val="left" w:pos="2445"/>
        </w:tabs>
        <w:ind w:right="-1"/>
        <w:jc w:val="both"/>
        <w:rPr>
          <w:rFonts w:ascii="Times New Roman" w:hAnsi="Times New Roman" w:cs="Times New Roman"/>
        </w:rPr>
      </w:pPr>
      <w:r w:rsidRPr="00660E08">
        <w:rPr>
          <w:rFonts w:ascii="Times New Roman" w:hAnsi="Times New Roman" w:cs="Times New Roman"/>
          <w:lang w:val="es-ES"/>
        </w:rPr>
        <w:t>La L</w:t>
      </w:r>
      <w:r w:rsidR="006D54FA">
        <w:rPr>
          <w:rFonts w:ascii="Times New Roman" w:hAnsi="Times New Roman" w:cs="Times New Roman"/>
          <w:lang w:val="es-ES"/>
        </w:rPr>
        <w:t>e</w:t>
      </w:r>
      <w:r w:rsidR="0062213A">
        <w:rPr>
          <w:rFonts w:ascii="Times New Roman" w:hAnsi="Times New Roman" w:cs="Times New Roman"/>
          <w:lang w:val="es-ES"/>
        </w:rPr>
        <w:t xml:space="preserve">y </w:t>
      </w:r>
      <w:r w:rsidR="006D54FA">
        <w:rPr>
          <w:rFonts w:ascii="Times New Roman" w:hAnsi="Times New Roman" w:cs="Times New Roman"/>
          <w:lang w:val="es-ES"/>
        </w:rPr>
        <w:t>finalmente sancionada</w:t>
      </w:r>
      <w:r w:rsidR="00C32E4E">
        <w:rPr>
          <w:rFonts w:ascii="Times New Roman" w:hAnsi="Times New Roman" w:cs="Times New Roman"/>
          <w:lang w:val="es-ES"/>
        </w:rPr>
        <w:t xml:space="preserve"> reconoce un conjunto de actores institucionales </w:t>
      </w:r>
      <w:r w:rsidR="00955EBC">
        <w:rPr>
          <w:rFonts w:ascii="Times New Roman" w:hAnsi="Times New Roman" w:cs="Times New Roman"/>
          <w:lang w:val="es-ES"/>
        </w:rPr>
        <w:t xml:space="preserve">y define una serie de procedimientos para la acreditación de carreras de grado. Así, </w:t>
      </w:r>
      <w:r w:rsidR="002E65ED">
        <w:rPr>
          <w:rFonts w:ascii="Times New Roman" w:hAnsi="Times New Roman" w:cs="Times New Roman"/>
        </w:rPr>
        <w:t xml:space="preserve">el </w:t>
      </w:r>
      <w:r w:rsidR="00C32E4E" w:rsidRPr="00FE5A0D">
        <w:rPr>
          <w:rFonts w:ascii="Times New Roman" w:hAnsi="Times New Roman" w:cs="Times New Roman"/>
        </w:rPr>
        <w:t xml:space="preserve">Ministerio de Educación </w:t>
      </w:r>
      <w:r w:rsidR="002E65ED">
        <w:rPr>
          <w:rFonts w:ascii="Times New Roman" w:hAnsi="Times New Roman" w:cs="Times New Roman"/>
        </w:rPr>
        <w:t>a través de la</w:t>
      </w:r>
      <w:r w:rsidR="00C32E4E" w:rsidRPr="00FE5A0D">
        <w:rPr>
          <w:rFonts w:ascii="Times New Roman" w:hAnsi="Times New Roman" w:cs="Times New Roman"/>
        </w:rPr>
        <w:t xml:space="preserve"> Secretaría de Educación</w:t>
      </w:r>
      <w:r w:rsidR="00AD2EB1">
        <w:rPr>
          <w:rFonts w:ascii="Times New Roman" w:hAnsi="Times New Roman" w:cs="Times New Roman"/>
        </w:rPr>
        <w:t xml:space="preserve">, el Consejo de Universidades </w:t>
      </w:r>
      <w:r w:rsidR="00B236E1">
        <w:rPr>
          <w:rFonts w:ascii="Times New Roman" w:hAnsi="Times New Roman" w:cs="Times New Roman"/>
        </w:rPr>
        <w:t>(</w:t>
      </w:r>
      <w:r w:rsidR="00B236E1">
        <w:rPr>
          <w:rFonts w:ascii="Times New Roman" w:hAnsi="Times New Roman" w:cs="Times New Roman"/>
        </w:rPr>
        <w:t>i</w:t>
      </w:r>
      <w:r w:rsidR="00B236E1" w:rsidRPr="00FE5A0D">
        <w:rPr>
          <w:rFonts w:ascii="Times New Roman" w:hAnsi="Times New Roman" w:cs="Times New Roman"/>
        </w:rPr>
        <w:t>ntegrado por CIN</w:t>
      </w:r>
      <w:r w:rsidR="00EC56A4">
        <w:rPr>
          <w:rFonts w:ascii="Times New Roman" w:hAnsi="Times New Roman" w:cs="Times New Roman"/>
        </w:rPr>
        <w:t xml:space="preserve"> y</w:t>
      </w:r>
      <w:r w:rsidR="00B236E1" w:rsidRPr="00FE5A0D">
        <w:rPr>
          <w:rFonts w:ascii="Times New Roman" w:hAnsi="Times New Roman" w:cs="Times New Roman"/>
        </w:rPr>
        <w:t xml:space="preserve"> CRUP</w:t>
      </w:r>
      <w:r w:rsidR="00030E4D">
        <w:rPr>
          <w:rFonts w:ascii="Times New Roman" w:hAnsi="Times New Roman" w:cs="Times New Roman"/>
        </w:rPr>
        <w:t>)</w:t>
      </w:r>
      <w:r w:rsidR="00104009">
        <w:rPr>
          <w:rFonts w:ascii="Times New Roman" w:hAnsi="Times New Roman" w:cs="Times New Roman"/>
        </w:rPr>
        <w:t xml:space="preserve">, </w:t>
      </w:r>
      <w:r w:rsidR="00FE59B5">
        <w:rPr>
          <w:rFonts w:ascii="Times New Roman" w:hAnsi="Times New Roman" w:cs="Times New Roman"/>
        </w:rPr>
        <w:t>las asociaciones</w:t>
      </w:r>
      <w:r w:rsidR="00104009">
        <w:rPr>
          <w:rFonts w:ascii="Times New Roman" w:hAnsi="Times New Roman" w:cs="Times New Roman"/>
        </w:rPr>
        <w:t xml:space="preserve"> de decanos y facultades y </w:t>
      </w:r>
      <w:r w:rsidR="00FE59B5">
        <w:rPr>
          <w:rFonts w:ascii="Times New Roman" w:hAnsi="Times New Roman" w:cs="Times New Roman"/>
        </w:rPr>
        <w:t>asociaciones profesionales y</w:t>
      </w:r>
      <w:r w:rsidR="00636166">
        <w:rPr>
          <w:rFonts w:ascii="Times New Roman" w:hAnsi="Times New Roman" w:cs="Times New Roman"/>
        </w:rPr>
        <w:t xml:space="preserve"> </w:t>
      </w:r>
      <w:r w:rsidR="00B236E1">
        <w:rPr>
          <w:rFonts w:ascii="Times New Roman" w:hAnsi="Times New Roman" w:cs="Times New Roman"/>
        </w:rPr>
        <w:t xml:space="preserve">la </w:t>
      </w:r>
      <w:r w:rsidR="00B236E1" w:rsidRPr="00FE5A0D">
        <w:rPr>
          <w:rFonts w:ascii="Times New Roman" w:hAnsi="Times New Roman" w:cs="Times New Roman"/>
        </w:rPr>
        <w:t>CONEAU</w:t>
      </w:r>
      <w:r w:rsidR="00EC56A4">
        <w:rPr>
          <w:rFonts w:ascii="Times New Roman" w:hAnsi="Times New Roman" w:cs="Times New Roman"/>
        </w:rPr>
        <w:t xml:space="preserve"> configuran los actores </w:t>
      </w:r>
      <w:r w:rsidR="00CC3F86">
        <w:rPr>
          <w:rFonts w:ascii="Times New Roman" w:hAnsi="Times New Roman" w:cs="Times New Roman"/>
        </w:rPr>
        <w:t>principales</w:t>
      </w:r>
      <w:r w:rsidR="00EC56A4">
        <w:rPr>
          <w:rFonts w:ascii="Times New Roman" w:hAnsi="Times New Roman" w:cs="Times New Roman"/>
        </w:rPr>
        <w:t xml:space="preserve"> </w:t>
      </w:r>
      <w:r w:rsidR="005E75E5">
        <w:rPr>
          <w:rFonts w:ascii="Times New Roman" w:hAnsi="Times New Roman" w:cs="Times New Roman"/>
        </w:rPr>
        <w:t xml:space="preserve">de la </w:t>
      </w:r>
      <w:r w:rsidR="005E75E5" w:rsidRPr="005E75E5">
        <w:rPr>
          <w:rFonts w:ascii="Times New Roman" w:hAnsi="Times New Roman" w:cs="Times New Roman"/>
        </w:rPr>
        <w:t>acreditación de carreras de grado</w:t>
      </w:r>
      <w:r w:rsidR="00B84E61">
        <w:rPr>
          <w:rFonts w:ascii="Times New Roman" w:hAnsi="Times New Roman" w:cs="Times New Roman"/>
        </w:rPr>
        <w:t xml:space="preserve">. </w:t>
      </w:r>
    </w:p>
    <w:p w14:paraId="607A77D2" w14:textId="47C3A742" w:rsidR="005A766B" w:rsidRPr="00F56227" w:rsidRDefault="005A766B" w:rsidP="005A766B">
      <w:pPr>
        <w:pStyle w:val="Textoindependiente"/>
        <w:ind w:left="203"/>
        <w:jc w:val="left"/>
      </w:pPr>
      <w:r w:rsidRPr="00F56227">
        <w:t>Cuadro</w:t>
      </w:r>
      <w:r w:rsidRPr="00F56227">
        <w:rPr>
          <w:spacing w:val="-1"/>
        </w:rPr>
        <w:t xml:space="preserve"> </w:t>
      </w:r>
      <w:r w:rsidR="000B49A2">
        <w:t>3.</w:t>
      </w:r>
      <w:r w:rsidRPr="00F56227">
        <w:rPr>
          <w:spacing w:val="-1"/>
        </w:rPr>
        <w:t xml:space="preserve"> </w:t>
      </w:r>
      <w:r w:rsidRPr="00F56227">
        <w:t>Asociaciones</w:t>
      </w:r>
      <w:r w:rsidRPr="00F56227">
        <w:rPr>
          <w:spacing w:val="-1"/>
        </w:rPr>
        <w:t xml:space="preserve"> </w:t>
      </w:r>
      <w:r w:rsidRPr="00F56227">
        <w:t>de</w:t>
      </w:r>
      <w:r w:rsidRPr="00F56227">
        <w:rPr>
          <w:spacing w:val="-2"/>
        </w:rPr>
        <w:t xml:space="preserve"> Facultades</w:t>
      </w:r>
    </w:p>
    <w:tbl>
      <w:tblPr>
        <w:tblStyle w:val="TableNormal"/>
        <w:tblW w:w="8362"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4229"/>
        <w:gridCol w:w="1418"/>
        <w:gridCol w:w="1275"/>
      </w:tblGrid>
      <w:tr w:rsidR="005A766B" w14:paraId="788F0045" w14:textId="77777777" w:rsidTr="00F56227">
        <w:trPr>
          <w:trHeight w:val="299"/>
        </w:trPr>
        <w:tc>
          <w:tcPr>
            <w:tcW w:w="1440" w:type="dxa"/>
          </w:tcPr>
          <w:p w14:paraId="05F487A4" w14:textId="77777777" w:rsidR="005A766B" w:rsidRDefault="005A766B" w:rsidP="00403771">
            <w:pPr>
              <w:pStyle w:val="TableParagraph"/>
              <w:spacing w:before="70" w:line="210" w:lineRule="exact"/>
              <w:rPr>
                <w:b/>
                <w:sz w:val="20"/>
              </w:rPr>
            </w:pPr>
            <w:r>
              <w:rPr>
                <w:b/>
                <w:spacing w:val="-2"/>
                <w:sz w:val="20"/>
              </w:rPr>
              <w:t>Carreras</w:t>
            </w:r>
          </w:p>
        </w:tc>
        <w:tc>
          <w:tcPr>
            <w:tcW w:w="4229" w:type="dxa"/>
          </w:tcPr>
          <w:p w14:paraId="11044FF6" w14:textId="77777777" w:rsidR="005A766B" w:rsidRDefault="005A766B" w:rsidP="00403771">
            <w:pPr>
              <w:pStyle w:val="TableParagraph"/>
              <w:spacing w:before="70" w:line="210" w:lineRule="exact"/>
              <w:rPr>
                <w:b/>
                <w:sz w:val="20"/>
              </w:rPr>
            </w:pPr>
            <w:r>
              <w:rPr>
                <w:b/>
                <w:spacing w:val="-2"/>
                <w:sz w:val="20"/>
              </w:rPr>
              <w:t>Asociación</w:t>
            </w:r>
          </w:p>
        </w:tc>
        <w:tc>
          <w:tcPr>
            <w:tcW w:w="1418" w:type="dxa"/>
          </w:tcPr>
          <w:p w14:paraId="6D7C3860" w14:textId="77777777" w:rsidR="005A766B" w:rsidRDefault="005A766B" w:rsidP="00403771">
            <w:pPr>
              <w:pStyle w:val="TableParagraph"/>
              <w:spacing w:before="70" w:line="210" w:lineRule="exact"/>
              <w:rPr>
                <w:b/>
                <w:sz w:val="20"/>
              </w:rPr>
            </w:pPr>
            <w:r>
              <w:rPr>
                <w:b/>
                <w:spacing w:val="-2"/>
                <w:sz w:val="20"/>
              </w:rPr>
              <w:t>Sigla</w:t>
            </w:r>
          </w:p>
        </w:tc>
        <w:tc>
          <w:tcPr>
            <w:tcW w:w="1275" w:type="dxa"/>
          </w:tcPr>
          <w:p w14:paraId="518BBAED" w14:textId="77777777" w:rsidR="005A766B" w:rsidRDefault="005A766B" w:rsidP="00403771">
            <w:pPr>
              <w:pStyle w:val="TableParagraph"/>
              <w:spacing w:before="70" w:line="210" w:lineRule="exact"/>
              <w:rPr>
                <w:b/>
                <w:sz w:val="20"/>
              </w:rPr>
            </w:pPr>
            <w:r>
              <w:rPr>
                <w:b/>
                <w:spacing w:val="-2"/>
                <w:sz w:val="20"/>
              </w:rPr>
              <w:t>Fundación</w:t>
            </w:r>
          </w:p>
        </w:tc>
      </w:tr>
      <w:tr w:rsidR="005A766B" w14:paraId="1E194FCC" w14:textId="77777777" w:rsidTr="00F56227">
        <w:trPr>
          <w:trHeight w:val="391"/>
        </w:trPr>
        <w:tc>
          <w:tcPr>
            <w:tcW w:w="1440" w:type="dxa"/>
          </w:tcPr>
          <w:p w14:paraId="210A3FAB" w14:textId="77777777" w:rsidR="005A766B" w:rsidRDefault="005A766B" w:rsidP="00403771">
            <w:pPr>
              <w:pStyle w:val="TableParagraph"/>
              <w:spacing w:line="225" w:lineRule="exact"/>
              <w:rPr>
                <w:sz w:val="20"/>
              </w:rPr>
            </w:pPr>
            <w:r>
              <w:rPr>
                <w:spacing w:val="-2"/>
                <w:sz w:val="20"/>
              </w:rPr>
              <w:t>Ingeniería</w:t>
            </w:r>
          </w:p>
        </w:tc>
        <w:tc>
          <w:tcPr>
            <w:tcW w:w="4229" w:type="dxa"/>
          </w:tcPr>
          <w:p w14:paraId="21394C7A" w14:textId="77777777" w:rsidR="005A766B" w:rsidRDefault="005A766B" w:rsidP="00403771">
            <w:pPr>
              <w:pStyle w:val="TableParagraph"/>
              <w:tabs>
                <w:tab w:val="left" w:pos="937"/>
                <w:tab w:val="left" w:pos="1750"/>
                <w:tab w:val="left" w:pos="2152"/>
                <w:tab w:val="left" w:pos="3054"/>
              </w:tabs>
              <w:spacing w:line="237" w:lineRule="auto"/>
              <w:ind w:right="64"/>
              <w:rPr>
                <w:sz w:val="20"/>
              </w:rPr>
            </w:pPr>
            <w:r>
              <w:rPr>
                <w:spacing w:val="-2"/>
                <w:sz w:val="20"/>
              </w:rPr>
              <w:t>Consejo</w:t>
            </w:r>
            <w:r>
              <w:rPr>
                <w:sz w:val="20"/>
              </w:rPr>
              <w:tab/>
            </w:r>
            <w:r>
              <w:rPr>
                <w:spacing w:val="-2"/>
                <w:sz w:val="20"/>
              </w:rPr>
              <w:t>Federal</w:t>
            </w:r>
            <w:r>
              <w:rPr>
                <w:sz w:val="20"/>
              </w:rPr>
              <w:tab/>
            </w:r>
            <w:r>
              <w:rPr>
                <w:spacing w:val="-6"/>
                <w:sz w:val="20"/>
              </w:rPr>
              <w:t>de</w:t>
            </w:r>
            <w:r>
              <w:rPr>
                <w:sz w:val="20"/>
              </w:rPr>
              <w:tab/>
            </w:r>
            <w:r>
              <w:rPr>
                <w:spacing w:val="-2"/>
                <w:sz w:val="20"/>
              </w:rPr>
              <w:t>Decanos</w:t>
            </w:r>
            <w:r>
              <w:rPr>
                <w:sz w:val="20"/>
              </w:rPr>
              <w:tab/>
            </w:r>
            <w:r>
              <w:rPr>
                <w:spacing w:val="-6"/>
                <w:sz w:val="20"/>
              </w:rPr>
              <w:t xml:space="preserve">de </w:t>
            </w:r>
            <w:r>
              <w:rPr>
                <w:spacing w:val="-2"/>
                <w:sz w:val="20"/>
              </w:rPr>
              <w:t>Ingeniería</w:t>
            </w:r>
          </w:p>
        </w:tc>
        <w:tc>
          <w:tcPr>
            <w:tcW w:w="1418" w:type="dxa"/>
          </w:tcPr>
          <w:p w14:paraId="2E37B77E" w14:textId="77777777" w:rsidR="005A766B" w:rsidRDefault="005A766B" w:rsidP="00403771">
            <w:pPr>
              <w:pStyle w:val="TableParagraph"/>
              <w:spacing w:line="225" w:lineRule="exact"/>
              <w:rPr>
                <w:sz w:val="20"/>
              </w:rPr>
            </w:pPr>
            <w:r>
              <w:rPr>
                <w:spacing w:val="-2"/>
                <w:sz w:val="20"/>
              </w:rPr>
              <w:t>CONFEDI</w:t>
            </w:r>
          </w:p>
        </w:tc>
        <w:tc>
          <w:tcPr>
            <w:tcW w:w="1275" w:type="dxa"/>
          </w:tcPr>
          <w:p w14:paraId="2A872814" w14:textId="77777777" w:rsidR="005A766B" w:rsidRDefault="005A766B" w:rsidP="00403771">
            <w:pPr>
              <w:pStyle w:val="TableParagraph"/>
              <w:spacing w:line="225" w:lineRule="exact"/>
              <w:rPr>
                <w:sz w:val="20"/>
              </w:rPr>
            </w:pPr>
            <w:r>
              <w:rPr>
                <w:spacing w:val="-4"/>
                <w:sz w:val="20"/>
              </w:rPr>
              <w:t>1988</w:t>
            </w:r>
          </w:p>
        </w:tc>
      </w:tr>
      <w:tr w:rsidR="005A766B" w14:paraId="653E4F9C" w14:textId="77777777" w:rsidTr="00F56227">
        <w:trPr>
          <w:trHeight w:val="553"/>
        </w:trPr>
        <w:tc>
          <w:tcPr>
            <w:tcW w:w="1440" w:type="dxa"/>
          </w:tcPr>
          <w:p w14:paraId="4C17185B" w14:textId="77777777" w:rsidR="005A766B" w:rsidRDefault="005A766B" w:rsidP="00403771">
            <w:pPr>
              <w:pStyle w:val="TableParagraph"/>
              <w:spacing w:line="223" w:lineRule="exact"/>
              <w:rPr>
                <w:sz w:val="20"/>
              </w:rPr>
            </w:pPr>
            <w:r>
              <w:rPr>
                <w:spacing w:val="-2"/>
                <w:sz w:val="20"/>
              </w:rPr>
              <w:t>Medicina</w:t>
            </w:r>
          </w:p>
        </w:tc>
        <w:tc>
          <w:tcPr>
            <w:tcW w:w="4229" w:type="dxa"/>
          </w:tcPr>
          <w:p w14:paraId="2D0E2D55" w14:textId="77777777" w:rsidR="005A766B" w:rsidRDefault="005A766B" w:rsidP="00403771">
            <w:pPr>
              <w:pStyle w:val="TableParagraph"/>
              <w:rPr>
                <w:sz w:val="20"/>
              </w:rPr>
            </w:pPr>
            <w:r>
              <w:rPr>
                <w:sz w:val="20"/>
              </w:rPr>
              <w:t>Asociación</w:t>
            </w:r>
            <w:r>
              <w:rPr>
                <w:spacing w:val="27"/>
                <w:sz w:val="20"/>
              </w:rPr>
              <w:t xml:space="preserve"> </w:t>
            </w:r>
            <w:r>
              <w:rPr>
                <w:sz w:val="20"/>
              </w:rPr>
              <w:t>de</w:t>
            </w:r>
            <w:r>
              <w:rPr>
                <w:spacing w:val="30"/>
                <w:sz w:val="20"/>
              </w:rPr>
              <w:t xml:space="preserve"> </w:t>
            </w:r>
            <w:r>
              <w:rPr>
                <w:sz w:val="20"/>
              </w:rPr>
              <w:t>Facultades</w:t>
            </w:r>
            <w:r>
              <w:rPr>
                <w:spacing w:val="28"/>
                <w:sz w:val="20"/>
              </w:rPr>
              <w:t xml:space="preserve"> </w:t>
            </w:r>
            <w:r>
              <w:rPr>
                <w:sz w:val="20"/>
              </w:rPr>
              <w:t>de</w:t>
            </w:r>
            <w:r>
              <w:rPr>
                <w:spacing w:val="30"/>
                <w:sz w:val="20"/>
              </w:rPr>
              <w:t xml:space="preserve"> </w:t>
            </w:r>
            <w:r>
              <w:rPr>
                <w:sz w:val="20"/>
              </w:rPr>
              <w:t>Ciencias Médicas de la República Argentina</w:t>
            </w:r>
          </w:p>
        </w:tc>
        <w:tc>
          <w:tcPr>
            <w:tcW w:w="1418" w:type="dxa"/>
          </w:tcPr>
          <w:p w14:paraId="13EDDA4B" w14:textId="77777777" w:rsidR="005A766B" w:rsidRDefault="005A766B" w:rsidP="00403771">
            <w:pPr>
              <w:pStyle w:val="TableParagraph"/>
              <w:spacing w:line="223" w:lineRule="exact"/>
              <w:rPr>
                <w:sz w:val="20"/>
              </w:rPr>
            </w:pPr>
            <w:r>
              <w:rPr>
                <w:spacing w:val="-2"/>
                <w:sz w:val="20"/>
              </w:rPr>
              <w:t>AFACIMERA</w:t>
            </w:r>
          </w:p>
        </w:tc>
        <w:tc>
          <w:tcPr>
            <w:tcW w:w="1275" w:type="dxa"/>
          </w:tcPr>
          <w:p w14:paraId="26DC1C81" w14:textId="77777777" w:rsidR="005A766B" w:rsidRDefault="005A766B" w:rsidP="00403771">
            <w:pPr>
              <w:pStyle w:val="TableParagraph"/>
              <w:spacing w:line="223" w:lineRule="exact"/>
              <w:rPr>
                <w:sz w:val="20"/>
              </w:rPr>
            </w:pPr>
            <w:r>
              <w:rPr>
                <w:spacing w:val="-4"/>
                <w:sz w:val="20"/>
              </w:rPr>
              <w:t>1961</w:t>
            </w:r>
          </w:p>
        </w:tc>
      </w:tr>
      <w:tr w:rsidR="005A766B" w14:paraId="61EB6F7E" w14:textId="77777777" w:rsidTr="00F56227">
        <w:trPr>
          <w:trHeight w:val="547"/>
        </w:trPr>
        <w:tc>
          <w:tcPr>
            <w:tcW w:w="1440" w:type="dxa"/>
          </w:tcPr>
          <w:p w14:paraId="22811034" w14:textId="77777777" w:rsidR="005A766B" w:rsidRDefault="005A766B" w:rsidP="00403771">
            <w:pPr>
              <w:pStyle w:val="TableParagraph"/>
              <w:spacing w:line="223" w:lineRule="exact"/>
              <w:rPr>
                <w:sz w:val="20"/>
              </w:rPr>
            </w:pPr>
            <w:r>
              <w:rPr>
                <w:spacing w:val="-2"/>
                <w:sz w:val="20"/>
              </w:rPr>
              <w:t>Odontología</w:t>
            </w:r>
          </w:p>
        </w:tc>
        <w:tc>
          <w:tcPr>
            <w:tcW w:w="4229" w:type="dxa"/>
          </w:tcPr>
          <w:p w14:paraId="4C577062" w14:textId="77777777" w:rsidR="005A766B" w:rsidRDefault="005A766B" w:rsidP="00403771">
            <w:pPr>
              <w:pStyle w:val="TableParagraph"/>
              <w:tabs>
                <w:tab w:val="left" w:pos="1313"/>
                <w:tab w:val="left" w:pos="1853"/>
                <w:tab w:val="left" w:pos="3056"/>
              </w:tabs>
              <w:ind w:right="61"/>
              <w:rPr>
                <w:sz w:val="20"/>
              </w:rPr>
            </w:pPr>
            <w:r>
              <w:rPr>
                <w:spacing w:val="-2"/>
                <w:sz w:val="20"/>
              </w:rPr>
              <w:t>Asociación</w:t>
            </w:r>
            <w:r>
              <w:rPr>
                <w:sz w:val="20"/>
              </w:rPr>
              <w:tab/>
            </w:r>
            <w:r>
              <w:rPr>
                <w:spacing w:val="-6"/>
                <w:sz w:val="20"/>
              </w:rPr>
              <w:t>de</w:t>
            </w:r>
            <w:r>
              <w:rPr>
                <w:sz w:val="20"/>
              </w:rPr>
              <w:tab/>
            </w:r>
            <w:r>
              <w:rPr>
                <w:spacing w:val="-2"/>
                <w:sz w:val="20"/>
              </w:rPr>
              <w:t>Facultades</w:t>
            </w:r>
            <w:r>
              <w:rPr>
                <w:sz w:val="20"/>
              </w:rPr>
              <w:tab/>
            </w:r>
            <w:r>
              <w:rPr>
                <w:spacing w:val="-6"/>
                <w:sz w:val="20"/>
              </w:rPr>
              <w:t xml:space="preserve">de </w:t>
            </w:r>
            <w:r>
              <w:rPr>
                <w:sz w:val="20"/>
              </w:rPr>
              <w:t>Odontología</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República</w:t>
            </w:r>
            <w:r>
              <w:rPr>
                <w:spacing w:val="-4"/>
                <w:sz w:val="20"/>
              </w:rPr>
              <w:t xml:space="preserve"> </w:t>
            </w:r>
            <w:r>
              <w:rPr>
                <w:spacing w:val="-2"/>
                <w:sz w:val="20"/>
              </w:rPr>
              <w:t>Argentina</w:t>
            </w:r>
          </w:p>
        </w:tc>
        <w:tc>
          <w:tcPr>
            <w:tcW w:w="1418" w:type="dxa"/>
          </w:tcPr>
          <w:p w14:paraId="517F431B" w14:textId="77777777" w:rsidR="005A766B" w:rsidRDefault="005A766B" w:rsidP="00403771">
            <w:pPr>
              <w:pStyle w:val="TableParagraph"/>
              <w:spacing w:line="223" w:lineRule="exact"/>
              <w:rPr>
                <w:sz w:val="20"/>
              </w:rPr>
            </w:pPr>
            <w:r>
              <w:rPr>
                <w:spacing w:val="-2"/>
                <w:sz w:val="20"/>
              </w:rPr>
              <w:t>AFORA</w:t>
            </w:r>
          </w:p>
        </w:tc>
        <w:tc>
          <w:tcPr>
            <w:tcW w:w="1275" w:type="dxa"/>
          </w:tcPr>
          <w:p w14:paraId="1A3E450B" w14:textId="77777777" w:rsidR="005A766B" w:rsidRDefault="005A766B" w:rsidP="00403771">
            <w:pPr>
              <w:pStyle w:val="TableParagraph"/>
              <w:spacing w:line="223" w:lineRule="exact"/>
              <w:rPr>
                <w:sz w:val="20"/>
              </w:rPr>
            </w:pPr>
            <w:r>
              <w:rPr>
                <w:spacing w:val="-4"/>
                <w:sz w:val="20"/>
              </w:rPr>
              <w:t>1967</w:t>
            </w:r>
          </w:p>
        </w:tc>
      </w:tr>
      <w:tr w:rsidR="005A766B" w14:paraId="707FE5E7" w14:textId="77777777" w:rsidTr="00F56227">
        <w:trPr>
          <w:trHeight w:val="674"/>
        </w:trPr>
        <w:tc>
          <w:tcPr>
            <w:tcW w:w="1440" w:type="dxa"/>
            <w:tcBorders>
              <w:top w:val="nil"/>
            </w:tcBorders>
          </w:tcPr>
          <w:p w14:paraId="20210CF7" w14:textId="77777777" w:rsidR="005A766B" w:rsidRDefault="005A766B" w:rsidP="00403771">
            <w:pPr>
              <w:pStyle w:val="TableParagraph"/>
              <w:ind w:right="193"/>
              <w:rPr>
                <w:sz w:val="20"/>
              </w:rPr>
            </w:pPr>
            <w:r>
              <w:rPr>
                <w:sz w:val="20"/>
              </w:rPr>
              <w:t>Humanidades-</w:t>
            </w:r>
            <w:r>
              <w:rPr>
                <w:spacing w:val="-2"/>
                <w:sz w:val="20"/>
              </w:rPr>
              <w:t>Educación</w:t>
            </w:r>
          </w:p>
        </w:tc>
        <w:tc>
          <w:tcPr>
            <w:tcW w:w="4229" w:type="dxa"/>
            <w:tcBorders>
              <w:top w:val="nil"/>
            </w:tcBorders>
          </w:tcPr>
          <w:p w14:paraId="2EFB318E" w14:textId="77777777" w:rsidR="005A766B" w:rsidRDefault="005A766B" w:rsidP="00403771">
            <w:pPr>
              <w:pStyle w:val="TableParagraph"/>
              <w:rPr>
                <w:sz w:val="20"/>
              </w:rPr>
            </w:pPr>
            <w:r>
              <w:rPr>
                <w:sz w:val="20"/>
              </w:rPr>
              <w:t>Asociación</w:t>
            </w:r>
            <w:r>
              <w:rPr>
                <w:spacing w:val="20"/>
                <w:sz w:val="20"/>
              </w:rPr>
              <w:t xml:space="preserve"> </w:t>
            </w:r>
            <w:r>
              <w:rPr>
                <w:sz w:val="20"/>
              </w:rPr>
              <w:t>Nacional</w:t>
            </w:r>
            <w:r>
              <w:rPr>
                <w:spacing w:val="21"/>
                <w:sz w:val="20"/>
              </w:rPr>
              <w:t xml:space="preserve"> </w:t>
            </w:r>
            <w:r>
              <w:rPr>
                <w:sz w:val="20"/>
              </w:rPr>
              <w:t>de</w:t>
            </w:r>
            <w:r>
              <w:rPr>
                <w:spacing w:val="24"/>
                <w:sz w:val="20"/>
              </w:rPr>
              <w:t xml:space="preserve"> </w:t>
            </w:r>
            <w:r>
              <w:rPr>
                <w:sz w:val="20"/>
              </w:rPr>
              <w:t>Facultades</w:t>
            </w:r>
            <w:r>
              <w:rPr>
                <w:spacing w:val="21"/>
                <w:sz w:val="20"/>
              </w:rPr>
              <w:t xml:space="preserve"> </w:t>
            </w:r>
            <w:r>
              <w:rPr>
                <w:sz w:val="20"/>
              </w:rPr>
              <w:t>de Humanidades y Educación</w:t>
            </w:r>
          </w:p>
        </w:tc>
        <w:tc>
          <w:tcPr>
            <w:tcW w:w="1418" w:type="dxa"/>
            <w:tcBorders>
              <w:top w:val="nil"/>
            </w:tcBorders>
          </w:tcPr>
          <w:p w14:paraId="75A8D58C" w14:textId="77777777" w:rsidR="005A766B" w:rsidRDefault="005A766B" w:rsidP="00403771">
            <w:pPr>
              <w:pStyle w:val="TableParagraph"/>
              <w:spacing w:line="223" w:lineRule="exact"/>
              <w:rPr>
                <w:sz w:val="20"/>
              </w:rPr>
            </w:pPr>
            <w:r>
              <w:rPr>
                <w:spacing w:val="-2"/>
                <w:sz w:val="20"/>
              </w:rPr>
              <w:t>ANFHE</w:t>
            </w:r>
          </w:p>
        </w:tc>
        <w:tc>
          <w:tcPr>
            <w:tcW w:w="1275" w:type="dxa"/>
            <w:tcBorders>
              <w:top w:val="nil"/>
            </w:tcBorders>
          </w:tcPr>
          <w:p w14:paraId="69154834" w14:textId="77777777" w:rsidR="005A766B" w:rsidRDefault="005A766B" w:rsidP="00403771">
            <w:pPr>
              <w:pStyle w:val="TableParagraph"/>
              <w:spacing w:line="223" w:lineRule="exact"/>
              <w:rPr>
                <w:sz w:val="20"/>
              </w:rPr>
            </w:pPr>
            <w:r>
              <w:rPr>
                <w:spacing w:val="-4"/>
                <w:sz w:val="20"/>
              </w:rPr>
              <w:t>2003</w:t>
            </w:r>
          </w:p>
        </w:tc>
      </w:tr>
      <w:tr w:rsidR="005A766B" w14:paraId="7B36ACFC" w14:textId="77777777" w:rsidTr="00F56227">
        <w:trPr>
          <w:trHeight w:val="1018"/>
        </w:trPr>
        <w:tc>
          <w:tcPr>
            <w:tcW w:w="1440" w:type="dxa"/>
          </w:tcPr>
          <w:p w14:paraId="75A3C826" w14:textId="77777777" w:rsidR="005A766B" w:rsidRDefault="005A766B" w:rsidP="00403771">
            <w:pPr>
              <w:pStyle w:val="TableParagraph"/>
              <w:spacing w:line="223" w:lineRule="exact"/>
              <w:rPr>
                <w:sz w:val="20"/>
              </w:rPr>
            </w:pPr>
            <w:r>
              <w:rPr>
                <w:spacing w:val="-2"/>
                <w:sz w:val="20"/>
              </w:rPr>
              <w:t>Arquitectura</w:t>
            </w:r>
          </w:p>
        </w:tc>
        <w:tc>
          <w:tcPr>
            <w:tcW w:w="4229" w:type="dxa"/>
          </w:tcPr>
          <w:p w14:paraId="2742561D" w14:textId="77777777" w:rsidR="005A766B" w:rsidRDefault="005A766B" w:rsidP="00403771">
            <w:pPr>
              <w:pStyle w:val="TableParagraph"/>
              <w:ind w:right="59"/>
              <w:jc w:val="both"/>
              <w:rPr>
                <w:sz w:val="20"/>
              </w:rPr>
            </w:pPr>
            <w:r>
              <w:rPr>
                <w:sz w:val="20"/>
              </w:rPr>
              <w:t xml:space="preserve">Consejo de Decanos de Facultades de Arquitectura de Universidades Nacionales y Comisión de Decanos de Facultades de Arquitectura de Gestión </w:t>
            </w:r>
            <w:r>
              <w:rPr>
                <w:spacing w:val="-2"/>
                <w:sz w:val="20"/>
              </w:rPr>
              <w:t>Privada</w:t>
            </w:r>
          </w:p>
        </w:tc>
        <w:tc>
          <w:tcPr>
            <w:tcW w:w="1418" w:type="dxa"/>
          </w:tcPr>
          <w:p w14:paraId="36EE5733" w14:textId="77777777" w:rsidR="005A766B" w:rsidRDefault="005A766B" w:rsidP="00403771">
            <w:pPr>
              <w:pStyle w:val="TableParagraph"/>
              <w:spacing w:line="223" w:lineRule="exact"/>
              <w:rPr>
                <w:sz w:val="20"/>
              </w:rPr>
            </w:pPr>
            <w:r>
              <w:rPr>
                <w:spacing w:val="-2"/>
                <w:sz w:val="20"/>
              </w:rPr>
              <w:t>CODFAUN</w:t>
            </w:r>
          </w:p>
        </w:tc>
        <w:tc>
          <w:tcPr>
            <w:tcW w:w="1275" w:type="dxa"/>
          </w:tcPr>
          <w:p w14:paraId="70940FFF" w14:textId="77777777" w:rsidR="005A766B" w:rsidRDefault="005A766B" w:rsidP="00403771">
            <w:pPr>
              <w:pStyle w:val="TableParagraph"/>
              <w:spacing w:line="223" w:lineRule="exact"/>
              <w:rPr>
                <w:sz w:val="20"/>
              </w:rPr>
            </w:pPr>
            <w:r>
              <w:rPr>
                <w:spacing w:val="-4"/>
                <w:sz w:val="20"/>
              </w:rPr>
              <w:t>1986</w:t>
            </w:r>
          </w:p>
        </w:tc>
      </w:tr>
      <w:tr w:rsidR="005A766B" w14:paraId="73D08086" w14:textId="77777777" w:rsidTr="00F56227">
        <w:trPr>
          <w:trHeight w:val="599"/>
        </w:trPr>
        <w:tc>
          <w:tcPr>
            <w:tcW w:w="1440" w:type="dxa"/>
          </w:tcPr>
          <w:p w14:paraId="7B97296B" w14:textId="77777777" w:rsidR="005A766B" w:rsidRDefault="005A766B" w:rsidP="00403771">
            <w:pPr>
              <w:pStyle w:val="TableParagraph"/>
              <w:spacing w:line="223" w:lineRule="exact"/>
              <w:rPr>
                <w:sz w:val="20"/>
              </w:rPr>
            </w:pPr>
            <w:r>
              <w:rPr>
                <w:spacing w:val="-2"/>
                <w:sz w:val="20"/>
              </w:rPr>
              <w:t>Exactas</w:t>
            </w:r>
          </w:p>
        </w:tc>
        <w:tc>
          <w:tcPr>
            <w:tcW w:w="4229" w:type="dxa"/>
          </w:tcPr>
          <w:p w14:paraId="711CE109" w14:textId="77777777" w:rsidR="005A766B" w:rsidRDefault="005A766B" w:rsidP="00403771">
            <w:pPr>
              <w:pStyle w:val="TableParagraph"/>
              <w:rPr>
                <w:sz w:val="20"/>
              </w:rPr>
            </w:pPr>
            <w:r>
              <w:rPr>
                <w:sz w:val="20"/>
              </w:rPr>
              <w:t>Consejo</w:t>
            </w:r>
            <w:r>
              <w:rPr>
                <w:spacing w:val="80"/>
                <w:sz w:val="20"/>
              </w:rPr>
              <w:t xml:space="preserve"> </w:t>
            </w:r>
            <w:r>
              <w:rPr>
                <w:sz w:val="20"/>
              </w:rPr>
              <w:t>Universitario</w:t>
            </w:r>
            <w:r>
              <w:rPr>
                <w:spacing w:val="80"/>
                <w:w w:val="150"/>
                <w:sz w:val="20"/>
              </w:rPr>
              <w:t xml:space="preserve"> </w:t>
            </w:r>
            <w:r>
              <w:rPr>
                <w:sz w:val="20"/>
              </w:rPr>
              <w:t>de</w:t>
            </w:r>
            <w:r>
              <w:rPr>
                <w:spacing w:val="80"/>
                <w:sz w:val="20"/>
              </w:rPr>
              <w:t xml:space="preserve"> </w:t>
            </w:r>
            <w:r>
              <w:rPr>
                <w:sz w:val="20"/>
              </w:rPr>
              <w:t>Ciencias Exactas y Naturales</w:t>
            </w:r>
          </w:p>
        </w:tc>
        <w:tc>
          <w:tcPr>
            <w:tcW w:w="1418" w:type="dxa"/>
          </w:tcPr>
          <w:p w14:paraId="7BF1F726" w14:textId="77777777" w:rsidR="005A766B" w:rsidRDefault="005A766B" w:rsidP="00403771">
            <w:pPr>
              <w:pStyle w:val="TableParagraph"/>
              <w:spacing w:line="223" w:lineRule="exact"/>
              <w:rPr>
                <w:sz w:val="20"/>
              </w:rPr>
            </w:pPr>
            <w:r>
              <w:rPr>
                <w:spacing w:val="-2"/>
                <w:sz w:val="20"/>
              </w:rPr>
              <w:t>CUCEN</w:t>
            </w:r>
          </w:p>
        </w:tc>
        <w:tc>
          <w:tcPr>
            <w:tcW w:w="1275" w:type="dxa"/>
          </w:tcPr>
          <w:p w14:paraId="0CA367C4" w14:textId="77777777" w:rsidR="005A766B" w:rsidRDefault="005A766B" w:rsidP="00403771">
            <w:pPr>
              <w:pStyle w:val="TableParagraph"/>
              <w:spacing w:line="223" w:lineRule="exact"/>
              <w:rPr>
                <w:sz w:val="20"/>
              </w:rPr>
            </w:pPr>
            <w:r>
              <w:rPr>
                <w:spacing w:val="-4"/>
                <w:sz w:val="20"/>
              </w:rPr>
              <w:t>2003</w:t>
            </w:r>
          </w:p>
        </w:tc>
      </w:tr>
      <w:tr w:rsidR="005A766B" w14:paraId="0B1E058A" w14:textId="77777777" w:rsidTr="00F56227">
        <w:trPr>
          <w:trHeight w:val="517"/>
        </w:trPr>
        <w:tc>
          <w:tcPr>
            <w:tcW w:w="1440" w:type="dxa"/>
          </w:tcPr>
          <w:p w14:paraId="20DF88F8" w14:textId="77777777" w:rsidR="005A766B" w:rsidRDefault="005A766B" w:rsidP="00403771">
            <w:pPr>
              <w:pStyle w:val="TableParagraph"/>
              <w:spacing w:line="223" w:lineRule="exact"/>
              <w:rPr>
                <w:sz w:val="20"/>
              </w:rPr>
            </w:pPr>
            <w:r>
              <w:rPr>
                <w:spacing w:val="-2"/>
                <w:sz w:val="20"/>
              </w:rPr>
              <w:t>Derecho</w:t>
            </w:r>
          </w:p>
        </w:tc>
        <w:tc>
          <w:tcPr>
            <w:tcW w:w="4229" w:type="dxa"/>
          </w:tcPr>
          <w:p w14:paraId="3A966856" w14:textId="77777777" w:rsidR="005A766B" w:rsidRDefault="005A766B" w:rsidP="00403771">
            <w:pPr>
              <w:pStyle w:val="TableParagraph"/>
              <w:ind w:right="61"/>
              <w:jc w:val="both"/>
              <w:rPr>
                <w:sz w:val="20"/>
              </w:rPr>
            </w:pPr>
            <w:r>
              <w:rPr>
                <w:sz w:val="20"/>
              </w:rPr>
              <w:t>Consejo Permanente de Decanos de Facultades de Derecho de Universidades Públicas</w:t>
            </w:r>
          </w:p>
        </w:tc>
        <w:tc>
          <w:tcPr>
            <w:tcW w:w="1418" w:type="dxa"/>
          </w:tcPr>
          <w:p w14:paraId="372D87B4" w14:textId="77777777" w:rsidR="005A766B" w:rsidRDefault="005A766B" w:rsidP="00403771">
            <w:pPr>
              <w:pStyle w:val="TableParagraph"/>
              <w:ind w:left="0"/>
              <w:rPr>
                <w:sz w:val="18"/>
              </w:rPr>
            </w:pPr>
          </w:p>
        </w:tc>
        <w:tc>
          <w:tcPr>
            <w:tcW w:w="1275" w:type="dxa"/>
          </w:tcPr>
          <w:p w14:paraId="68BBE3C6" w14:textId="77777777" w:rsidR="005A766B" w:rsidRDefault="005A766B" w:rsidP="00403771">
            <w:pPr>
              <w:pStyle w:val="TableParagraph"/>
              <w:spacing w:line="223" w:lineRule="exact"/>
              <w:rPr>
                <w:sz w:val="20"/>
              </w:rPr>
            </w:pPr>
            <w:r>
              <w:rPr>
                <w:spacing w:val="-4"/>
                <w:sz w:val="20"/>
              </w:rPr>
              <w:t>1992</w:t>
            </w:r>
          </w:p>
        </w:tc>
      </w:tr>
      <w:tr w:rsidR="005A766B" w14:paraId="17623771" w14:textId="77777777" w:rsidTr="00F56227">
        <w:trPr>
          <w:trHeight w:val="600"/>
        </w:trPr>
        <w:tc>
          <w:tcPr>
            <w:tcW w:w="1440" w:type="dxa"/>
          </w:tcPr>
          <w:p w14:paraId="19C7341C" w14:textId="77777777" w:rsidR="005A766B" w:rsidRDefault="005A766B" w:rsidP="00403771">
            <w:pPr>
              <w:pStyle w:val="TableParagraph"/>
              <w:spacing w:line="223" w:lineRule="exact"/>
              <w:rPr>
                <w:sz w:val="20"/>
              </w:rPr>
            </w:pPr>
            <w:r>
              <w:rPr>
                <w:spacing w:val="-2"/>
                <w:sz w:val="20"/>
              </w:rPr>
              <w:t>Psicología</w:t>
            </w:r>
          </w:p>
        </w:tc>
        <w:tc>
          <w:tcPr>
            <w:tcW w:w="4229" w:type="dxa"/>
          </w:tcPr>
          <w:p w14:paraId="0A26D9C3" w14:textId="77777777" w:rsidR="005A766B" w:rsidRDefault="005A766B" w:rsidP="00403771">
            <w:pPr>
              <w:pStyle w:val="TableParagraph"/>
              <w:rPr>
                <w:sz w:val="20"/>
              </w:rPr>
            </w:pPr>
            <w:r>
              <w:rPr>
                <w:sz w:val="20"/>
              </w:rPr>
              <w:t>Asociación</w:t>
            </w:r>
            <w:r>
              <w:rPr>
                <w:spacing w:val="40"/>
                <w:sz w:val="20"/>
              </w:rPr>
              <w:t xml:space="preserve"> </w:t>
            </w:r>
            <w:r>
              <w:rPr>
                <w:sz w:val="20"/>
              </w:rPr>
              <w:t>de</w:t>
            </w:r>
            <w:r>
              <w:rPr>
                <w:spacing w:val="40"/>
                <w:sz w:val="20"/>
              </w:rPr>
              <w:t xml:space="preserve"> </w:t>
            </w:r>
            <w:r>
              <w:rPr>
                <w:sz w:val="20"/>
              </w:rPr>
              <w:t>Unidades</w:t>
            </w:r>
            <w:r>
              <w:rPr>
                <w:spacing w:val="40"/>
                <w:sz w:val="20"/>
              </w:rPr>
              <w:t xml:space="preserve"> </w:t>
            </w:r>
            <w:r>
              <w:rPr>
                <w:sz w:val="20"/>
              </w:rPr>
              <w:t>Académicas de Psicología</w:t>
            </w:r>
          </w:p>
        </w:tc>
        <w:tc>
          <w:tcPr>
            <w:tcW w:w="1418" w:type="dxa"/>
          </w:tcPr>
          <w:p w14:paraId="0F7CBB2D" w14:textId="77777777" w:rsidR="005A766B" w:rsidRDefault="005A766B" w:rsidP="00403771">
            <w:pPr>
              <w:pStyle w:val="TableParagraph"/>
              <w:spacing w:line="223" w:lineRule="exact"/>
              <w:rPr>
                <w:sz w:val="20"/>
              </w:rPr>
            </w:pPr>
            <w:r>
              <w:rPr>
                <w:spacing w:val="-2"/>
                <w:sz w:val="20"/>
              </w:rPr>
              <w:t>AUAPSI</w:t>
            </w:r>
          </w:p>
        </w:tc>
        <w:tc>
          <w:tcPr>
            <w:tcW w:w="1275" w:type="dxa"/>
          </w:tcPr>
          <w:p w14:paraId="3F255CB4" w14:textId="77777777" w:rsidR="005A766B" w:rsidRDefault="005A766B" w:rsidP="00403771">
            <w:pPr>
              <w:pStyle w:val="TableParagraph"/>
              <w:spacing w:line="223" w:lineRule="exact"/>
              <w:rPr>
                <w:sz w:val="20"/>
              </w:rPr>
            </w:pPr>
            <w:r>
              <w:rPr>
                <w:spacing w:val="-4"/>
                <w:sz w:val="20"/>
              </w:rPr>
              <w:t>1991</w:t>
            </w:r>
          </w:p>
        </w:tc>
      </w:tr>
      <w:tr w:rsidR="005A766B" w14:paraId="354EA45B" w14:textId="77777777" w:rsidTr="00F56227">
        <w:trPr>
          <w:trHeight w:val="601"/>
        </w:trPr>
        <w:tc>
          <w:tcPr>
            <w:tcW w:w="1440" w:type="dxa"/>
          </w:tcPr>
          <w:p w14:paraId="2DF5998F" w14:textId="77777777" w:rsidR="005A766B" w:rsidRDefault="005A766B" w:rsidP="00403771">
            <w:pPr>
              <w:pStyle w:val="TableParagraph"/>
              <w:spacing w:line="225" w:lineRule="exact"/>
              <w:rPr>
                <w:sz w:val="20"/>
              </w:rPr>
            </w:pPr>
            <w:r>
              <w:rPr>
                <w:spacing w:val="-2"/>
                <w:sz w:val="20"/>
              </w:rPr>
              <w:t>Agronomía</w:t>
            </w:r>
          </w:p>
        </w:tc>
        <w:tc>
          <w:tcPr>
            <w:tcW w:w="4229" w:type="dxa"/>
          </w:tcPr>
          <w:p w14:paraId="4210BC92" w14:textId="77777777" w:rsidR="005A766B" w:rsidRDefault="005A766B" w:rsidP="00403771">
            <w:pPr>
              <w:pStyle w:val="TableParagraph"/>
              <w:spacing w:line="237" w:lineRule="auto"/>
              <w:rPr>
                <w:sz w:val="20"/>
              </w:rPr>
            </w:pPr>
            <w:r>
              <w:rPr>
                <w:sz w:val="20"/>
              </w:rPr>
              <w:t>Asociación Universitaria de Educación Agrícola Superior</w:t>
            </w:r>
          </w:p>
        </w:tc>
        <w:tc>
          <w:tcPr>
            <w:tcW w:w="1418" w:type="dxa"/>
          </w:tcPr>
          <w:p w14:paraId="171EFAAB" w14:textId="77777777" w:rsidR="005A766B" w:rsidRDefault="005A766B" w:rsidP="00403771">
            <w:pPr>
              <w:pStyle w:val="TableParagraph"/>
              <w:spacing w:line="225" w:lineRule="exact"/>
              <w:rPr>
                <w:sz w:val="20"/>
              </w:rPr>
            </w:pPr>
            <w:r>
              <w:rPr>
                <w:spacing w:val="-2"/>
                <w:sz w:val="20"/>
              </w:rPr>
              <w:t>AUDEAS</w:t>
            </w:r>
          </w:p>
        </w:tc>
        <w:tc>
          <w:tcPr>
            <w:tcW w:w="1275" w:type="dxa"/>
          </w:tcPr>
          <w:p w14:paraId="1A832C7E" w14:textId="77777777" w:rsidR="005A766B" w:rsidRDefault="005A766B" w:rsidP="00403771">
            <w:pPr>
              <w:pStyle w:val="TableParagraph"/>
              <w:spacing w:line="225" w:lineRule="exact"/>
              <w:rPr>
                <w:sz w:val="20"/>
              </w:rPr>
            </w:pPr>
            <w:r>
              <w:rPr>
                <w:spacing w:val="-4"/>
                <w:sz w:val="20"/>
              </w:rPr>
              <w:t>1994</w:t>
            </w:r>
          </w:p>
        </w:tc>
      </w:tr>
    </w:tbl>
    <w:p w14:paraId="28A4523F" w14:textId="55D32B7A" w:rsidR="005A766B" w:rsidRPr="00F56227" w:rsidRDefault="005A766B" w:rsidP="005A766B">
      <w:pPr>
        <w:ind w:left="143"/>
        <w:rPr>
          <w:rFonts w:ascii="Times New Roman" w:hAnsi="Times New Roman" w:cs="Times New Roman"/>
          <w:sz w:val="20"/>
          <w:szCs w:val="20"/>
        </w:rPr>
      </w:pPr>
      <w:r w:rsidRPr="00F56227">
        <w:rPr>
          <w:rFonts w:ascii="Times New Roman" w:hAnsi="Times New Roman" w:cs="Times New Roman"/>
          <w:sz w:val="20"/>
          <w:szCs w:val="20"/>
        </w:rPr>
        <w:t>Fuente:</w:t>
      </w:r>
      <w:r w:rsidR="00F56227" w:rsidRPr="00F56227">
        <w:rPr>
          <w:rFonts w:ascii="Times New Roman" w:hAnsi="Times New Roman" w:cs="Times New Roman"/>
          <w:sz w:val="20"/>
          <w:szCs w:val="20"/>
        </w:rPr>
        <w:t xml:space="preserve"> artículo</w:t>
      </w:r>
      <w:r w:rsidRPr="00F56227">
        <w:rPr>
          <w:rFonts w:ascii="Times New Roman" w:hAnsi="Times New Roman" w:cs="Times New Roman"/>
          <w:spacing w:val="-4"/>
          <w:sz w:val="20"/>
          <w:szCs w:val="20"/>
        </w:rPr>
        <w:t xml:space="preserve"> </w:t>
      </w:r>
      <w:proofErr w:type="spellStart"/>
      <w:r w:rsidR="00F56227" w:rsidRPr="00F56227">
        <w:rPr>
          <w:rFonts w:ascii="Times New Roman" w:hAnsi="Times New Roman" w:cs="Times New Roman"/>
          <w:sz w:val="20"/>
          <w:szCs w:val="20"/>
        </w:rPr>
        <w:t>Nosiglia</w:t>
      </w:r>
      <w:proofErr w:type="spellEnd"/>
      <w:r w:rsidR="00F56227">
        <w:rPr>
          <w:rFonts w:ascii="Times New Roman" w:hAnsi="Times New Roman" w:cs="Times New Roman"/>
          <w:sz w:val="20"/>
          <w:szCs w:val="20"/>
        </w:rPr>
        <w:t xml:space="preserve"> (</w:t>
      </w:r>
      <w:r w:rsidR="00F56227" w:rsidRPr="00F56227">
        <w:rPr>
          <w:rFonts w:ascii="Times New Roman" w:hAnsi="Times New Roman" w:cs="Times New Roman"/>
          <w:sz w:val="20"/>
          <w:szCs w:val="20"/>
        </w:rPr>
        <w:t>2014</w:t>
      </w:r>
      <w:r w:rsidR="00F56227">
        <w:rPr>
          <w:rFonts w:ascii="Times New Roman" w:hAnsi="Times New Roman" w:cs="Times New Roman"/>
          <w:sz w:val="20"/>
          <w:szCs w:val="20"/>
        </w:rPr>
        <w:t>)</w:t>
      </w:r>
    </w:p>
    <w:p w14:paraId="5C3E4371" w14:textId="7C5754DB" w:rsidR="00120B31" w:rsidRDefault="009C438E" w:rsidP="00120B31">
      <w:pPr>
        <w:tabs>
          <w:tab w:val="left" w:pos="2445"/>
        </w:tabs>
        <w:ind w:right="-1"/>
        <w:jc w:val="both"/>
        <w:rPr>
          <w:rFonts w:ascii="Times New Roman" w:hAnsi="Times New Roman" w:cs="Times New Roman"/>
          <w:lang w:val="es-ES"/>
        </w:rPr>
      </w:pPr>
      <w:r>
        <w:rPr>
          <w:rFonts w:ascii="Times New Roman" w:hAnsi="Times New Roman" w:cs="Times New Roman"/>
          <w:lang w:val="es-ES"/>
        </w:rPr>
        <w:t>De tal manera, e</w:t>
      </w:r>
      <w:r w:rsidR="00120B31" w:rsidRPr="005768DD">
        <w:rPr>
          <w:rFonts w:ascii="Times New Roman" w:hAnsi="Times New Roman" w:cs="Times New Roman"/>
          <w:lang w:val="es-ES"/>
        </w:rPr>
        <w:t>l Artículo 43 de la Ley de Educación Superior (24.521)</w:t>
      </w:r>
      <w:r w:rsidR="00120B31" w:rsidRPr="00120B31">
        <w:rPr>
          <w:rFonts w:ascii="Times New Roman" w:hAnsi="Times New Roman" w:cs="Times New Roman"/>
          <w:lang w:val="es-ES"/>
        </w:rPr>
        <w:t xml:space="preserve"> establece </w:t>
      </w:r>
      <w:r w:rsidR="00BA37DF">
        <w:rPr>
          <w:rFonts w:ascii="Times New Roman" w:hAnsi="Times New Roman" w:cs="Times New Roman"/>
          <w:lang w:val="es-ES"/>
        </w:rPr>
        <w:t xml:space="preserve">la obligación de acreditación de </w:t>
      </w:r>
      <w:r w:rsidR="00120B31" w:rsidRPr="00120B31">
        <w:rPr>
          <w:rFonts w:ascii="Times New Roman" w:hAnsi="Times New Roman" w:cs="Times New Roman"/>
          <w:lang w:val="es-ES"/>
        </w:rPr>
        <w:t>las carreras correspondientes a profesiones reguladas por el Estado, cuyo ejercicio pudiera comprometer el interés público poniendo en riesgo directo la salu</w:t>
      </w:r>
      <w:r w:rsidR="00BA37DF">
        <w:rPr>
          <w:rFonts w:ascii="Times New Roman" w:hAnsi="Times New Roman" w:cs="Times New Roman"/>
          <w:lang w:val="es-ES"/>
        </w:rPr>
        <w:t>d</w:t>
      </w:r>
      <w:r w:rsidR="00120B31" w:rsidRPr="00120B31">
        <w:rPr>
          <w:rFonts w:ascii="Times New Roman" w:hAnsi="Times New Roman" w:cs="Times New Roman"/>
          <w:lang w:val="es-ES"/>
        </w:rPr>
        <w:t>, la seguridad o los bienes de los habitantes</w:t>
      </w:r>
      <w:r w:rsidR="00BA37DF">
        <w:rPr>
          <w:rFonts w:ascii="Times New Roman" w:hAnsi="Times New Roman" w:cs="Times New Roman"/>
          <w:lang w:val="es-ES"/>
        </w:rPr>
        <w:t>.</w:t>
      </w:r>
    </w:p>
    <w:p w14:paraId="3CB7CA6E" w14:textId="3107B47D" w:rsidR="00120B31" w:rsidRPr="00120B31" w:rsidRDefault="00551C2C" w:rsidP="008B0DBC">
      <w:pPr>
        <w:tabs>
          <w:tab w:val="left" w:pos="2445"/>
        </w:tabs>
        <w:ind w:right="-1"/>
        <w:jc w:val="both"/>
        <w:rPr>
          <w:rFonts w:ascii="Times New Roman" w:hAnsi="Times New Roman" w:cs="Times New Roman"/>
          <w:lang w:val="es-ES"/>
        </w:rPr>
      </w:pPr>
      <w:r>
        <w:rPr>
          <w:rFonts w:ascii="Times New Roman" w:hAnsi="Times New Roman" w:cs="Times New Roman"/>
          <w:lang w:val="es-ES"/>
        </w:rPr>
        <w:t xml:space="preserve">En cuanto a los procedimientos podemos identificar dos etapas: </w:t>
      </w:r>
      <w:r w:rsidR="009537A2">
        <w:rPr>
          <w:rFonts w:ascii="Times New Roman" w:hAnsi="Times New Roman" w:cs="Times New Roman"/>
          <w:lang w:val="es-ES"/>
        </w:rPr>
        <w:t>la primera que supone la d</w:t>
      </w:r>
      <w:r w:rsidR="00120B31" w:rsidRPr="009537A2">
        <w:rPr>
          <w:rFonts w:ascii="Times New Roman" w:hAnsi="Times New Roman" w:cs="Times New Roman"/>
          <w:lang w:val="es-ES"/>
        </w:rPr>
        <w:t>efinición de los parámetros de referencia</w:t>
      </w:r>
      <w:r w:rsidR="005A247C">
        <w:rPr>
          <w:rFonts w:ascii="Times New Roman" w:hAnsi="Times New Roman" w:cs="Times New Roman"/>
          <w:lang w:val="es-ES"/>
        </w:rPr>
        <w:t xml:space="preserve"> a través de</w:t>
      </w:r>
      <w:r w:rsidR="00120B31" w:rsidRPr="00120B31">
        <w:rPr>
          <w:rFonts w:ascii="Times New Roman" w:hAnsi="Times New Roman" w:cs="Times New Roman"/>
          <w:lang w:val="es-ES"/>
        </w:rPr>
        <w:t xml:space="preserve"> cuatro instrumentos normativos, que surgen del trabajo conjunto de estos actores:</w:t>
      </w:r>
      <w:r w:rsidR="0017087A">
        <w:rPr>
          <w:rFonts w:ascii="Times New Roman" w:hAnsi="Times New Roman" w:cs="Times New Roman"/>
          <w:lang w:val="es-ES"/>
        </w:rPr>
        <w:t xml:space="preserve"> l</w:t>
      </w:r>
      <w:r w:rsidR="00120B31" w:rsidRPr="00120B31">
        <w:rPr>
          <w:rFonts w:ascii="Times New Roman" w:hAnsi="Times New Roman" w:cs="Times New Roman"/>
          <w:lang w:val="es-ES"/>
        </w:rPr>
        <w:t xml:space="preserve">as </w:t>
      </w:r>
      <w:r w:rsidR="00120B31" w:rsidRPr="00120B31">
        <w:rPr>
          <w:rFonts w:ascii="Times New Roman" w:hAnsi="Times New Roman" w:cs="Times New Roman"/>
          <w:b/>
          <w:bCs/>
          <w:lang w:val="es-ES"/>
        </w:rPr>
        <w:t>asociaciones de facultades</w:t>
      </w:r>
      <w:r w:rsidR="00120B31" w:rsidRPr="00120B31">
        <w:rPr>
          <w:rFonts w:ascii="Times New Roman" w:hAnsi="Times New Roman" w:cs="Times New Roman"/>
          <w:lang w:val="es-ES"/>
        </w:rPr>
        <w:t xml:space="preserve"> de cada disciplina </w:t>
      </w:r>
      <w:r w:rsidR="0017087A">
        <w:rPr>
          <w:rFonts w:ascii="Times New Roman" w:hAnsi="Times New Roman" w:cs="Times New Roman"/>
          <w:lang w:val="es-ES"/>
        </w:rPr>
        <w:t xml:space="preserve">que </w:t>
      </w:r>
      <w:r w:rsidR="00120B31" w:rsidRPr="00120B31">
        <w:rPr>
          <w:rFonts w:ascii="Times New Roman" w:hAnsi="Times New Roman" w:cs="Times New Roman"/>
          <w:lang w:val="es-ES"/>
        </w:rPr>
        <w:t>elaboran las propuestas técnicas</w:t>
      </w:r>
      <w:r w:rsidR="004F7BF8">
        <w:rPr>
          <w:rFonts w:ascii="Times New Roman" w:hAnsi="Times New Roman" w:cs="Times New Roman"/>
          <w:lang w:val="es-ES"/>
        </w:rPr>
        <w:t>, e</w:t>
      </w:r>
      <w:r w:rsidR="00120B31" w:rsidRPr="00120B31">
        <w:rPr>
          <w:rFonts w:ascii="Times New Roman" w:hAnsi="Times New Roman" w:cs="Times New Roman"/>
          <w:lang w:val="es-ES"/>
        </w:rPr>
        <w:t xml:space="preserve">l </w:t>
      </w:r>
      <w:r w:rsidR="00120B31" w:rsidRPr="00120B31">
        <w:rPr>
          <w:rFonts w:ascii="Times New Roman" w:hAnsi="Times New Roman" w:cs="Times New Roman"/>
          <w:b/>
          <w:bCs/>
          <w:lang w:val="es-ES"/>
        </w:rPr>
        <w:t>CIN</w:t>
      </w:r>
      <w:r w:rsidR="00120B31" w:rsidRPr="00120B31">
        <w:rPr>
          <w:rFonts w:ascii="Times New Roman" w:hAnsi="Times New Roman" w:cs="Times New Roman"/>
          <w:lang w:val="es-ES"/>
        </w:rPr>
        <w:t xml:space="preserve"> (Consejo Interuniversitario Nacional) analiza y aprueba esas propuestas mediante Resolución de su Comité </w:t>
      </w:r>
      <w:r w:rsidR="00120B31" w:rsidRPr="00120B31">
        <w:rPr>
          <w:rFonts w:ascii="Times New Roman" w:hAnsi="Times New Roman" w:cs="Times New Roman"/>
          <w:lang w:val="es-ES"/>
        </w:rPr>
        <w:lastRenderedPageBreak/>
        <w:t>Ejecutivo</w:t>
      </w:r>
      <w:r w:rsidR="004F7BF8">
        <w:rPr>
          <w:rFonts w:ascii="Times New Roman" w:hAnsi="Times New Roman" w:cs="Times New Roman"/>
          <w:lang w:val="es-ES"/>
        </w:rPr>
        <w:t>, e</w:t>
      </w:r>
      <w:r w:rsidR="00120B31" w:rsidRPr="00120B31">
        <w:rPr>
          <w:rFonts w:ascii="Times New Roman" w:hAnsi="Times New Roman" w:cs="Times New Roman"/>
          <w:lang w:val="es-ES"/>
        </w:rPr>
        <w:t xml:space="preserve">l </w:t>
      </w:r>
      <w:r w:rsidR="00120B31" w:rsidRPr="00120B31">
        <w:rPr>
          <w:rFonts w:ascii="Times New Roman" w:hAnsi="Times New Roman" w:cs="Times New Roman"/>
          <w:b/>
          <w:bCs/>
          <w:lang w:val="es-ES"/>
        </w:rPr>
        <w:t>Consejo de Universidades</w:t>
      </w:r>
      <w:r w:rsidR="00120B31" w:rsidRPr="00120B31">
        <w:rPr>
          <w:rFonts w:ascii="Times New Roman" w:hAnsi="Times New Roman" w:cs="Times New Roman"/>
          <w:lang w:val="es-ES"/>
        </w:rPr>
        <w:t xml:space="preserve"> (que integra CIN, CRUP, los CPRES y el CFE, presidido por el Ministro) presta el acuerdo plenario final</w:t>
      </w:r>
      <w:r w:rsidR="004F7BF8">
        <w:rPr>
          <w:rFonts w:ascii="Times New Roman" w:hAnsi="Times New Roman" w:cs="Times New Roman"/>
          <w:lang w:val="es-ES"/>
        </w:rPr>
        <w:t>, qu</w:t>
      </w:r>
      <w:r w:rsidR="00120B31" w:rsidRPr="00120B31">
        <w:rPr>
          <w:rFonts w:ascii="Times New Roman" w:hAnsi="Times New Roman" w:cs="Times New Roman"/>
          <w:lang w:val="es-ES"/>
        </w:rPr>
        <w:t xml:space="preserve">e </w:t>
      </w:r>
      <w:r w:rsidR="004F7BF8">
        <w:rPr>
          <w:rFonts w:ascii="Times New Roman" w:hAnsi="Times New Roman" w:cs="Times New Roman"/>
          <w:lang w:val="es-ES"/>
        </w:rPr>
        <w:t>se</w:t>
      </w:r>
      <w:r w:rsidR="00C04599">
        <w:rPr>
          <w:rFonts w:ascii="Times New Roman" w:hAnsi="Times New Roman" w:cs="Times New Roman"/>
          <w:lang w:val="es-ES"/>
        </w:rPr>
        <w:t xml:space="preserve"> </w:t>
      </w:r>
      <w:r w:rsidR="00120B31" w:rsidRPr="00120B31">
        <w:rPr>
          <w:rFonts w:ascii="Times New Roman" w:hAnsi="Times New Roman" w:cs="Times New Roman"/>
          <w:lang w:val="es-ES"/>
        </w:rPr>
        <w:t xml:space="preserve">formaliza mediante </w:t>
      </w:r>
      <w:r w:rsidR="00120B31" w:rsidRPr="00120B31">
        <w:rPr>
          <w:rFonts w:ascii="Times New Roman" w:hAnsi="Times New Roman" w:cs="Times New Roman"/>
          <w:b/>
          <w:bCs/>
          <w:lang w:val="es-ES"/>
        </w:rPr>
        <w:t>Resolución Ministerial</w:t>
      </w:r>
      <w:r w:rsidR="00120B31" w:rsidRPr="00120B31">
        <w:rPr>
          <w:rFonts w:ascii="Times New Roman" w:hAnsi="Times New Roman" w:cs="Times New Roman"/>
          <w:lang w:val="es-ES"/>
        </w:rPr>
        <w:t>, que aprueba como anexos: Contenidos Curriculares Básicos (CCB)</w:t>
      </w:r>
      <w:r w:rsidR="00E332E4">
        <w:rPr>
          <w:rFonts w:ascii="Times New Roman" w:hAnsi="Times New Roman" w:cs="Times New Roman"/>
          <w:lang w:val="es-ES"/>
        </w:rPr>
        <w:t xml:space="preserve">,  </w:t>
      </w:r>
      <w:r w:rsidR="00120B31" w:rsidRPr="00120B31">
        <w:rPr>
          <w:rFonts w:ascii="Times New Roman" w:hAnsi="Times New Roman" w:cs="Times New Roman"/>
          <w:lang w:val="es-ES"/>
        </w:rPr>
        <w:t>Carga horaria mínima</w:t>
      </w:r>
      <w:r w:rsidR="008B0DBC">
        <w:rPr>
          <w:rFonts w:ascii="Times New Roman" w:hAnsi="Times New Roman" w:cs="Times New Roman"/>
          <w:lang w:val="es-ES"/>
        </w:rPr>
        <w:t xml:space="preserve">,  </w:t>
      </w:r>
      <w:r w:rsidR="00120B31" w:rsidRPr="00120B31">
        <w:rPr>
          <w:rFonts w:ascii="Times New Roman" w:hAnsi="Times New Roman" w:cs="Times New Roman"/>
          <w:lang w:val="es-ES"/>
        </w:rPr>
        <w:t>Criterios de intensidad de la formación práctica</w:t>
      </w:r>
      <w:r w:rsidR="008B0DBC">
        <w:rPr>
          <w:rFonts w:ascii="Times New Roman" w:hAnsi="Times New Roman" w:cs="Times New Roman"/>
          <w:lang w:val="es-ES"/>
        </w:rPr>
        <w:t xml:space="preserve">, </w:t>
      </w:r>
      <w:r w:rsidR="00120B31" w:rsidRPr="00120B31">
        <w:rPr>
          <w:rFonts w:ascii="Times New Roman" w:hAnsi="Times New Roman" w:cs="Times New Roman"/>
          <w:lang w:val="es-ES"/>
        </w:rPr>
        <w:t>Estándares de acreditación</w:t>
      </w:r>
      <w:r w:rsidR="008B0DBC">
        <w:rPr>
          <w:rFonts w:ascii="Times New Roman" w:hAnsi="Times New Roman" w:cs="Times New Roman"/>
          <w:lang w:val="es-ES"/>
        </w:rPr>
        <w:t xml:space="preserve"> y </w:t>
      </w:r>
      <w:r w:rsidR="00120B31" w:rsidRPr="00120B31">
        <w:rPr>
          <w:rFonts w:ascii="Times New Roman" w:hAnsi="Times New Roman" w:cs="Times New Roman"/>
          <w:lang w:val="es-ES"/>
        </w:rPr>
        <w:t>Actividades profesionales reservadas al título</w:t>
      </w:r>
    </w:p>
    <w:p w14:paraId="45538575" w14:textId="631FDDE0" w:rsidR="00120B31" w:rsidRDefault="008B0DBC" w:rsidP="00112BD9">
      <w:pPr>
        <w:tabs>
          <w:tab w:val="num" w:pos="720"/>
          <w:tab w:val="num" w:pos="1440"/>
          <w:tab w:val="left" w:pos="2445"/>
        </w:tabs>
        <w:ind w:right="-1"/>
        <w:jc w:val="both"/>
        <w:rPr>
          <w:rFonts w:ascii="Times New Roman" w:hAnsi="Times New Roman" w:cs="Times New Roman"/>
          <w:lang w:val="es-ES"/>
        </w:rPr>
      </w:pPr>
      <w:r>
        <w:rPr>
          <w:rFonts w:ascii="Times New Roman" w:hAnsi="Times New Roman" w:cs="Times New Roman"/>
          <w:lang w:val="es-ES"/>
        </w:rPr>
        <w:t>La segunda etapa que es la a</w:t>
      </w:r>
      <w:r w:rsidR="00120B31" w:rsidRPr="008B0DBC">
        <w:rPr>
          <w:rFonts w:ascii="Times New Roman" w:hAnsi="Times New Roman" w:cs="Times New Roman"/>
          <w:lang w:val="es-ES"/>
        </w:rPr>
        <w:t>creditación propiamente dicha a cargo de CONEAU</w:t>
      </w:r>
      <w:r w:rsidR="0056037F">
        <w:rPr>
          <w:rFonts w:ascii="Times New Roman" w:hAnsi="Times New Roman" w:cs="Times New Roman"/>
          <w:lang w:val="es-ES"/>
        </w:rPr>
        <w:t xml:space="preserve"> que supone a su vez un </w:t>
      </w:r>
      <w:r w:rsidR="009D3161">
        <w:rPr>
          <w:rFonts w:ascii="Times New Roman" w:hAnsi="Times New Roman" w:cs="Times New Roman"/>
          <w:lang w:val="es-ES"/>
        </w:rPr>
        <w:t xml:space="preserve">proceso de </w:t>
      </w:r>
      <w:r w:rsidR="00120B31" w:rsidRPr="00120B31">
        <w:rPr>
          <w:rFonts w:ascii="Times New Roman" w:hAnsi="Times New Roman" w:cs="Times New Roman"/>
          <w:b/>
          <w:bCs/>
          <w:lang w:val="es-ES"/>
        </w:rPr>
        <w:t>Autoevaluación institucional</w:t>
      </w:r>
      <w:r w:rsidR="00120B31" w:rsidRPr="00120B31">
        <w:rPr>
          <w:rFonts w:ascii="Times New Roman" w:hAnsi="Times New Roman" w:cs="Times New Roman"/>
          <w:lang w:val="es-ES"/>
        </w:rPr>
        <w:t>: la universidad evalúa su propia carrera contra los estándares aprobados (cuerpo docente, infraestructura, plan de estudios, investigación, extensión, etc.)</w:t>
      </w:r>
      <w:r w:rsidR="009D3161">
        <w:rPr>
          <w:rFonts w:ascii="Times New Roman" w:hAnsi="Times New Roman" w:cs="Times New Roman"/>
          <w:lang w:val="es-ES"/>
        </w:rPr>
        <w:t xml:space="preserve"> y de </w:t>
      </w:r>
      <w:r w:rsidR="00120B31" w:rsidRPr="00120B31">
        <w:rPr>
          <w:rFonts w:ascii="Times New Roman" w:hAnsi="Times New Roman" w:cs="Times New Roman"/>
          <w:b/>
          <w:bCs/>
          <w:lang w:val="es-ES"/>
        </w:rPr>
        <w:t>Evaluación externa</w:t>
      </w:r>
      <w:r w:rsidR="00120B31" w:rsidRPr="00120B31">
        <w:rPr>
          <w:rFonts w:ascii="Times New Roman" w:hAnsi="Times New Roman" w:cs="Times New Roman"/>
          <w:lang w:val="es-ES"/>
        </w:rPr>
        <w:t>: pares evaluadores designados por CONEAU realizan visitas y elaboran un informe de evaluación.</w:t>
      </w:r>
      <w:r w:rsidR="002F50AC">
        <w:rPr>
          <w:rFonts w:ascii="Times New Roman" w:hAnsi="Times New Roman" w:cs="Times New Roman"/>
          <w:lang w:val="es-ES"/>
        </w:rPr>
        <w:t xml:space="preserve"> Por último, el </w:t>
      </w:r>
      <w:r w:rsidR="002F50AC" w:rsidRPr="00114BD1">
        <w:rPr>
          <w:rFonts w:ascii="Times New Roman" w:hAnsi="Times New Roman" w:cs="Times New Roman"/>
          <w:b/>
          <w:bCs/>
          <w:lang w:val="es-ES"/>
        </w:rPr>
        <w:t>D</w:t>
      </w:r>
      <w:r w:rsidR="00120B31" w:rsidRPr="00120B31">
        <w:rPr>
          <w:rFonts w:ascii="Times New Roman" w:hAnsi="Times New Roman" w:cs="Times New Roman"/>
          <w:b/>
          <w:bCs/>
          <w:lang w:val="es-ES"/>
        </w:rPr>
        <w:t>ictamen de CONEAU</w:t>
      </w:r>
      <w:r w:rsidR="00120B31" w:rsidRPr="00120B31">
        <w:rPr>
          <w:rFonts w:ascii="Times New Roman" w:hAnsi="Times New Roman" w:cs="Times New Roman"/>
          <w:lang w:val="es-ES"/>
        </w:rPr>
        <w:t xml:space="preserve"> emite una resolución que puede ser:</w:t>
      </w:r>
      <w:r w:rsidR="002F50AC">
        <w:rPr>
          <w:rFonts w:ascii="Times New Roman" w:hAnsi="Times New Roman" w:cs="Times New Roman"/>
          <w:lang w:val="es-ES"/>
        </w:rPr>
        <w:t xml:space="preserve"> </w:t>
      </w:r>
      <w:r w:rsidR="00120B31" w:rsidRPr="00120B31">
        <w:rPr>
          <w:rFonts w:ascii="Times New Roman" w:hAnsi="Times New Roman" w:cs="Times New Roman"/>
          <w:lang w:val="es-ES"/>
        </w:rPr>
        <w:t>Acreditación (por 3 o 6 años según el nivel de cumplimiento</w:t>
      </w:r>
      <w:r w:rsidR="00112BD9" w:rsidRPr="00120B31">
        <w:rPr>
          <w:rFonts w:ascii="Times New Roman" w:hAnsi="Times New Roman" w:cs="Times New Roman"/>
          <w:lang w:val="es-ES"/>
        </w:rPr>
        <w:t>)</w:t>
      </w:r>
      <w:r w:rsidR="00112BD9">
        <w:rPr>
          <w:rFonts w:ascii="Times New Roman" w:hAnsi="Times New Roman" w:cs="Times New Roman"/>
          <w:lang w:val="es-ES"/>
        </w:rPr>
        <w:t>, Acreditación</w:t>
      </w:r>
      <w:r w:rsidR="00120B31" w:rsidRPr="00120B31">
        <w:rPr>
          <w:rFonts w:ascii="Times New Roman" w:hAnsi="Times New Roman" w:cs="Times New Roman"/>
          <w:lang w:val="es-ES"/>
        </w:rPr>
        <w:t xml:space="preserve"> con recomendaciones o compromisos de mejoramiento</w:t>
      </w:r>
      <w:r w:rsidR="00112BD9">
        <w:rPr>
          <w:rFonts w:ascii="Times New Roman" w:hAnsi="Times New Roman" w:cs="Times New Roman"/>
          <w:lang w:val="es-ES"/>
        </w:rPr>
        <w:t xml:space="preserve"> o </w:t>
      </w:r>
      <w:r w:rsidR="00120B31" w:rsidRPr="00120B31">
        <w:rPr>
          <w:rFonts w:ascii="Times New Roman" w:hAnsi="Times New Roman" w:cs="Times New Roman"/>
          <w:lang w:val="es-ES"/>
        </w:rPr>
        <w:t>No acreditación (si no cumple los estándares mínimos)</w:t>
      </w:r>
      <w:r w:rsidR="00252D17">
        <w:rPr>
          <w:rFonts w:ascii="Times New Roman" w:hAnsi="Times New Roman" w:cs="Times New Roman"/>
          <w:lang w:val="es-ES"/>
        </w:rPr>
        <w:t>.</w:t>
      </w:r>
      <w:r w:rsidR="00112BD9">
        <w:rPr>
          <w:rFonts w:ascii="Times New Roman" w:hAnsi="Times New Roman" w:cs="Times New Roman"/>
          <w:lang w:val="es-ES"/>
        </w:rPr>
        <w:t xml:space="preserve"> </w:t>
      </w:r>
    </w:p>
    <w:p w14:paraId="5DB99AA8" w14:textId="38E2CC69" w:rsidR="0043594E" w:rsidRDefault="00363FD8" w:rsidP="00112BD9">
      <w:pPr>
        <w:tabs>
          <w:tab w:val="num" w:pos="720"/>
          <w:tab w:val="num" w:pos="1440"/>
          <w:tab w:val="left" w:pos="2445"/>
        </w:tabs>
        <w:ind w:right="-1"/>
        <w:jc w:val="both"/>
        <w:rPr>
          <w:rFonts w:ascii="Times New Roman" w:hAnsi="Times New Roman" w:cs="Times New Roman"/>
        </w:rPr>
      </w:pPr>
      <w:r>
        <w:rPr>
          <w:rFonts w:ascii="Times New Roman" w:hAnsi="Times New Roman" w:cs="Times New Roman"/>
        </w:rPr>
        <w:t xml:space="preserve">Ciertamente, este </w:t>
      </w:r>
      <w:r w:rsidR="00EB3FC0">
        <w:rPr>
          <w:rFonts w:ascii="Times New Roman" w:hAnsi="Times New Roman" w:cs="Times New Roman"/>
        </w:rPr>
        <w:t xml:space="preserve">esquema normativo y procedimental de la acreditación de carreras de grado </w:t>
      </w:r>
      <w:r w:rsidR="007538A5">
        <w:rPr>
          <w:rFonts w:ascii="Times New Roman" w:hAnsi="Times New Roman" w:cs="Times New Roman"/>
        </w:rPr>
        <w:t xml:space="preserve">se fue consolidando a lo largo del tiempo </w:t>
      </w:r>
      <w:r w:rsidR="00FD0B12">
        <w:rPr>
          <w:rFonts w:ascii="Times New Roman" w:hAnsi="Times New Roman" w:cs="Times New Roman"/>
        </w:rPr>
        <w:t xml:space="preserve">cruzando diferentes gestiones ministeriales y gubernamentales. Al respecto, la Tabla </w:t>
      </w:r>
      <w:r w:rsidR="00571C9F">
        <w:rPr>
          <w:rFonts w:ascii="Times New Roman" w:hAnsi="Times New Roman" w:cs="Times New Roman"/>
        </w:rPr>
        <w:t xml:space="preserve">1 permiten mostrar </w:t>
      </w:r>
      <w:r w:rsidR="0070239C">
        <w:rPr>
          <w:rFonts w:ascii="Times New Roman" w:hAnsi="Times New Roman" w:cs="Times New Roman"/>
        </w:rPr>
        <w:t>es</w:t>
      </w:r>
      <w:r w:rsidR="00571C9F">
        <w:rPr>
          <w:rFonts w:ascii="Times New Roman" w:hAnsi="Times New Roman" w:cs="Times New Roman"/>
        </w:rPr>
        <w:t xml:space="preserve">a </w:t>
      </w:r>
      <w:r w:rsidR="00632E69">
        <w:rPr>
          <w:rFonts w:ascii="Times New Roman" w:hAnsi="Times New Roman" w:cs="Times New Roman"/>
        </w:rPr>
        <w:t>lenta</w:t>
      </w:r>
      <w:r w:rsidR="00BC066C">
        <w:rPr>
          <w:rFonts w:ascii="Times New Roman" w:hAnsi="Times New Roman" w:cs="Times New Roman"/>
        </w:rPr>
        <w:t xml:space="preserve"> </w:t>
      </w:r>
      <w:r w:rsidR="00571C9F">
        <w:rPr>
          <w:rFonts w:ascii="Times New Roman" w:hAnsi="Times New Roman" w:cs="Times New Roman"/>
        </w:rPr>
        <w:t>evolución del marco nor</w:t>
      </w:r>
      <w:r w:rsidR="000F75C4" w:rsidRPr="00444199">
        <w:rPr>
          <w:rFonts w:ascii="Times New Roman" w:hAnsi="Times New Roman" w:cs="Times New Roman"/>
        </w:rPr>
        <w:t>mativo</w:t>
      </w:r>
      <w:r w:rsidR="008C5FD6">
        <w:rPr>
          <w:rFonts w:ascii="Times New Roman" w:hAnsi="Times New Roman" w:cs="Times New Roman"/>
        </w:rPr>
        <w:t>,</w:t>
      </w:r>
      <w:r w:rsidR="000F75C4" w:rsidRPr="00444199">
        <w:rPr>
          <w:rFonts w:ascii="Times New Roman" w:hAnsi="Times New Roman" w:cs="Times New Roman"/>
        </w:rPr>
        <w:t xml:space="preserve"> </w:t>
      </w:r>
      <w:r w:rsidR="0070239C">
        <w:rPr>
          <w:rFonts w:ascii="Times New Roman" w:hAnsi="Times New Roman" w:cs="Times New Roman"/>
        </w:rPr>
        <w:t xml:space="preserve">al igual que la </w:t>
      </w:r>
      <w:r w:rsidR="00444199" w:rsidRPr="00444199">
        <w:rPr>
          <w:rFonts w:ascii="Times New Roman" w:hAnsi="Times New Roman" w:cs="Times New Roman"/>
        </w:rPr>
        <w:t>Tabla 2</w:t>
      </w:r>
      <w:r w:rsidR="008C5FD6">
        <w:rPr>
          <w:rFonts w:ascii="Times New Roman" w:hAnsi="Times New Roman" w:cs="Times New Roman"/>
        </w:rPr>
        <w:t xml:space="preserve"> </w:t>
      </w:r>
      <w:r w:rsidR="00DD263A">
        <w:rPr>
          <w:rFonts w:ascii="Times New Roman" w:hAnsi="Times New Roman" w:cs="Times New Roman"/>
        </w:rPr>
        <w:t>muestra</w:t>
      </w:r>
      <w:r w:rsidR="008C5FD6">
        <w:rPr>
          <w:rFonts w:ascii="Times New Roman" w:hAnsi="Times New Roman" w:cs="Times New Roman"/>
        </w:rPr>
        <w:t xml:space="preserve"> </w:t>
      </w:r>
      <w:r w:rsidR="0025392D">
        <w:rPr>
          <w:rFonts w:ascii="Times New Roman" w:hAnsi="Times New Roman" w:cs="Times New Roman"/>
        </w:rPr>
        <w:t>la progresiva incorporación</w:t>
      </w:r>
      <w:r w:rsidR="00CE3A4D">
        <w:rPr>
          <w:rFonts w:ascii="Times New Roman" w:hAnsi="Times New Roman" w:cs="Times New Roman"/>
        </w:rPr>
        <w:t xml:space="preserve"> de carreras de grado</w:t>
      </w:r>
      <w:r w:rsidR="00E36CDA">
        <w:rPr>
          <w:rFonts w:ascii="Times New Roman" w:hAnsi="Times New Roman" w:cs="Times New Roman"/>
        </w:rPr>
        <w:t xml:space="preserve"> que cumplen con e</w:t>
      </w:r>
      <w:r w:rsidR="003D057E">
        <w:rPr>
          <w:rFonts w:ascii="Times New Roman" w:hAnsi="Times New Roman" w:cs="Times New Roman"/>
        </w:rPr>
        <w:t>l proceso de acreditación que</w:t>
      </w:r>
      <w:r w:rsidR="00DD263A">
        <w:rPr>
          <w:rFonts w:ascii="Times New Roman" w:hAnsi="Times New Roman" w:cs="Times New Roman"/>
        </w:rPr>
        <w:t xml:space="preserve"> revela</w:t>
      </w:r>
      <w:r w:rsidR="003D057E">
        <w:rPr>
          <w:rFonts w:ascii="Times New Roman" w:hAnsi="Times New Roman" w:cs="Times New Roman"/>
        </w:rPr>
        <w:t xml:space="preserve"> el crecimiento </w:t>
      </w:r>
      <w:r w:rsidR="00DD263A">
        <w:rPr>
          <w:rFonts w:ascii="Times New Roman" w:hAnsi="Times New Roman" w:cs="Times New Roman"/>
        </w:rPr>
        <w:t>de los</w:t>
      </w:r>
      <w:r w:rsidR="0070239C">
        <w:rPr>
          <w:rFonts w:ascii="Times New Roman" w:hAnsi="Times New Roman" w:cs="Times New Roman"/>
        </w:rPr>
        <w:t xml:space="preserve"> </w:t>
      </w:r>
      <w:r w:rsidR="003E7FA6">
        <w:rPr>
          <w:rFonts w:ascii="Times New Roman" w:hAnsi="Times New Roman" w:cs="Times New Roman"/>
        </w:rPr>
        <w:t>e</w:t>
      </w:r>
      <w:r w:rsidR="00444199" w:rsidRPr="00444199">
        <w:rPr>
          <w:rFonts w:ascii="Times New Roman" w:hAnsi="Times New Roman" w:cs="Times New Roman"/>
        </w:rPr>
        <w:t xml:space="preserve">stándares </w:t>
      </w:r>
      <w:r w:rsidR="0025392D">
        <w:rPr>
          <w:rFonts w:ascii="Times New Roman" w:hAnsi="Times New Roman" w:cs="Times New Roman"/>
        </w:rPr>
        <w:t>para el</w:t>
      </w:r>
      <w:r w:rsidR="00444199" w:rsidRPr="00444199">
        <w:rPr>
          <w:rFonts w:ascii="Times New Roman" w:hAnsi="Times New Roman" w:cs="Times New Roman"/>
        </w:rPr>
        <w:t xml:space="preserve"> período 1999–2025</w:t>
      </w:r>
      <w:r w:rsidR="00DD263A">
        <w:rPr>
          <w:rFonts w:ascii="Times New Roman" w:hAnsi="Times New Roman" w:cs="Times New Roman"/>
        </w:rPr>
        <w:t>.</w:t>
      </w:r>
    </w:p>
    <w:p w14:paraId="7D6FEF9C" w14:textId="214D8872" w:rsidR="00DD263A" w:rsidRDefault="004E7E29" w:rsidP="00F338C2">
      <w:pPr>
        <w:tabs>
          <w:tab w:val="num" w:pos="720"/>
          <w:tab w:val="num" w:pos="1440"/>
          <w:tab w:val="left" w:pos="2445"/>
        </w:tabs>
        <w:ind w:right="-1"/>
        <w:jc w:val="both"/>
        <w:rPr>
          <w:rFonts w:ascii="Times New Roman" w:hAnsi="Times New Roman" w:cs="Times New Roman"/>
        </w:rPr>
      </w:pPr>
      <w:r>
        <w:rPr>
          <w:rFonts w:ascii="Times New Roman" w:hAnsi="Times New Roman" w:cs="Times New Roman"/>
          <w:lang w:val="es-ES"/>
        </w:rPr>
        <w:t xml:space="preserve">Recuperado las preguntas </w:t>
      </w:r>
      <w:r w:rsidR="00034953" w:rsidRPr="00FE5A0D">
        <w:rPr>
          <w:rFonts w:ascii="Times New Roman" w:hAnsi="Times New Roman" w:cs="Times New Roman"/>
        </w:rPr>
        <w:t>centrales que organizan los debates sobre la regulación</w:t>
      </w:r>
      <w:r w:rsidR="00034953">
        <w:rPr>
          <w:rFonts w:ascii="Times New Roman" w:hAnsi="Times New Roman" w:cs="Times New Roman"/>
        </w:rPr>
        <w:t xml:space="preserve"> de los títulos</w:t>
      </w:r>
      <w:r w:rsidR="00F15923">
        <w:rPr>
          <w:rFonts w:ascii="Times New Roman" w:hAnsi="Times New Roman" w:cs="Times New Roman"/>
        </w:rPr>
        <w:t>:</w:t>
      </w:r>
      <w:r w:rsidR="00034953">
        <w:rPr>
          <w:rFonts w:ascii="Times New Roman" w:hAnsi="Times New Roman" w:cs="Times New Roman"/>
        </w:rPr>
        <w:t xml:space="preserve"> </w:t>
      </w:r>
      <w:r w:rsidR="00034953" w:rsidRPr="00FE5A0D">
        <w:rPr>
          <w:rFonts w:ascii="Times New Roman" w:hAnsi="Times New Roman" w:cs="Times New Roman"/>
        </w:rPr>
        <w:t xml:space="preserve">“¿Quién garantiza la calidad de los títulos y diplomas?” </w:t>
      </w:r>
      <w:r w:rsidR="00003891">
        <w:rPr>
          <w:rFonts w:ascii="Times New Roman" w:hAnsi="Times New Roman" w:cs="Times New Roman"/>
        </w:rPr>
        <w:t>y</w:t>
      </w:r>
      <w:r w:rsidR="00034953" w:rsidRPr="00FE5A0D">
        <w:rPr>
          <w:rFonts w:ascii="Times New Roman" w:hAnsi="Times New Roman" w:cs="Times New Roman"/>
        </w:rPr>
        <w:t xml:space="preserve"> “¿Cuáles son los mecanismos de garantía de la calidad?”</w:t>
      </w:r>
      <w:r w:rsidR="00F15923">
        <w:rPr>
          <w:rFonts w:ascii="Times New Roman" w:hAnsi="Times New Roman" w:cs="Times New Roman"/>
        </w:rPr>
        <w:t xml:space="preserve"> podemos decir que </w:t>
      </w:r>
      <w:r w:rsidR="0093461E">
        <w:rPr>
          <w:rFonts w:ascii="Times New Roman" w:hAnsi="Times New Roman" w:cs="Times New Roman"/>
        </w:rPr>
        <w:t>para</w:t>
      </w:r>
      <w:r w:rsidR="00F15923">
        <w:rPr>
          <w:rFonts w:ascii="Times New Roman" w:hAnsi="Times New Roman" w:cs="Times New Roman"/>
        </w:rPr>
        <w:t xml:space="preserve"> el caso de Argentina</w:t>
      </w:r>
      <w:r w:rsidR="00A939DE">
        <w:rPr>
          <w:rFonts w:ascii="Times New Roman" w:hAnsi="Times New Roman" w:cs="Times New Roman"/>
        </w:rPr>
        <w:t xml:space="preserve"> </w:t>
      </w:r>
      <w:r w:rsidR="0093461E">
        <w:rPr>
          <w:rFonts w:ascii="Times New Roman" w:hAnsi="Times New Roman" w:cs="Times New Roman"/>
        </w:rPr>
        <w:t xml:space="preserve">la </w:t>
      </w:r>
      <w:r w:rsidR="00F72B17">
        <w:rPr>
          <w:rFonts w:ascii="Times New Roman" w:hAnsi="Times New Roman" w:cs="Times New Roman"/>
        </w:rPr>
        <w:t xml:space="preserve">apretada reconstrucción del proceso </w:t>
      </w:r>
      <w:r w:rsidR="006920E0">
        <w:rPr>
          <w:rFonts w:ascii="Times New Roman" w:hAnsi="Times New Roman" w:cs="Times New Roman"/>
        </w:rPr>
        <w:t xml:space="preserve">se ajusta más </w:t>
      </w:r>
      <w:r w:rsidR="00F338C2" w:rsidRPr="00F338C2">
        <w:rPr>
          <w:rFonts w:ascii="Times New Roman" w:hAnsi="Times New Roman" w:cs="Times New Roman"/>
          <w:lang w:val="es-ES"/>
        </w:rPr>
        <w:t>lo que Capano denominan “gobernanza</w:t>
      </w:r>
      <w:r w:rsidR="00466306">
        <w:rPr>
          <w:rFonts w:ascii="Times New Roman" w:hAnsi="Times New Roman" w:cs="Times New Roman"/>
          <w:lang w:val="es-ES"/>
        </w:rPr>
        <w:t xml:space="preserve"> </w:t>
      </w:r>
      <w:r w:rsidR="00F338C2" w:rsidRPr="00F338C2">
        <w:rPr>
          <w:rFonts w:ascii="Times New Roman" w:hAnsi="Times New Roman" w:cs="Times New Roman"/>
          <w:lang w:val="es-ES"/>
        </w:rPr>
        <w:t>híbrida” que según los países asume formas (variedades) diferentes</w:t>
      </w:r>
      <w:r w:rsidR="00466306">
        <w:rPr>
          <w:rFonts w:ascii="Times New Roman" w:hAnsi="Times New Roman" w:cs="Times New Roman"/>
          <w:lang w:val="es-ES"/>
        </w:rPr>
        <w:t xml:space="preserve"> </w:t>
      </w:r>
      <w:r w:rsidR="00F338C2" w:rsidRPr="00F338C2">
        <w:rPr>
          <w:rFonts w:ascii="Times New Roman" w:hAnsi="Times New Roman" w:cs="Times New Roman"/>
          <w:lang w:val="es-ES"/>
        </w:rPr>
        <w:t xml:space="preserve">(Capano, 2011; Capano y </w:t>
      </w:r>
      <w:proofErr w:type="spellStart"/>
      <w:r w:rsidR="00F338C2" w:rsidRPr="00F338C2">
        <w:rPr>
          <w:rFonts w:ascii="Times New Roman" w:hAnsi="Times New Roman" w:cs="Times New Roman"/>
          <w:lang w:val="es-ES"/>
        </w:rPr>
        <w:t>Pritoni</w:t>
      </w:r>
      <w:proofErr w:type="spellEnd"/>
      <w:r w:rsidR="00F338C2" w:rsidRPr="00F338C2">
        <w:rPr>
          <w:rFonts w:ascii="Times New Roman" w:hAnsi="Times New Roman" w:cs="Times New Roman"/>
          <w:lang w:val="es-ES"/>
        </w:rPr>
        <w:t>, 2018, Capano, 2020)</w:t>
      </w:r>
      <w:r w:rsidR="00466306">
        <w:rPr>
          <w:rFonts w:ascii="Times New Roman" w:hAnsi="Times New Roman" w:cs="Times New Roman"/>
          <w:lang w:val="es-ES"/>
        </w:rPr>
        <w:t xml:space="preserve"> que</w:t>
      </w:r>
      <w:r w:rsidR="00F338C2" w:rsidRPr="00F338C2">
        <w:rPr>
          <w:rFonts w:ascii="Times New Roman" w:hAnsi="Times New Roman" w:cs="Times New Roman"/>
          <w:lang w:val="es-ES"/>
        </w:rPr>
        <w:t xml:space="preserve"> se manifiesta</w:t>
      </w:r>
      <w:r w:rsidR="00466306">
        <w:rPr>
          <w:rFonts w:ascii="Times New Roman" w:hAnsi="Times New Roman" w:cs="Times New Roman"/>
          <w:lang w:val="es-ES"/>
        </w:rPr>
        <w:t xml:space="preserve"> </w:t>
      </w:r>
      <w:r w:rsidR="00F338C2" w:rsidRPr="00F338C2">
        <w:rPr>
          <w:rFonts w:ascii="Times New Roman" w:hAnsi="Times New Roman" w:cs="Times New Roman"/>
          <w:lang w:val="es-ES"/>
        </w:rPr>
        <w:t>en la combina</w:t>
      </w:r>
      <w:r w:rsidR="00AD3FA5">
        <w:rPr>
          <w:rFonts w:ascii="Times New Roman" w:hAnsi="Times New Roman" w:cs="Times New Roman"/>
          <w:lang w:val="es-ES"/>
        </w:rPr>
        <w:t>ción</w:t>
      </w:r>
      <w:r w:rsidR="00F338C2" w:rsidRPr="00F338C2">
        <w:rPr>
          <w:rFonts w:ascii="Times New Roman" w:hAnsi="Times New Roman" w:cs="Times New Roman"/>
          <w:lang w:val="es-ES"/>
        </w:rPr>
        <w:t xml:space="preserve"> de instrumentos de política propios del “modelo de conducción</w:t>
      </w:r>
      <w:r w:rsidR="00870004">
        <w:rPr>
          <w:rFonts w:ascii="Times New Roman" w:hAnsi="Times New Roman" w:cs="Times New Roman"/>
          <w:lang w:val="es-ES"/>
        </w:rPr>
        <w:t xml:space="preserve"> </w:t>
      </w:r>
      <w:r w:rsidR="00F338C2" w:rsidRPr="00F338C2">
        <w:rPr>
          <w:rFonts w:ascii="Times New Roman" w:hAnsi="Times New Roman" w:cs="Times New Roman"/>
          <w:lang w:val="es-ES"/>
        </w:rPr>
        <w:t>a distancia” y el peso de la burocracia estatal característico del “modelo procedimental”,</w:t>
      </w:r>
      <w:r w:rsidR="00870004">
        <w:rPr>
          <w:rFonts w:ascii="Times New Roman" w:hAnsi="Times New Roman" w:cs="Times New Roman"/>
          <w:lang w:val="es-ES"/>
        </w:rPr>
        <w:t xml:space="preserve"> </w:t>
      </w:r>
      <w:r w:rsidR="00F338C2" w:rsidRPr="00F338C2">
        <w:rPr>
          <w:rFonts w:ascii="Times New Roman" w:hAnsi="Times New Roman" w:cs="Times New Roman"/>
          <w:lang w:val="es-ES"/>
        </w:rPr>
        <w:t>generando un esquema mixto donde el Estado mantiene centralidad</w:t>
      </w:r>
      <w:r w:rsidR="00870004">
        <w:rPr>
          <w:rFonts w:ascii="Times New Roman" w:hAnsi="Times New Roman" w:cs="Times New Roman"/>
          <w:lang w:val="es-ES"/>
        </w:rPr>
        <w:t xml:space="preserve"> </w:t>
      </w:r>
      <w:r w:rsidR="00F338C2" w:rsidRPr="00F338C2">
        <w:rPr>
          <w:rFonts w:ascii="Times New Roman" w:hAnsi="Times New Roman" w:cs="Times New Roman"/>
          <w:lang w:val="es-ES"/>
        </w:rPr>
        <w:t>en la definición de objetivos del sector y la normativas procedimentales, que</w:t>
      </w:r>
      <w:r w:rsidR="00870004">
        <w:rPr>
          <w:rFonts w:ascii="Times New Roman" w:hAnsi="Times New Roman" w:cs="Times New Roman"/>
          <w:lang w:val="es-ES"/>
        </w:rPr>
        <w:t xml:space="preserve"> </w:t>
      </w:r>
      <w:r w:rsidR="00F338C2" w:rsidRPr="00F338C2">
        <w:rPr>
          <w:rFonts w:ascii="Times New Roman" w:hAnsi="Times New Roman" w:cs="Times New Roman"/>
          <w:lang w:val="es-ES"/>
        </w:rPr>
        <w:t>se equilibra con una fuerte autonomía insti</w:t>
      </w:r>
      <w:r w:rsidR="00C71C0E">
        <w:rPr>
          <w:rFonts w:ascii="Times New Roman" w:hAnsi="Times New Roman" w:cs="Times New Roman"/>
          <w:lang w:val="es-ES"/>
        </w:rPr>
        <w:t>tuc</w:t>
      </w:r>
      <w:r w:rsidR="00E339AD">
        <w:rPr>
          <w:rFonts w:ascii="Times New Roman" w:hAnsi="Times New Roman" w:cs="Times New Roman"/>
          <w:lang w:val="es-ES"/>
        </w:rPr>
        <w:t>i</w:t>
      </w:r>
      <w:r w:rsidR="00F338C2" w:rsidRPr="00F338C2">
        <w:rPr>
          <w:rFonts w:ascii="Times New Roman" w:hAnsi="Times New Roman" w:cs="Times New Roman"/>
          <w:lang w:val="es-ES"/>
        </w:rPr>
        <w:t>onal y mayor libertad de acción</w:t>
      </w:r>
      <w:r w:rsidR="00870004">
        <w:rPr>
          <w:rFonts w:ascii="Times New Roman" w:hAnsi="Times New Roman" w:cs="Times New Roman"/>
          <w:lang w:val="es-ES"/>
        </w:rPr>
        <w:t xml:space="preserve"> </w:t>
      </w:r>
      <w:r w:rsidR="00F338C2" w:rsidRPr="00F338C2">
        <w:rPr>
          <w:rFonts w:ascii="Times New Roman" w:hAnsi="Times New Roman" w:cs="Times New Roman"/>
          <w:lang w:val="es-ES"/>
        </w:rPr>
        <w:t>de actores académicos.</w:t>
      </w:r>
    </w:p>
    <w:p w14:paraId="46D19C54" w14:textId="10D1AE5E" w:rsidR="00003891" w:rsidRPr="0093461E" w:rsidRDefault="00474767" w:rsidP="00112BD9">
      <w:pPr>
        <w:tabs>
          <w:tab w:val="num" w:pos="720"/>
          <w:tab w:val="num" w:pos="1440"/>
          <w:tab w:val="left" w:pos="2445"/>
        </w:tabs>
        <w:ind w:right="-1"/>
        <w:jc w:val="both"/>
        <w:rPr>
          <w:rFonts w:ascii="Times New Roman" w:hAnsi="Times New Roman" w:cs="Times New Roman"/>
        </w:rPr>
      </w:pPr>
      <w:r>
        <w:rPr>
          <w:rFonts w:ascii="Times New Roman" w:hAnsi="Times New Roman" w:cs="Times New Roman"/>
        </w:rPr>
        <w:t>En línea con esta caracterización</w:t>
      </w:r>
      <w:r w:rsidR="00AF0B3B">
        <w:rPr>
          <w:rFonts w:ascii="Times New Roman" w:hAnsi="Times New Roman" w:cs="Times New Roman"/>
        </w:rPr>
        <w:t xml:space="preserve">, </w:t>
      </w:r>
      <w:r w:rsidR="00C71C0E">
        <w:rPr>
          <w:rFonts w:ascii="Times New Roman" w:hAnsi="Times New Roman" w:cs="Times New Roman"/>
        </w:rPr>
        <w:t xml:space="preserve">citamos el análisis de </w:t>
      </w:r>
      <w:proofErr w:type="spellStart"/>
      <w:r w:rsidR="00C71C0E">
        <w:rPr>
          <w:rFonts w:ascii="Times New Roman" w:hAnsi="Times New Roman" w:cs="Times New Roman"/>
        </w:rPr>
        <w:t>Nosiglia</w:t>
      </w:r>
      <w:proofErr w:type="spellEnd"/>
      <w:r w:rsidR="00C71C0E">
        <w:rPr>
          <w:rFonts w:ascii="Times New Roman" w:hAnsi="Times New Roman" w:cs="Times New Roman"/>
        </w:rPr>
        <w:t xml:space="preserve"> </w:t>
      </w:r>
      <w:r w:rsidR="00A75060">
        <w:rPr>
          <w:rFonts w:ascii="Times New Roman" w:hAnsi="Times New Roman" w:cs="Times New Roman"/>
        </w:rPr>
        <w:t xml:space="preserve">realizado a mediados de la segunda década </w:t>
      </w:r>
      <w:r w:rsidR="00621E60">
        <w:rPr>
          <w:rFonts w:ascii="Times New Roman" w:hAnsi="Times New Roman" w:cs="Times New Roman"/>
        </w:rPr>
        <w:t>sobre la trayectoria de los procesos de acreditación de carreras de grado</w:t>
      </w:r>
      <w:r w:rsidR="00FA7257">
        <w:rPr>
          <w:rFonts w:ascii="Times New Roman" w:hAnsi="Times New Roman" w:cs="Times New Roman"/>
        </w:rPr>
        <w:t xml:space="preserve"> cuando señala que:</w:t>
      </w:r>
      <w:r w:rsidR="00C71C0E">
        <w:rPr>
          <w:rFonts w:ascii="Times New Roman" w:hAnsi="Times New Roman" w:cs="Times New Roman"/>
        </w:rPr>
        <w:t xml:space="preserve"> </w:t>
      </w:r>
    </w:p>
    <w:p w14:paraId="61B32171" w14:textId="1DF0F3B6" w:rsidR="00AD2EB1" w:rsidRDefault="00A74E40" w:rsidP="00A74E40">
      <w:pPr>
        <w:tabs>
          <w:tab w:val="left" w:pos="2445"/>
        </w:tabs>
        <w:ind w:left="708" w:right="-1"/>
        <w:jc w:val="both"/>
        <w:rPr>
          <w:rFonts w:ascii="Times New Roman" w:hAnsi="Times New Roman" w:cs="Times New Roman"/>
        </w:rPr>
      </w:pPr>
      <w:r>
        <w:rPr>
          <w:rFonts w:ascii="Times New Roman" w:hAnsi="Times New Roman" w:cs="Times New Roman"/>
        </w:rPr>
        <w:t>“</w:t>
      </w:r>
      <w:r w:rsidRPr="00FE5A0D">
        <w:rPr>
          <w:rFonts w:ascii="Times New Roman" w:hAnsi="Times New Roman" w:cs="Times New Roman"/>
        </w:rPr>
        <w:t>El comportamiento de este entramado de actores que intervienen en el régimen de tutela de los títulos, especialmente los de interés público que suponen riesgo social directo, si bien siguieron un patrón común de defensa corporativa,</w:t>
      </w:r>
      <w:r w:rsidR="00E43253">
        <w:rPr>
          <w:rFonts w:ascii="Times New Roman" w:hAnsi="Times New Roman" w:cs="Times New Roman"/>
        </w:rPr>
        <w:t xml:space="preserve"> (…)</w:t>
      </w:r>
      <w:r w:rsidRPr="00FE5A0D">
        <w:rPr>
          <w:rFonts w:ascii="Times New Roman" w:hAnsi="Times New Roman" w:cs="Times New Roman"/>
        </w:rPr>
        <w:t xml:space="preserve">, va a mostrar variaciones según sea el grupo profesional de las distintas carreras grado </w:t>
      </w:r>
      <w:r w:rsidRPr="00FE5A0D">
        <w:rPr>
          <w:rFonts w:ascii="Times New Roman" w:hAnsi="Times New Roman" w:cs="Times New Roman"/>
        </w:rPr>
        <w:lastRenderedPageBreak/>
        <w:t xml:space="preserve">que se acreditaron, como lo observamos en estudios por disciplina dentro de esta misma investigación. Esto proviene tanto del grado de estructuración de la profesión como del aprendizaje de los grupos profesionales, las universidades y el propio gobierno en la distribución del poder sobre esta cuestión. Uno de supuestos que subyace en nuestro estudio es </w:t>
      </w:r>
      <w:proofErr w:type="gramStart"/>
      <w:r w:rsidRPr="00FE5A0D">
        <w:rPr>
          <w:rFonts w:ascii="Times New Roman" w:hAnsi="Times New Roman" w:cs="Times New Roman"/>
        </w:rPr>
        <w:t>que</w:t>
      </w:r>
      <w:proofErr w:type="gramEnd"/>
      <w:r w:rsidRPr="00FE5A0D">
        <w:rPr>
          <w:rFonts w:ascii="Times New Roman" w:hAnsi="Times New Roman" w:cs="Times New Roman"/>
        </w:rPr>
        <w:t xml:space="preserve"> dada la configuración particular de los procesos de profesionalización entre las diferentes carreras, la resolución de los conflictos no fue uniforme</w:t>
      </w:r>
      <w:r>
        <w:rPr>
          <w:rFonts w:ascii="Times New Roman" w:hAnsi="Times New Roman" w:cs="Times New Roman"/>
        </w:rPr>
        <w:t>.”</w:t>
      </w:r>
      <w:r w:rsidR="0043594E">
        <w:rPr>
          <w:rFonts w:ascii="Times New Roman" w:hAnsi="Times New Roman" w:cs="Times New Roman"/>
        </w:rPr>
        <w:t xml:space="preserve"> (</w:t>
      </w:r>
      <w:proofErr w:type="spellStart"/>
      <w:r w:rsidR="0043594E">
        <w:rPr>
          <w:rFonts w:ascii="Times New Roman" w:hAnsi="Times New Roman" w:cs="Times New Roman"/>
        </w:rPr>
        <w:t>Nosiglia</w:t>
      </w:r>
      <w:proofErr w:type="spellEnd"/>
      <w:r w:rsidR="0043594E">
        <w:rPr>
          <w:rFonts w:ascii="Times New Roman" w:hAnsi="Times New Roman" w:cs="Times New Roman"/>
        </w:rPr>
        <w:t>, 2014)</w:t>
      </w:r>
    </w:p>
    <w:p w14:paraId="313CF947" w14:textId="730750FE" w:rsidR="00FE5A0D" w:rsidRDefault="00256642" w:rsidP="00081A7F">
      <w:pPr>
        <w:tabs>
          <w:tab w:val="left" w:pos="2445"/>
        </w:tabs>
        <w:ind w:right="-1"/>
        <w:jc w:val="both"/>
        <w:rPr>
          <w:rFonts w:ascii="Times New Roman" w:hAnsi="Times New Roman" w:cs="Times New Roman"/>
          <w:lang w:val="es-ES"/>
        </w:rPr>
      </w:pPr>
      <w:r>
        <w:rPr>
          <w:rFonts w:ascii="Times New Roman" w:hAnsi="Times New Roman" w:cs="Times New Roman"/>
        </w:rPr>
        <w:t xml:space="preserve">Desde una </w:t>
      </w:r>
      <w:r w:rsidR="00450455">
        <w:rPr>
          <w:rFonts w:ascii="Times New Roman" w:hAnsi="Times New Roman" w:cs="Times New Roman"/>
        </w:rPr>
        <w:t>mirada</w:t>
      </w:r>
      <w:r>
        <w:rPr>
          <w:rFonts w:ascii="Times New Roman" w:hAnsi="Times New Roman" w:cs="Times New Roman"/>
        </w:rPr>
        <w:t xml:space="preserve"> </w:t>
      </w:r>
      <w:r w:rsidR="00F635FF">
        <w:rPr>
          <w:rFonts w:ascii="Times New Roman" w:hAnsi="Times New Roman" w:cs="Times New Roman"/>
        </w:rPr>
        <w:t>de largo plazo</w:t>
      </w:r>
      <w:r w:rsidR="009B66DB">
        <w:rPr>
          <w:rFonts w:ascii="Times New Roman" w:hAnsi="Times New Roman" w:cs="Times New Roman"/>
        </w:rPr>
        <w:t>,</w:t>
      </w:r>
      <w:r w:rsidR="001624DE">
        <w:rPr>
          <w:rFonts w:ascii="Times New Roman" w:hAnsi="Times New Roman" w:cs="Times New Roman"/>
        </w:rPr>
        <w:t xml:space="preserve"> l</w:t>
      </w:r>
      <w:r w:rsidR="0022265E">
        <w:rPr>
          <w:rFonts w:ascii="Times New Roman" w:hAnsi="Times New Roman" w:cs="Times New Roman"/>
        </w:rPr>
        <w:t>os cambios</w:t>
      </w:r>
      <w:r w:rsidR="00FE5A0D" w:rsidRPr="00FE5A0D">
        <w:rPr>
          <w:rFonts w:ascii="Times New Roman" w:hAnsi="Times New Roman" w:cs="Times New Roman"/>
        </w:rPr>
        <w:t xml:space="preserve"> en torno a esta problemática </w:t>
      </w:r>
      <w:r w:rsidR="00450455">
        <w:rPr>
          <w:rFonts w:ascii="Times New Roman" w:hAnsi="Times New Roman" w:cs="Times New Roman"/>
        </w:rPr>
        <w:t xml:space="preserve">fueron </w:t>
      </w:r>
      <w:r w:rsidR="00FE5A0D" w:rsidRPr="00FE5A0D">
        <w:rPr>
          <w:rFonts w:ascii="Times New Roman" w:hAnsi="Times New Roman" w:cs="Times New Roman"/>
        </w:rPr>
        <w:t>genera</w:t>
      </w:r>
      <w:r w:rsidR="00450455">
        <w:rPr>
          <w:rFonts w:ascii="Times New Roman" w:hAnsi="Times New Roman" w:cs="Times New Roman"/>
        </w:rPr>
        <w:t>ndo</w:t>
      </w:r>
      <w:r w:rsidR="00FE5A0D" w:rsidRPr="00FE5A0D">
        <w:rPr>
          <w:rFonts w:ascii="Times New Roman" w:hAnsi="Times New Roman" w:cs="Times New Roman"/>
        </w:rPr>
        <w:t xml:space="preserve"> soluciones</w:t>
      </w:r>
      <w:r w:rsidR="00450455">
        <w:rPr>
          <w:rFonts w:ascii="Times New Roman" w:hAnsi="Times New Roman" w:cs="Times New Roman"/>
        </w:rPr>
        <w:t xml:space="preserve"> parciales</w:t>
      </w:r>
      <w:r w:rsidR="00FE5A0D" w:rsidRPr="00FE5A0D">
        <w:rPr>
          <w:rFonts w:ascii="Times New Roman" w:hAnsi="Times New Roman" w:cs="Times New Roman"/>
        </w:rPr>
        <w:t xml:space="preserve"> en base a acuerdos de compromiso, al incumplimiento de las regulaciones, a la ausencia de cuadros burocráticos con capacidad para cumplir normas y una </w:t>
      </w:r>
      <w:proofErr w:type="spellStart"/>
      <w:r w:rsidR="00FE5A0D" w:rsidRPr="00FE5A0D">
        <w:rPr>
          <w:rFonts w:ascii="Times New Roman" w:hAnsi="Times New Roman" w:cs="Times New Roman"/>
        </w:rPr>
        <w:t>complejización</w:t>
      </w:r>
      <w:proofErr w:type="spellEnd"/>
      <w:r w:rsidR="00FE5A0D" w:rsidRPr="00FE5A0D">
        <w:rPr>
          <w:rFonts w:ascii="Times New Roman" w:hAnsi="Times New Roman" w:cs="Times New Roman"/>
        </w:rPr>
        <w:t xml:space="preserve"> de mecanismos administrativos con controles cruzados, que se exacerba con la creación de los organismos de coordinación universitaria introducidos por la LES.</w:t>
      </w:r>
      <w:r w:rsidR="00422487">
        <w:rPr>
          <w:rFonts w:ascii="Times New Roman" w:hAnsi="Times New Roman" w:cs="Times New Roman"/>
        </w:rPr>
        <w:t xml:space="preserve"> </w:t>
      </w:r>
      <w:r w:rsidR="00A60B8E">
        <w:rPr>
          <w:rFonts w:ascii="Times New Roman" w:hAnsi="Times New Roman" w:cs="Times New Roman"/>
        </w:rPr>
        <w:t xml:space="preserve">Pese a ello, </w:t>
      </w:r>
      <w:r w:rsidR="0011272A">
        <w:rPr>
          <w:rFonts w:ascii="Times New Roman" w:hAnsi="Times New Roman" w:cs="Times New Roman"/>
        </w:rPr>
        <w:t>l</w:t>
      </w:r>
      <w:r w:rsidR="0027633D">
        <w:rPr>
          <w:rFonts w:ascii="Times New Roman" w:hAnsi="Times New Roman" w:cs="Times New Roman"/>
        </w:rPr>
        <w:t>a regulación de títulos y habilidades profesionales</w:t>
      </w:r>
      <w:r w:rsidR="00BD0D8B">
        <w:rPr>
          <w:rFonts w:ascii="Times New Roman" w:hAnsi="Times New Roman" w:cs="Times New Roman"/>
        </w:rPr>
        <w:t xml:space="preserve"> </w:t>
      </w:r>
      <w:r w:rsidR="00CE0925">
        <w:rPr>
          <w:rFonts w:ascii="Times New Roman" w:hAnsi="Times New Roman" w:cs="Times New Roman"/>
        </w:rPr>
        <w:t xml:space="preserve">generó un marco normativo y procedimental </w:t>
      </w:r>
      <w:r w:rsidR="001A2EC9">
        <w:rPr>
          <w:rFonts w:ascii="Times New Roman" w:hAnsi="Times New Roman" w:cs="Times New Roman"/>
        </w:rPr>
        <w:t>derivado del Art. 43</w:t>
      </w:r>
      <w:r w:rsidR="009507C6">
        <w:rPr>
          <w:rFonts w:ascii="Times New Roman" w:hAnsi="Times New Roman" w:cs="Times New Roman"/>
        </w:rPr>
        <w:t xml:space="preserve"> </w:t>
      </w:r>
      <w:r w:rsidR="00145CDF">
        <w:rPr>
          <w:rFonts w:ascii="Times New Roman" w:hAnsi="Times New Roman" w:cs="Times New Roman"/>
        </w:rPr>
        <w:t xml:space="preserve">que establece la obligatoriedad de la </w:t>
      </w:r>
      <w:r w:rsidR="009507C6">
        <w:rPr>
          <w:rFonts w:ascii="Times New Roman" w:hAnsi="Times New Roman" w:cs="Times New Roman"/>
        </w:rPr>
        <w:t>acreditación de carreras de grado</w:t>
      </w:r>
      <w:r w:rsidR="003C11D9">
        <w:rPr>
          <w:rFonts w:ascii="Times New Roman" w:hAnsi="Times New Roman" w:cs="Times New Roman"/>
        </w:rPr>
        <w:t xml:space="preserve"> </w:t>
      </w:r>
      <w:r w:rsidR="003C11D9" w:rsidRPr="00120B31">
        <w:rPr>
          <w:rFonts w:ascii="Times New Roman" w:hAnsi="Times New Roman" w:cs="Times New Roman"/>
          <w:lang w:val="es-ES"/>
        </w:rPr>
        <w:t>correspondientes a profesiones reguladas por el Estado</w:t>
      </w:r>
      <w:r w:rsidR="003C11D9">
        <w:rPr>
          <w:rFonts w:ascii="Times New Roman" w:hAnsi="Times New Roman" w:cs="Times New Roman"/>
          <w:lang w:val="es-ES"/>
        </w:rPr>
        <w:t>.</w:t>
      </w:r>
      <w:r w:rsidR="00B401D3">
        <w:rPr>
          <w:rFonts w:ascii="Times New Roman" w:hAnsi="Times New Roman" w:cs="Times New Roman"/>
          <w:lang w:val="es-ES"/>
        </w:rPr>
        <w:t xml:space="preserve"> </w:t>
      </w:r>
    </w:p>
    <w:p w14:paraId="2984B305" w14:textId="1E8E09CE" w:rsidR="00DC20AE" w:rsidRPr="00DC20AE" w:rsidRDefault="00DC20AE" w:rsidP="00081A7F">
      <w:pPr>
        <w:tabs>
          <w:tab w:val="left" w:pos="2445"/>
        </w:tabs>
        <w:ind w:right="-1"/>
        <w:jc w:val="both"/>
        <w:rPr>
          <w:rFonts w:ascii="Times New Roman" w:hAnsi="Times New Roman" w:cs="Times New Roman"/>
          <w:b/>
          <w:bCs/>
        </w:rPr>
      </w:pPr>
      <w:r w:rsidRPr="00DC20AE">
        <w:rPr>
          <w:rFonts w:ascii="Times New Roman" w:hAnsi="Times New Roman" w:cs="Times New Roman"/>
          <w:b/>
          <w:bCs/>
          <w:lang w:val="es-ES"/>
        </w:rPr>
        <w:t>Conclusiones</w:t>
      </w:r>
    </w:p>
    <w:p w14:paraId="6E7483E8" w14:textId="38D61962" w:rsidR="00246940" w:rsidRDefault="00081A7F" w:rsidP="00081A7F">
      <w:pPr>
        <w:tabs>
          <w:tab w:val="left" w:pos="2445"/>
        </w:tabs>
        <w:ind w:right="-1"/>
        <w:jc w:val="both"/>
        <w:rPr>
          <w:rFonts w:ascii="Times New Roman" w:hAnsi="Times New Roman" w:cs="Times New Roman"/>
        </w:rPr>
      </w:pPr>
      <w:r>
        <w:rPr>
          <w:rFonts w:ascii="Times New Roman" w:hAnsi="Times New Roman" w:cs="Times New Roman"/>
        </w:rPr>
        <w:t xml:space="preserve">Recuperando </w:t>
      </w:r>
      <w:r w:rsidR="00B46C27" w:rsidRPr="008C0E2A">
        <w:rPr>
          <w:rFonts w:ascii="Times New Roman" w:hAnsi="Times New Roman" w:cs="Times New Roman"/>
        </w:rPr>
        <w:t xml:space="preserve">la perspectiva centrada en los instrumentos de política </w:t>
      </w:r>
      <w:r w:rsidR="00A215C4">
        <w:rPr>
          <w:rFonts w:ascii="Times New Roman" w:hAnsi="Times New Roman" w:cs="Times New Roman"/>
        </w:rPr>
        <w:t>de</w:t>
      </w:r>
      <w:r w:rsidR="00B46C27" w:rsidRPr="008C0E2A">
        <w:rPr>
          <w:rFonts w:ascii="Times New Roman" w:hAnsi="Times New Roman" w:cs="Times New Roman"/>
        </w:rPr>
        <w:t xml:space="preserve"> Capano y Howlett (2024) y Capano y </w:t>
      </w:r>
      <w:proofErr w:type="spellStart"/>
      <w:r w:rsidR="00B46C27" w:rsidRPr="008C0E2A">
        <w:rPr>
          <w:rFonts w:ascii="Times New Roman" w:hAnsi="Times New Roman" w:cs="Times New Roman"/>
        </w:rPr>
        <w:t>Pritoni</w:t>
      </w:r>
      <w:proofErr w:type="spellEnd"/>
      <w:r w:rsidR="00B46C27" w:rsidRPr="008C0E2A">
        <w:rPr>
          <w:rFonts w:ascii="Times New Roman" w:hAnsi="Times New Roman" w:cs="Times New Roman"/>
        </w:rPr>
        <w:t xml:space="preserve"> (2026)</w:t>
      </w:r>
      <w:r w:rsidR="008C3B8B">
        <w:rPr>
          <w:rFonts w:ascii="Times New Roman" w:hAnsi="Times New Roman" w:cs="Times New Roman"/>
        </w:rPr>
        <w:t xml:space="preserve"> </w:t>
      </w:r>
      <w:r w:rsidR="00086441">
        <w:rPr>
          <w:rFonts w:ascii="Times New Roman" w:hAnsi="Times New Roman" w:cs="Times New Roman"/>
        </w:rPr>
        <w:t>que se configuran</w:t>
      </w:r>
      <w:r w:rsidR="006D5368">
        <w:rPr>
          <w:rFonts w:ascii="Times New Roman" w:hAnsi="Times New Roman" w:cs="Times New Roman"/>
        </w:rPr>
        <w:t xml:space="preserve"> </w:t>
      </w:r>
      <w:r w:rsidR="00086441">
        <w:rPr>
          <w:rFonts w:ascii="Times New Roman" w:hAnsi="Times New Roman" w:cs="Times New Roman"/>
        </w:rPr>
        <w:t xml:space="preserve">en los niveles marco-meso y </w:t>
      </w:r>
      <w:r w:rsidR="006F685C">
        <w:rPr>
          <w:rFonts w:ascii="Times New Roman" w:hAnsi="Times New Roman" w:cs="Times New Roman"/>
        </w:rPr>
        <w:t>micro</w:t>
      </w:r>
      <w:r w:rsidR="00AA39BF">
        <w:rPr>
          <w:rFonts w:ascii="Times New Roman" w:hAnsi="Times New Roman" w:cs="Times New Roman"/>
        </w:rPr>
        <w:t xml:space="preserve"> en un continuum de tiempo</w:t>
      </w:r>
      <w:r w:rsidR="00AE0204">
        <w:rPr>
          <w:rFonts w:ascii="Times New Roman" w:hAnsi="Times New Roman" w:cs="Times New Roman"/>
        </w:rPr>
        <w:t xml:space="preserve">. </w:t>
      </w:r>
      <w:r w:rsidR="00957748">
        <w:rPr>
          <w:rFonts w:ascii="Times New Roman" w:hAnsi="Times New Roman" w:cs="Times New Roman"/>
        </w:rPr>
        <w:t xml:space="preserve">En </w:t>
      </w:r>
      <w:proofErr w:type="gramStart"/>
      <w:r w:rsidR="00957748">
        <w:rPr>
          <w:rFonts w:ascii="Times New Roman" w:hAnsi="Times New Roman" w:cs="Times New Roman"/>
        </w:rPr>
        <w:t>ese dirección</w:t>
      </w:r>
      <w:proofErr w:type="gramEnd"/>
      <w:r w:rsidR="00957748">
        <w:rPr>
          <w:rFonts w:ascii="Times New Roman" w:hAnsi="Times New Roman" w:cs="Times New Roman"/>
        </w:rPr>
        <w:t>,</w:t>
      </w:r>
      <w:r w:rsidR="008649B7">
        <w:rPr>
          <w:rFonts w:ascii="Times New Roman" w:hAnsi="Times New Roman" w:cs="Times New Roman"/>
        </w:rPr>
        <w:t xml:space="preserve"> y adoptando la analítica de esta </w:t>
      </w:r>
      <w:proofErr w:type="gramStart"/>
      <w:r w:rsidR="008649B7">
        <w:rPr>
          <w:rFonts w:ascii="Times New Roman" w:hAnsi="Times New Roman" w:cs="Times New Roman"/>
        </w:rPr>
        <w:t>perspectiva,</w:t>
      </w:r>
      <w:r w:rsidR="00957748">
        <w:rPr>
          <w:rFonts w:ascii="Times New Roman" w:hAnsi="Times New Roman" w:cs="Times New Roman"/>
        </w:rPr>
        <w:t xml:space="preserve"> </w:t>
      </w:r>
      <w:r w:rsidR="001D0927">
        <w:rPr>
          <w:rFonts w:ascii="Times New Roman" w:hAnsi="Times New Roman" w:cs="Times New Roman"/>
        </w:rPr>
        <w:t xml:space="preserve"> la</w:t>
      </w:r>
      <w:proofErr w:type="gramEnd"/>
      <w:r w:rsidR="00684360">
        <w:rPr>
          <w:rFonts w:ascii="Times New Roman" w:hAnsi="Times New Roman" w:cs="Times New Roman"/>
        </w:rPr>
        <w:t xml:space="preserve"> evaluación y acreditación de carreras de grado </w:t>
      </w:r>
      <w:r w:rsidR="001D0927">
        <w:rPr>
          <w:rFonts w:ascii="Times New Roman" w:hAnsi="Times New Roman" w:cs="Times New Roman"/>
        </w:rPr>
        <w:t>nos plantea un</w:t>
      </w:r>
      <w:r w:rsidR="00684360">
        <w:rPr>
          <w:rFonts w:ascii="Times New Roman" w:hAnsi="Times New Roman" w:cs="Times New Roman"/>
        </w:rPr>
        <w:t>a serie de</w:t>
      </w:r>
      <w:r w:rsidR="001D0927">
        <w:rPr>
          <w:rFonts w:ascii="Times New Roman" w:hAnsi="Times New Roman" w:cs="Times New Roman"/>
        </w:rPr>
        <w:t xml:space="preserve"> desafío</w:t>
      </w:r>
      <w:r w:rsidR="00741A85">
        <w:rPr>
          <w:rFonts w:ascii="Times New Roman" w:hAnsi="Times New Roman" w:cs="Times New Roman"/>
        </w:rPr>
        <w:t>s por</w:t>
      </w:r>
      <w:r w:rsidR="009D6F6B">
        <w:rPr>
          <w:rFonts w:ascii="Times New Roman" w:hAnsi="Times New Roman" w:cs="Times New Roman"/>
        </w:rPr>
        <w:t>que en rigor no es un instrumento</w:t>
      </w:r>
      <w:r w:rsidR="00853625">
        <w:rPr>
          <w:rFonts w:ascii="Times New Roman" w:hAnsi="Times New Roman" w:cs="Times New Roman"/>
        </w:rPr>
        <w:t xml:space="preserve"> claramente definido e identificado </w:t>
      </w:r>
      <w:r w:rsidR="009D6F6B">
        <w:rPr>
          <w:rFonts w:ascii="Times New Roman" w:hAnsi="Times New Roman" w:cs="Times New Roman"/>
        </w:rPr>
        <w:t>sino</w:t>
      </w:r>
      <w:r w:rsidR="007D0199">
        <w:rPr>
          <w:rFonts w:ascii="Times New Roman" w:hAnsi="Times New Roman" w:cs="Times New Roman"/>
        </w:rPr>
        <w:t xml:space="preserve"> </w:t>
      </w:r>
      <w:r w:rsidR="00853625">
        <w:rPr>
          <w:rFonts w:ascii="Times New Roman" w:hAnsi="Times New Roman" w:cs="Times New Roman"/>
        </w:rPr>
        <w:t xml:space="preserve">un set </w:t>
      </w:r>
      <w:r w:rsidR="007D0199">
        <w:rPr>
          <w:rFonts w:ascii="Times New Roman" w:hAnsi="Times New Roman" w:cs="Times New Roman"/>
        </w:rPr>
        <w:t>de instrumento</w:t>
      </w:r>
      <w:r w:rsidR="00E240F4">
        <w:rPr>
          <w:rFonts w:ascii="Times New Roman" w:hAnsi="Times New Roman" w:cs="Times New Roman"/>
        </w:rPr>
        <w:t xml:space="preserve">s </w:t>
      </w:r>
      <w:r w:rsidR="002E0193">
        <w:rPr>
          <w:rFonts w:ascii="Times New Roman" w:hAnsi="Times New Roman" w:cs="Times New Roman"/>
        </w:rPr>
        <w:t xml:space="preserve">entendido </w:t>
      </w:r>
      <w:r w:rsidR="00DC20AE" w:rsidRPr="008C0E2A">
        <w:rPr>
          <w:rFonts w:ascii="Times New Roman" w:hAnsi="Times New Roman" w:cs="Times New Roman"/>
        </w:rPr>
        <w:t xml:space="preserve">como “arquitecturas configurables” que explican más adecuadamente los resultados de las políticas en tanto interfaz operativa entre la racionalidad instrumental y la estrategia política. </w:t>
      </w:r>
    </w:p>
    <w:p w14:paraId="592CC95A" w14:textId="656552B6" w:rsidR="000D50EF" w:rsidRDefault="00246940" w:rsidP="00081A7F">
      <w:pPr>
        <w:tabs>
          <w:tab w:val="left" w:pos="2445"/>
        </w:tabs>
        <w:ind w:right="-1"/>
        <w:jc w:val="both"/>
        <w:rPr>
          <w:rFonts w:ascii="Times New Roman" w:hAnsi="Times New Roman" w:cs="Times New Roman"/>
        </w:rPr>
      </w:pPr>
      <w:r>
        <w:rPr>
          <w:rFonts w:ascii="Times New Roman" w:hAnsi="Times New Roman" w:cs="Times New Roman"/>
        </w:rPr>
        <w:t xml:space="preserve">En este caso la </w:t>
      </w:r>
      <w:r w:rsidR="00DC20AE" w:rsidRPr="008C0E2A">
        <w:rPr>
          <w:rFonts w:ascii="Times New Roman" w:hAnsi="Times New Roman" w:cs="Times New Roman"/>
        </w:rPr>
        <w:t>dimensión temporal resulta clave para entender la propia transformación y reconfiguración de los instrumentos que se expresa</w:t>
      </w:r>
      <w:r w:rsidR="00AA634C">
        <w:rPr>
          <w:rFonts w:ascii="Times New Roman" w:hAnsi="Times New Roman" w:cs="Times New Roman"/>
        </w:rPr>
        <w:t>n</w:t>
      </w:r>
      <w:r w:rsidR="00DC20AE" w:rsidRPr="008C0E2A">
        <w:rPr>
          <w:rFonts w:ascii="Times New Roman" w:hAnsi="Times New Roman" w:cs="Times New Roman"/>
        </w:rPr>
        <w:t xml:space="preserve"> en las “especificaciones” y “calibraciones” que estructuran los objetivos que responde las preguntas operativas de “¿a quienes va dirigido esta intervención?” (población), “qué conducta se espera cambiar?” (resultados esperados) “¿cómo (funcionamiento)?”, y “¿en qué plazos?”.</w:t>
      </w:r>
      <w:r w:rsidR="0008028C">
        <w:rPr>
          <w:rFonts w:ascii="Times New Roman" w:hAnsi="Times New Roman" w:cs="Times New Roman"/>
        </w:rPr>
        <w:t xml:space="preserve"> Ciertamente, aun estamos lejos </w:t>
      </w:r>
      <w:r w:rsidR="00F21E7F">
        <w:rPr>
          <w:rFonts w:ascii="Times New Roman" w:hAnsi="Times New Roman" w:cs="Times New Roman"/>
        </w:rPr>
        <w:t>de un análisis como el postulad</w:t>
      </w:r>
      <w:r w:rsidR="00DD6370">
        <w:rPr>
          <w:rFonts w:ascii="Times New Roman" w:hAnsi="Times New Roman" w:cs="Times New Roman"/>
        </w:rPr>
        <w:t xml:space="preserve">o, por ello y más modestamente la ponencia se propuso presentar el instrumental conceptual y </w:t>
      </w:r>
      <w:r w:rsidR="00106FF7">
        <w:rPr>
          <w:rFonts w:ascii="Times New Roman" w:hAnsi="Times New Roman" w:cs="Times New Roman"/>
        </w:rPr>
        <w:t xml:space="preserve">una </w:t>
      </w:r>
      <w:r w:rsidR="00A043AF">
        <w:rPr>
          <w:rFonts w:ascii="Times New Roman" w:hAnsi="Times New Roman" w:cs="Times New Roman"/>
        </w:rPr>
        <w:t>revisión del marco normativo y procedimental de la acreditación de</w:t>
      </w:r>
      <w:r w:rsidR="00FA6C78">
        <w:rPr>
          <w:rFonts w:ascii="Times New Roman" w:hAnsi="Times New Roman" w:cs="Times New Roman"/>
        </w:rPr>
        <w:t xml:space="preserve"> </w:t>
      </w:r>
      <w:r w:rsidR="00A043AF">
        <w:rPr>
          <w:rFonts w:ascii="Times New Roman" w:hAnsi="Times New Roman" w:cs="Times New Roman"/>
        </w:rPr>
        <w:t>carreras de grado</w:t>
      </w:r>
      <w:r w:rsidR="00A7559E">
        <w:rPr>
          <w:rFonts w:ascii="Times New Roman" w:hAnsi="Times New Roman" w:cs="Times New Roman"/>
        </w:rPr>
        <w:t xml:space="preserve"> desde 1995 a la actualidad.</w:t>
      </w:r>
    </w:p>
    <w:p w14:paraId="2D9C25B7" w14:textId="1A7A4DB3" w:rsidR="00833D4B" w:rsidRDefault="00FA6C78" w:rsidP="000F363C">
      <w:pPr>
        <w:tabs>
          <w:tab w:val="left" w:pos="2445"/>
        </w:tabs>
        <w:ind w:right="-1"/>
        <w:jc w:val="both"/>
        <w:rPr>
          <w:rFonts w:ascii="Times New Roman" w:hAnsi="Times New Roman" w:cs="Times New Roman"/>
        </w:rPr>
      </w:pPr>
      <w:r>
        <w:rPr>
          <w:rFonts w:ascii="Times New Roman" w:hAnsi="Times New Roman" w:cs="Times New Roman"/>
        </w:rPr>
        <w:t>Por último,</w:t>
      </w:r>
      <w:r w:rsidR="00A10EEF" w:rsidRPr="00A10EEF">
        <w:rPr>
          <w:rFonts w:ascii="Times New Roman" w:hAnsi="Times New Roman" w:cs="Times New Roman"/>
        </w:rPr>
        <w:t xml:space="preserve"> </w:t>
      </w:r>
      <w:r w:rsidR="00A10EEF" w:rsidRPr="008C0E2A">
        <w:rPr>
          <w:rFonts w:ascii="Times New Roman" w:hAnsi="Times New Roman" w:cs="Times New Roman"/>
        </w:rPr>
        <w:t>propone</w:t>
      </w:r>
      <w:r w:rsidR="00F631D8">
        <w:rPr>
          <w:rFonts w:ascii="Times New Roman" w:hAnsi="Times New Roman" w:cs="Times New Roman"/>
        </w:rPr>
        <w:t>mos</w:t>
      </w:r>
      <w:r w:rsidR="00A10EEF" w:rsidRPr="008C0E2A">
        <w:rPr>
          <w:rFonts w:ascii="Times New Roman" w:hAnsi="Times New Roman" w:cs="Times New Roman"/>
        </w:rPr>
        <w:t xml:space="preserve"> </w:t>
      </w:r>
      <w:r w:rsidR="00A10EEF">
        <w:rPr>
          <w:rFonts w:ascii="Times New Roman" w:hAnsi="Times New Roman" w:cs="Times New Roman"/>
        </w:rPr>
        <w:t xml:space="preserve">a modo de hipótesis </w:t>
      </w:r>
      <w:r w:rsidR="00A10EEF" w:rsidRPr="008C0E2A">
        <w:rPr>
          <w:rFonts w:ascii="Times New Roman" w:hAnsi="Times New Roman" w:cs="Times New Roman"/>
        </w:rPr>
        <w:t>una primera y tentativa periodización d</w:t>
      </w:r>
      <w:r w:rsidR="00E733AD">
        <w:rPr>
          <w:rFonts w:ascii="Times New Roman" w:hAnsi="Times New Roman" w:cs="Times New Roman"/>
        </w:rPr>
        <w:t>e</w:t>
      </w:r>
      <w:r w:rsidR="00E23A70" w:rsidRPr="008C0E2A">
        <w:rPr>
          <w:rFonts w:ascii="Times New Roman" w:hAnsi="Times New Roman" w:cs="Times New Roman"/>
        </w:rPr>
        <w:t xml:space="preserve">l derrotero seguido por </w:t>
      </w:r>
      <w:r w:rsidR="00C23F59" w:rsidRPr="008C0E2A">
        <w:rPr>
          <w:rFonts w:ascii="Times New Roman" w:hAnsi="Times New Roman" w:cs="Times New Roman"/>
        </w:rPr>
        <w:t>la acreditación de carreras de grado (Art 43 de la LES)</w:t>
      </w:r>
      <w:r w:rsidR="00E733AD">
        <w:rPr>
          <w:rFonts w:ascii="Times New Roman" w:hAnsi="Times New Roman" w:cs="Times New Roman"/>
        </w:rPr>
        <w:t xml:space="preserve"> </w:t>
      </w:r>
      <w:r w:rsidR="00C23F59">
        <w:rPr>
          <w:rFonts w:ascii="Times New Roman" w:hAnsi="Times New Roman" w:cs="Times New Roman"/>
        </w:rPr>
        <w:t xml:space="preserve">tomado como </w:t>
      </w:r>
      <w:r w:rsidR="00E23A70" w:rsidRPr="008C0E2A">
        <w:rPr>
          <w:rFonts w:ascii="Times New Roman" w:hAnsi="Times New Roman" w:cs="Times New Roman"/>
        </w:rPr>
        <w:t>un instrumento de política</w:t>
      </w:r>
      <w:r w:rsidR="00E733AD">
        <w:rPr>
          <w:rFonts w:ascii="Times New Roman" w:hAnsi="Times New Roman" w:cs="Times New Roman"/>
        </w:rPr>
        <w:t>.</w:t>
      </w:r>
      <w:r w:rsidR="000F363C">
        <w:rPr>
          <w:rFonts w:ascii="Times New Roman" w:hAnsi="Times New Roman" w:cs="Times New Roman"/>
        </w:rPr>
        <w:t xml:space="preserve"> Así, podemos identificar </w:t>
      </w:r>
      <w:r w:rsidR="00A10EEF" w:rsidRPr="008C0E2A">
        <w:rPr>
          <w:rFonts w:ascii="Times New Roman" w:hAnsi="Times New Roman" w:cs="Times New Roman"/>
        </w:rPr>
        <w:t xml:space="preserve">tres momentos: emergencia o </w:t>
      </w:r>
      <w:r w:rsidR="00A10EEF" w:rsidRPr="008C0E2A">
        <w:rPr>
          <w:rFonts w:ascii="Times New Roman" w:hAnsi="Times New Roman" w:cs="Times New Roman"/>
        </w:rPr>
        <w:lastRenderedPageBreak/>
        <w:t>primera generación (1995-2010), modelo de competencias (2011-2021) y reconfiguración reciente (2022-2025).</w:t>
      </w:r>
    </w:p>
    <w:p w14:paraId="5D5AC262" w14:textId="3652D5D0" w:rsidR="00B846EF" w:rsidRPr="00F90F96" w:rsidRDefault="00B846EF" w:rsidP="00B846EF">
      <w:pPr>
        <w:ind w:right="-1"/>
        <w:jc w:val="both"/>
        <w:rPr>
          <w:rFonts w:ascii="Times New Roman" w:hAnsi="Times New Roman" w:cs="Times New Roman"/>
          <w:lang w:val="es-ES"/>
        </w:rPr>
      </w:pPr>
      <w:r w:rsidRPr="00F90F96">
        <w:rPr>
          <w:rFonts w:ascii="Times New Roman" w:hAnsi="Times New Roman" w:cs="Times New Roman"/>
          <w:lang w:val="es-ES"/>
        </w:rPr>
        <w:t>1) Emergencia o primera generación (1995-2010)</w:t>
      </w:r>
      <w:r w:rsidR="00F90F96" w:rsidRPr="00F90F96">
        <w:rPr>
          <w:rFonts w:ascii="Times New Roman" w:hAnsi="Times New Roman" w:cs="Times New Roman"/>
          <w:lang w:val="es-ES"/>
        </w:rPr>
        <w:t>:</w:t>
      </w:r>
      <w:r w:rsidR="00927760">
        <w:rPr>
          <w:rFonts w:ascii="Times New Roman" w:hAnsi="Times New Roman" w:cs="Times New Roman"/>
          <w:lang w:val="es-ES"/>
        </w:rPr>
        <w:t xml:space="preserve"> </w:t>
      </w:r>
      <w:r w:rsidR="00E7002F">
        <w:rPr>
          <w:rFonts w:ascii="Times New Roman" w:hAnsi="Times New Roman" w:cs="Times New Roman"/>
          <w:lang w:val="es-ES"/>
        </w:rPr>
        <w:t xml:space="preserve">esta etapa esta cruzada por los conflictos y resistencia a la LES </w:t>
      </w:r>
      <w:r w:rsidR="00A427C2">
        <w:rPr>
          <w:rFonts w:ascii="Times New Roman" w:hAnsi="Times New Roman" w:cs="Times New Roman"/>
          <w:lang w:val="es-ES"/>
        </w:rPr>
        <w:t>donde</w:t>
      </w:r>
      <w:r w:rsidR="008C367E">
        <w:rPr>
          <w:rFonts w:ascii="Times New Roman" w:hAnsi="Times New Roman" w:cs="Times New Roman"/>
          <w:lang w:val="es-ES"/>
        </w:rPr>
        <w:t xml:space="preserve"> las carreras de Medicina constituyen un caso testigo </w:t>
      </w:r>
      <w:r w:rsidR="00293C8F">
        <w:rPr>
          <w:rFonts w:ascii="Times New Roman" w:hAnsi="Times New Roman" w:cs="Times New Roman"/>
          <w:lang w:val="es-ES"/>
        </w:rPr>
        <w:t>de proceso de acreditación volun</w:t>
      </w:r>
      <w:r w:rsidR="001D0500">
        <w:rPr>
          <w:rFonts w:ascii="Times New Roman" w:hAnsi="Times New Roman" w:cs="Times New Roman"/>
          <w:lang w:val="es-ES"/>
        </w:rPr>
        <w:t>t</w:t>
      </w:r>
      <w:r w:rsidR="00293C8F">
        <w:rPr>
          <w:rFonts w:ascii="Times New Roman" w:hAnsi="Times New Roman" w:cs="Times New Roman"/>
          <w:lang w:val="es-ES"/>
        </w:rPr>
        <w:t xml:space="preserve">aria </w:t>
      </w:r>
      <w:r w:rsidR="000B4908" w:rsidRPr="00B846EF">
        <w:rPr>
          <w:rFonts w:ascii="Times New Roman" w:hAnsi="Times New Roman" w:cs="Times New Roman"/>
          <w:lang w:val="es-ES"/>
        </w:rPr>
        <w:t>(Resolución CONEAU 741/99), seguida de acreditación obligatoria de la misma disciplina (Resolución CONEAU 577/00), y en paralelo el proceso voluntario de acreditación de las ingenierías (Resolución CONEAU 293/02) con previsión de pasar a obligatoriedad.</w:t>
      </w:r>
      <w:r w:rsidR="00A86C9B">
        <w:rPr>
          <w:rFonts w:ascii="Times New Roman" w:hAnsi="Times New Roman" w:cs="Times New Roman"/>
          <w:lang w:val="es-ES"/>
        </w:rPr>
        <w:t xml:space="preserve"> </w:t>
      </w:r>
      <w:r w:rsidR="000410D4">
        <w:rPr>
          <w:rFonts w:ascii="Times New Roman" w:hAnsi="Times New Roman" w:cs="Times New Roman"/>
          <w:lang w:val="es-ES"/>
        </w:rPr>
        <w:t xml:space="preserve">Un </w:t>
      </w:r>
      <w:r w:rsidR="00012CBB">
        <w:rPr>
          <w:rFonts w:ascii="Times New Roman" w:hAnsi="Times New Roman" w:cs="Times New Roman"/>
          <w:lang w:val="es-ES"/>
        </w:rPr>
        <w:t>mecanismo</w:t>
      </w:r>
      <w:r w:rsidR="000410D4">
        <w:rPr>
          <w:rFonts w:ascii="Times New Roman" w:hAnsi="Times New Roman" w:cs="Times New Roman"/>
          <w:lang w:val="es-ES"/>
        </w:rPr>
        <w:t xml:space="preserve"> de instalación gradual</w:t>
      </w:r>
      <w:r w:rsidR="00012CBB">
        <w:rPr>
          <w:rFonts w:ascii="Times New Roman" w:hAnsi="Times New Roman" w:cs="Times New Roman"/>
          <w:lang w:val="es-ES"/>
        </w:rPr>
        <w:t xml:space="preserve"> alrededor de un patrón </w:t>
      </w:r>
      <w:r w:rsidR="001511FE">
        <w:rPr>
          <w:rFonts w:ascii="Times New Roman" w:hAnsi="Times New Roman" w:cs="Times New Roman"/>
          <w:lang w:val="es-ES"/>
        </w:rPr>
        <w:t>de pasaje de voluntario a obligatorio.</w:t>
      </w:r>
      <w:r w:rsidR="000410D4">
        <w:rPr>
          <w:rFonts w:ascii="Times New Roman" w:hAnsi="Times New Roman" w:cs="Times New Roman"/>
          <w:lang w:val="es-ES"/>
        </w:rPr>
        <w:t xml:space="preserve"> </w:t>
      </w:r>
    </w:p>
    <w:p w14:paraId="06D0BF5A" w14:textId="30539555" w:rsidR="00B846EF" w:rsidRPr="00A20601" w:rsidRDefault="00B846EF" w:rsidP="00B846EF">
      <w:pPr>
        <w:ind w:right="-1"/>
        <w:jc w:val="both"/>
        <w:rPr>
          <w:rFonts w:ascii="Times New Roman" w:hAnsi="Times New Roman" w:cs="Times New Roman"/>
          <w:lang w:val="es-ES"/>
        </w:rPr>
      </w:pPr>
      <w:r w:rsidRPr="00A20601">
        <w:rPr>
          <w:rFonts w:ascii="Times New Roman" w:hAnsi="Times New Roman" w:cs="Times New Roman"/>
          <w:lang w:val="es-ES"/>
        </w:rPr>
        <w:t>2) Modelo de competencias (2011-2021)</w:t>
      </w:r>
      <w:r w:rsidR="00EC0952">
        <w:rPr>
          <w:rFonts w:ascii="Times New Roman" w:hAnsi="Times New Roman" w:cs="Times New Roman"/>
          <w:lang w:val="es-ES"/>
        </w:rPr>
        <w:t>: esta etapa</w:t>
      </w:r>
      <w:r w:rsidR="00312CCA">
        <w:rPr>
          <w:rFonts w:ascii="Times New Roman" w:hAnsi="Times New Roman" w:cs="Times New Roman"/>
          <w:lang w:val="es-ES"/>
        </w:rPr>
        <w:t xml:space="preserve"> podría caracterizarse </w:t>
      </w:r>
      <w:r w:rsidR="00163F00">
        <w:rPr>
          <w:rFonts w:ascii="Times New Roman" w:hAnsi="Times New Roman" w:cs="Times New Roman"/>
          <w:lang w:val="es-ES"/>
        </w:rPr>
        <w:t xml:space="preserve">como </w:t>
      </w:r>
      <w:r w:rsidR="00995A9F">
        <w:rPr>
          <w:rFonts w:ascii="Times New Roman" w:hAnsi="Times New Roman" w:cs="Times New Roman"/>
          <w:lang w:val="es-ES"/>
        </w:rPr>
        <w:t xml:space="preserve">una </w:t>
      </w:r>
      <w:r w:rsidR="005A2212">
        <w:rPr>
          <w:rFonts w:ascii="Times New Roman" w:hAnsi="Times New Roman" w:cs="Times New Roman"/>
          <w:lang w:val="es-ES"/>
        </w:rPr>
        <w:t>“</w:t>
      </w:r>
      <w:r w:rsidR="00995A9F">
        <w:rPr>
          <w:rFonts w:ascii="Times New Roman" w:hAnsi="Times New Roman" w:cs="Times New Roman"/>
          <w:lang w:val="es-ES"/>
        </w:rPr>
        <w:t>segunda generación</w:t>
      </w:r>
      <w:r w:rsidR="00DD622B" w:rsidRPr="00DD622B">
        <w:rPr>
          <w:rFonts w:ascii="Times New Roman" w:hAnsi="Times New Roman" w:cs="Times New Roman"/>
          <w:lang w:val="es-ES"/>
        </w:rPr>
        <w:t xml:space="preserve"> de estándares</w:t>
      </w:r>
      <w:r w:rsidR="005A2212">
        <w:rPr>
          <w:rFonts w:ascii="Times New Roman" w:hAnsi="Times New Roman" w:cs="Times New Roman"/>
          <w:lang w:val="es-ES"/>
        </w:rPr>
        <w:t>”</w:t>
      </w:r>
      <w:r w:rsidR="00995A9F">
        <w:rPr>
          <w:rFonts w:ascii="Times New Roman" w:hAnsi="Times New Roman" w:cs="Times New Roman"/>
          <w:lang w:val="es-ES"/>
        </w:rPr>
        <w:t xml:space="preserve"> tal como lo </w:t>
      </w:r>
      <w:r w:rsidR="00452097">
        <w:rPr>
          <w:rFonts w:ascii="Times New Roman" w:hAnsi="Times New Roman" w:cs="Times New Roman"/>
          <w:lang w:val="es-ES"/>
        </w:rPr>
        <w:t xml:space="preserve">calificó </w:t>
      </w:r>
      <w:r w:rsidR="00452097" w:rsidRPr="00B846EF">
        <w:rPr>
          <w:rFonts w:ascii="Times New Roman" w:hAnsi="Times New Roman" w:cs="Times New Roman"/>
          <w:lang w:val="es-ES"/>
        </w:rPr>
        <w:t>la</w:t>
      </w:r>
      <w:r w:rsidR="00F65512" w:rsidRPr="00B846EF">
        <w:rPr>
          <w:rFonts w:ascii="Times New Roman" w:hAnsi="Times New Roman" w:cs="Times New Roman"/>
          <w:lang w:val="es-ES"/>
        </w:rPr>
        <w:t xml:space="preserve"> autoridad de Gestión Universitaria</w:t>
      </w:r>
      <w:r w:rsidR="00F65512" w:rsidRPr="00B846EF">
        <w:rPr>
          <w:rFonts w:ascii="Times New Roman" w:hAnsi="Times New Roman" w:cs="Times New Roman"/>
          <w:lang w:val="es-ES"/>
        </w:rPr>
        <w:t xml:space="preserve"> </w:t>
      </w:r>
      <w:r w:rsidR="00DD622B" w:rsidRPr="00B846EF">
        <w:rPr>
          <w:rFonts w:ascii="Times New Roman" w:hAnsi="Times New Roman" w:cs="Times New Roman"/>
          <w:lang w:val="es-ES"/>
        </w:rPr>
        <w:t xml:space="preserve">al aprobarse en 2019 los nuevos estándares para Ingenierías y Licenciatura en Informática, </w:t>
      </w:r>
      <w:proofErr w:type="gramStart"/>
      <w:r w:rsidR="00452097">
        <w:rPr>
          <w:rFonts w:ascii="Times New Roman" w:hAnsi="Times New Roman" w:cs="Times New Roman"/>
          <w:lang w:val="es-ES"/>
        </w:rPr>
        <w:t>que</w:t>
      </w:r>
      <w:proofErr w:type="gramEnd"/>
      <w:r w:rsidR="00452097">
        <w:rPr>
          <w:rFonts w:ascii="Times New Roman" w:hAnsi="Times New Roman" w:cs="Times New Roman"/>
          <w:lang w:val="es-ES"/>
        </w:rPr>
        <w:t xml:space="preserve"> </w:t>
      </w:r>
      <w:r w:rsidR="00DD622B" w:rsidRPr="00B846EF">
        <w:rPr>
          <w:rFonts w:ascii="Times New Roman" w:hAnsi="Times New Roman" w:cs="Times New Roman"/>
          <w:lang w:val="es-ES"/>
        </w:rPr>
        <w:t>incorporando competencias específicas para formar profesionales integrales y con compromiso social, además de actualizar contenidos básicos y carga horaria</w:t>
      </w:r>
      <w:r w:rsidR="00C01D73">
        <w:rPr>
          <w:rFonts w:ascii="Times New Roman" w:hAnsi="Times New Roman" w:cs="Times New Roman"/>
          <w:lang w:val="es-ES"/>
        </w:rPr>
        <w:t xml:space="preserve">. </w:t>
      </w:r>
      <w:r w:rsidR="0041632A">
        <w:rPr>
          <w:rFonts w:ascii="Times New Roman" w:hAnsi="Times New Roman" w:cs="Times New Roman"/>
          <w:lang w:val="es-ES"/>
        </w:rPr>
        <w:t>S</w:t>
      </w:r>
      <w:r w:rsidR="001A1643" w:rsidRPr="00B846EF">
        <w:rPr>
          <w:rFonts w:ascii="Times New Roman" w:hAnsi="Times New Roman" w:cs="Times New Roman"/>
          <w:lang w:val="es-ES"/>
        </w:rPr>
        <w:t>e incorporan al régimen carreras del área de salud antes no reguladas: Fonoaudiología, Nutrición, Obstetricia y Kinesiología</w:t>
      </w:r>
      <w:r w:rsidR="00341228">
        <w:rPr>
          <w:rFonts w:ascii="Times New Roman" w:hAnsi="Times New Roman" w:cs="Times New Roman"/>
          <w:lang w:val="es-ES"/>
        </w:rPr>
        <w:t xml:space="preserve">. Se consolidan </w:t>
      </w:r>
      <w:r w:rsidR="00FE16F7">
        <w:rPr>
          <w:rFonts w:ascii="Times New Roman" w:hAnsi="Times New Roman" w:cs="Times New Roman"/>
          <w:lang w:val="es-ES"/>
        </w:rPr>
        <w:t>una arquitectura procedimental</w:t>
      </w:r>
      <w:r w:rsidR="00025917">
        <w:rPr>
          <w:rFonts w:ascii="Times New Roman" w:hAnsi="Times New Roman" w:cs="Times New Roman"/>
          <w:lang w:val="es-ES"/>
        </w:rPr>
        <w:t xml:space="preserve"> como las </w:t>
      </w:r>
      <w:r w:rsidR="00025917" w:rsidRPr="00B846EF">
        <w:rPr>
          <w:rFonts w:ascii="Times New Roman" w:hAnsi="Times New Roman" w:cs="Times New Roman"/>
          <w:lang w:val="es-ES"/>
        </w:rPr>
        <w:t>convocatorias por área disciplinar, formalización, autoevaluación (informe con información sistematizada y comparable), evaluación por comités de pares, y vigencia trienal renovable de la acreditación, todo esto bajo el marco de la Ordenanza CONEAU 62/17</w:t>
      </w:r>
      <w:r w:rsidR="00025917">
        <w:rPr>
          <w:rFonts w:ascii="Times New Roman" w:hAnsi="Times New Roman" w:cs="Times New Roman"/>
          <w:lang w:val="es-ES"/>
        </w:rPr>
        <w:t>.</w:t>
      </w:r>
    </w:p>
    <w:p w14:paraId="7ED7D6BD" w14:textId="483A228C" w:rsidR="00FE59E8" w:rsidRPr="00344AFD" w:rsidRDefault="00000000">
      <w:pPr>
        <w:ind w:right="-1"/>
        <w:jc w:val="both"/>
        <w:rPr>
          <w:rFonts w:ascii="Times New Roman" w:hAnsi="Times New Roman" w:cs="Times New Roman"/>
          <w:lang w:val="es-ES"/>
        </w:rPr>
      </w:pPr>
      <w:r w:rsidRPr="00AC5FBB">
        <w:rPr>
          <w:rFonts w:ascii="Times New Roman" w:hAnsi="Times New Roman" w:cs="Times New Roman"/>
          <w:lang w:val="es-ES"/>
        </w:rPr>
        <w:t>3) Reconfiguración reciente (2022-2025)</w:t>
      </w:r>
      <w:r>
        <w:rPr>
          <w:rFonts w:ascii="Times New Roman" w:hAnsi="Times New Roman" w:cs="Times New Roman"/>
          <w:lang w:val="es-ES"/>
        </w:rPr>
        <w:t>: esta etapa</w:t>
      </w:r>
      <w:r w:rsidR="00344AFD" w:rsidRPr="00344AFD">
        <w:rPr>
          <w:rFonts w:ascii="Times New Roman" w:hAnsi="Times New Roman" w:cs="Times New Roman"/>
        </w:rPr>
        <w:t>, aún</w:t>
      </w:r>
      <w:r>
        <w:rPr>
          <w:rFonts w:ascii="Times New Roman" w:hAnsi="Times New Roman" w:cs="Times New Roman"/>
          <w:lang w:val="es-ES"/>
        </w:rPr>
        <w:t xml:space="preserve"> en curso</w:t>
      </w:r>
      <w:r w:rsidR="00344AFD" w:rsidRPr="00344AFD">
        <w:rPr>
          <w:rFonts w:ascii="Times New Roman" w:hAnsi="Times New Roman" w:cs="Times New Roman"/>
        </w:rPr>
        <w:t>,</w:t>
      </w:r>
      <w:r>
        <w:rPr>
          <w:rFonts w:ascii="Times New Roman" w:hAnsi="Times New Roman" w:cs="Times New Roman"/>
          <w:lang w:val="es-ES"/>
        </w:rPr>
        <w:t xml:space="preserve"> </w:t>
      </w:r>
      <w:r>
        <w:rPr>
          <w:rFonts w:ascii="Times New Roman" w:hAnsi="Times New Roman" w:cs="Times New Roman"/>
          <w:lang w:val="es-ES"/>
        </w:rPr>
        <w:t xml:space="preserve">combina </w:t>
      </w:r>
      <w:r w:rsidR="00344AFD" w:rsidRPr="00344AFD">
        <w:rPr>
          <w:rFonts w:ascii="Times New Roman" w:hAnsi="Times New Roman" w:cs="Times New Roman"/>
        </w:rPr>
        <w:t>dos dinámicas. Por</w:t>
      </w:r>
      <w:r>
        <w:rPr>
          <w:rFonts w:ascii="Times New Roman" w:hAnsi="Times New Roman" w:cs="Times New Roman"/>
          <w:lang w:val="es-ES"/>
        </w:rPr>
        <w:t xml:space="preserve"> un </w:t>
      </w:r>
      <w:r>
        <w:rPr>
          <w:rFonts w:ascii="Times New Roman" w:hAnsi="Times New Roman" w:cs="Times New Roman"/>
          <w:lang w:val="es-ES"/>
        </w:rPr>
        <w:t>lado</w:t>
      </w:r>
      <w:r>
        <w:rPr>
          <w:rFonts w:ascii="Times New Roman" w:hAnsi="Times New Roman" w:cs="Times New Roman"/>
          <w:lang w:val="es-ES"/>
        </w:rPr>
        <w:t>,</w:t>
      </w:r>
      <w:r>
        <w:rPr>
          <w:rFonts w:ascii="Times New Roman" w:hAnsi="Times New Roman" w:cs="Times New Roman"/>
          <w:lang w:val="es-ES"/>
        </w:rPr>
        <w:t xml:space="preserve"> </w:t>
      </w:r>
      <w:r w:rsidR="00344AFD" w:rsidRPr="00344AFD">
        <w:rPr>
          <w:rFonts w:ascii="Times New Roman" w:hAnsi="Times New Roman" w:cs="Times New Roman"/>
        </w:rPr>
        <w:t xml:space="preserve">expresa </w:t>
      </w:r>
      <w:r>
        <w:rPr>
          <w:rFonts w:ascii="Times New Roman" w:hAnsi="Times New Roman" w:cs="Times New Roman"/>
          <w:lang w:val="es-ES"/>
        </w:rPr>
        <w:t>una</w:t>
      </w:r>
      <w:r>
        <w:rPr>
          <w:rFonts w:ascii="Times New Roman" w:hAnsi="Times New Roman" w:cs="Times New Roman"/>
          <w:lang w:val="es-ES"/>
        </w:rPr>
        <w:t xml:space="preserve"> </w:t>
      </w:r>
      <w:r w:rsidRPr="00EC0952">
        <w:rPr>
          <w:rFonts w:ascii="Times New Roman" w:hAnsi="Times New Roman" w:cs="Times New Roman"/>
          <w:lang w:val="es-ES"/>
        </w:rPr>
        <w:t>continuidad técnico-normativa</w:t>
      </w:r>
      <w:r w:rsidR="00344AFD">
        <w:rPr>
          <w:rFonts w:ascii="Times New Roman" w:hAnsi="Times New Roman" w:cs="Times New Roman"/>
          <w:lang w:val="es-ES"/>
        </w:rPr>
        <w:t xml:space="preserve"> (Gráfico 1)</w:t>
      </w:r>
      <w:r w:rsidR="00344AFD" w:rsidRPr="00344AFD">
        <w:rPr>
          <w:rFonts w:ascii="Times New Roman" w:hAnsi="Times New Roman" w:cs="Times New Roman"/>
        </w:rPr>
        <w:t xml:space="preserve">, visible </w:t>
      </w:r>
      <w:r>
        <w:rPr>
          <w:rFonts w:ascii="Times New Roman" w:hAnsi="Times New Roman" w:cs="Times New Roman"/>
          <w:lang w:val="es-ES"/>
        </w:rPr>
        <w:t xml:space="preserve">en </w:t>
      </w:r>
      <w:r w:rsidR="00E63032">
        <w:rPr>
          <w:rFonts w:ascii="Times New Roman" w:hAnsi="Times New Roman" w:cs="Times New Roman"/>
          <w:lang w:val="es-ES"/>
        </w:rPr>
        <w:t>l</w:t>
      </w:r>
      <w:r>
        <w:rPr>
          <w:rFonts w:ascii="Times New Roman" w:hAnsi="Times New Roman" w:cs="Times New Roman"/>
          <w:lang w:val="es-ES"/>
        </w:rPr>
        <w:t xml:space="preserve">a </w:t>
      </w:r>
      <w:r>
        <w:rPr>
          <w:rFonts w:ascii="Times New Roman" w:hAnsi="Times New Roman" w:cs="Times New Roman"/>
          <w:lang w:val="es-ES"/>
        </w:rPr>
        <w:t xml:space="preserve">tercera </w:t>
      </w:r>
      <w:r>
        <w:rPr>
          <w:rFonts w:ascii="Times New Roman" w:hAnsi="Times New Roman" w:cs="Times New Roman"/>
          <w:lang w:val="es-ES"/>
        </w:rPr>
        <w:t>oleada de re</w:t>
      </w:r>
      <w:r>
        <w:rPr>
          <w:rFonts w:ascii="Times New Roman" w:hAnsi="Times New Roman" w:cs="Times New Roman"/>
          <w:lang w:val="es-ES"/>
        </w:rPr>
        <w:t>visión d</w:t>
      </w:r>
      <w:r>
        <w:rPr>
          <w:rFonts w:ascii="Times New Roman" w:hAnsi="Times New Roman" w:cs="Times New Roman"/>
          <w:lang w:val="es-ES"/>
        </w:rPr>
        <w:t>e está</w:t>
      </w:r>
      <w:r>
        <w:rPr>
          <w:rFonts w:ascii="Times New Roman" w:hAnsi="Times New Roman" w:cs="Times New Roman"/>
          <w:lang w:val="es-ES"/>
        </w:rPr>
        <w:t>n</w:t>
      </w:r>
      <w:r>
        <w:rPr>
          <w:rFonts w:ascii="Times New Roman" w:hAnsi="Times New Roman" w:cs="Times New Roman"/>
          <w:lang w:val="es-ES"/>
        </w:rPr>
        <w:t xml:space="preserve">dares </w:t>
      </w:r>
      <w:r>
        <w:rPr>
          <w:rFonts w:ascii="Times New Roman" w:hAnsi="Times New Roman" w:cs="Times New Roman"/>
          <w:lang w:val="es-ES"/>
        </w:rPr>
        <w:t xml:space="preserve">de </w:t>
      </w:r>
      <w:r>
        <w:rPr>
          <w:rFonts w:ascii="Times New Roman" w:hAnsi="Times New Roman" w:cs="Times New Roman"/>
          <w:lang w:val="es-ES"/>
        </w:rPr>
        <w:t xml:space="preserve">segunda </w:t>
      </w:r>
      <w:r>
        <w:rPr>
          <w:rFonts w:ascii="Times New Roman" w:hAnsi="Times New Roman" w:cs="Times New Roman"/>
          <w:lang w:val="es-ES"/>
        </w:rPr>
        <w:t>generación</w:t>
      </w:r>
      <w:r>
        <w:rPr>
          <w:rFonts w:ascii="Times New Roman" w:hAnsi="Times New Roman" w:cs="Times New Roman"/>
          <w:lang w:val="es-ES"/>
        </w:rPr>
        <w:t xml:space="preserve"> y </w:t>
      </w:r>
      <w:r w:rsidR="00344AFD" w:rsidRPr="00344AFD">
        <w:rPr>
          <w:rFonts w:ascii="Times New Roman" w:hAnsi="Times New Roman" w:cs="Times New Roman"/>
        </w:rPr>
        <w:t xml:space="preserve">en </w:t>
      </w:r>
      <w:r>
        <w:rPr>
          <w:rFonts w:ascii="Times New Roman" w:hAnsi="Times New Roman" w:cs="Times New Roman"/>
          <w:lang w:val="es-ES"/>
        </w:rPr>
        <w:t>la co</w:t>
      </w:r>
      <w:r>
        <w:rPr>
          <w:rFonts w:ascii="Times New Roman" w:hAnsi="Times New Roman" w:cs="Times New Roman"/>
          <w:lang w:val="es-ES"/>
        </w:rPr>
        <w:t>nvoca</w:t>
      </w:r>
      <w:r>
        <w:rPr>
          <w:rFonts w:ascii="Times New Roman" w:hAnsi="Times New Roman" w:cs="Times New Roman"/>
          <w:lang w:val="es-ES"/>
        </w:rPr>
        <w:t xml:space="preserve">toria </w:t>
      </w:r>
      <w:r w:rsidRPr="00B846EF">
        <w:rPr>
          <w:rFonts w:ascii="Times New Roman" w:hAnsi="Times New Roman" w:cs="Times New Roman"/>
          <w:lang w:val="es-ES"/>
        </w:rPr>
        <w:t>a nuevas carreras</w:t>
      </w:r>
      <w:r w:rsidR="00344AFD" w:rsidRPr="00344AFD">
        <w:rPr>
          <w:rFonts w:ascii="Times New Roman" w:hAnsi="Times New Roman" w:cs="Times New Roman"/>
        </w:rPr>
        <w:t>,</w:t>
      </w:r>
      <w:r w:rsidRPr="00B846EF">
        <w:rPr>
          <w:rFonts w:ascii="Times New Roman" w:hAnsi="Times New Roman" w:cs="Times New Roman"/>
          <w:lang w:val="es-ES"/>
        </w:rPr>
        <w:t xml:space="preserve"> como Ingeniería en Energías Renovables </w:t>
      </w:r>
      <w:r w:rsidR="00344AFD" w:rsidRPr="00344AFD">
        <w:rPr>
          <w:rFonts w:ascii="Times New Roman" w:hAnsi="Times New Roman" w:cs="Times New Roman"/>
        </w:rPr>
        <w:t>e</w:t>
      </w:r>
      <w:r w:rsidRPr="00B846EF">
        <w:rPr>
          <w:rFonts w:ascii="Times New Roman" w:hAnsi="Times New Roman" w:cs="Times New Roman"/>
          <w:lang w:val="es-ES"/>
        </w:rPr>
        <w:t xml:space="preserve"> Ingeniería en Transporte, además de Bromatología, Ciencia y Tecnología de los Alimentos, Nutrición y Microbiología</w:t>
      </w:r>
      <w:r w:rsidR="00344AFD" w:rsidRPr="00344AFD">
        <w:rPr>
          <w:rFonts w:ascii="Times New Roman" w:hAnsi="Times New Roman" w:cs="Times New Roman"/>
        </w:rPr>
        <w:t>,</w:t>
      </w:r>
      <w:r w:rsidRPr="00B846EF">
        <w:rPr>
          <w:rFonts w:ascii="Times New Roman" w:hAnsi="Times New Roman" w:cs="Times New Roman"/>
          <w:lang w:val="es-ES"/>
        </w:rPr>
        <w:t xml:space="preserve"> entre 2022 y 2023.</w:t>
      </w:r>
      <w:r>
        <w:rPr>
          <w:rFonts w:ascii="Times New Roman" w:hAnsi="Times New Roman" w:cs="Times New Roman"/>
          <w:lang w:val="es-ES"/>
        </w:rPr>
        <w:t xml:space="preserve"> </w:t>
      </w:r>
      <w:r w:rsidR="00344AFD" w:rsidRPr="00344AFD">
        <w:rPr>
          <w:rFonts w:ascii="Times New Roman" w:hAnsi="Times New Roman" w:cs="Times New Roman"/>
        </w:rPr>
        <w:t>Por</w:t>
      </w:r>
      <w:r>
        <w:rPr>
          <w:rFonts w:ascii="Times New Roman" w:hAnsi="Times New Roman" w:cs="Times New Roman"/>
          <w:lang w:val="es-ES"/>
        </w:rPr>
        <w:t xml:space="preserve"> ot</w:t>
      </w:r>
      <w:r>
        <w:rPr>
          <w:rFonts w:ascii="Times New Roman" w:hAnsi="Times New Roman" w:cs="Times New Roman"/>
          <w:lang w:val="es-ES"/>
        </w:rPr>
        <w:t xml:space="preserve">ro lado, </w:t>
      </w:r>
      <w:r w:rsidR="00344AFD" w:rsidRPr="00344AFD">
        <w:rPr>
          <w:rFonts w:ascii="Times New Roman" w:hAnsi="Times New Roman" w:cs="Times New Roman"/>
        </w:rPr>
        <w:t xml:space="preserve">supone </w:t>
      </w:r>
      <w:r w:rsidRPr="00EC0952">
        <w:rPr>
          <w:rFonts w:ascii="Times New Roman" w:hAnsi="Times New Roman" w:cs="Times New Roman"/>
          <w:lang w:val="es-ES"/>
        </w:rPr>
        <w:t>una ruptura político-institucional de fondo</w:t>
      </w:r>
      <w:r>
        <w:rPr>
          <w:rFonts w:ascii="Times New Roman" w:hAnsi="Times New Roman" w:cs="Times New Roman"/>
          <w:lang w:val="es-ES"/>
        </w:rPr>
        <w:t xml:space="preserve"> </w:t>
      </w:r>
      <w:r>
        <w:rPr>
          <w:rFonts w:ascii="Times New Roman" w:hAnsi="Times New Roman" w:cs="Times New Roman"/>
          <w:lang w:val="es-ES"/>
        </w:rPr>
        <w:t>con la</w:t>
      </w:r>
      <w:r>
        <w:rPr>
          <w:rFonts w:ascii="Times New Roman" w:hAnsi="Times New Roman" w:cs="Times New Roman"/>
          <w:lang w:val="es-ES"/>
        </w:rPr>
        <w:t xml:space="preserve"> llegada del gob</w:t>
      </w:r>
      <w:r>
        <w:rPr>
          <w:rFonts w:ascii="Times New Roman" w:hAnsi="Times New Roman" w:cs="Times New Roman"/>
          <w:lang w:val="es-ES"/>
        </w:rPr>
        <w:t>ierno de M</w:t>
      </w:r>
      <w:r>
        <w:rPr>
          <w:rFonts w:ascii="Times New Roman" w:hAnsi="Times New Roman" w:cs="Times New Roman"/>
          <w:lang w:val="es-ES"/>
        </w:rPr>
        <w:t>ilei</w:t>
      </w:r>
      <w:r w:rsidR="00344AFD" w:rsidRPr="00344AFD">
        <w:rPr>
          <w:rFonts w:ascii="Times New Roman" w:hAnsi="Times New Roman" w:cs="Times New Roman"/>
        </w:rPr>
        <w:t xml:space="preserve">, </w:t>
      </w:r>
      <w:r w:rsidR="00E63032">
        <w:rPr>
          <w:rFonts w:ascii="Times New Roman" w:hAnsi="Times New Roman" w:cs="Times New Roman"/>
        </w:rPr>
        <w:t xml:space="preserve">que se </w:t>
      </w:r>
      <w:r w:rsidR="00F72424" w:rsidRPr="00344AFD">
        <w:rPr>
          <w:rFonts w:ascii="Times New Roman" w:hAnsi="Times New Roman" w:cs="Times New Roman"/>
        </w:rPr>
        <w:t>manifiesta</w:t>
      </w:r>
      <w:r>
        <w:rPr>
          <w:rFonts w:ascii="Times New Roman" w:hAnsi="Times New Roman" w:cs="Times New Roman"/>
          <w:lang w:val="es-ES"/>
        </w:rPr>
        <w:t xml:space="preserve"> en la disolución del ministerio</w:t>
      </w:r>
      <w:r>
        <w:rPr>
          <w:rFonts w:ascii="Times New Roman" w:hAnsi="Times New Roman" w:cs="Times New Roman"/>
          <w:lang w:val="es-ES"/>
        </w:rPr>
        <w:t xml:space="preserve">, </w:t>
      </w:r>
      <w:r>
        <w:rPr>
          <w:rFonts w:ascii="Times New Roman" w:hAnsi="Times New Roman" w:cs="Times New Roman"/>
          <w:lang w:val="es-ES"/>
        </w:rPr>
        <w:t>el</w:t>
      </w:r>
      <w:r>
        <w:rPr>
          <w:rFonts w:ascii="Times New Roman" w:hAnsi="Times New Roman" w:cs="Times New Roman"/>
          <w:lang w:val="es-ES"/>
        </w:rPr>
        <w:t xml:space="preserve"> </w:t>
      </w:r>
      <w:r w:rsidR="00344AFD" w:rsidRPr="00344AFD">
        <w:rPr>
          <w:rFonts w:ascii="Times New Roman" w:hAnsi="Times New Roman" w:cs="Times New Roman"/>
        </w:rPr>
        <w:t xml:space="preserve">fuerte </w:t>
      </w:r>
      <w:r w:rsidRPr="00B846EF">
        <w:rPr>
          <w:rFonts w:ascii="Times New Roman" w:hAnsi="Times New Roman" w:cs="Times New Roman"/>
          <w:lang w:val="es-ES"/>
        </w:rPr>
        <w:t xml:space="preserve">ajuste fiscal </w:t>
      </w:r>
      <w:r w:rsidRPr="00B846EF">
        <w:rPr>
          <w:rFonts w:ascii="Times New Roman" w:hAnsi="Times New Roman" w:cs="Times New Roman"/>
          <w:lang w:val="es-ES"/>
        </w:rPr>
        <w:t xml:space="preserve">y </w:t>
      </w:r>
      <w:r>
        <w:rPr>
          <w:rFonts w:ascii="Times New Roman" w:hAnsi="Times New Roman" w:cs="Times New Roman"/>
          <w:lang w:val="es-ES"/>
        </w:rPr>
        <w:t xml:space="preserve">el </w:t>
      </w:r>
      <w:r w:rsidRPr="00B846EF">
        <w:rPr>
          <w:rFonts w:ascii="Times New Roman" w:hAnsi="Times New Roman" w:cs="Times New Roman"/>
          <w:lang w:val="es-ES"/>
        </w:rPr>
        <w:t>conflicto político con el sistema universitario</w:t>
      </w:r>
      <w:r>
        <w:rPr>
          <w:rFonts w:ascii="Times New Roman" w:hAnsi="Times New Roman" w:cs="Times New Roman"/>
          <w:lang w:val="es-ES"/>
        </w:rPr>
        <w:t>.</w:t>
      </w:r>
    </w:p>
    <w:p w14:paraId="544B704F" w14:textId="77777777" w:rsidR="00BC236F" w:rsidRDefault="00BC236F" w:rsidP="00FE59E8">
      <w:pPr>
        <w:spacing w:line="240" w:lineRule="auto"/>
        <w:ind w:right="-1"/>
        <w:jc w:val="both"/>
        <w:rPr>
          <w:rFonts w:ascii="Times New Roman" w:hAnsi="Times New Roman" w:cs="Times New Roman"/>
        </w:rPr>
      </w:pPr>
    </w:p>
    <w:p w14:paraId="54864D9A" w14:textId="77777777" w:rsidR="005361B6" w:rsidRDefault="005361B6" w:rsidP="00FE59E8">
      <w:pPr>
        <w:spacing w:line="240" w:lineRule="auto"/>
        <w:ind w:right="-1"/>
        <w:jc w:val="both"/>
        <w:rPr>
          <w:rFonts w:ascii="Times New Roman" w:hAnsi="Times New Roman" w:cs="Times New Roman"/>
        </w:rPr>
      </w:pPr>
    </w:p>
    <w:p w14:paraId="46801E5C" w14:textId="77777777" w:rsidR="005361B6" w:rsidRPr="00BA642E" w:rsidRDefault="005361B6" w:rsidP="00FE59E8">
      <w:pPr>
        <w:spacing w:line="240" w:lineRule="auto"/>
        <w:ind w:right="-1"/>
        <w:jc w:val="both"/>
        <w:rPr>
          <w:rFonts w:ascii="Times New Roman" w:hAnsi="Times New Roman" w:cs="Times New Roman"/>
        </w:rPr>
      </w:pPr>
    </w:p>
    <w:p w14:paraId="39B57161" w14:textId="69DC08D7" w:rsidR="005F3B2E" w:rsidRPr="00175003" w:rsidRDefault="005F3B2E" w:rsidP="00FE59E8">
      <w:pPr>
        <w:spacing w:line="240" w:lineRule="auto"/>
        <w:ind w:right="-1"/>
        <w:rPr>
          <w:rFonts w:ascii="Times New Roman" w:hAnsi="Times New Roman" w:cs="Times New Roman"/>
          <w:b/>
          <w:bCs/>
          <w:lang w:val="en-US"/>
        </w:rPr>
      </w:pPr>
      <w:r w:rsidRPr="008C3BD1">
        <w:rPr>
          <w:rFonts w:ascii="Times New Roman" w:hAnsi="Times New Roman" w:cs="Times New Roman"/>
          <w:b/>
          <w:bCs/>
        </w:rPr>
        <w:t xml:space="preserve">Referencias Bibliográficas </w:t>
      </w:r>
      <w:r w:rsidRPr="00175003">
        <w:rPr>
          <w:rFonts w:ascii="Times New Roman" w:hAnsi="Times New Roman" w:cs="Times New Roman"/>
          <w:b/>
          <w:bCs/>
          <w:lang w:val="en-US"/>
        </w:rPr>
        <w:t>(APA 7)</w:t>
      </w:r>
    </w:p>
    <w:p w14:paraId="67967249" w14:textId="214BC747" w:rsidR="00A334D7" w:rsidRPr="00A334D7" w:rsidRDefault="00A334D7" w:rsidP="00A334D7">
      <w:pPr>
        <w:ind w:right="-1"/>
        <w:jc w:val="both"/>
        <w:rPr>
          <w:rFonts w:ascii="Times New Roman" w:hAnsi="Times New Roman" w:cs="Times New Roman"/>
          <w:lang w:val="en-US"/>
        </w:rPr>
      </w:pPr>
      <w:r w:rsidRPr="00A334D7">
        <w:rPr>
          <w:rFonts w:ascii="Times New Roman" w:hAnsi="Times New Roman" w:cs="Times New Roman"/>
          <w:lang w:val="en-US"/>
        </w:rPr>
        <w:t xml:space="preserve">Capano, G. (2020). Systemic Governance Convergence or </w:t>
      </w:r>
      <w:proofErr w:type="spellStart"/>
      <w:r w:rsidRPr="00A334D7">
        <w:rPr>
          <w:rFonts w:ascii="Times New Roman" w:hAnsi="Times New Roman" w:cs="Times New Roman"/>
          <w:lang w:val="en-US"/>
        </w:rPr>
        <w:t>Hibrydization</w:t>
      </w:r>
      <w:proofErr w:type="spellEnd"/>
      <w:r w:rsidRPr="00A334D7">
        <w:rPr>
          <w:rFonts w:ascii="Times New Roman" w:hAnsi="Times New Roman" w:cs="Times New Roman"/>
          <w:lang w:val="en-US"/>
        </w:rPr>
        <w:t>? In</w:t>
      </w:r>
      <w:r>
        <w:rPr>
          <w:rFonts w:ascii="Times New Roman" w:hAnsi="Times New Roman" w:cs="Times New Roman"/>
          <w:lang w:val="en-US"/>
        </w:rPr>
        <w:t xml:space="preserve"> </w:t>
      </w:r>
      <w:r w:rsidRPr="00A334D7">
        <w:rPr>
          <w:rFonts w:ascii="Times New Roman" w:hAnsi="Times New Roman" w:cs="Times New Roman"/>
          <w:lang w:val="en-US"/>
        </w:rPr>
        <w:t xml:space="preserve">Capano, G. &amp; Jarvis, d. (edit.) </w:t>
      </w:r>
      <w:r w:rsidRPr="00A334D7">
        <w:rPr>
          <w:rFonts w:ascii="Times New Roman" w:hAnsi="Times New Roman" w:cs="Times New Roman"/>
          <w:i/>
          <w:iCs/>
          <w:lang w:val="en-US"/>
        </w:rPr>
        <w:t>Convergence and Diversity in the Governance</w:t>
      </w:r>
      <w:r>
        <w:rPr>
          <w:rFonts w:ascii="Times New Roman" w:hAnsi="Times New Roman" w:cs="Times New Roman"/>
          <w:i/>
          <w:iCs/>
          <w:lang w:val="en-US"/>
        </w:rPr>
        <w:t xml:space="preserve"> </w:t>
      </w:r>
      <w:r w:rsidRPr="00A334D7">
        <w:rPr>
          <w:rFonts w:ascii="Times New Roman" w:hAnsi="Times New Roman" w:cs="Times New Roman"/>
          <w:i/>
          <w:iCs/>
          <w:lang w:val="en-US"/>
        </w:rPr>
        <w:t xml:space="preserve">of Higher Education. Comparatives perspectives. </w:t>
      </w:r>
      <w:r w:rsidRPr="00A334D7">
        <w:rPr>
          <w:rFonts w:ascii="Times New Roman" w:hAnsi="Times New Roman" w:cs="Times New Roman"/>
          <w:lang w:val="en-US"/>
        </w:rPr>
        <w:t>Cambridge University</w:t>
      </w:r>
      <w:r>
        <w:rPr>
          <w:rFonts w:ascii="Times New Roman" w:hAnsi="Times New Roman" w:cs="Times New Roman"/>
          <w:lang w:val="en-US"/>
        </w:rPr>
        <w:t xml:space="preserve"> </w:t>
      </w:r>
      <w:r w:rsidRPr="00A334D7">
        <w:rPr>
          <w:rFonts w:ascii="Times New Roman" w:hAnsi="Times New Roman" w:cs="Times New Roman"/>
          <w:lang w:val="en-US"/>
        </w:rPr>
        <w:t>Press.</w:t>
      </w:r>
    </w:p>
    <w:p w14:paraId="012E268A" w14:textId="2482856E" w:rsidR="00A334D7" w:rsidRPr="00A334D7" w:rsidRDefault="00A334D7" w:rsidP="00A334D7">
      <w:pPr>
        <w:ind w:right="-1"/>
        <w:jc w:val="both"/>
        <w:rPr>
          <w:rFonts w:ascii="Times New Roman" w:hAnsi="Times New Roman" w:cs="Times New Roman"/>
          <w:lang w:val="en-US"/>
        </w:rPr>
      </w:pPr>
      <w:r w:rsidRPr="00A334D7">
        <w:rPr>
          <w:rFonts w:ascii="Times New Roman" w:hAnsi="Times New Roman" w:cs="Times New Roman"/>
          <w:lang w:val="en-US"/>
        </w:rPr>
        <w:lastRenderedPageBreak/>
        <w:t xml:space="preserve">Capano, G. &amp; Jarvis, d. (2020). (Edit.). </w:t>
      </w:r>
      <w:r w:rsidRPr="00A334D7">
        <w:rPr>
          <w:rFonts w:ascii="Times New Roman" w:hAnsi="Times New Roman" w:cs="Times New Roman"/>
          <w:i/>
          <w:iCs/>
          <w:lang w:val="en-US"/>
        </w:rPr>
        <w:t>Convergence and Diversity in the Governance</w:t>
      </w:r>
      <w:r>
        <w:rPr>
          <w:rFonts w:ascii="Times New Roman" w:hAnsi="Times New Roman" w:cs="Times New Roman"/>
          <w:i/>
          <w:iCs/>
          <w:lang w:val="en-US"/>
        </w:rPr>
        <w:t xml:space="preserve"> </w:t>
      </w:r>
      <w:r w:rsidRPr="00A334D7">
        <w:rPr>
          <w:rFonts w:ascii="Times New Roman" w:hAnsi="Times New Roman" w:cs="Times New Roman"/>
          <w:i/>
          <w:iCs/>
          <w:lang w:val="en-US"/>
        </w:rPr>
        <w:t>of Higher Education. Comparatives perspectives</w:t>
      </w:r>
      <w:r w:rsidRPr="00A334D7">
        <w:rPr>
          <w:rFonts w:ascii="Times New Roman" w:hAnsi="Times New Roman" w:cs="Times New Roman"/>
          <w:lang w:val="en-US"/>
        </w:rPr>
        <w:t>. Cambridge University</w:t>
      </w:r>
      <w:r>
        <w:rPr>
          <w:rFonts w:ascii="Times New Roman" w:hAnsi="Times New Roman" w:cs="Times New Roman"/>
          <w:lang w:val="en-US"/>
        </w:rPr>
        <w:t xml:space="preserve"> </w:t>
      </w:r>
      <w:r w:rsidRPr="00A334D7">
        <w:rPr>
          <w:rFonts w:ascii="Times New Roman" w:hAnsi="Times New Roman" w:cs="Times New Roman"/>
          <w:lang w:val="en-US"/>
        </w:rPr>
        <w:t>Press.</w:t>
      </w:r>
    </w:p>
    <w:p w14:paraId="6BC717E1" w14:textId="754FA083" w:rsidR="00A334D7" w:rsidRPr="00A334D7" w:rsidRDefault="00A334D7" w:rsidP="00A334D7">
      <w:pPr>
        <w:ind w:right="-1"/>
        <w:jc w:val="both"/>
        <w:rPr>
          <w:rFonts w:ascii="Times New Roman" w:hAnsi="Times New Roman" w:cs="Times New Roman"/>
          <w:lang w:val="en-US"/>
        </w:rPr>
      </w:pPr>
      <w:r w:rsidRPr="00A334D7">
        <w:rPr>
          <w:rFonts w:ascii="Times New Roman" w:hAnsi="Times New Roman" w:cs="Times New Roman"/>
          <w:lang w:val="en-US"/>
        </w:rPr>
        <w:t xml:space="preserve">Capano, G. &amp; </w:t>
      </w:r>
      <w:proofErr w:type="spellStart"/>
      <w:r w:rsidRPr="00A334D7">
        <w:rPr>
          <w:rFonts w:ascii="Times New Roman" w:hAnsi="Times New Roman" w:cs="Times New Roman"/>
          <w:lang w:val="en-US"/>
        </w:rPr>
        <w:t>Pritoni</w:t>
      </w:r>
      <w:proofErr w:type="spellEnd"/>
      <w:r w:rsidRPr="00A334D7">
        <w:rPr>
          <w:rFonts w:ascii="Times New Roman" w:hAnsi="Times New Roman" w:cs="Times New Roman"/>
          <w:lang w:val="en-US"/>
        </w:rPr>
        <w:t>, A. (2018). Varieties of Hybrid Systemic Governance in</w:t>
      </w:r>
      <w:r w:rsidR="00575F2D">
        <w:rPr>
          <w:rFonts w:ascii="Times New Roman" w:hAnsi="Times New Roman" w:cs="Times New Roman"/>
          <w:lang w:val="en-US"/>
        </w:rPr>
        <w:t xml:space="preserve"> </w:t>
      </w:r>
      <w:r w:rsidRPr="00A334D7">
        <w:rPr>
          <w:rFonts w:ascii="Times New Roman" w:hAnsi="Times New Roman" w:cs="Times New Roman"/>
          <w:lang w:val="en-US"/>
        </w:rPr>
        <w:t xml:space="preserve">European Higher Education, in </w:t>
      </w:r>
      <w:r w:rsidRPr="00A334D7">
        <w:rPr>
          <w:rFonts w:ascii="Times New Roman" w:hAnsi="Times New Roman" w:cs="Times New Roman"/>
          <w:i/>
          <w:iCs/>
          <w:lang w:val="en-US"/>
        </w:rPr>
        <w:t>Higher Education Quarterly</w:t>
      </w:r>
      <w:r w:rsidRPr="00A334D7">
        <w:rPr>
          <w:rFonts w:ascii="Times New Roman" w:hAnsi="Times New Roman" w:cs="Times New Roman"/>
          <w:lang w:val="en-US"/>
        </w:rPr>
        <w:t>, v73 n1 p10-28. https://doi.org/10.1111/hequ.12180</w:t>
      </w:r>
    </w:p>
    <w:p w14:paraId="20579B9F" w14:textId="77777777" w:rsidR="00A818DA" w:rsidRDefault="00A334D7" w:rsidP="00A334D7">
      <w:pPr>
        <w:ind w:right="-1"/>
        <w:jc w:val="both"/>
        <w:rPr>
          <w:rFonts w:ascii="Times New Roman" w:hAnsi="Times New Roman" w:cs="Times New Roman"/>
          <w:lang w:val="en-US"/>
        </w:rPr>
      </w:pPr>
      <w:r w:rsidRPr="00A334D7">
        <w:rPr>
          <w:rFonts w:ascii="Times New Roman" w:hAnsi="Times New Roman" w:cs="Times New Roman"/>
          <w:lang w:val="en-US"/>
        </w:rPr>
        <w:t>Capano, G. (2011). Government continues to do its job. A comparative study</w:t>
      </w:r>
      <w:r w:rsidR="00575F2D">
        <w:rPr>
          <w:rFonts w:ascii="Times New Roman" w:hAnsi="Times New Roman" w:cs="Times New Roman"/>
          <w:lang w:val="en-US"/>
        </w:rPr>
        <w:t xml:space="preserve"> </w:t>
      </w:r>
      <w:r w:rsidRPr="00A334D7">
        <w:rPr>
          <w:rFonts w:ascii="Times New Roman" w:hAnsi="Times New Roman" w:cs="Times New Roman"/>
          <w:lang w:val="en-US"/>
        </w:rPr>
        <w:t xml:space="preserve">of governance shifts in the higher education sector, </w:t>
      </w:r>
      <w:r w:rsidRPr="00A334D7">
        <w:rPr>
          <w:rFonts w:ascii="Times New Roman" w:hAnsi="Times New Roman" w:cs="Times New Roman"/>
          <w:i/>
          <w:iCs/>
          <w:lang w:val="en-US"/>
        </w:rPr>
        <w:t>Public Administration</w:t>
      </w:r>
      <w:r w:rsidRPr="00A334D7">
        <w:rPr>
          <w:rFonts w:ascii="Times New Roman" w:hAnsi="Times New Roman" w:cs="Times New Roman"/>
          <w:lang w:val="en-US"/>
        </w:rPr>
        <w:t>,</w:t>
      </w:r>
      <w:r w:rsidR="00A818DA">
        <w:rPr>
          <w:rFonts w:ascii="Times New Roman" w:hAnsi="Times New Roman" w:cs="Times New Roman"/>
          <w:lang w:val="en-US"/>
        </w:rPr>
        <w:t xml:space="preserve"> </w:t>
      </w:r>
      <w:r w:rsidRPr="00A818DA">
        <w:rPr>
          <w:rFonts w:ascii="Times New Roman" w:hAnsi="Times New Roman" w:cs="Times New Roman"/>
          <w:lang w:val="en-US"/>
        </w:rPr>
        <w:t>89(4). pp. 1622-1642</w:t>
      </w:r>
    </w:p>
    <w:p w14:paraId="5D2C9CBE" w14:textId="01E3EF15" w:rsidR="00FE59E8" w:rsidRPr="00175003" w:rsidRDefault="00FE59E8" w:rsidP="00A334D7">
      <w:pPr>
        <w:ind w:right="-1"/>
        <w:jc w:val="both"/>
        <w:rPr>
          <w:rFonts w:ascii="Times New Roman" w:hAnsi="Times New Roman" w:cs="Times New Roman"/>
          <w:lang w:val="en-US"/>
        </w:rPr>
      </w:pPr>
      <w:r w:rsidRPr="00A818DA">
        <w:rPr>
          <w:rFonts w:ascii="Times New Roman" w:hAnsi="Times New Roman" w:cs="Times New Roman"/>
          <w:lang w:val="es-ES"/>
        </w:rPr>
        <w:t xml:space="preserve">Capano, G. y </w:t>
      </w:r>
      <w:proofErr w:type="spellStart"/>
      <w:r w:rsidRPr="00A818DA">
        <w:rPr>
          <w:rFonts w:ascii="Times New Roman" w:hAnsi="Times New Roman" w:cs="Times New Roman"/>
          <w:lang w:val="es-ES"/>
        </w:rPr>
        <w:t>Pritoni</w:t>
      </w:r>
      <w:proofErr w:type="spellEnd"/>
      <w:r w:rsidRPr="00A818DA">
        <w:rPr>
          <w:rFonts w:ascii="Times New Roman" w:hAnsi="Times New Roman" w:cs="Times New Roman"/>
          <w:lang w:val="es-ES"/>
        </w:rPr>
        <w:t xml:space="preserve">, A. (2026). </w:t>
      </w:r>
      <w:r w:rsidRPr="00175003">
        <w:rPr>
          <w:rFonts w:ascii="Times New Roman" w:hAnsi="Times New Roman" w:cs="Times New Roman"/>
          <w:i/>
          <w:iCs/>
          <w:lang w:val="en-US"/>
        </w:rPr>
        <w:t>Micro-dimensions of policy design in action: Unpacking and evaluating the NRRP reforms in Italy</w:t>
      </w:r>
      <w:r w:rsidRPr="00175003">
        <w:rPr>
          <w:rFonts w:ascii="Times New Roman" w:hAnsi="Times New Roman" w:cs="Times New Roman"/>
          <w:lang w:val="en-US"/>
        </w:rPr>
        <w:t xml:space="preserve"> [</w:t>
      </w:r>
      <w:proofErr w:type="spellStart"/>
      <w:r w:rsidRPr="00175003">
        <w:rPr>
          <w:rFonts w:ascii="Times New Roman" w:hAnsi="Times New Roman" w:cs="Times New Roman"/>
          <w:lang w:val="en-US"/>
        </w:rPr>
        <w:t>Ponencia</w:t>
      </w:r>
      <w:proofErr w:type="spellEnd"/>
      <w:r w:rsidRPr="00175003">
        <w:rPr>
          <w:rFonts w:ascii="Times New Roman" w:hAnsi="Times New Roman" w:cs="Times New Roman"/>
          <w:lang w:val="en-US"/>
        </w:rPr>
        <w:t>]. COPPR26 (Conference on Policy Process Research), Universidad de Berna, Suiza.</w:t>
      </w:r>
    </w:p>
    <w:p w14:paraId="13861AD0" w14:textId="77777777" w:rsidR="00FE59E8" w:rsidRPr="00175003" w:rsidRDefault="00FE59E8" w:rsidP="00FE59E8">
      <w:pPr>
        <w:ind w:right="-1"/>
        <w:jc w:val="both"/>
        <w:rPr>
          <w:rFonts w:ascii="Times New Roman" w:hAnsi="Times New Roman" w:cs="Times New Roman"/>
          <w:lang w:val="en-US"/>
        </w:rPr>
      </w:pPr>
      <w:r w:rsidRPr="00A334D7">
        <w:rPr>
          <w:rFonts w:ascii="Times New Roman" w:hAnsi="Times New Roman" w:cs="Times New Roman"/>
          <w:lang w:val="es-ES"/>
        </w:rPr>
        <w:t xml:space="preserve">Capano, G. y Howlett, M. (2024). </w:t>
      </w:r>
      <w:r w:rsidRPr="00175003">
        <w:rPr>
          <w:rFonts w:ascii="Times New Roman" w:hAnsi="Times New Roman" w:cs="Times New Roman"/>
          <w:lang w:val="en-US"/>
        </w:rPr>
        <w:t xml:space="preserve">Calibration and specification in policy practice: Micro-dimensions of policy design. </w:t>
      </w:r>
      <w:r w:rsidRPr="00175003">
        <w:rPr>
          <w:rFonts w:ascii="Times New Roman" w:hAnsi="Times New Roman" w:cs="Times New Roman"/>
          <w:i/>
          <w:iCs/>
          <w:lang w:val="en-US"/>
        </w:rPr>
        <w:t>Policy Design and Practice</w:t>
      </w:r>
      <w:r w:rsidRPr="00175003">
        <w:rPr>
          <w:rFonts w:ascii="Times New Roman" w:hAnsi="Times New Roman" w:cs="Times New Roman"/>
          <w:lang w:val="en-US"/>
        </w:rPr>
        <w:t xml:space="preserve">, </w:t>
      </w:r>
      <w:r w:rsidRPr="00175003">
        <w:rPr>
          <w:rFonts w:ascii="Times New Roman" w:hAnsi="Times New Roman" w:cs="Times New Roman"/>
          <w:i/>
          <w:iCs/>
          <w:lang w:val="en-US"/>
        </w:rPr>
        <w:t>7</w:t>
      </w:r>
      <w:r w:rsidRPr="00175003">
        <w:rPr>
          <w:rFonts w:ascii="Times New Roman" w:hAnsi="Times New Roman" w:cs="Times New Roman"/>
          <w:lang w:val="en-US"/>
        </w:rPr>
        <w:t xml:space="preserve">(2), 115-128. </w:t>
      </w:r>
      <w:hyperlink r:id="rId7" w:history="1">
        <w:r w:rsidRPr="00175003">
          <w:rPr>
            <w:rStyle w:val="Hipervnculo"/>
            <w:rFonts w:ascii="Times New Roman" w:hAnsi="Times New Roman" w:cs="Times New Roman"/>
            <w:lang w:val="en-US"/>
          </w:rPr>
          <w:t>https://doi.org/10.1080/25741292.2024.2353929</w:t>
        </w:r>
      </w:hyperlink>
    </w:p>
    <w:p w14:paraId="1ABF65B9" w14:textId="77777777" w:rsidR="00FE59E8" w:rsidRPr="00175003" w:rsidRDefault="00FE59E8" w:rsidP="00FE59E8">
      <w:pPr>
        <w:ind w:right="-1"/>
        <w:jc w:val="both"/>
        <w:rPr>
          <w:rFonts w:ascii="Times New Roman" w:hAnsi="Times New Roman" w:cs="Times New Roman"/>
          <w:lang w:val="en-US"/>
        </w:rPr>
      </w:pPr>
      <w:r w:rsidRPr="00175003">
        <w:rPr>
          <w:rFonts w:ascii="Times New Roman" w:hAnsi="Times New Roman" w:cs="Times New Roman"/>
          <w:lang w:val="en-US"/>
        </w:rPr>
        <w:t xml:space="preserve">Capano, G. y </w:t>
      </w:r>
      <w:proofErr w:type="spellStart"/>
      <w:r w:rsidRPr="00175003">
        <w:rPr>
          <w:rFonts w:ascii="Times New Roman" w:hAnsi="Times New Roman" w:cs="Times New Roman"/>
          <w:lang w:val="en-US"/>
        </w:rPr>
        <w:t>Pritoni</w:t>
      </w:r>
      <w:proofErr w:type="spellEnd"/>
      <w:r w:rsidRPr="00175003">
        <w:rPr>
          <w:rFonts w:ascii="Times New Roman" w:hAnsi="Times New Roman" w:cs="Times New Roman"/>
          <w:lang w:val="en-US"/>
        </w:rPr>
        <w:t xml:space="preserve">, A. (2019). Varieties of hybrid systemic governance in European higher education. </w:t>
      </w:r>
      <w:r w:rsidRPr="00175003">
        <w:rPr>
          <w:rFonts w:ascii="Times New Roman" w:hAnsi="Times New Roman" w:cs="Times New Roman"/>
          <w:i/>
          <w:iCs/>
          <w:lang w:val="en-US"/>
        </w:rPr>
        <w:t>Higher Education Quarterly</w:t>
      </w:r>
      <w:r w:rsidRPr="00175003">
        <w:rPr>
          <w:rFonts w:ascii="Times New Roman" w:hAnsi="Times New Roman" w:cs="Times New Roman"/>
          <w:lang w:val="en-US"/>
        </w:rPr>
        <w:t xml:space="preserve">, </w:t>
      </w:r>
      <w:r w:rsidRPr="00175003">
        <w:rPr>
          <w:rFonts w:ascii="Times New Roman" w:hAnsi="Times New Roman" w:cs="Times New Roman"/>
          <w:i/>
          <w:iCs/>
          <w:lang w:val="en-US"/>
        </w:rPr>
        <w:t>73</w:t>
      </w:r>
      <w:r w:rsidRPr="00175003">
        <w:rPr>
          <w:rFonts w:ascii="Times New Roman" w:hAnsi="Times New Roman" w:cs="Times New Roman"/>
          <w:lang w:val="en-US"/>
        </w:rPr>
        <w:t>(1), 10-28.</w:t>
      </w:r>
    </w:p>
    <w:p w14:paraId="3BAE1A9C" w14:textId="77777777" w:rsidR="00FE59E8" w:rsidRPr="00175003" w:rsidRDefault="00FE59E8" w:rsidP="00FE59E8">
      <w:pPr>
        <w:ind w:right="-1"/>
        <w:jc w:val="both"/>
        <w:rPr>
          <w:rFonts w:ascii="Times New Roman" w:hAnsi="Times New Roman" w:cs="Times New Roman"/>
          <w:lang w:val="en-US"/>
        </w:rPr>
      </w:pPr>
      <w:proofErr w:type="spellStart"/>
      <w:r w:rsidRPr="00175003">
        <w:rPr>
          <w:rFonts w:ascii="Times New Roman" w:hAnsi="Times New Roman" w:cs="Times New Roman"/>
          <w:lang w:val="en-US"/>
        </w:rPr>
        <w:t>Cashore</w:t>
      </w:r>
      <w:proofErr w:type="spellEnd"/>
      <w:r w:rsidRPr="00175003">
        <w:rPr>
          <w:rFonts w:ascii="Times New Roman" w:hAnsi="Times New Roman" w:cs="Times New Roman"/>
          <w:lang w:val="en-US"/>
        </w:rPr>
        <w:t xml:space="preserve">, B. y Howlett, M. (2007). Punctuating which equilibrium? Understanding thermostatic policy dynamics in Pacific Northwest forestry. </w:t>
      </w:r>
      <w:r w:rsidRPr="00175003">
        <w:rPr>
          <w:rFonts w:ascii="Times New Roman" w:hAnsi="Times New Roman" w:cs="Times New Roman"/>
          <w:i/>
          <w:iCs/>
          <w:lang w:val="en-US"/>
        </w:rPr>
        <w:t>American Journal of Political Science</w:t>
      </w:r>
      <w:r w:rsidRPr="00175003">
        <w:rPr>
          <w:rFonts w:ascii="Times New Roman" w:hAnsi="Times New Roman" w:cs="Times New Roman"/>
          <w:lang w:val="en-US"/>
        </w:rPr>
        <w:t xml:space="preserve">, </w:t>
      </w:r>
      <w:r w:rsidRPr="00175003">
        <w:rPr>
          <w:rFonts w:ascii="Times New Roman" w:hAnsi="Times New Roman" w:cs="Times New Roman"/>
          <w:i/>
          <w:iCs/>
          <w:lang w:val="en-US"/>
        </w:rPr>
        <w:t>51</w:t>
      </w:r>
      <w:r w:rsidRPr="00175003">
        <w:rPr>
          <w:rFonts w:ascii="Times New Roman" w:hAnsi="Times New Roman" w:cs="Times New Roman"/>
          <w:lang w:val="en-US"/>
        </w:rPr>
        <w:t>(3), 532-551.</w:t>
      </w:r>
    </w:p>
    <w:p w14:paraId="213FB98D" w14:textId="77777777" w:rsidR="00FE59E8" w:rsidRPr="00FE59E8" w:rsidRDefault="00FE59E8" w:rsidP="00FE59E8">
      <w:pPr>
        <w:ind w:right="-1"/>
        <w:jc w:val="both"/>
        <w:rPr>
          <w:rFonts w:ascii="Times New Roman" w:hAnsi="Times New Roman" w:cs="Times New Roman"/>
          <w:lang w:val="es-AR"/>
        </w:rPr>
      </w:pPr>
      <w:r w:rsidRPr="00FE59E8">
        <w:rPr>
          <w:rFonts w:ascii="Times New Roman" w:hAnsi="Times New Roman" w:cs="Times New Roman"/>
          <w:lang w:val="es-AR"/>
        </w:rPr>
        <w:t xml:space="preserve">Coppola, N., </w:t>
      </w:r>
      <w:proofErr w:type="spellStart"/>
      <w:r w:rsidRPr="00FE59E8">
        <w:rPr>
          <w:rFonts w:ascii="Times New Roman" w:hAnsi="Times New Roman" w:cs="Times New Roman"/>
          <w:lang w:val="es-AR"/>
        </w:rPr>
        <w:t>Grinsztajn</w:t>
      </w:r>
      <w:proofErr w:type="spellEnd"/>
      <w:r w:rsidRPr="00FE59E8">
        <w:rPr>
          <w:rFonts w:ascii="Times New Roman" w:hAnsi="Times New Roman" w:cs="Times New Roman"/>
          <w:lang w:val="es-AR"/>
        </w:rPr>
        <w:t xml:space="preserve">, F., Polzella, Á. y Zaba, S. M. (2017). </w:t>
      </w:r>
      <w:r w:rsidRPr="00FE59E8">
        <w:rPr>
          <w:rFonts w:ascii="Times New Roman" w:hAnsi="Times New Roman" w:cs="Times New Roman"/>
          <w:i/>
          <w:iCs/>
          <w:lang w:val="es-AR"/>
        </w:rPr>
        <w:t>Las asociaciones de decanos y su vinculación con los procesos de acreditación de las carreras de medicina en Argentina</w:t>
      </w:r>
      <w:r w:rsidRPr="00FE59E8">
        <w:rPr>
          <w:rFonts w:ascii="Times New Roman" w:hAnsi="Times New Roman" w:cs="Times New Roman"/>
          <w:lang w:val="es-AR"/>
        </w:rPr>
        <w:t xml:space="preserve"> [Ponencia]. VIII Encuentro Nacional y V Latinoamericano "La Universidad como objeto de Investigación", Universidad Nacional del Litoral.</w:t>
      </w:r>
    </w:p>
    <w:p w14:paraId="071E474B" w14:textId="77777777" w:rsidR="00BF6220" w:rsidRDefault="003D7EF5" w:rsidP="00FE59E8">
      <w:pPr>
        <w:ind w:right="-1"/>
        <w:jc w:val="both"/>
        <w:rPr>
          <w:rFonts w:ascii="Times New Roman" w:hAnsi="Times New Roman" w:cs="Times New Roman"/>
        </w:rPr>
      </w:pPr>
      <w:r w:rsidRPr="003D7EF5">
        <w:rPr>
          <w:rFonts w:ascii="Times New Roman" w:hAnsi="Times New Roman" w:cs="Times New Roman"/>
          <w:lang w:val="en-US"/>
        </w:rPr>
        <w:t xml:space="preserve">González Ledesma, M. A. (2014). New modes of governance of Latin American higher education: Chile, Argentina and Mexico. </w:t>
      </w:r>
      <w:r w:rsidRPr="003D7EF5">
        <w:rPr>
          <w:rFonts w:ascii="Times New Roman" w:hAnsi="Times New Roman" w:cs="Times New Roman"/>
          <w:i/>
          <w:iCs/>
        </w:rPr>
        <w:t>Bordón. Revista de Pedagogía</w:t>
      </w:r>
      <w:r w:rsidRPr="003D7EF5">
        <w:rPr>
          <w:rFonts w:ascii="Times New Roman" w:hAnsi="Times New Roman" w:cs="Times New Roman"/>
        </w:rPr>
        <w:t xml:space="preserve">, </w:t>
      </w:r>
      <w:r w:rsidRPr="003D7EF5">
        <w:rPr>
          <w:rFonts w:ascii="Times New Roman" w:hAnsi="Times New Roman" w:cs="Times New Roman"/>
          <w:i/>
          <w:iCs/>
        </w:rPr>
        <w:t>66</w:t>
      </w:r>
      <w:r w:rsidRPr="003D7EF5">
        <w:rPr>
          <w:rFonts w:ascii="Times New Roman" w:hAnsi="Times New Roman" w:cs="Times New Roman"/>
        </w:rPr>
        <w:t>(1), 53–97.</w:t>
      </w:r>
    </w:p>
    <w:p w14:paraId="24BE18C3" w14:textId="3283D8BB" w:rsidR="00FE59E8" w:rsidRPr="00FE59E8" w:rsidRDefault="00FE59E8" w:rsidP="00FE59E8">
      <w:pPr>
        <w:ind w:right="-1"/>
        <w:jc w:val="both"/>
        <w:rPr>
          <w:rFonts w:ascii="Times New Roman" w:hAnsi="Times New Roman" w:cs="Times New Roman"/>
          <w:lang w:val="es-AR"/>
        </w:rPr>
      </w:pPr>
      <w:r w:rsidRPr="00175003">
        <w:rPr>
          <w:rFonts w:ascii="Times New Roman" w:hAnsi="Times New Roman" w:cs="Times New Roman"/>
          <w:lang w:val="en-US"/>
        </w:rPr>
        <w:t xml:space="preserve">Hall, P. (1993). Policy paradigms, social learning, and the state: The case of economic policymaking in Britain. </w:t>
      </w:r>
      <w:r w:rsidRPr="00FE59E8">
        <w:rPr>
          <w:rFonts w:ascii="Times New Roman" w:hAnsi="Times New Roman" w:cs="Times New Roman"/>
          <w:i/>
          <w:iCs/>
          <w:lang w:val="es-AR"/>
        </w:rPr>
        <w:t xml:space="preserve">Comparative </w:t>
      </w:r>
      <w:proofErr w:type="spellStart"/>
      <w:r w:rsidRPr="00FE59E8">
        <w:rPr>
          <w:rFonts w:ascii="Times New Roman" w:hAnsi="Times New Roman" w:cs="Times New Roman"/>
          <w:i/>
          <w:iCs/>
          <w:lang w:val="es-AR"/>
        </w:rPr>
        <w:t>Politics</w:t>
      </w:r>
      <w:proofErr w:type="spellEnd"/>
      <w:r w:rsidRPr="00FE59E8">
        <w:rPr>
          <w:rFonts w:ascii="Times New Roman" w:hAnsi="Times New Roman" w:cs="Times New Roman"/>
          <w:lang w:val="es-AR"/>
        </w:rPr>
        <w:t xml:space="preserve">, </w:t>
      </w:r>
      <w:r w:rsidRPr="00FE59E8">
        <w:rPr>
          <w:rFonts w:ascii="Times New Roman" w:hAnsi="Times New Roman" w:cs="Times New Roman"/>
          <w:i/>
          <w:iCs/>
          <w:lang w:val="es-AR"/>
        </w:rPr>
        <w:t>25</w:t>
      </w:r>
      <w:r w:rsidRPr="00FE59E8">
        <w:rPr>
          <w:rFonts w:ascii="Times New Roman" w:hAnsi="Times New Roman" w:cs="Times New Roman"/>
          <w:lang w:val="es-AR"/>
        </w:rPr>
        <w:t>(3), 275-296.</w:t>
      </w:r>
    </w:p>
    <w:p w14:paraId="2BC8AFB5" w14:textId="77777777" w:rsidR="00FE59E8" w:rsidRPr="00FE59E8" w:rsidRDefault="00FE59E8" w:rsidP="00FE59E8">
      <w:pPr>
        <w:ind w:right="-1"/>
        <w:jc w:val="both"/>
        <w:rPr>
          <w:rFonts w:ascii="Times New Roman" w:hAnsi="Times New Roman" w:cs="Times New Roman"/>
          <w:lang w:val="es-AR"/>
        </w:rPr>
      </w:pPr>
      <w:proofErr w:type="spellStart"/>
      <w:r w:rsidRPr="00FE59E8">
        <w:rPr>
          <w:rFonts w:ascii="Times New Roman" w:hAnsi="Times New Roman" w:cs="Times New Roman"/>
          <w:lang w:val="es-AR"/>
        </w:rPr>
        <w:t>Nosiglia</w:t>
      </w:r>
      <w:proofErr w:type="spellEnd"/>
      <w:r w:rsidRPr="00FE59E8">
        <w:rPr>
          <w:rFonts w:ascii="Times New Roman" w:hAnsi="Times New Roman" w:cs="Times New Roman"/>
          <w:lang w:val="es-AR"/>
        </w:rPr>
        <w:t xml:space="preserve">, M. C. (2014). La disputa en torno a la habilitación académica y profesional de los títulos: El caso de la acreditación de las carreras de grado a partir de la sanción de la Ley de Educación Superior 24521. </w:t>
      </w:r>
      <w:r w:rsidRPr="00FE59E8">
        <w:rPr>
          <w:rFonts w:ascii="Times New Roman" w:hAnsi="Times New Roman" w:cs="Times New Roman"/>
          <w:i/>
          <w:iCs/>
          <w:lang w:val="es-AR"/>
        </w:rPr>
        <w:t>RAES</w:t>
      </w:r>
      <w:r w:rsidRPr="00FE59E8">
        <w:rPr>
          <w:rFonts w:ascii="Times New Roman" w:hAnsi="Times New Roman" w:cs="Times New Roman"/>
          <w:lang w:val="es-AR"/>
        </w:rPr>
        <w:t xml:space="preserve">, </w:t>
      </w:r>
      <w:r w:rsidRPr="00FE59E8">
        <w:rPr>
          <w:rFonts w:ascii="Times New Roman" w:hAnsi="Times New Roman" w:cs="Times New Roman"/>
          <w:i/>
          <w:iCs/>
          <w:lang w:val="es-AR"/>
        </w:rPr>
        <w:t>6</w:t>
      </w:r>
      <w:r w:rsidRPr="00FE59E8">
        <w:rPr>
          <w:rFonts w:ascii="Times New Roman" w:hAnsi="Times New Roman" w:cs="Times New Roman"/>
          <w:lang w:val="es-AR"/>
        </w:rPr>
        <w:t>(8).</w:t>
      </w:r>
    </w:p>
    <w:p w14:paraId="4D097571" w14:textId="77777777" w:rsidR="00FE59E8" w:rsidRPr="00FE59E8" w:rsidRDefault="00FE59E8" w:rsidP="00FE59E8">
      <w:pPr>
        <w:ind w:right="-1"/>
        <w:jc w:val="both"/>
        <w:rPr>
          <w:rFonts w:ascii="Times New Roman" w:hAnsi="Times New Roman" w:cs="Times New Roman"/>
          <w:lang w:val="es-AR"/>
        </w:rPr>
      </w:pPr>
      <w:proofErr w:type="spellStart"/>
      <w:r w:rsidRPr="00FE59E8">
        <w:rPr>
          <w:rFonts w:ascii="Times New Roman" w:hAnsi="Times New Roman" w:cs="Times New Roman"/>
          <w:lang w:val="es-AR"/>
        </w:rPr>
        <w:t>Nosiglia</w:t>
      </w:r>
      <w:proofErr w:type="spellEnd"/>
      <w:r w:rsidRPr="00FE59E8">
        <w:rPr>
          <w:rFonts w:ascii="Times New Roman" w:hAnsi="Times New Roman" w:cs="Times New Roman"/>
          <w:lang w:val="es-AR"/>
        </w:rPr>
        <w:t xml:space="preserve">, M. C. (2018). La reforma universitaria de 1918 en debate: Vigencia de sus principales postulados. </w:t>
      </w:r>
      <w:r w:rsidRPr="00FE59E8">
        <w:rPr>
          <w:rFonts w:ascii="Times New Roman" w:hAnsi="Times New Roman" w:cs="Times New Roman"/>
          <w:i/>
          <w:iCs/>
          <w:lang w:val="es-AR"/>
        </w:rPr>
        <w:t>Revista Latinoamericana de Educación Comparada</w:t>
      </w:r>
      <w:r w:rsidRPr="00FE59E8">
        <w:rPr>
          <w:rFonts w:ascii="Times New Roman" w:hAnsi="Times New Roman" w:cs="Times New Roman"/>
          <w:lang w:val="es-AR"/>
        </w:rPr>
        <w:t xml:space="preserve">, </w:t>
      </w:r>
      <w:r w:rsidRPr="00FE59E8">
        <w:rPr>
          <w:rFonts w:ascii="Times New Roman" w:hAnsi="Times New Roman" w:cs="Times New Roman"/>
          <w:i/>
          <w:iCs/>
          <w:lang w:val="es-AR"/>
        </w:rPr>
        <w:t>9</w:t>
      </w:r>
      <w:r w:rsidRPr="00FE59E8">
        <w:rPr>
          <w:rFonts w:ascii="Times New Roman" w:hAnsi="Times New Roman" w:cs="Times New Roman"/>
          <w:lang w:val="es-AR"/>
        </w:rPr>
        <w:t>(13), 93-104.</w:t>
      </w:r>
    </w:p>
    <w:p w14:paraId="7EEB3CD9" w14:textId="77777777" w:rsidR="00FE59E8" w:rsidRPr="00FE59E8" w:rsidRDefault="00FE59E8" w:rsidP="00FE59E8">
      <w:pPr>
        <w:ind w:right="-1"/>
        <w:jc w:val="both"/>
        <w:rPr>
          <w:rFonts w:ascii="Times New Roman" w:hAnsi="Times New Roman" w:cs="Times New Roman"/>
          <w:lang w:val="es-AR"/>
        </w:rPr>
      </w:pPr>
      <w:r w:rsidRPr="00FE59E8">
        <w:rPr>
          <w:rFonts w:ascii="Times New Roman" w:hAnsi="Times New Roman" w:cs="Times New Roman"/>
          <w:lang w:val="es-AR"/>
        </w:rPr>
        <w:lastRenderedPageBreak/>
        <w:t>Suasnábar, C. (2023). Los escenarios futuros de la universidad argentina: Entre los desafíos "</w:t>
      </w:r>
      <w:proofErr w:type="spellStart"/>
      <w:r w:rsidRPr="00FE59E8">
        <w:rPr>
          <w:rFonts w:ascii="Times New Roman" w:hAnsi="Times New Roman" w:cs="Times New Roman"/>
          <w:lang w:val="es-AR"/>
        </w:rPr>
        <w:t>glonacales</w:t>
      </w:r>
      <w:proofErr w:type="spellEnd"/>
      <w:r w:rsidRPr="00FE59E8">
        <w:rPr>
          <w:rFonts w:ascii="Times New Roman" w:hAnsi="Times New Roman" w:cs="Times New Roman"/>
          <w:lang w:val="es-AR"/>
        </w:rPr>
        <w:t xml:space="preserve">", la inercia de las tendencias sistémicas y la larga ausencia de una agenda de política. </w:t>
      </w:r>
      <w:r w:rsidRPr="00FE59E8">
        <w:rPr>
          <w:rFonts w:ascii="Times New Roman" w:hAnsi="Times New Roman" w:cs="Times New Roman"/>
          <w:i/>
          <w:iCs/>
          <w:lang w:val="es-AR"/>
        </w:rPr>
        <w:t>Revista Educación Superior y Sociedad (ESS)</w:t>
      </w:r>
      <w:r w:rsidRPr="00FE59E8">
        <w:rPr>
          <w:rFonts w:ascii="Times New Roman" w:hAnsi="Times New Roman" w:cs="Times New Roman"/>
          <w:lang w:val="es-AR"/>
        </w:rPr>
        <w:t xml:space="preserve">, </w:t>
      </w:r>
      <w:r w:rsidRPr="00FE59E8">
        <w:rPr>
          <w:rFonts w:ascii="Times New Roman" w:hAnsi="Times New Roman" w:cs="Times New Roman"/>
          <w:i/>
          <w:iCs/>
          <w:lang w:val="es-AR"/>
        </w:rPr>
        <w:t>35</w:t>
      </w:r>
      <w:r w:rsidRPr="00FE59E8">
        <w:rPr>
          <w:rFonts w:ascii="Times New Roman" w:hAnsi="Times New Roman" w:cs="Times New Roman"/>
          <w:lang w:val="es-AR"/>
        </w:rPr>
        <w:t xml:space="preserve">(1), 179-205. </w:t>
      </w:r>
      <w:hyperlink r:id="rId8" w:history="1">
        <w:r w:rsidRPr="00FE59E8">
          <w:rPr>
            <w:rStyle w:val="Hipervnculo"/>
            <w:rFonts w:ascii="Times New Roman" w:hAnsi="Times New Roman" w:cs="Times New Roman"/>
            <w:lang w:val="es-AR"/>
          </w:rPr>
          <w:t>https://doi.org/10.54674/ess.v35i1.736</w:t>
        </w:r>
      </w:hyperlink>
    </w:p>
    <w:p w14:paraId="3EAC5A40" w14:textId="77777777" w:rsidR="00FE59E8" w:rsidRPr="00FE59E8" w:rsidRDefault="00FE59E8" w:rsidP="000F75C4">
      <w:pPr>
        <w:rPr>
          <w:rFonts w:ascii="Times New Roman" w:hAnsi="Times New Roman" w:cs="Times New Roman"/>
          <w:lang w:val="es-AR"/>
        </w:rPr>
      </w:pPr>
    </w:p>
    <w:p w14:paraId="1F921055" w14:textId="1BD952F3" w:rsidR="00FE59E8" w:rsidRPr="00680759" w:rsidRDefault="00FE59E8" w:rsidP="009C5586">
      <w:pPr>
        <w:spacing w:after="0" w:line="240" w:lineRule="auto"/>
        <w:jc w:val="both"/>
        <w:rPr>
          <w:rFonts w:ascii="Times New Roman" w:hAnsi="Times New Roman" w:cs="Times New Roman"/>
        </w:rPr>
      </w:pPr>
      <w:r w:rsidRPr="00680759">
        <w:rPr>
          <w:rFonts w:ascii="Arial" w:hAnsi="Arial" w:cs="Arial"/>
        </w:rPr>
        <w:t xml:space="preserve"> </w:t>
      </w:r>
      <w:r w:rsidR="009C5586" w:rsidRPr="00680759">
        <w:rPr>
          <w:rFonts w:ascii="Times New Roman" w:hAnsi="Times New Roman" w:cs="Times New Roman"/>
          <w:b/>
          <w:bCs/>
        </w:rPr>
        <w:t>Tabla 1.</w:t>
      </w:r>
      <w:r w:rsidR="003C204D" w:rsidRPr="00680759">
        <w:rPr>
          <w:rFonts w:ascii="Times New Roman" w:hAnsi="Times New Roman" w:cs="Times New Roman"/>
          <w:b/>
          <w:bCs/>
        </w:rPr>
        <w:t xml:space="preserve"> </w:t>
      </w:r>
      <w:r w:rsidRPr="00680759">
        <w:rPr>
          <w:rFonts w:ascii="Times New Roman" w:hAnsi="Times New Roman" w:cs="Times New Roman"/>
          <w:b/>
          <w:bCs/>
        </w:rPr>
        <w:t>Marco normativo de evaluación y acreditación de carreras de grado</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1"/>
        <w:gridCol w:w="1059"/>
        <w:gridCol w:w="1123"/>
        <w:gridCol w:w="1211"/>
        <w:gridCol w:w="1274"/>
        <w:gridCol w:w="3905"/>
      </w:tblGrid>
      <w:tr w:rsidR="00FE59E8" w:rsidRPr="00146E27" w14:paraId="19521CA9" w14:textId="77777777" w:rsidTr="00CB5FDE">
        <w:trPr>
          <w:tblHeader/>
        </w:trPr>
        <w:tc>
          <w:tcPr>
            <w:tcW w:w="641"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vAlign w:val="center"/>
          </w:tcPr>
          <w:p w14:paraId="41893D22"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Año</w:t>
            </w:r>
          </w:p>
        </w:tc>
        <w:tc>
          <w:tcPr>
            <w:tcW w:w="4667" w:type="dxa"/>
            <w:gridSpan w:val="4"/>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vAlign w:val="center"/>
          </w:tcPr>
          <w:p w14:paraId="48FB1A4B"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Marco Normativo</w:t>
            </w:r>
          </w:p>
        </w:tc>
        <w:tc>
          <w:tcPr>
            <w:tcW w:w="3905"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vAlign w:val="center"/>
          </w:tcPr>
          <w:p w14:paraId="642C7A06"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Contenido</w:t>
            </w:r>
          </w:p>
        </w:tc>
      </w:tr>
      <w:tr w:rsidR="00FE59E8" w:rsidRPr="00146E27" w14:paraId="3A0DF544" w14:textId="77777777" w:rsidTr="00CB5FDE">
        <w:trPr>
          <w:tblHeader/>
        </w:trPr>
        <w:tc>
          <w:tcPr>
            <w:tcW w:w="641" w:type="dxa"/>
            <w:tcBorders>
              <w:top w:val="single" w:sz="1" w:space="0" w:color="AAAAAA"/>
              <w:left w:val="single" w:sz="1" w:space="0" w:color="AAAAAA"/>
              <w:bottom w:val="single" w:sz="1" w:space="0" w:color="AAAAAA"/>
              <w:right w:val="single" w:sz="1" w:space="0" w:color="AAAAAA"/>
            </w:tcBorders>
            <w:shd w:val="clear" w:color="auto" w:fill="2E5E9E"/>
            <w:tcMar>
              <w:top w:w="80" w:type="dxa"/>
              <w:left w:w="120" w:type="dxa"/>
              <w:bottom w:w="80" w:type="dxa"/>
              <w:right w:w="120" w:type="dxa"/>
            </w:tcMar>
            <w:vAlign w:val="center"/>
          </w:tcPr>
          <w:p w14:paraId="7E22491F" w14:textId="77777777" w:rsidR="00FE59E8" w:rsidRPr="00146E27" w:rsidRDefault="00FE59E8" w:rsidP="00CB5FDE">
            <w:pPr>
              <w:spacing w:after="0" w:line="240" w:lineRule="auto"/>
              <w:jc w:val="center"/>
              <w:rPr>
                <w:rFonts w:ascii="Times New Roman" w:hAnsi="Times New Roman" w:cs="Times New Roman"/>
                <w:sz w:val="18"/>
                <w:szCs w:val="18"/>
              </w:rPr>
            </w:pPr>
          </w:p>
        </w:tc>
        <w:tc>
          <w:tcPr>
            <w:tcW w:w="1059" w:type="dxa"/>
            <w:tcBorders>
              <w:top w:val="single" w:sz="1" w:space="0" w:color="AAAAAA"/>
              <w:left w:val="single" w:sz="1" w:space="0" w:color="AAAAAA"/>
              <w:bottom w:val="single" w:sz="1" w:space="0" w:color="AAAAAA"/>
              <w:right w:val="single" w:sz="1" w:space="0" w:color="AAAAAA"/>
            </w:tcBorders>
            <w:shd w:val="clear" w:color="auto" w:fill="2E5E9E"/>
            <w:tcMar>
              <w:top w:w="80" w:type="dxa"/>
              <w:left w:w="120" w:type="dxa"/>
              <w:bottom w:w="80" w:type="dxa"/>
              <w:right w:w="120" w:type="dxa"/>
            </w:tcMar>
            <w:vAlign w:val="center"/>
          </w:tcPr>
          <w:p w14:paraId="045C2047"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Ley</w:t>
            </w:r>
          </w:p>
        </w:tc>
        <w:tc>
          <w:tcPr>
            <w:tcW w:w="1123" w:type="dxa"/>
            <w:tcBorders>
              <w:top w:val="single" w:sz="1" w:space="0" w:color="AAAAAA"/>
              <w:left w:val="single" w:sz="1" w:space="0" w:color="AAAAAA"/>
              <w:bottom w:val="single" w:sz="1" w:space="0" w:color="AAAAAA"/>
              <w:right w:val="single" w:sz="1" w:space="0" w:color="AAAAAA"/>
            </w:tcBorders>
            <w:shd w:val="clear" w:color="auto" w:fill="2E5E9E"/>
            <w:tcMar>
              <w:top w:w="80" w:type="dxa"/>
              <w:left w:w="120" w:type="dxa"/>
              <w:bottom w:w="80" w:type="dxa"/>
              <w:right w:w="120" w:type="dxa"/>
            </w:tcMar>
            <w:vAlign w:val="center"/>
          </w:tcPr>
          <w:p w14:paraId="5D4EFA90"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Decreto</w:t>
            </w:r>
          </w:p>
        </w:tc>
        <w:tc>
          <w:tcPr>
            <w:tcW w:w="1211" w:type="dxa"/>
            <w:tcBorders>
              <w:top w:val="single" w:sz="1" w:space="0" w:color="AAAAAA"/>
              <w:left w:val="single" w:sz="1" w:space="0" w:color="AAAAAA"/>
              <w:bottom w:val="single" w:sz="1" w:space="0" w:color="AAAAAA"/>
              <w:right w:val="single" w:sz="1" w:space="0" w:color="AAAAAA"/>
            </w:tcBorders>
            <w:shd w:val="clear" w:color="auto" w:fill="2E5E9E"/>
            <w:tcMar>
              <w:top w:w="80" w:type="dxa"/>
              <w:left w:w="120" w:type="dxa"/>
              <w:bottom w:w="80" w:type="dxa"/>
              <w:right w:w="120" w:type="dxa"/>
            </w:tcMar>
            <w:vAlign w:val="center"/>
          </w:tcPr>
          <w:p w14:paraId="39EF5E0C"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Resolución Ministerial (RM)</w:t>
            </w:r>
          </w:p>
        </w:tc>
        <w:tc>
          <w:tcPr>
            <w:tcW w:w="1274" w:type="dxa"/>
            <w:tcBorders>
              <w:top w:val="single" w:sz="1" w:space="0" w:color="AAAAAA"/>
              <w:left w:val="single" w:sz="1" w:space="0" w:color="AAAAAA"/>
              <w:bottom w:val="single" w:sz="1" w:space="0" w:color="AAAAAA"/>
              <w:right w:val="single" w:sz="1" w:space="0" w:color="AAAAAA"/>
            </w:tcBorders>
            <w:shd w:val="clear" w:color="auto" w:fill="2E5E9E"/>
            <w:tcMar>
              <w:top w:w="80" w:type="dxa"/>
              <w:left w:w="120" w:type="dxa"/>
              <w:bottom w:w="80" w:type="dxa"/>
              <w:right w:w="120" w:type="dxa"/>
            </w:tcMar>
            <w:vAlign w:val="center"/>
          </w:tcPr>
          <w:p w14:paraId="2EF7D63D"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color w:val="FFFFFF"/>
                <w:sz w:val="18"/>
                <w:szCs w:val="18"/>
              </w:rPr>
              <w:t>Ordenanza CONEAU</w:t>
            </w:r>
          </w:p>
        </w:tc>
        <w:tc>
          <w:tcPr>
            <w:tcW w:w="3905" w:type="dxa"/>
            <w:tcBorders>
              <w:top w:val="single" w:sz="1" w:space="0" w:color="AAAAAA"/>
              <w:left w:val="single" w:sz="1" w:space="0" w:color="AAAAAA"/>
              <w:bottom w:val="single" w:sz="1" w:space="0" w:color="AAAAAA"/>
              <w:right w:val="single" w:sz="1" w:space="0" w:color="AAAAAA"/>
            </w:tcBorders>
            <w:shd w:val="clear" w:color="auto" w:fill="2E5E9E"/>
            <w:tcMar>
              <w:top w:w="80" w:type="dxa"/>
              <w:left w:w="120" w:type="dxa"/>
              <w:bottom w:w="80" w:type="dxa"/>
              <w:right w:w="120" w:type="dxa"/>
            </w:tcMar>
            <w:vAlign w:val="center"/>
          </w:tcPr>
          <w:p w14:paraId="74E2C0DE" w14:textId="77777777" w:rsidR="00FE59E8" w:rsidRPr="00146E27" w:rsidRDefault="00FE59E8" w:rsidP="00CB5FDE">
            <w:pPr>
              <w:spacing w:after="0" w:line="240" w:lineRule="auto"/>
              <w:jc w:val="center"/>
              <w:rPr>
                <w:rFonts w:ascii="Times New Roman" w:hAnsi="Times New Roman" w:cs="Times New Roman"/>
                <w:sz w:val="18"/>
                <w:szCs w:val="18"/>
              </w:rPr>
            </w:pPr>
          </w:p>
        </w:tc>
      </w:tr>
      <w:tr w:rsidR="00FE59E8" w:rsidRPr="00146E27" w14:paraId="45EE1970"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4870BD8"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1995</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0BDE24A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Ley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24.521</w:t>
            </w: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430E392"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2974E20"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19D05A8"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3FEEC45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Ley de Educación Superior. Marco normativo fundamental: crea la CONEAU, establece la evaluación institucional (art. 44) y la acreditación de carreras de grado (art. 43) y posgrado (art. 46). Evaluaciones externas cada seis años como mínimo.</w:t>
            </w:r>
          </w:p>
        </w:tc>
      </w:tr>
      <w:tr w:rsidR="00FE59E8" w:rsidRPr="00146E27" w14:paraId="4E7EB033"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A52B880"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1995</w:t>
            </w:r>
          </w:p>
        </w:tc>
        <w:tc>
          <w:tcPr>
            <w:tcW w:w="1059"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7CE609"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91B17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Decreto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268/95</w:t>
            </w:r>
          </w:p>
        </w:tc>
        <w:tc>
          <w:tcPr>
            <w:tcW w:w="121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515BDF"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3E64C9"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CAD46B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Promulga parcialmente la Ley de Educación Superior. Observa algunas disposiciones. Publicado en el Boletín Oficial el 10/08/1995.</w:t>
            </w:r>
          </w:p>
        </w:tc>
      </w:tr>
      <w:tr w:rsidR="00FE59E8" w:rsidRPr="00146E27" w14:paraId="1F2A1E4E"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D3A6692"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1995</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747DEB44"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1DB7963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Decreto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499/95</w:t>
            </w: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709FE2B"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56870B7"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52B9060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Reglamenta la Ley de Educación Superior. Regula la evaluación y acreditación. Crea el Consejo de Universidades. Establece que la acreditación es requisito para el reconocimiento oficial del título (art. 7).</w:t>
            </w:r>
          </w:p>
        </w:tc>
      </w:tr>
      <w:tr w:rsidR="00FE59E8" w:rsidRPr="00146E27" w14:paraId="10E95F8B"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DD95A4C"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1996</w:t>
            </w:r>
          </w:p>
        </w:tc>
        <w:tc>
          <w:tcPr>
            <w:tcW w:w="1059"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69E5C9"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A1112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Decreto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173/96</w:t>
            </w:r>
          </w:p>
        </w:tc>
        <w:tc>
          <w:tcPr>
            <w:tcW w:w="121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1B1945"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FA556B0"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4FB89F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Reglamenta la CONEAU: composición del Directorio, sesiones y funcionamiento.</w:t>
            </w:r>
          </w:p>
        </w:tc>
      </w:tr>
      <w:tr w:rsidR="00FE59E8" w:rsidRPr="00146E27" w14:paraId="2A9E2173"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403068D"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1997</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31F2BC2"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3DDE97D4"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1F737E81"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RM </w:t>
            </w:r>
            <w:proofErr w:type="spellStart"/>
            <w:r w:rsidRPr="00146E27">
              <w:rPr>
                <w:rFonts w:ascii="Times New Roman" w:hAnsi="Times New Roman" w:cs="Times New Roman"/>
                <w:b/>
                <w:bCs/>
                <w:sz w:val="18"/>
                <w:szCs w:val="18"/>
              </w:rPr>
              <w:t>MCyE</w:t>
            </w:r>
            <w:proofErr w:type="spellEnd"/>
            <w:r w:rsidRPr="00146E27">
              <w:rPr>
                <w:rFonts w:ascii="Times New Roman" w:hAnsi="Times New Roman" w:cs="Times New Roman"/>
                <w:b/>
                <w:bCs/>
                <w:sz w:val="18"/>
                <w:szCs w:val="18"/>
              </w:rPr>
              <w:t xml:space="preserve">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6/97</w:t>
            </w: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CC8D037"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EE88E0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Establece la carga horaria mínima para las carreras universitarias de grado.</w:t>
            </w:r>
          </w:p>
        </w:tc>
      </w:tr>
      <w:tr w:rsidR="00FE59E8" w:rsidRPr="00146E27" w14:paraId="4522B50B"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F76105F"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1997</w:t>
            </w:r>
          </w:p>
        </w:tc>
        <w:tc>
          <w:tcPr>
            <w:tcW w:w="1059"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F5ECCF3"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E96836"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F4FA29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RM </w:t>
            </w:r>
            <w:proofErr w:type="spellStart"/>
            <w:r w:rsidRPr="00146E27">
              <w:rPr>
                <w:rFonts w:ascii="Times New Roman" w:hAnsi="Times New Roman" w:cs="Times New Roman"/>
                <w:b/>
                <w:bCs/>
                <w:sz w:val="18"/>
                <w:szCs w:val="18"/>
              </w:rPr>
              <w:t>MCyE</w:t>
            </w:r>
            <w:proofErr w:type="spellEnd"/>
            <w:r w:rsidRPr="00146E27">
              <w:rPr>
                <w:rFonts w:ascii="Times New Roman" w:hAnsi="Times New Roman" w:cs="Times New Roman"/>
                <w:b/>
                <w:bCs/>
                <w:sz w:val="18"/>
                <w:szCs w:val="18"/>
              </w:rPr>
              <w:t xml:space="preserve">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1168/97</w:t>
            </w:r>
          </w:p>
        </w:tc>
        <w:tc>
          <w:tcPr>
            <w:tcW w:w="127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D1DD69E"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BF621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Primeras normas sobre estándares mínimos de calidad para la acreditación de carreras de posgrado (especializaciones, maestrías y doctorados).</w:t>
            </w:r>
          </w:p>
        </w:tc>
      </w:tr>
      <w:tr w:rsidR="00FE59E8" w:rsidRPr="00146E27" w14:paraId="0DAB5FF4"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5F8832AC"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2003</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070CDBD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Ley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25.754</w:t>
            </w: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135B4591"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F887975"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1A856AC"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5211BDC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Modifica el art. 39 de la Ley de Educación Superior. Establece la obligatoriedad de acreditar todas las carreras de posgrado ante la CONEAU o entidades privadas reconocidas. Incorpora el art. 39 bis sobre requisitos de admisión al posgrado.</w:t>
            </w:r>
          </w:p>
        </w:tc>
      </w:tr>
      <w:tr w:rsidR="00FE59E8" w:rsidRPr="00146E27" w14:paraId="1DBF389E"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28CDE80"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2010</w:t>
            </w:r>
          </w:p>
        </w:tc>
        <w:tc>
          <w:tcPr>
            <w:tcW w:w="1059"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407338"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0911751"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38657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RM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51/10</w:t>
            </w:r>
          </w:p>
        </w:tc>
        <w:tc>
          <w:tcPr>
            <w:tcW w:w="127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398E39D"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B60DB0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Regula el reconocimiento oficial y la validez nacional de nuevas carreras, vinculado a dictámenes favorables de la CONEAU.</w:t>
            </w:r>
          </w:p>
        </w:tc>
      </w:tr>
      <w:tr w:rsidR="00FE59E8" w:rsidRPr="00146E27" w14:paraId="78381BAD"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BEBCB28"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2010</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FDD9B7E"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3A3021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Decreto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2219/10</w:t>
            </w: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7F934972"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5075A39B"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C1261A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Modifica el art. 6 del Decreto 499/95. Establece períodos de acreditación de 3 o 6 años según el nivel de cumplimiento de los estándares.</w:t>
            </w:r>
          </w:p>
        </w:tc>
      </w:tr>
      <w:tr w:rsidR="00FE59E8" w:rsidRPr="00146E27" w14:paraId="446DA594"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B8AB2E9"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2011</w:t>
            </w:r>
          </w:p>
        </w:tc>
        <w:tc>
          <w:tcPr>
            <w:tcW w:w="1059"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FE6040"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BF354A"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96C410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RM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462/11</w:t>
            </w:r>
          </w:p>
        </w:tc>
        <w:tc>
          <w:tcPr>
            <w:tcW w:w="127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06BD80"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A08DD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 xml:space="preserve">Requisitos para la acreditación y el reconocimiento oficial de carreras del art. 43 </w:t>
            </w:r>
            <w:r w:rsidRPr="00146E27">
              <w:rPr>
                <w:rFonts w:ascii="Times New Roman" w:hAnsi="Times New Roman" w:cs="Times New Roman"/>
                <w:sz w:val="18"/>
                <w:szCs w:val="18"/>
              </w:rPr>
              <w:lastRenderedPageBreak/>
              <w:t>dictadas en articulación con instituciones de educación superior.</w:t>
            </w:r>
          </w:p>
        </w:tc>
      </w:tr>
      <w:tr w:rsidR="00FE59E8" w:rsidRPr="00146E27" w14:paraId="22458840"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3D75F502"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lastRenderedPageBreak/>
              <w:t>2015</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71452A2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Ley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27.204</w:t>
            </w: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057052D3"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12624F8"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F652066"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1598CEE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Ley de Implementación Efectiva de la Responsabilidad del Estado en el Nivel de Educación Superior. Modifica la LES: gratuidad, ingreso irrestricto, elimina el art. 50 sobre rendimiento académico mínimo, refuerza el rol indelegable del Estado.</w:t>
            </w:r>
          </w:p>
        </w:tc>
      </w:tr>
      <w:tr w:rsidR="00FE59E8" w:rsidRPr="00146E27" w14:paraId="69509AC2"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088B20D"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2017</w:t>
            </w:r>
          </w:p>
        </w:tc>
        <w:tc>
          <w:tcPr>
            <w:tcW w:w="1059"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237C67"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6879E6"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E193768" w14:textId="77777777" w:rsidR="00FE59E8" w:rsidRPr="00146E27" w:rsidRDefault="00FE59E8" w:rsidP="00CB5FDE">
            <w:pPr>
              <w:spacing w:after="0" w:line="240" w:lineRule="auto"/>
              <w:rPr>
                <w:rFonts w:ascii="Times New Roman" w:hAnsi="Times New Roman" w:cs="Times New Roman"/>
                <w:sz w:val="18"/>
                <w:szCs w:val="18"/>
              </w:rPr>
            </w:pPr>
          </w:p>
        </w:tc>
        <w:tc>
          <w:tcPr>
            <w:tcW w:w="127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6F7C3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Ord. CONEAU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63/17</w:t>
            </w:r>
          </w:p>
        </w:tc>
        <w:tc>
          <w:tcPr>
            <w:tcW w:w="390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7FDA931"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Procedimientos para la acreditación de carreras de grado (art. 43 LES): fases de autoevaluación, comités de pares y resolución final. Regula plazos y recursos de reconsideración.</w:t>
            </w:r>
          </w:p>
        </w:tc>
      </w:tr>
      <w:tr w:rsidR="00FE59E8" w:rsidRPr="00146E27" w14:paraId="126A2B81" w14:textId="77777777" w:rsidTr="00CB5FDE">
        <w:tc>
          <w:tcPr>
            <w:tcW w:w="64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544DFC23" w14:textId="77777777" w:rsidR="00FE59E8" w:rsidRPr="00146E27" w:rsidRDefault="00FE59E8" w:rsidP="00CB5FDE">
            <w:pPr>
              <w:spacing w:after="0" w:line="240" w:lineRule="auto"/>
              <w:jc w:val="center"/>
              <w:rPr>
                <w:rFonts w:ascii="Times New Roman" w:hAnsi="Times New Roman" w:cs="Times New Roman"/>
                <w:sz w:val="18"/>
                <w:szCs w:val="18"/>
              </w:rPr>
            </w:pPr>
            <w:r w:rsidRPr="00146E27">
              <w:rPr>
                <w:rFonts w:ascii="Times New Roman" w:hAnsi="Times New Roman" w:cs="Times New Roman"/>
                <w:b/>
                <w:bCs/>
                <w:sz w:val="18"/>
                <w:szCs w:val="18"/>
              </w:rPr>
              <w:t>2019</w:t>
            </w:r>
          </w:p>
        </w:tc>
        <w:tc>
          <w:tcPr>
            <w:tcW w:w="1059"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4ECEA7A0" w14:textId="77777777" w:rsidR="00FE59E8" w:rsidRPr="00146E27" w:rsidRDefault="00FE59E8" w:rsidP="00CB5FDE">
            <w:pPr>
              <w:spacing w:after="0" w:line="240" w:lineRule="auto"/>
              <w:rPr>
                <w:rFonts w:ascii="Times New Roman" w:hAnsi="Times New Roman" w:cs="Times New Roman"/>
                <w:sz w:val="18"/>
                <w:szCs w:val="18"/>
              </w:rPr>
            </w:pPr>
          </w:p>
        </w:tc>
        <w:tc>
          <w:tcPr>
            <w:tcW w:w="1123"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690187F4" w14:textId="77777777" w:rsidR="00FE59E8" w:rsidRPr="00146E27" w:rsidRDefault="00FE59E8" w:rsidP="00CB5FDE">
            <w:pPr>
              <w:spacing w:after="0" w:line="240" w:lineRule="auto"/>
              <w:rPr>
                <w:rFonts w:ascii="Times New Roman" w:hAnsi="Times New Roman" w:cs="Times New Roman"/>
                <w:sz w:val="18"/>
                <w:szCs w:val="18"/>
              </w:rPr>
            </w:pPr>
          </w:p>
        </w:tc>
        <w:tc>
          <w:tcPr>
            <w:tcW w:w="1211"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7AC98BE1"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sz w:val="18"/>
                <w:szCs w:val="18"/>
              </w:rPr>
              <w:t xml:space="preserve">RM </w:t>
            </w:r>
            <w:proofErr w:type="spellStart"/>
            <w:r w:rsidRPr="00146E27">
              <w:rPr>
                <w:rFonts w:ascii="Times New Roman" w:hAnsi="Times New Roman" w:cs="Times New Roman"/>
                <w:b/>
                <w:bCs/>
                <w:sz w:val="18"/>
                <w:szCs w:val="18"/>
              </w:rPr>
              <w:t>N°</w:t>
            </w:r>
            <w:proofErr w:type="spellEnd"/>
            <w:r w:rsidRPr="00146E27">
              <w:rPr>
                <w:rFonts w:ascii="Times New Roman" w:hAnsi="Times New Roman" w:cs="Times New Roman"/>
                <w:b/>
                <w:bCs/>
                <w:sz w:val="18"/>
                <w:szCs w:val="18"/>
              </w:rPr>
              <w:t xml:space="preserve"> 1051/19</w:t>
            </w:r>
          </w:p>
        </w:tc>
        <w:tc>
          <w:tcPr>
            <w:tcW w:w="1274"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21083AB0" w14:textId="77777777" w:rsidR="00FE59E8" w:rsidRPr="00146E27" w:rsidRDefault="00FE59E8" w:rsidP="00CB5FDE">
            <w:pPr>
              <w:spacing w:after="0" w:line="240" w:lineRule="auto"/>
              <w:rPr>
                <w:rFonts w:ascii="Times New Roman" w:hAnsi="Times New Roman" w:cs="Times New Roman"/>
                <w:sz w:val="18"/>
                <w:szCs w:val="18"/>
              </w:rPr>
            </w:pPr>
          </w:p>
        </w:tc>
        <w:tc>
          <w:tcPr>
            <w:tcW w:w="3905" w:type="dxa"/>
            <w:tcBorders>
              <w:top w:val="single" w:sz="1" w:space="0" w:color="AAAAAA"/>
              <w:left w:val="single" w:sz="1" w:space="0" w:color="AAAAAA"/>
              <w:bottom w:val="single" w:sz="1" w:space="0" w:color="AAAAAA"/>
              <w:right w:val="single" w:sz="1" w:space="0" w:color="AAAAAA"/>
            </w:tcBorders>
            <w:shd w:val="clear" w:color="auto" w:fill="EBF1FF"/>
            <w:tcMar>
              <w:top w:w="80" w:type="dxa"/>
              <w:left w:w="120" w:type="dxa"/>
              <w:bottom w:w="80" w:type="dxa"/>
              <w:right w:w="120" w:type="dxa"/>
            </w:tcMar>
          </w:tcPr>
          <w:p w14:paraId="53C046D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sz w:val="18"/>
                <w:szCs w:val="18"/>
              </w:rPr>
              <w:t xml:space="preserve">Aprueba el Documento de Estándares de Aplicación General para la Acreditación de Carreras de Grado (Acuerdo Plenario CU </w:t>
            </w:r>
            <w:proofErr w:type="spellStart"/>
            <w:r w:rsidRPr="00146E27">
              <w:rPr>
                <w:rFonts w:ascii="Times New Roman" w:hAnsi="Times New Roman" w:cs="Times New Roman"/>
                <w:sz w:val="18"/>
                <w:szCs w:val="18"/>
              </w:rPr>
              <w:t>N°</w:t>
            </w:r>
            <w:proofErr w:type="spellEnd"/>
            <w:r w:rsidRPr="00146E27">
              <w:rPr>
                <w:rFonts w:ascii="Times New Roman" w:hAnsi="Times New Roman" w:cs="Times New Roman"/>
                <w:sz w:val="18"/>
                <w:szCs w:val="18"/>
              </w:rPr>
              <w:t xml:space="preserve"> 178/18). Marco común para todas las carreras comprendidas en el art. 43 de la LES.</w:t>
            </w:r>
          </w:p>
        </w:tc>
      </w:tr>
    </w:tbl>
    <w:p w14:paraId="0E13AA57" w14:textId="77777777" w:rsidR="00FE59E8" w:rsidRPr="00146E27" w:rsidRDefault="00FE59E8" w:rsidP="00FE59E8">
      <w:pPr>
        <w:spacing w:after="0" w:line="240" w:lineRule="auto"/>
        <w:rPr>
          <w:rFonts w:ascii="Times New Roman" w:hAnsi="Times New Roman" w:cs="Times New Roman"/>
          <w:sz w:val="18"/>
          <w:szCs w:val="18"/>
        </w:rPr>
      </w:pPr>
    </w:p>
    <w:p w14:paraId="237A811B" w14:textId="3C17C288" w:rsidR="00FE59E8" w:rsidRPr="00680759" w:rsidRDefault="0027567A" w:rsidP="00FE59E8">
      <w:pPr>
        <w:pStyle w:val="Ttulo2"/>
        <w:spacing w:before="0" w:after="0" w:line="240" w:lineRule="auto"/>
        <w:rPr>
          <w:rFonts w:ascii="Times New Roman" w:hAnsi="Times New Roman" w:cs="Times New Roman"/>
          <w:b/>
          <w:bCs/>
          <w:color w:val="auto"/>
          <w:sz w:val="24"/>
          <w:szCs w:val="24"/>
        </w:rPr>
      </w:pPr>
      <w:r w:rsidRPr="00680759">
        <w:rPr>
          <w:rFonts w:ascii="Times New Roman" w:hAnsi="Times New Roman" w:cs="Times New Roman"/>
          <w:b/>
          <w:bCs/>
          <w:color w:val="auto"/>
          <w:sz w:val="24"/>
          <w:szCs w:val="24"/>
        </w:rPr>
        <w:t xml:space="preserve">Tabla 2. </w:t>
      </w:r>
      <w:r w:rsidR="00FE59E8" w:rsidRPr="00680759">
        <w:rPr>
          <w:rFonts w:ascii="Times New Roman" w:hAnsi="Times New Roman" w:cs="Times New Roman"/>
          <w:b/>
          <w:bCs/>
          <w:color w:val="auto"/>
          <w:sz w:val="24"/>
          <w:szCs w:val="24"/>
        </w:rPr>
        <w:t>Estándares de carreras de grado (art. 43 LES) – período 1999–2025</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66"/>
        <w:gridCol w:w="1008"/>
        <w:gridCol w:w="1019"/>
        <w:gridCol w:w="1417"/>
        <w:gridCol w:w="1134"/>
        <w:gridCol w:w="4536"/>
      </w:tblGrid>
      <w:tr w:rsidR="00FE59E8" w:rsidRPr="00146E27" w14:paraId="0328F5CB"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Mar>
              <w:top w:w="80" w:type="dxa"/>
              <w:left w:w="120" w:type="dxa"/>
              <w:bottom w:w="80" w:type="dxa"/>
              <w:right w:w="120" w:type="dxa"/>
            </w:tcMar>
          </w:tcPr>
          <w:p w14:paraId="7BED0068"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Año</w:t>
            </w:r>
          </w:p>
        </w:tc>
        <w:tc>
          <w:tcPr>
            <w:tcW w:w="4578" w:type="dxa"/>
            <w:gridSpan w:val="4"/>
            <w:tcBorders>
              <w:top w:val="single" w:sz="1" w:space="0" w:color="AAAAAA"/>
              <w:left w:val="single" w:sz="1" w:space="0" w:color="AAAAAA"/>
              <w:bottom w:val="single" w:sz="1" w:space="0" w:color="AAAAAA"/>
              <w:right w:val="single" w:sz="1" w:space="0" w:color="AAAAAA"/>
            </w:tcBorders>
            <w:shd w:val="clear" w:color="auto" w:fill="657C9C" w:themeFill="text2" w:themeFillTint="BF"/>
          </w:tcPr>
          <w:p w14:paraId="4E35947C"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Marco Normativo</w:t>
            </w:r>
          </w:p>
        </w:tc>
        <w:tc>
          <w:tcPr>
            <w:tcW w:w="4536"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Mar>
              <w:top w:w="80" w:type="dxa"/>
              <w:left w:w="120" w:type="dxa"/>
              <w:bottom w:w="80" w:type="dxa"/>
              <w:right w:w="120" w:type="dxa"/>
            </w:tcMar>
          </w:tcPr>
          <w:p w14:paraId="788E38E1"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Contenido</w:t>
            </w:r>
          </w:p>
        </w:tc>
      </w:tr>
      <w:tr w:rsidR="00FE59E8" w:rsidRPr="00146E27" w14:paraId="6E66E39A"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Mar>
              <w:top w:w="80" w:type="dxa"/>
              <w:left w:w="120" w:type="dxa"/>
              <w:bottom w:w="80" w:type="dxa"/>
              <w:right w:w="120" w:type="dxa"/>
            </w:tcMar>
          </w:tcPr>
          <w:p w14:paraId="556A2F82" w14:textId="77777777" w:rsidR="00FE59E8" w:rsidRPr="00146E27" w:rsidRDefault="00FE59E8" w:rsidP="00CB5FDE">
            <w:pPr>
              <w:spacing w:after="0" w:line="240" w:lineRule="auto"/>
              <w:rPr>
                <w:rFonts w:ascii="Times New Roman" w:hAnsi="Times New Roman" w:cs="Times New Roman"/>
                <w:color w:val="FFFFFF" w:themeColor="background1"/>
                <w:sz w:val="18"/>
                <w:szCs w:val="18"/>
              </w:rPr>
            </w:pPr>
          </w:p>
        </w:tc>
        <w:tc>
          <w:tcPr>
            <w:tcW w:w="1008"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Pr>
          <w:p w14:paraId="65AD61FF"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Ley</w:t>
            </w:r>
          </w:p>
        </w:tc>
        <w:tc>
          <w:tcPr>
            <w:tcW w:w="1019"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Pr>
          <w:p w14:paraId="47956753"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Decreto</w:t>
            </w:r>
          </w:p>
        </w:tc>
        <w:tc>
          <w:tcPr>
            <w:tcW w:w="1417"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Mar>
              <w:top w:w="80" w:type="dxa"/>
              <w:left w:w="120" w:type="dxa"/>
              <w:bottom w:w="80" w:type="dxa"/>
              <w:right w:w="120" w:type="dxa"/>
            </w:tcMar>
          </w:tcPr>
          <w:p w14:paraId="49A9C660"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Resolución Ministerial</w:t>
            </w:r>
          </w:p>
        </w:tc>
        <w:tc>
          <w:tcPr>
            <w:tcW w:w="1134"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Pr>
          <w:p w14:paraId="112C27F2" w14:textId="77777777" w:rsidR="00FE59E8" w:rsidRPr="00146E27" w:rsidRDefault="00FE59E8" w:rsidP="00CB5FDE">
            <w:pPr>
              <w:spacing w:after="0" w:line="240" w:lineRule="auto"/>
              <w:jc w:val="center"/>
              <w:rPr>
                <w:rFonts w:ascii="Times New Roman" w:hAnsi="Times New Roman" w:cs="Times New Roman"/>
                <w:b/>
                <w:bCs/>
                <w:color w:val="FFFFFF" w:themeColor="background1"/>
                <w:sz w:val="18"/>
                <w:szCs w:val="18"/>
              </w:rPr>
            </w:pPr>
            <w:r w:rsidRPr="00146E27">
              <w:rPr>
                <w:rFonts w:ascii="Times New Roman" w:hAnsi="Times New Roman" w:cs="Times New Roman"/>
                <w:b/>
                <w:bCs/>
                <w:color w:val="FFFFFF" w:themeColor="background1"/>
                <w:sz w:val="18"/>
                <w:szCs w:val="18"/>
              </w:rPr>
              <w:t>Acuerdo Plenario CU</w:t>
            </w:r>
          </w:p>
        </w:tc>
        <w:tc>
          <w:tcPr>
            <w:tcW w:w="4536" w:type="dxa"/>
            <w:tcBorders>
              <w:top w:val="single" w:sz="1" w:space="0" w:color="AAAAAA"/>
              <w:left w:val="single" w:sz="1" w:space="0" w:color="AAAAAA"/>
              <w:bottom w:val="single" w:sz="1" w:space="0" w:color="AAAAAA"/>
              <w:right w:val="single" w:sz="1" w:space="0" w:color="AAAAAA"/>
            </w:tcBorders>
            <w:shd w:val="clear" w:color="auto" w:fill="657C9C" w:themeFill="text2" w:themeFillTint="BF"/>
            <w:tcMar>
              <w:top w:w="80" w:type="dxa"/>
              <w:left w:w="120" w:type="dxa"/>
              <w:bottom w:w="80" w:type="dxa"/>
              <w:right w:w="120" w:type="dxa"/>
            </w:tcMar>
          </w:tcPr>
          <w:p w14:paraId="660524EF" w14:textId="77777777" w:rsidR="00FE59E8" w:rsidRPr="00146E27" w:rsidRDefault="00FE59E8" w:rsidP="00CB5FDE">
            <w:pPr>
              <w:spacing w:after="0" w:line="240" w:lineRule="auto"/>
              <w:rPr>
                <w:rFonts w:ascii="Times New Roman" w:hAnsi="Times New Roman" w:cs="Times New Roman"/>
                <w:color w:val="FFFFFF" w:themeColor="background1"/>
                <w:sz w:val="18"/>
                <w:szCs w:val="18"/>
              </w:rPr>
            </w:pPr>
          </w:p>
        </w:tc>
      </w:tr>
      <w:tr w:rsidR="00FE59E8" w:rsidRPr="00146E27" w14:paraId="1B03AABB"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3671AB"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1999</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4FB3AE8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B3B18D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5346829"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238/99</w:t>
            </w:r>
          </w:p>
          <w:p w14:paraId="268CE35C"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(Medicina)</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05FAFA9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6B64B8"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la carrera al art. 43 LES. Primera declaración de interés público.</w:t>
            </w:r>
          </w:p>
        </w:tc>
      </w:tr>
      <w:tr w:rsidR="00FE59E8" w:rsidRPr="00146E27" w14:paraId="4FC5019C"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B99123"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1999</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4801D75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09ADEB9C"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348773"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535/99</w:t>
            </w:r>
          </w:p>
          <w:p w14:paraId="2A3D476E"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(Medicina)</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0BEA1C28"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46F22A"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Primeros estándares: CCB, carga horaria mínima, formación práctica y actividades reservadas.</w:t>
            </w:r>
          </w:p>
        </w:tc>
      </w:tr>
      <w:tr w:rsidR="00FE59E8" w:rsidRPr="00146E27" w14:paraId="0315C78B"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3DB9B08"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2007</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2AD7682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24C4AA98"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D142B1"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1314/07</w:t>
            </w:r>
          </w:p>
          <w:p w14:paraId="21F83FFE"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(Medicina)</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4BBBB5E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B3D8B4B"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 xml:space="preserve">Segunda generación de estándares. Revisión </w:t>
            </w:r>
            <w:proofErr w:type="spellStart"/>
            <w:r w:rsidRPr="00146E27">
              <w:rPr>
                <w:rFonts w:ascii="Times New Roman" w:hAnsi="Times New Roman" w:cs="Times New Roman"/>
                <w:color w:val="1A1A1A"/>
                <w:sz w:val="18"/>
                <w:szCs w:val="18"/>
              </w:rPr>
              <w:t>post-primer</w:t>
            </w:r>
            <w:proofErr w:type="spellEnd"/>
            <w:r w:rsidRPr="00146E27">
              <w:rPr>
                <w:rFonts w:ascii="Times New Roman" w:hAnsi="Times New Roman" w:cs="Times New Roman"/>
                <w:color w:val="1A1A1A"/>
                <w:sz w:val="18"/>
                <w:szCs w:val="18"/>
              </w:rPr>
              <w:t xml:space="preserve"> ciclo de acreditación. Vigente hasta 2022.</w:t>
            </w:r>
          </w:p>
        </w:tc>
      </w:tr>
      <w:tr w:rsidR="00FE59E8" w:rsidRPr="00146E27" w14:paraId="227F56F0"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594C662"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2001</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678B81DB"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6E01A0D2"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F839891"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1232/01</w:t>
            </w:r>
          </w:p>
          <w:p w14:paraId="0680CB52"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Ingenierías (13 ramas)</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604B7B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07F643"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y fija estándares para: Aeronáutico, Ambiental, en Alimentos, Civil, Eléctrico, Electromecánico, Electrónico, Mecánico, Químico, en Petróleo, en Minas, Nuclear, en Materiales.</w:t>
            </w:r>
          </w:p>
        </w:tc>
      </w:tr>
      <w:tr w:rsidR="00FE59E8" w:rsidRPr="00146E27" w14:paraId="240F3915"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A36EC90"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2002</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781E0CB4"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3DA3EA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A2E18A"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1054/02</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41B3468C"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A6336A"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y fija estándares para Ing. en Agrimensura e Ing. Industrial.</w:t>
            </w:r>
          </w:p>
        </w:tc>
      </w:tr>
      <w:tr w:rsidR="00FE59E8" w:rsidRPr="00146E27" w14:paraId="4715A03E"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0DB0B8"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634177BB"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619B288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86FD7CF"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13/04</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5B6DC38"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2B16C7"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y fija estándares para Ing. Hidráulico e Ing. en Recursos Hídricos.</w:t>
            </w:r>
          </w:p>
        </w:tc>
      </w:tr>
      <w:tr w:rsidR="00FE59E8" w:rsidRPr="00146E27" w14:paraId="2D283617"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B13D19"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6181A20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4530C38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C8D5BF"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1610/04</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05BCEED6"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C233154"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y fija estándares para Ingeniería Metalúrgica.</w:t>
            </w:r>
          </w:p>
        </w:tc>
      </w:tr>
      <w:tr w:rsidR="00FE59E8" w:rsidRPr="00146E27" w14:paraId="48BBC554"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AFCA46"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44EFC8EE"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DFC22B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CC6834"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1603/04</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8C63C54"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052727"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y fija estándares para Bioingeniería e Ingeniería Biomédica.</w:t>
            </w:r>
          </w:p>
        </w:tc>
      </w:tr>
      <w:tr w:rsidR="00FE59E8" w:rsidRPr="00146E27" w14:paraId="763378DE"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8E1043"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2006</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7312D7FE"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4F51C91"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A55B2BB"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1456/06</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04B6716D"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2A0CA1"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color w:val="1A1A1A"/>
                <w:sz w:val="18"/>
                <w:szCs w:val="18"/>
              </w:rPr>
              <w:t>Incorpora y fija estándares para Ingeniería en Telecomunicaciones.</w:t>
            </w:r>
          </w:p>
        </w:tc>
      </w:tr>
      <w:tr w:rsidR="00FE59E8" w:rsidRPr="00146E27" w14:paraId="756AD6C0"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B0CA9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lastRenderedPageBreak/>
              <w:t>2019</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2C58088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484AD89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63D44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RESOL-2019-2982-APN-MECCYT</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62D35CD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9D950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de acreditación para Ingeniería en Transporte.</w:t>
            </w:r>
          </w:p>
        </w:tc>
      </w:tr>
      <w:tr w:rsidR="00FE59E8" w:rsidRPr="00146E27" w14:paraId="63ADA5FF"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EBD803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2019</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66EC3FD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105A7CCB"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A722F1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RESOL-2019-3073-APN-MECCYT</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098674A8"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636141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de acreditación para Ingeniería Naval.</w:t>
            </w:r>
          </w:p>
        </w:tc>
      </w:tr>
      <w:tr w:rsidR="00FE59E8" w:rsidRPr="00146E27" w14:paraId="047E0022"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C61A3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2020</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25E80C51"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522D479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1FF5E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RESOL-2020-159-APN-ME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B29391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7F2A1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Licenciado/a en Obstetricia (art. 43 LES).</w:t>
            </w:r>
          </w:p>
        </w:tc>
      </w:tr>
      <w:tr w:rsidR="00FE59E8" w:rsidRPr="00146E27" w14:paraId="7BBB66AB"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0D7DB0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2020</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23FADB7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69C11234"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EE44FC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RESOL-2020-160-APN-ME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07D53494"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94EB67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Licenciado/a en Kinesiología y Fisiatría.</w:t>
            </w:r>
          </w:p>
        </w:tc>
      </w:tr>
      <w:tr w:rsidR="00FE59E8" w:rsidRPr="00146E27" w14:paraId="1258B423"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F5EB41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2020</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4F2FCDDE"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77F98C9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949AD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RESOL-2020-161-APN-ME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4F04CCF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374B8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Fonoaudiólogo/Licenciado/a en Fonoaudiología.</w:t>
            </w:r>
          </w:p>
        </w:tc>
      </w:tr>
      <w:tr w:rsidR="00FE59E8" w:rsidRPr="00146E27" w14:paraId="773E6420"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0036A7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2020</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4E19646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3F2E7ECB"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5C2F96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50/2020</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53E5CA9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199E04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de acreditación para el título de Profesor Universitario (art. 43 LES).</w:t>
            </w:r>
          </w:p>
        </w:tc>
      </w:tr>
      <w:tr w:rsidR="00FE59E8" w:rsidRPr="00146E27" w14:paraId="13BDD951"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94196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2021</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5F9EA4E2"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64285B99"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B4EF331"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RS-2021 (múltiples)</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ED48D3F"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B3B79D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de acreditación para Ingeniería Aeronáutica/Aeroespacial, Ambiental, Biomédica, Civil, Eléctrica, Electrónica, Industrial, Mecánica, Química, en Minas, en Petróleo, en Materiales, en Telecomunicaciones, Agronómica, Zootecnista, Ferroviaria y otras ramas de la ingeniería.</w:t>
            </w:r>
          </w:p>
        </w:tc>
      </w:tr>
      <w:tr w:rsidR="00FE59E8" w:rsidRPr="00146E27" w14:paraId="4763EEF5"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546B258"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2021</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3434C378"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673BA2D7"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5E3008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RESOL-2021-42730805-APN-ME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2098F106"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66337E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Licenciatura en Sistemas/Sistemas de Información (art. 43 LES).</w:t>
            </w:r>
          </w:p>
        </w:tc>
      </w:tr>
      <w:tr w:rsidR="00FE59E8" w:rsidRPr="00146E27" w14:paraId="66E24994"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FD311A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2021</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3F584B8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955F4B9"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9A3B0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RESOL-2021-46034179-APN-ME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04D6F22E"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5158D8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Ingeniería en Industria Automotriz (art. 43 LES).</w:t>
            </w:r>
          </w:p>
        </w:tc>
      </w:tr>
      <w:tr w:rsidR="00FE59E8" w:rsidRPr="00146E27" w14:paraId="6CC79A40"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22DAA0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2021</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7CE19527"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7523F09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ED2327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RESOL-2021-1485-APN-ME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60E6D61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2AF5E7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Licenciado/a en Terapia Ocupacional (art. 43 LES).</w:t>
            </w:r>
          </w:p>
        </w:tc>
      </w:tr>
      <w:tr w:rsidR="00FE59E8" w:rsidRPr="00146E27" w14:paraId="67B0A20B"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756AB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2021</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738C6DE8"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6D6165A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85819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 xml:space="preserve">RM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3991/2021</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38CA9564"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D1F4F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Modifica el art. 14 de la RM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51/10. Dispone que modificaciones en planes de estudio posteriores a la acreditación recibirán reconocimiento oficial tras la siguiente acreditación por CONEAU.</w:t>
            </w:r>
          </w:p>
        </w:tc>
      </w:tr>
      <w:tr w:rsidR="00FE59E8" w:rsidRPr="00146E27" w14:paraId="0FB14DB4"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E455DC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2022</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462C918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36D9002E"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DE8A76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RS-2022-798-APN-ME (Medicina)</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216AC0DC"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775725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Aprueba nuevos estándares de acreditación para la carrera de Medicina, actualizando los aprobados por RM 1314/07. Incrementa la carga horaria mínima y refuerza criterios de formación práctica.</w:t>
            </w:r>
          </w:p>
        </w:tc>
      </w:tr>
      <w:tr w:rsidR="00FE59E8" w:rsidRPr="00146E27" w14:paraId="4BB6F1C6"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FEA5C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2022</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072B2774"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1D95444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26998B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RS-2022-977-APN-ME (Veterinaria)</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28153393"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06848A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Nuevos estándares para Veterinaria/Medicina Veterinaria, actualizando los de la RM 1034/05.</w:t>
            </w:r>
          </w:p>
        </w:tc>
      </w:tr>
      <w:tr w:rsidR="00FE59E8" w:rsidRPr="00146E27" w14:paraId="31E03420"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46615F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2022</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1B667BAE"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45A383D9"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D05FA2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RESOL-2022-1005-APN-ME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595B1165"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5B73E5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Microbiología y Microbiología Clínica e Industrial (art. 43 LES).</w:t>
            </w:r>
          </w:p>
        </w:tc>
      </w:tr>
      <w:tr w:rsidR="00FE59E8" w:rsidRPr="00146E27" w14:paraId="6FD57AD2"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3C8E4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2022</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0B2A63A1"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743CCF4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BE9FB6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RS-2022-24694759-APN-ME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3A5E7DA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07445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Revisión de estándares de acreditación para la carrera de Medicina (acto complementario).</w:t>
            </w:r>
          </w:p>
        </w:tc>
      </w:tr>
      <w:tr w:rsidR="00FE59E8" w:rsidRPr="00146E27" w14:paraId="253E0183"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BD5B37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00539D27"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22C09372"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0E551A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RESOL-2023-2598-APN-ME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087B8390"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572EEC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Crea el Sistema Argentino de Créditos Académicos Universitarios (SACAU). Fija el Crédito de Referencia del Estudiante (CRE) como unidad organizadora del diseño curricular en carreras de pregrado y grado.</w:t>
            </w:r>
          </w:p>
        </w:tc>
      </w:tr>
      <w:tr w:rsidR="00FE59E8" w:rsidRPr="00146E27" w14:paraId="650EEE4A"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CCB63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lastRenderedPageBreak/>
              <w:t>2023</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067620B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7CD2A934"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B2391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RESOL-2023-2599-APN-ME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2844CAF3"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22A8A7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Aprueba el Reglamento sobre la Modalidad de Educación a Distancia. Regula las carreras universitarias bajo modalidad virtual o semipresencial, las condiciones para los SIED y la acreditación ante la CONEAU de carreras del art. 43 en modalidad a distancia.</w:t>
            </w:r>
          </w:p>
        </w:tc>
      </w:tr>
      <w:tr w:rsidR="00FE59E8" w:rsidRPr="00146E27" w14:paraId="7BA79E6F"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8D87ED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74872F3C"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012BF9E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F1FA69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RESOL-2023-2600-APN-ME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4C465F6C"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2C7878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Complementa el marco regulatorio de educación a distancia. Modifica aspectos del reconocimiento oficial de títulos y las condiciones de presentación ante la CONEAU.</w:t>
            </w:r>
          </w:p>
        </w:tc>
      </w:tr>
      <w:tr w:rsidR="00FE59E8" w:rsidRPr="00146E27" w14:paraId="259518DE"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75F85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10C510B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731F715B"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84C9C5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RESOL-2023-2501-APN-ME (Arquitectura)</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4E162E7D"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402416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Nuevos estándares de acreditación para Arquitectura, actualizando la RM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498/06. Aprobados por el Consejo de Universidades mediante Acuerdo Plenario.</w:t>
            </w:r>
          </w:p>
        </w:tc>
      </w:tr>
      <w:tr w:rsidR="00FE59E8" w:rsidRPr="00146E27" w14:paraId="14B08029"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3E7B27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4AB5A94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362C489C"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BEA628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RESOL-2023-2619-APN-ME (Nutrición)</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49D20D43"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A539CB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de acreditación para Licenciatura en Nutrición (art. 43 LES). Nuevos, con criterios actualizados sobre formación práctica y actividades profesionales reservadas.</w:t>
            </w:r>
          </w:p>
        </w:tc>
      </w:tr>
      <w:tr w:rsidR="00FE59E8" w:rsidRPr="00146E27" w14:paraId="2E12EB70"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23170A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4DBB5C48"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27D0170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510AF2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RESOL-2023-2615-APN-ME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C1C40D0"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2EF36B8"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Licenciatura en Ciencia y Tecnología de los Alimentos.</w:t>
            </w:r>
          </w:p>
        </w:tc>
      </w:tr>
      <w:tr w:rsidR="00FE59E8" w:rsidRPr="00146E27" w14:paraId="6E659E1A"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6DF032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5489BDD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4345FCC3"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EFE9C21"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RESOL-2023-2616-APN-ME</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38B88F48"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B5D893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Ingeniería en Energías Renovables (art. 43 LES). Nueva carrera incorporada al régimen.</w:t>
            </w:r>
          </w:p>
        </w:tc>
      </w:tr>
      <w:tr w:rsidR="00FE59E8" w:rsidRPr="00146E27" w14:paraId="4095FAE7"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B6F423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064BC15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234541DC"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FC562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RESOL-2023-2618-APN-ME</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5832AEF"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12CED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Estándares para Licenciatura en Bromatología (art. 43 LES). Nueva carrera incorporada al régimen.</w:t>
            </w:r>
          </w:p>
        </w:tc>
      </w:tr>
      <w:tr w:rsidR="00FE59E8" w:rsidRPr="00146E27" w14:paraId="43E081E5"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4C73FD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2023</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7AE9FA37"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7D3116A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F3DE1B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RESOL-2023-2687-APN-ME (Biología)</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64086751"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1707FB8"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Nuevos estándares para Biología/Lic. en Ciencias Biológicas/Biodiversidad (art. 43 LES). Actualización posterior al primer ciclo de acreditación.</w:t>
            </w:r>
          </w:p>
        </w:tc>
      </w:tr>
      <w:tr w:rsidR="00FE59E8" w:rsidRPr="00146E27" w14:paraId="22EEADEA"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6E4160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472E746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5C341CB5"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Decreto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8/2023 (efectos 2024)</w:t>
            </w: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3E39AC"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2C37673C"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8023E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DNU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8/2023 (dic. 2023): crea el Ministerio de Capital Humano, que absorbe las competencias del ex-Ministerio de Educación en materia universitaria. Las resoluciones sobre acreditación pasan a ser emitidas por la Secretaría de Educación del MCH.</w:t>
            </w:r>
          </w:p>
        </w:tc>
      </w:tr>
      <w:tr w:rsidR="00FE59E8" w:rsidRPr="00146E27" w14:paraId="3DD12BD4"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9929EA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2024</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48DE6DA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18215D7D"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Decreto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86/2023 (efectos 2024)</w:t>
            </w: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30C3244"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15F13AD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26AFF4E"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Aprueba la conformación organizativa del Ministerio de Capital Humano. La Subsecretaría de Políticas Universitarias pasa a depender de la Secretaría de Educación.</w:t>
            </w:r>
          </w:p>
        </w:tc>
      </w:tr>
      <w:tr w:rsidR="00FE59E8" w:rsidRPr="00146E27" w14:paraId="7D6F9C7A"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C8B2B5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220ACC2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1347A1D5" w14:textId="77777777" w:rsidR="00FE59E8" w:rsidRPr="00146E27" w:rsidRDefault="00FE59E8" w:rsidP="00CB5FDE">
            <w:pPr>
              <w:spacing w:after="0" w:line="240" w:lineRule="auto"/>
              <w:rPr>
                <w:rFonts w:ascii="Times New Roman" w:hAnsi="Times New Roman" w:cs="Times New Roman"/>
                <w:b/>
                <w:bCs/>
                <w:color w:val="1A1A1A"/>
                <w:sz w:val="18"/>
                <w:szCs w:val="18"/>
              </w:rPr>
            </w:pPr>
            <w:r w:rsidRPr="00146E27">
              <w:rPr>
                <w:rFonts w:ascii="Times New Roman" w:hAnsi="Times New Roman" w:cs="Times New Roman"/>
                <w:b/>
                <w:bCs/>
                <w:color w:val="1A1A1A"/>
                <w:sz w:val="18"/>
                <w:szCs w:val="18"/>
              </w:rPr>
              <w:t xml:space="preserve">Decreto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862/2024</w:t>
            </w: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1826CB"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3F951F59"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E07ED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Aprueba la estructura organizativa de segundo nivel del Ministerio de Capital Humano, incluyendo a la CONEAU en su ámbito jurisdiccional.</w:t>
            </w:r>
          </w:p>
        </w:tc>
      </w:tr>
      <w:tr w:rsidR="00FE59E8" w:rsidRPr="00146E27" w14:paraId="7367DAB9"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DD2FD5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2024</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624EBB2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016F270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03A140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RESOL-2024-74-SE#MCH</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6F1F6FD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41276E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Convocatoria 2024 del Programa Nacional de Becas Estratégicas Manuel Belgrano. Actualiza la lista de carreras estratégicas elegibles, vinculada a la acreditación CONEAU.</w:t>
            </w:r>
          </w:p>
        </w:tc>
      </w:tr>
      <w:tr w:rsidR="00FE59E8" w:rsidRPr="00146E27" w14:paraId="0E58183C"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23ED98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702AEBB9"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9A20B8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8A0DC23"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6E29F6FD"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b/>
                <w:bCs/>
                <w:color w:val="1A1A1A"/>
                <w:sz w:val="18"/>
                <w:szCs w:val="18"/>
              </w:rPr>
              <w:t xml:space="preserve">Acuerdo Plenario CU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268 (nov. 2024)</w:t>
            </w: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AF544A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Aprueba nuevos Contenidos Curriculares Básicos, Carga Horaria Mínima, Criterios de Formación Práctica y Estándares para: Lic. en Sistemas/Análisis de Sistemas, Lic. en Ciencias de la Computación, Lic. en Informática, Ing. en Sistemas de Información/Informática, e Ing. en Transporte. Base para las resoluciones del MCH de 2025.</w:t>
            </w:r>
          </w:p>
        </w:tc>
      </w:tr>
      <w:tr w:rsidR="00FE59E8" w:rsidRPr="00146E27" w14:paraId="1698F8E3"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4A66D8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2024</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5FC54CBA"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2F1D769B"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85BD587"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161B5EE2"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b/>
                <w:bCs/>
                <w:color w:val="1A1A1A"/>
                <w:sz w:val="18"/>
                <w:szCs w:val="18"/>
              </w:rPr>
              <w:t xml:space="preserve">Acuerdo Plenario CU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278 (nov. 2024)</w:t>
            </w: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313B87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Aprueba nuevos estándares para Licenciatura en Psicología/Psicología (art. 43 LES). Reemplaza los de la RM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343/09.</w:t>
            </w:r>
          </w:p>
        </w:tc>
      </w:tr>
      <w:tr w:rsidR="00FE59E8" w:rsidRPr="00146E27" w14:paraId="1324DE14"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590EAC5"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lastRenderedPageBreak/>
              <w:t>2024</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238B33E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2E53D2F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0D0BBE5"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42C5378D"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b/>
                <w:bCs/>
                <w:color w:val="1A1A1A"/>
                <w:sz w:val="18"/>
                <w:szCs w:val="18"/>
              </w:rPr>
              <w:t xml:space="preserve">Acuerdo Plenario CU </w:t>
            </w:r>
            <w:proofErr w:type="spellStart"/>
            <w:r w:rsidRPr="00146E27">
              <w:rPr>
                <w:rFonts w:ascii="Times New Roman" w:hAnsi="Times New Roman" w:cs="Times New Roman"/>
                <w:b/>
                <w:bCs/>
                <w:color w:val="1A1A1A"/>
                <w:sz w:val="18"/>
                <w:szCs w:val="18"/>
              </w:rPr>
              <w:t>N°</w:t>
            </w:r>
            <w:proofErr w:type="spellEnd"/>
            <w:r w:rsidRPr="00146E27">
              <w:rPr>
                <w:rFonts w:ascii="Times New Roman" w:hAnsi="Times New Roman" w:cs="Times New Roman"/>
                <w:b/>
                <w:bCs/>
                <w:color w:val="1A1A1A"/>
                <w:sz w:val="18"/>
                <w:szCs w:val="18"/>
              </w:rPr>
              <w:t xml:space="preserve"> 279 (nov. 2024)</w:t>
            </w: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F103A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Aprueba nuevos estándares para la carrera de Odontología (art. 43 LES). Reemplaza los de la RM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1413/08.</w:t>
            </w:r>
          </w:p>
        </w:tc>
      </w:tr>
      <w:tr w:rsidR="00FE59E8" w:rsidRPr="00146E27" w14:paraId="6C717DF7"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8686DA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29433E9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13C5E78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A50CFE2" w14:textId="77777777" w:rsidR="00FE59E8" w:rsidRPr="00146E27" w:rsidRDefault="00FE59E8" w:rsidP="00CB5FDE">
            <w:pPr>
              <w:spacing w:after="0" w:line="240" w:lineRule="auto"/>
              <w:rPr>
                <w:rFonts w:ascii="Times New Roman" w:hAnsi="Times New Roman" w:cs="Times New Roman"/>
                <w:sz w:val="18"/>
                <w:szCs w:val="18"/>
              </w:rPr>
            </w:pP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7943EBC3" w14:textId="77777777" w:rsidR="00FE59E8" w:rsidRPr="00146E27" w:rsidRDefault="00FE59E8" w:rsidP="00CB5FDE">
            <w:pPr>
              <w:spacing w:after="0" w:line="240" w:lineRule="auto"/>
              <w:rPr>
                <w:rFonts w:ascii="Times New Roman" w:hAnsi="Times New Roman" w:cs="Times New Roman"/>
                <w:color w:val="1A1A1A"/>
                <w:sz w:val="18"/>
                <w:szCs w:val="18"/>
              </w:rPr>
            </w:pPr>
            <w:r w:rsidRPr="00146E27">
              <w:rPr>
                <w:rFonts w:ascii="Times New Roman" w:hAnsi="Times New Roman" w:cs="Times New Roman"/>
                <w:b/>
                <w:bCs/>
                <w:color w:val="1A1A1A"/>
                <w:sz w:val="18"/>
                <w:szCs w:val="18"/>
              </w:rPr>
              <w:t>RESOL-2025-556-SE#MCH (SACAU)</w:t>
            </w: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DB88FC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Modifica el Sistema Argentino de Créditos Académicos Universitarios (SACAU). Sustituye el Anexo de la RESOL-2023-2598. Ajusta definiciones del Crédito de Referencia del Estudiante (CRE) y condiciones de implementación para carreras ya acreditadas.</w:t>
            </w:r>
          </w:p>
        </w:tc>
      </w:tr>
      <w:tr w:rsidR="00FE59E8" w:rsidRPr="00146E27" w14:paraId="06D612CE"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FA6C68"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1A1DBF67"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0244A24C"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E12E2DA"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RESOL-2025-980-APN-SE#MCH</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5595833D"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D894E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Nuevos estándares para Licenciado/a en Biotecnología (art. 43 LES). Primera acreditación de esta carrera bajo el nuevo régimen del Ministerio de Capital Humano.</w:t>
            </w:r>
          </w:p>
        </w:tc>
      </w:tr>
      <w:tr w:rsidR="00FE59E8" w:rsidRPr="00146E27" w14:paraId="2B9B93A1"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D9C1FF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4983D466"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61781C54"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7E3A31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RESOL-2025-981-APN-SE#MCH</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52F4D51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59FB97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Sustituye los estándares de Licenciatura en Sistemas/Sistemas de Información/Análisis de Sistemas (corrige errores materiales de la RESOL-2021 y aplica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268/2024).</w:t>
            </w:r>
          </w:p>
        </w:tc>
      </w:tr>
      <w:tr w:rsidR="00FE59E8" w:rsidRPr="00146E27" w14:paraId="2180F796"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A7B4934"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36B40ED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34A9CB09"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DEE0F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RESOL-2025-982-APN-SE#MCH</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3168AB76"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8697F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Sustituye los estándares de Ingeniería en Sistemas de Información/Informática (corrección de RM 1557/21 con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268/2024).</w:t>
            </w:r>
          </w:p>
        </w:tc>
      </w:tr>
      <w:tr w:rsidR="00FE59E8" w:rsidRPr="00146E27" w14:paraId="56048D75"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BA6FDF2"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00691F8F"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5BEC6120"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65700F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RESOL-2025-983-APN-SE#MCH</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22CCBAA8"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32177FB"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Nuevos estándares para Ingeniería en Transporte (actualiza RESOL-2019-2982). Basada en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268/2024.</w:t>
            </w:r>
          </w:p>
        </w:tc>
      </w:tr>
      <w:tr w:rsidR="00FE59E8" w:rsidRPr="00146E27" w14:paraId="3E66BF3E"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7B3A0F7"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1132E6F2"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68D282C4"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EEF838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RESOL-2025-984-APN-SE#MCH</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7595A237"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7CFF9C"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Nuevos estándares para Odontología (art. 43 LES). Sustituye la RM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1413/08. Basada en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279/2024.</w:t>
            </w:r>
          </w:p>
        </w:tc>
      </w:tr>
      <w:tr w:rsidR="00FE59E8" w:rsidRPr="00146E27" w14:paraId="6CC54B1B"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6C3708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12C013E8"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6DC8553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97AFA9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RESOL-2025-986-APN-SE#MCH</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3DEBA528"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42BBB83"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Nuevos estándares para Licenciatura en Ciencias de la Computación (actualiza RM 1553/21, con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268/2024).</w:t>
            </w:r>
          </w:p>
        </w:tc>
      </w:tr>
      <w:tr w:rsidR="00FE59E8" w:rsidRPr="00146E27" w14:paraId="7DFA20F9"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7DF45B0"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FFFFFF"/>
          </w:tcPr>
          <w:p w14:paraId="7B816CF1"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FFFFFF"/>
          </w:tcPr>
          <w:p w14:paraId="2F3D4AFE"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D72CC6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RESOL-2025-987-APN-SE#MCH</w:t>
            </w:r>
          </w:p>
        </w:tc>
        <w:tc>
          <w:tcPr>
            <w:tcW w:w="1134" w:type="dxa"/>
            <w:tcBorders>
              <w:top w:val="single" w:sz="1" w:space="0" w:color="AAAAAA"/>
              <w:left w:val="single" w:sz="1" w:space="0" w:color="AAAAAA"/>
              <w:bottom w:val="single" w:sz="1" w:space="0" w:color="AAAAAA"/>
              <w:right w:val="single" w:sz="1" w:space="0" w:color="AAAAAA"/>
            </w:tcBorders>
            <w:shd w:val="clear" w:color="auto" w:fill="FFFFFF"/>
          </w:tcPr>
          <w:p w14:paraId="1818C5B1"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64E036"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Nuevos estándares para Licenciatura en Psicología/Psicología (art. 43 LES). Sustituye la RM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343/09. Basada en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278/2024.</w:t>
            </w:r>
          </w:p>
        </w:tc>
      </w:tr>
      <w:tr w:rsidR="00FE59E8" w:rsidRPr="00146E27" w14:paraId="00850809" w14:textId="77777777" w:rsidTr="00CB5FDE">
        <w:tc>
          <w:tcPr>
            <w:tcW w:w="66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FCFFAD9"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2025</w:t>
            </w:r>
          </w:p>
        </w:tc>
        <w:tc>
          <w:tcPr>
            <w:tcW w:w="1008" w:type="dxa"/>
            <w:tcBorders>
              <w:top w:val="single" w:sz="1" w:space="0" w:color="AAAAAA"/>
              <w:left w:val="single" w:sz="1" w:space="0" w:color="AAAAAA"/>
              <w:bottom w:val="single" w:sz="1" w:space="0" w:color="AAAAAA"/>
              <w:right w:val="single" w:sz="1" w:space="0" w:color="AAAAAA"/>
            </w:tcBorders>
            <w:shd w:val="clear" w:color="auto" w:fill="EBF3FB"/>
          </w:tcPr>
          <w:p w14:paraId="68D7438D"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019" w:type="dxa"/>
            <w:tcBorders>
              <w:top w:val="single" w:sz="1" w:space="0" w:color="AAAAAA"/>
              <w:left w:val="single" w:sz="1" w:space="0" w:color="AAAAAA"/>
              <w:bottom w:val="single" w:sz="1" w:space="0" w:color="AAAAAA"/>
              <w:right w:val="single" w:sz="1" w:space="0" w:color="AAAAAA"/>
            </w:tcBorders>
            <w:shd w:val="clear" w:color="auto" w:fill="EBF3FB"/>
          </w:tcPr>
          <w:p w14:paraId="254767A5" w14:textId="77777777" w:rsidR="00FE59E8" w:rsidRPr="00146E27" w:rsidRDefault="00FE59E8" w:rsidP="00CB5FDE">
            <w:pPr>
              <w:spacing w:after="0" w:line="240" w:lineRule="auto"/>
              <w:rPr>
                <w:rFonts w:ascii="Times New Roman" w:hAnsi="Times New Roman" w:cs="Times New Roman"/>
                <w:b/>
                <w:bCs/>
                <w:color w:val="1A1A1A"/>
                <w:sz w:val="18"/>
                <w:szCs w:val="18"/>
              </w:rPr>
            </w:pPr>
          </w:p>
        </w:tc>
        <w:tc>
          <w:tcPr>
            <w:tcW w:w="1417"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F5FDC3D"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b/>
                <w:bCs/>
                <w:color w:val="1A1A1A"/>
                <w:sz w:val="18"/>
                <w:szCs w:val="18"/>
              </w:rPr>
              <w:t>RESOL-2025-988-APN-SE#MCH</w:t>
            </w:r>
          </w:p>
        </w:tc>
        <w:tc>
          <w:tcPr>
            <w:tcW w:w="1134" w:type="dxa"/>
            <w:tcBorders>
              <w:top w:val="single" w:sz="1" w:space="0" w:color="AAAAAA"/>
              <w:left w:val="single" w:sz="1" w:space="0" w:color="AAAAAA"/>
              <w:bottom w:val="single" w:sz="1" w:space="0" w:color="AAAAAA"/>
              <w:right w:val="single" w:sz="1" w:space="0" w:color="AAAAAA"/>
            </w:tcBorders>
            <w:shd w:val="clear" w:color="auto" w:fill="EBF3FB"/>
          </w:tcPr>
          <w:p w14:paraId="5B90EBF2" w14:textId="77777777" w:rsidR="00FE59E8" w:rsidRPr="00146E27" w:rsidRDefault="00FE59E8" w:rsidP="00CB5FDE">
            <w:pPr>
              <w:spacing w:after="0" w:line="240" w:lineRule="auto"/>
              <w:rPr>
                <w:rFonts w:ascii="Times New Roman" w:hAnsi="Times New Roman" w:cs="Times New Roman"/>
                <w:color w:val="1A1A1A"/>
                <w:sz w:val="18"/>
                <w:szCs w:val="18"/>
              </w:rPr>
            </w:pPr>
          </w:p>
        </w:tc>
        <w:tc>
          <w:tcPr>
            <w:tcW w:w="4536"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1B8904F" w14:textId="77777777" w:rsidR="00FE59E8" w:rsidRPr="00146E27" w:rsidRDefault="00FE59E8" w:rsidP="00CB5FDE">
            <w:pPr>
              <w:spacing w:after="0" w:line="240" w:lineRule="auto"/>
              <w:rPr>
                <w:rFonts w:ascii="Times New Roman" w:hAnsi="Times New Roman" w:cs="Times New Roman"/>
                <w:sz w:val="18"/>
                <w:szCs w:val="18"/>
              </w:rPr>
            </w:pPr>
            <w:r w:rsidRPr="00146E27">
              <w:rPr>
                <w:rFonts w:ascii="Times New Roman" w:hAnsi="Times New Roman" w:cs="Times New Roman"/>
                <w:color w:val="1A1A1A"/>
                <w:sz w:val="18"/>
                <w:szCs w:val="18"/>
              </w:rPr>
              <w:t xml:space="preserve">Nuevos estándares para Licenciatura en Informática (art. 43 LES). Basada en el Acuerdo Plenario </w:t>
            </w:r>
            <w:proofErr w:type="spellStart"/>
            <w:r w:rsidRPr="00146E27">
              <w:rPr>
                <w:rFonts w:ascii="Times New Roman" w:hAnsi="Times New Roman" w:cs="Times New Roman"/>
                <w:color w:val="1A1A1A"/>
                <w:sz w:val="18"/>
                <w:szCs w:val="18"/>
              </w:rPr>
              <w:t>N°</w:t>
            </w:r>
            <w:proofErr w:type="spellEnd"/>
            <w:r w:rsidRPr="00146E27">
              <w:rPr>
                <w:rFonts w:ascii="Times New Roman" w:hAnsi="Times New Roman" w:cs="Times New Roman"/>
                <w:color w:val="1A1A1A"/>
                <w:sz w:val="18"/>
                <w:szCs w:val="18"/>
              </w:rPr>
              <w:t xml:space="preserve"> 268/2024.</w:t>
            </w:r>
          </w:p>
        </w:tc>
      </w:tr>
    </w:tbl>
    <w:p w14:paraId="0A91F2E0" w14:textId="6172B48A" w:rsidR="00FE59E8" w:rsidRPr="00961062" w:rsidRDefault="00FE59E8" w:rsidP="00FE59E8">
      <w:pPr>
        <w:rPr>
          <w:rFonts w:ascii="Times New Roman" w:hAnsi="Times New Roman" w:cs="Times New Roman"/>
          <w:sz w:val="20"/>
          <w:szCs w:val="20"/>
        </w:rPr>
      </w:pPr>
      <w:r w:rsidRPr="00961062">
        <w:rPr>
          <w:rFonts w:ascii="Times New Roman" w:hAnsi="Times New Roman" w:cs="Times New Roman"/>
          <w:sz w:val="20"/>
          <w:szCs w:val="20"/>
        </w:rPr>
        <w:t>Fuente: elaboración propia</w:t>
      </w:r>
    </w:p>
    <w:p w14:paraId="21720F0A" w14:textId="77777777" w:rsidR="00FE59E8" w:rsidRDefault="00FE59E8" w:rsidP="00FE59E8">
      <w:pPr>
        <w:jc w:val="both"/>
        <w:rPr>
          <w:rFonts w:ascii="Arial" w:hAnsi="Arial" w:cs="Arial"/>
          <w:sz w:val="22"/>
          <w:szCs w:val="22"/>
        </w:rPr>
      </w:pPr>
    </w:p>
    <w:p w14:paraId="70BDEA5B" w14:textId="7EED5366" w:rsidR="00257C76" w:rsidRDefault="00257C76" w:rsidP="00FE59E8">
      <w:pPr>
        <w:jc w:val="center"/>
        <w:rPr>
          <w:rFonts w:ascii="Arial" w:hAnsi="Arial" w:cs="Arial"/>
          <w:b/>
          <w:bCs/>
          <w:sz w:val="22"/>
          <w:szCs w:val="22"/>
        </w:rPr>
      </w:pPr>
    </w:p>
    <w:p w14:paraId="387F9764" w14:textId="60AD0D08" w:rsidR="00FE59E8" w:rsidRPr="0066543F" w:rsidRDefault="00257C76" w:rsidP="00FE59E8">
      <w:pPr>
        <w:jc w:val="center"/>
        <w:rPr>
          <w:rFonts w:ascii="Arial" w:hAnsi="Arial" w:cs="Arial"/>
          <w:b/>
          <w:bCs/>
          <w:sz w:val="22"/>
          <w:szCs w:val="22"/>
        </w:rPr>
      </w:pPr>
      <w:r>
        <w:rPr>
          <w:rFonts w:ascii="Arial" w:hAnsi="Arial" w:cs="Arial"/>
          <w:b/>
          <w:bCs/>
          <w:sz w:val="22"/>
          <w:szCs w:val="22"/>
        </w:rPr>
        <w:t xml:space="preserve">Gráfico 1. </w:t>
      </w:r>
      <w:r w:rsidR="00FE59E8" w:rsidRPr="0066543F">
        <w:rPr>
          <w:rFonts w:ascii="Arial" w:hAnsi="Arial" w:cs="Arial"/>
          <w:b/>
          <w:bCs/>
          <w:sz w:val="22"/>
          <w:szCs w:val="22"/>
        </w:rPr>
        <w:t>Estado de situación: Comisiones Acreditación CIN 21 abril 2026</w:t>
      </w:r>
    </w:p>
    <w:p w14:paraId="11DF9B71" w14:textId="77777777" w:rsidR="00FE59E8" w:rsidRDefault="00FE59E8" w:rsidP="00FE59E8">
      <w:pPr>
        <w:jc w:val="both"/>
        <w:rPr>
          <w:rFonts w:ascii="Arial" w:hAnsi="Arial" w:cs="Arial"/>
          <w:sz w:val="22"/>
          <w:szCs w:val="22"/>
        </w:rPr>
      </w:pPr>
      <w:r w:rsidRPr="00B51131">
        <w:rPr>
          <w:rFonts w:ascii="Arial" w:hAnsi="Arial" w:cs="Arial"/>
          <w:noProof/>
          <w:sz w:val="22"/>
          <w:szCs w:val="22"/>
        </w:rPr>
        <w:lastRenderedPageBreak/>
        <w:drawing>
          <wp:inline distT="0" distB="0" distL="0" distR="0" wp14:anchorId="7E453D56" wp14:editId="414EFE6F">
            <wp:extent cx="5400040" cy="3037205"/>
            <wp:effectExtent l="0" t="0" r="0" b="0"/>
            <wp:docPr id="15649974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14:paraId="4A5AF5CC" w14:textId="77777777" w:rsidR="00FE59E8" w:rsidRDefault="00FE59E8" w:rsidP="00FE59E8">
      <w:pPr>
        <w:jc w:val="both"/>
        <w:rPr>
          <w:rFonts w:ascii="Arial" w:hAnsi="Arial" w:cs="Arial"/>
          <w:sz w:val="22"/>
          <w:szCs w:val="22"/>
        </w:rPr>
      </w:pPr>
    </w:p>
    <w:p w14:paraId="1E947258" w14:textId="77777777" w:rsidR="00FE59E8" w:rsidRDefault="00FE59E8" w:rsidP="00FE59E8">
      <w:pPr>
        <w:jc w:val="both"/>
        <w:rPr>
          <w:rFonts w:ascii="Arial" w:hAnsi="Arial" w:cs="Arial"/>
          <w:sz w:val="22"/>
          <w:szCs w:val="22"/>
        </w:rPr>
      </w:pPr>
    </w:p>
    <w:p w14:paraId="3FF36EA3" w14:textId="77777777" w:rsidR="00FE59E8" w:rsidRPr="008F19B6" w:rsidRDefault="00FE59E8" w:rsidP="00FE59E8">
      <w:pPr>
        <w:jc w:val="both"/>
        <w:rPr>
          <w:rFonts w:ascii="Arial" w:hAnsi="Arial" w:cs="Arial"/>
          <w:sz w:val="22"/>
          <w:szCs w:val="22"/>
        </w:rPr>
      </w:pPr>
      <w:r w:rsidRPr="008F19B6">
        <w:rPr>
          <w:rFonts w:ascii="Arial" w:hAnsi="Arial" w:cs="Arial"/>
          <w:noProof/>
          <w:sz w:val="22"/>
          <w:szCs w:val="22"/>
        </w:rPr>
        <w:drawing>
          <wp:inline distT="0" distB="0" distL="0" distR="0" wp14:anchorId="0E83BB46" wp14:editId="6EB422D3">
            <wp:extent cx="5400040" cy="3037205"/>
            <wp:effectExtent l="0" t="0" r="0" b="0"/>
            <wp:docPr id="4838024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14:paraId="78E846CB" w14:textId="77777777" w:rsidR="00FE59E8" w:rsidRDefault="00FE59E8" w:rsidP="00FE59E8">
      <w:pPr>
        <w:jc w:val="both"/>
        <w:rPr>
          <w:rFonts w:ascii="Arial" w:hAnsi="Arial" w:cs="Arial"/>
          <w:sz w:val="22"/>
          <w:szCs w:val="22"/>
        </w:rPr>
      </w:pPr>
    </w:p>
    <w:p w14:paraId="01F0C2F3" w14:textId="77777777" w:rsidR="00FE59E8" w:rsidRDefault="00FE59E8" w:rsidP="00FE59E8">
      <w:pPr>
        <w:jc w:val="both"/>
        <w:rPr>
          <w:rFonts w:ascii="Arial" w:hAnsi="Arial" w:cs="Arial"/>
          <w:sz w:val="22"/>
          <w:szCs w:val="22"/>
        </w:rPr>
      </w:pPr>
    </w:p>
    <w:p w14:paraId="0C7398A8" w14:textId="77777777" w:rsidR="00FE59E8" w:rsidRPr="00B50904" w:rsidRDefault="00FE59E8" w:rsidP="00FE59E8">
      <w:pPr>
        <w:jc w:val="both"/>
        <w:rPr>
          <w:rFonts w:ascii="Arial" w:hAnsi="Arial" w:cs="Arial"/>
          <w:sz w:val="22"/>
          <w:szCs w:val="22"/>
        </w:rPr>
      </w:pPr>
      <w:r w:rsidRPr="00B50904">
        <w:rPr>
          <w:rFonts w:ascii="Arial" w:hAnsi="Arial" w:cs="Arial"/>
          <w:noProof/>
          <w:sz w:val="22"/>
          <w:szCs w:val="22"/>
        </w:rPr>
        <w:lastRenderedPageBreak/>
        <w:drawing>
          <wp:inline distT="0" distB="0" distL="0" distR="0" wp14:anchorId="0FA8F3EA" wp14:editId="5FA203D7">
            <wp:extent cx="5400040" cy="3037205"/>
            <wp:effectExtent l="0" t="0" r="0" b="0"/>
            <wp:docPr id="9681185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14:paraId="49B4173C" w14:textId="77777777" w:rsidR="00FE59E8" w:rsidRDefault="00FE59E8" w:rsidP="00FE59E8">
      <w:pPr>
        <w:jc w:val="both"/>
        <w:rPr>
          <w:rFonts w:ascii="Arial" w:hAnsi="Arial" w:cs="Arial"/>
          <w:sz w:val="22"/>
          <w:szCs w:val="22"/>
        </w:rPr>
      </w:pPr>
    </w:p>
    <w:p w14:paraId="1CEC3E18" w14:textId="77777777" w:rsidR="00FE59E8" w:rsidRDefault="00FE59E8" w:rsidP="00FE59E8">
      <w:pPr>
        <w:jc w:val="both"/>
        <w:rPr>
          <w:rFonts w:ascii="Arial" w:hAnsi="Arial" w:cs="Arial"/>
          <w:sz w:val="22"/>
          <w:szCs w:val="22"/>
        </w:rPr>
      </w:pPr>
    </w:p>
    <w:p w14:paraId="2E16D917" w14:textId="77777777" w:rsidR="00FE59E8" w:rsidRPr="00A5788F" w:rsidRDefault="00FE59E8" w:rsidP="00FE59E8">
      <w:pPr>
        <w:jc w:val="both"/>
        <w:rPr>
          <w:rFonts w:ascii="Arial" w:hAnsi="Arial" w:cs="Arial"/>
          <w:sz w:val="22"/>
          <w:szCs w:val="22"/>
        </w:rPr>
      </w:pPr>
      <w:r w:rsidRPr="00A5788F">
        <w:rPr>
          <w:rFonts w:ascii="Arial" w:hAnsi="Arial" w:cs="Arial"/>
          <w:noProof/>
          <w:sz w:val="22"/>
          <w:szCs w:val="22"/>
        </w:rPr>
        <w:drawing>
          <wp:inline distT="0" distB="0" distL="0" distR="0" wp14:anchorId="657A32E8" wp14:editId="1BFFEC63">
            <wp:extent cx="5400040" cy="3037205"/>
            <wp:effectExtent l="0" t="0" r="0" b="0"/>
            <wp:docPr id="19542063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14:paraId="3D930DF0" w14:textId="77777777" w:rsidR="00FE59E8" w:rsidRDefault="00FE59E8" w:rsidP="00FE59E8">
      <w:pPr>
        <w:jc w:val="both"/>
        <w:rPr>
          <w:rFonts w:ascii="Arial" w:hAnsi="Arial" w:cs="Arial"/>
          <w:sz w:val="22"/>
          <w:szCs w:val="22"/>
        </w:rPr>
      </w:pPr>
    </w:p>
    <w:p w14:paraId="576FB273" w14:textId="77777777" w:rsidR="00FE59E8" w:rsidRPr="00BA642E" w:rsidRDefault="00FE59E8" w:rsidP="00FE59E8">
      <w:pPr>
        <w:spacing w:line="240" w:lineRule="auto"/>
        <w:jc w:val="both"/>
        <w:rPr>
          <w:rFonts w:ascii="Times New Roman" w:hAnsi="Times New Roman" w:cs="Times New Roman"/>
          <w:lang w:val="pt-BR"/>
        </w:rPr>
      </w:pPr>
    </w:p>
    <w:sectPr w:rsidR="00FE59E8" w:rsidRPr="00BA642E" w:rsidSect="00701F64">
      <w:headerReference w:type="even" r:id="rId13"/>
      <w:headerReference w:type="default" r:id="rId14"/>
      <w:footerReference w:type="even" r:id="rId15"/>
      <w:footerReference w:type="default" r:id="rId16"/>
      <w:headerReference w:type="first" r:id="rId17"/>
      <w:footerReference w:type="first" r:id="rId1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9EA7" w14:textId="77777777" w:rsidR="006C2E4F" w:rsidRPr="00BA642E" w:rsidRDefault="006C2E4F" w:rsidP="00C802F5">
      <w:pPr>
        <w:spacing w:after="0" w:line="240" w:lineRule="auto"/>
      </w:pPr>
      <w:r w:rsidRPr="00BA642E">
        <w:separator/>
      </w:r>
    </w:p>
  </w:endnote>
  <w:endnote w:type="continuationSeparator" w:id="0">
    <w:p w14:paraId="7708C361" w14:textId="77777777" w:rsidR="006C2E4F" w:rsidRPr="00BA642E" w:rsidRDefault="006C2E4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5A2F" w14:textId="77777777" w:rsidR="008E1778" w:rsidRDefault="008E17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468B" w14:textId="77777777" w:rsidR="008E1778" w:rsidRDefault="008E17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5C32C" w14:textId="77777777" w:rsidR="006C2E4F" w:rsidRPr="00BA642E" w:rsidRDefault="006C2E4F" w:rsidP="00C802F5">
      <w:pPr>
        <w:spacing w:after="0" w:line="240" w:lineRule="auto"/>
      </w:pPr>
      <w:r w:rsidRPr="00BA642E">
        <w:separator/>
      </w:r>
    </w:p>
  </w:footnote>
  <w:footnote w:type="continuationSeparator" w:id="0">
    <w:p w14:paraId="7D8AB03B" w14:textId="77777777" w:rsidR="006C2E4F" w:rsidRPr="00BA642E" w:rsidRDefault="006C2E4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621E7" w14:textId="77777777" w:rsidR="008E1778" w:rsidRDefault="008E177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0577" w14:textId="77777777" w:rsidR="008E1778" w:rsidRDefault="008E17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7569"/>
    <w:multiLevelType w:val="multilevel"/>
    <w:tmpl w:val="18C2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45A3C"/>
    <w:multiLevelType w:val="multilevel"/>
    <w:tmpl w:val="FC06F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72B9A"/>
    <w:multiLevelType w:val="multilevel"/>
    <w:tmpl w:val="BD7A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5754F"/>
    <w:multiLevelType w:val="multilevel"/>
    <w:tmpl w:val="4C0CD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8340AB"/>
    <w:multiLevelType w:val="multilevel"/>
    <w:tmpl w:val="5034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14125"/>
    <w:multiLevelType w:val="multilevel"/>
    <w:tmpl w:val="EA6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F36E77"/>
    <w:multiLevelType w:val="multilevel"/>
    <w:tmpl w:val="24B0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F12F83"/>
    <w:multiLevelType w:val="multilevel"/>
    <w:tmpl w:val="DD32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757692">
    <w:abstractNumId w:val="5"/>
  </w:num>
  <w:num w:numId="2" w16cid:durableId="991911568">
    <w:abstractNumId w:val="1"/>
  </w:num>
  <w:num w:numId="3" w16cid:durableId="1672827982">
    <w:abstractNumId w:val="3"/>
  </w:num>
  <w:num w:numId="4" w16cid:durableId="1169641467">
    <w:abstractNumId w:val="0"/>
  </w:num>
  <w:num w:numId="5" w16cid:durableId="2022121202">
    <w:abstractNumId w:val="2"/>
  </w:num>
  <w:num w:numId="6" w16cid:durableId="326446563">
    <w:abstractNumId w:val="6"/>
  </w:num>
  <w:num w:numId="7" w16cid:durableId="581991387">
    <w:abstractNumId w:val="4"/>
  </w:num>
  <w:num w:numId="8" w16cid:durableId="418333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3891"/>
    <w:rsid w:val="000119D3"/>
    <w:rsid w:val="00012CBB"/>
    <w:rsid w:val="00025917"/>
    <w:rsid w:val="000275AD"/>
    <w:rsid w:val="00030E4D"/>
    <w:rsid w:val="00034953"/>
    <w:rsid w:val="000410D4"/>
    <w:rsid w:val="000621F6"/>
    <w:rsid w:val="0006257A"/>
    <w:rsid w:val="0006363A"/>
    <w:rsid w:val="0008028C"/>
    <w:rsid w:val="00081A7F"/>
    <w:rsid w:val="00086441"/>
    <w:rsid w:val="000B4881"/>
    <w:rsid w:val="000B4908"/>
    <w:rsid w:val="000B49A2"/>
    <w:rsid w:val="000C433D"/>
    <w:rsid w:val="000D1883"/>
    <w:rsid w:val="000D50EF"/>
    <w:rsid w:val="000E5AAE"/>
    <w:rsid w:val="000F162C"/>
    <w:rsid w:val="000F363C"/>
    <w:rsid w:val="000F75C4"/>
    <w:rsid w:val="00104009"/>
    <w:rsid w:val="001049DF"/>
    <w:rsid w:val="00106FF7"/>
    <w:rsid w:val="0011272A"/>
    <w:rsid w:val="00112BD9"/>
    <w:rsid w:val="00114BD1"/>
    <w:rsid w:val="0011547B"/>
    <w:rsid w:val="00120B31"/>
    <w:rsid w:val="001414C5"/>
    <w:rsid w:val="0014368C"/>
    <w:rsid w:val="00144ADF"/>
    <w:rsid w:val="00145CDF"/>
    <w:rsid w:val="00146E27"/>
    <w:rsid w:val="001511FE"/>
    <w:rsid w:val="00152752"/>
    <w:rsid w:val="00155A18"/>
    <w:rsid w:val="001624DE"/>
    <w:rsid w:val="00163F00"/>
    <w:rsid w:val="0017087A"/>
    <w:rsid w:val="00175003"/>
    <w:rsid w:val="001816D6"/>
    <w:rsid w:val="00185F5E"/>
    <w:rsid w:val="001923DC"/>
    <w:rsid w:val="00192D0B"/>
    <w:rsid w:val="00193ECD"/>
    <w:rsid w:val="0019741A"/>
    <w:rsid w:val="001A1643"/>
    <w:rsid w:val="001A2EC9"/>
    <w:rsid w:val="001D0500"/>
    <w:rsid w:val="001D0927"/>
    <w:rsid w:val="001F2BCD"/>
    <w:rsid w:val="00202B95"/>
    <w:rsid w:val="002046B2"/>
    <w:rsid w:val="0022265E"/>
    <w:rsid w:val="002235AA"/>
    <w:rsid w:val="002327C3"/>
    <w:rsid w:val="00243935"/>
    <w:rsid w:val="00246940"/>
    <w:rsid w:val="00246B50"/>
    <w:rsid w:val="00252D17"/>
    <w:rsid w:val="0025392D"/>
    <w:rsid w:val="00256642"/>
    <w:rsid w:val="00257C76"/>
    <w:rsid w:val="0026565A"/>
    <w:rsid w:val="00271806"/>
    <w:rsid w:val="00271E56"/>
    <w:rsid w:val="0027567A"/>
    <w:rsid w:val="0027633D"/>
    <w:rsid w:val="00293C8F"/>
    <w:rsid w:val="002A4671"/>
    <w:rsid w:val="002B53E5"/>
    <w:rsid w:val="002E0193"/>
    <w:rsid w:val="002E65ED"/>
    <w:rsid w:val="002E7610"/>
    <w:rsid w:val="002F04F3"/>
    <w:rsid w:val="002F50AC"/>
    <w:rsid w:val="00312392"/>
    <w:rsid w:val="00312C66"/>
    <w:rsid w:val="00312CCA"/>
    <w:rsid w:val="00341228"/>
    <w:rsid w:val="00344AFD"/>
    <w:rsid w:val="00363FD8"/>
    <w:rsid w:val="00390BCA"/>
    <w:rsid w:val="003A4DB4"/>
    <w:rsid w:val="003A7367"/>
    <w:rsid w:val="003C11D9"/>
    <w:rsid w:val="003C204D"/>
    <w:rsid w:val="003C2F9F"/>
    <w:rsid w:val="003D057E"/>
    <w:rsid w:val="003D7EF5"/>
    <w:rsid w:val="003E56B6"/>
    <w:rsid w:val="003E7FA6"/>
    <w:rsid w:val="004040C0"/>
    <w:rsid w:val="00412325"/>
    <w:rsid w:val="0041632A"/>
    <w:rsid w:val="00416DF0"/>
    <w:rsid w:val="00422487"/>
    <w:rsid w:val="0043594E"/>
    <w:rsid w:val="00437E9C"/>
    <w:rsid w:val="00444199"/>
    <w:rsid w:val="00450455"/>
    <w:rsid w:val="00452097"/>
    <w:rsid w:val="004611C4"/>
    <w:rsid w:val="00466306"/>
    <w:rsid w:val="00467D87"/>
    <w:rsid w:val="00474767"/>
    <w:rsid w:val="00480B31"/>
    <w:rsid w:val="004821E0"/>
    <w:rsid w:val="0048231D"/>
    <w:rsid w:val="004A1694"/>
    <w:rsid w:val="004C6208"/>
    <w:rsid w:val="004C6AFB"/>
    <w:rsid w:val="004D53B0"/>
    <w:rsid w:val="004E02B6"/>
    <w:rsid w:val="004E6F9C"/>
    <w:rsid w:val="004E7E29"/>
    <w:rsid w:val="004F7BF8"/>
    <w:rsid w:val="005361B6"/>
    <w:rsid w:val="00543056"/>
    <w:rsid w:val="00550766"/>
    <w:rsid w:val="00550B65"/>
    <w:rsid w:val="00551C2C"/>
    <w:rsid w:val="00556C93"/>
    <w:rsid w:val="0056037F"/>
    <w:rsid w:val="00571C9F"/>
    <w:rsid w:val="00573891"/>
    <w:rsid w:val="00575F2D"/>
    <w:rsid w:val="005768DD"/>
    <w:rsid w:val="00584A73"/>
    <w:rsid w:val="005A2212"/>
    <w:rsid w:val="005A247C"/>
    <w:rsid w:val="005A766B"/>
    <w:rsid w:val="005B2A5F"/>
    <w:rsid w:val="005E75E5"/>
    <w:rsid w:val="005F3B2E"/>
    <w:rsid w:val="00621E60"/>
    <w:rsid w:val="0062213A"/>
    <w:rsid w:val="00632E69"/>
    <w:rsid w:val="00633367"/>
    <w:rsid w:val="0063495D"/>
    <w:rsid w:val="00636166"/>
    <w:rsid w:val="0064658F"/>
    <w:rsid w:val="00654D41"/>
    <w:rsid w:val="00660E08"/>
    <w:rsid w:val="00663F1A"/>
    <w:rsid w:val="006671EA"/>
    <w:rsid w:val="006771A7"/>
    <w:rsid w:val="00680759"/>
    <w:rsid w:val="00684360"/>
    <w:rsid w:val="006920E0"/>
    <w:rsid w:val="00694E2A"/>
    <w:rsid w:val="00696646"/>
    <w:rsid w:val="006A7DB5"/>
    <w:rsid w:val="006B1902"/>
    <w:rsid w:val="006C2E4F"/>
    <w:rsid w:val="006D208E"/>
    <w:rsid w:val="006D5368"/>
    <w:rsid w:val="006D54FA"/>
    <w:rsid w:val="006D5B3C"/>
    <w:rsid w:val="006E0732"/>
    <w:rsid w:val="006F685C"/>
    <w:rsid w:val="006F73AF"/>
    <w:rsid w:val="00701F64"/>
    <w:rsid w:val="0070239C"/>
    <w:rsid w:val="007347D1"/>
    <w:rsid w:val="00736584"/>
    <w:rsid w:val="00737C77"/>
    <w:rsid w:val="00741A85"/>
    <w:rsid w:val="007423B6"/>
    <w:rsid w:val="007511CC"/>
    <w:rsid w:val="007538A5"/>
    <w:rsid w:val="0076171C"/>
    <w:rsid w:val="0077153B"/>
    <w:rsid w:val="00793008"/>
    <w:rsid w:val="0079417A"/>
    <w:rsid w:val="007B5B5F"/>
    <w:rsid w:val="007B76D2"/>
    <w:rsid w:val="007D0199"/>
    <w:rsid w:val="007D233B"/>
    <w:rsid w:val="007E5135"/>
    <w:rsid w:val="008021E9"/>
    <w:rsid w:val="00827D5A"/>
    <w:rsid w:val="00833D4B"/>
    <w:rsid w:val="00834CE9"/>
    <w:rsid w:val="00840E27"/>
    <w:rsid w:val="0085070B"/>
    <w:rsid w:val="00850920"/>
    <w:rsid w:val="00851345"/>
    <w:rsid w:val="00853625"/>
    <w:rsid w:val="008649B7"/>
    <w:rsid w:val="00865145"/>
    <w:rsid w:val="00870004"/>
    <w:rsid w:val="008B0DBC"/>
    <w:rsid w:val="008C0E2A"/>
    <w:rsid w:val="008C1CE4"/>
    <w:rsid w:val="008C367E"/>
    <w:rsid w:val="008C3B8B"/>
    <w:rsid w:val="008C3BD1"/>
    <w:rsid w:val="008C5FD6"/>
    <w:rsid w:val="008D3213"/>
    <w:rsid w:val="008E1778"/>
    <w:rsid w:val="008E17DA"/>
    <w:rsid w:val="008E6F3E"/>
    <w:rsid w:val="008E7709"/>
    <w:rsid w:val="00926356"/>
    <w:rsid w:val="00927760"/>
    <w:rsid w:val="009343B9"/>
    <w:rsid w:val="0093461E"/>
    <w:rsid w:val="00937601"/>
    <w:rsid w:val="00940D33"/>
    <w:rsid w:val="009507C6"/>
    <w:rsid w:val="009537A2"/>
    <w:rsid w:val="00955EBC"/>
    <w:rsid w:val="00957748"/>
    <w:rsid w:val="00961062"/>
    <w:rsid w:val="009851AE"/>
    <w:rsid w:val="00995A9F"/>
    <w:rsid w:val="00995BFB"/>
    <w:rsid w:val="009B66DB"/>
    <w:rsid w:val="009C438E"/>
    <w:rsid w:val="009C5586"/>
    <w:rsid w:val="009D038B"/>
    <w:rsid w:val="009D11B5"/>
    <w:rsid w:val="009D3161"/>
    <w:rsid w:val="009D6F6B"/>
    <w:rsid w:val="009E035E"/>
    <w:rsid w:val="009E26F5"/>
    <w:rsid w:val="009E6B47"/>
    <w:rsid w:val="00A043AF"/>
    <w:rsid w:val="00A10EEF"/>
    <w:rsid w:val="00A17247"/>
    <w:rsid w:val="00A20601"/>
    <w:rsid w:val="00A215C4"/>
    <w:rsid w:val="00A334D7"/>
    <w:rsid w:val="00A427C2"/>
    <w:rsid w:val="00A47E06"/>
    <w:rsid w:val="00A5005F"/>
    <w:rsid w:val="00A5599A"/>
    <w:rsid w:val="00A57B41"/>
    <w:rsid w:val="00A60B8E"/>
    <w:rsid w:val="00A6288E"/>
    <w:rsid w:val="00A74E40"/>
    <w:rsid w:val="00A75060"/>
    <w:rsid w:val="00A7559E"/>
    <w:rsid w:val="00A818DA"/>
    <w:rsid w:val="00A86C9B"/>
    <w:rsid w:val="00A939DE"/>
    <w:rsid w:val="00AA39BF"/>
    <w:rsid w:val="00AA634C"/>
    <w:rsid w:val="00AB65B4"/>
    <w:rsid w:val="00AC4072"/>
    <w:rsid w:val="00AC5FBB"/>
    <w:rsid w:val="00AD2EB1"/>
    <w:rsid w:val="00AD3FA5"/>
    <w:rsid w:val="00AE0204"/>
    <w:rsid w:val="00AF0B3B"/>
    <w:rsid w:val="00AF6C32"/>
    <w:rsid w:val="00B036BE"/>
    <w:rsid w:val="00B236E1"/>
    <w:rsid w:val="00B401D3"/>
    <w:rsid w:val="00B46C27"/>
    <w:rsid w:val="00B50753"/>
    <w:rsid w:val="00B846EF"/>
    <w:rsid w:val="00B84E61"/>
    <w:rsid w:val="00BA37DF"/>
    <w:rsid w:val="00BA642E"/>
    <w:rsid w:val="00BC066C"/>
    <w:rsid w:val="00BC236F"/>
    <w:rsid w:val="00BD0D8B"/>
    <w:rsid w:val="00BE5A6B"/>
    <w:rsid w:val="00BF6220"/>
    <w:rsid w:val="00C0070C"/>
    <w:rsid w:val="00C01D73"/>
    <w:rsid w:val="00C04599"/>
    <w:rsid w:val="00C11022"/>
    <w:rsid w:val="00C22914"/>
    <w:rsid w:val="00C23F59"/>
    <w:rsid w:val="00C30E75"/>
    <w:rsid w:val="00C32E4E"/>
    <w:rsid w:val="00C42970"/>
    <w:rsid w:val="00C5605C"/>
    <w:rsid w:val="00C71904"/>
    <w:rsid w:val="00C71C0E"/>
    <w:rsid w:val="00C802F5"/>
    <w:rsid w:val="00C96B2C"/>
    <w:rsid w:val="00CC04C1"/>
    <w:rsid w:val="00CC3F86"/>
    <w:rsid w:val="00CE0925"/>
    <w:rsid w:val="00CE3A4D"/>
    <w:rsid w:val="00CF4D8F"/>
    <w:rsid w:val="00D103E5"/>
    <w:rsid w:val="00D2593E"/>
    <w:rsid w:val="00D34585"/>
    <w:rsid w:val="00D47D00"/>
    <w:rsid w:val="00D8402B"/>
    <w:rsid w:val="00D843EC"/>
    <w:rsid w:val="00D913B3"/>
    <w:rsid w:val="00DB211B"/>
    <w:rsid w:val="00DB6361"/>
    <w:rsid w:val="00DC145C"/>
    <w:rsid w:val="00DC20AE"/>
    <w:rsid w:val="00DD263A"/>
    <w:rsid w:val="00DD622B"/>
    <w:rsid w:val="00DD6370"/>
    <w:rsid w:val="00DF7580"/>
    <w:rsid w:val="00E01FAF"/>
    <w:rsid w:val="00E23A70"/>
    <w:rsid w:val="00E240F4"/>
    <w:rsid w:val="00E27F85"/>
    <w:rsid w:val="00E332E4"/>
    <w:rsid w:val="00E339AD"/>
    <w:rsid w:val="00E36CDA"/>
    <w:rsid w:val="00E43253"/>
    <w:rsid w:val="00E63032"/>
    <w:rsid w:val="00E7002F"/>
    <w:rsid w:val="00E733AD"/>
    <w:rsid w:val="00E75B50"/>
    <w:rsid w:val="00E869AA"/>
    <w:rsid w:val="00E91282"/>
    <w:rsid w:val="00E93C51"/>
    <w:rsid w:val="00EA2D92"/>
    <w:rsid w:val="00EA6824"/>
    <w:rsid w:val="00EB3FC0"/>
    <w:rsid w:val="00EC0952"/>
    <w:rsid w:val="00EC56A4"/>
    <w:rsid w:val="00EF4BB8"/>
    <w:rsid w:val="00EF5674"/>
    <w:rsid w:val="00F0509C"/>
    <w:rsid w:val="00F15923"/>
    <w:rsid w:val="00F21E7F"/>
    <w:rsid w:val="00F2252E"/>
    <w:rsid w:val="00F26F82"/>
    <w:rsid w:val="00F338C2"/>
    <w:rsid w:val="00F56227"/>
    <w:rsid w:val="00F631D8"/>
    <w:rsid w:val="00F635FF"/>
    <w:rsid w:val="00F65512"/>
    <w:rsid w:val="00F72424"/>
    <w:rsid w:val="00F72B17"/>
    <w:rsid w:val="00F841F9"/>
    <w:rsid w:val="00F878A3"/>
    <w:rsid w:val="00F90F96"/>
    <w:rsid w:val="00FA6C78"/>
    <w:rsid w:val="00FA7257"/>
    <w:rsid w:val="00FC3BEA"/>
    <w:rsid w:val="00FD08D5"/>
    <w:rsid w:val="00FD0B12"/>
    <w:rsid w:val="00FE16F7"/>
    <w:rsid w:val="00FE59B5"/>
    <w:rsid w:val="00FE59E8"/>
    <w:rsid w:val="00FE5A0D"/>
    <w:rsid w:val="00FF0BBC"/>
    <w:rsid w:val="00FF0F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customStyle="1" w:styleId="TableNormal">
    <w:name w:val="Table Normal"/>
    <w:uiPriority w:val="2"/>
    <w:semiHidden/>
    <w:unhideWhenUsed/>
    <w:qFormat/>
    <w:rsid w:val="001F2BC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F2BCD"/>
    <w:pPr>
      <w:widowControl w:val="0"/>
      <w:autoSpaceDE w:val="0"/>
      <w:autoSpaceDN w:val="0"/>
      <w:spacing w:after="0" w:line="240" w:lineRule="auto"/>
      <w:ind w:left="143"/>
      <w:jc w:val="both"/>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1F2BCD"/>
    <w:rPr>
      <w:rFonts w:ascii="Times New Roman" w:eastAsia="Times New Roman" w:hAnsi="Times New Roman" w:cs="Times New Roman"/>
      <w:kern w:val="0"/>
      <w:lang w:val="es-ES"/>
      <w14:ligatures w14:val="none"/>
    </w:rPr>
  </w:style>
  <w:style w:type="paragraph" w:customStyle="1" w:styleId="TableParagraph">
    <w:name w:val="Table Paragraph"/>
    <w:basedOn w:val="Normal"/>
    <w:uiPriority w:val="1"/>
    <w:qFormat/>
    <w:rsid w:val="001F2BCD"/>
    <w:pPr>
      <w:widowControl w:val="0"/>
      <w:autoSpaceDE w:val="0"/>
      <w:autoSpaceDN w:val="0"/>
      <w:spacing w:after="0" w:line="240" w:lineRule="auto"/>
      <w:ind w:left="69"/>
    </w:pPr>
    <w:rPr>
      <w:rFonts w:ascii="Times New Roman" w:eastAsia="Times New Roman" w:hAnsi="Times New Roman" w:cs="Times New Roman"/>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674/ess.v35i1.73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1080/25741292.2024.2353929" TargetMode="Externa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1750</TotalTime>
  <Pages>18</Pages>
  <Words>5877</Words>
  <Characters>35087</Characters>
  <Application>Microsoft Office Word</Application>
  <DocSecurity>0</DocSecurity>
  <Lines>1131</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Claudio SUASNABAR</cp:lastModifiedBy>
  <cp:revision>331</cp:revision>
  <dcterms:created xsi:type="dcterms:W3CDTF">2026-07-09T13:47:00Z</dcterms:created>
  <dcterms:modified xsi:type="dcterms:W3CDTF">2026-07-11T18:18:00Z</dcterms:modified>
</cp:coreProperties>
</file>