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2979FD3E" w14:textId="53F1B12C" w:rsidR="00B53108" w:rsidRPr="00B53108" w:rsidRDefault="00B53108" w:rsidP="00B53108">
      <w:pPr>
        <w:jc w:val="center"/>
        <w:rPr>
          <w:rFonts w:ascii="Times New Roman" w:hAnsi="Times New Roman" w:cs="Times New Roman"/>
          <w:b/>
          <w:bCs/>
        </w:rPr>
      </w:pPr>
      <w:r>
        <w:rPr>
          <w:rFonts w:ascii="Times New Roman" w:hAnsi="Times New Roman" w:cs="Times New Roman"/>
          <w:b/>
          <w:bCs/>
        </w:rPr>
        <w:t>C</w:t>
      </w:r>
      <w:r w:rsidRPr="00B53108">
        <w:rPr>
          <w:rFonts w:ascii="Times New Roman" w:hAnsi="Times New Roman" w:cs="Times New Roman"/>
          <w:b/>
          <w:bCs/>
        </w:rPr>
        <w:t xml:space="preserve">olonización de lo público y </w:t>
      </w:r>
      <w:r w:rsidR="00232FBF" w:rsidRPr="00B53108">
        <w:rPr>
          <w:rFonts w:ascii="Times New Roman" w:hAnsi="Times New Roman" w:cs="Times New Roman"/>
          <w:b/>
          <w:bCs/>
        </w:rPr>
        <w:t>dinámicas</w:t>
      </w:r>
      <w:r w:rsidRPr="00B53108">
        <w:rPr>
          <w:rFonts w:ascii="Times New Roman" w:hAnsi="Times New Roman" w:cs="Times New Roman"/>
          <w:b/>
          <w:bCs/>
        </w:rPr>
        <w:t xml:space="preserve"> </w:t>
      </w:r>
      <w:proofErr w:type="spellStart"/>
      <w:r w:rsidRPr="00B53108">
        <w:rPr>
          <w:rFonts w:ascii="Times New Roman" w:hAnsi="Times New Roman" w:cs="Times New Roman"/>
          <w:b/>
          <w:bCs/>
        </w:rPr>
        <w:t>mercantilizadoras</w:t>
      </w:r>
      <w:proofErr w:type="spellEnd"/>
      <w:r w:rsidRPr="00B53108">
        <w:rPr>
          <w:rFonts w:ascii="Times New Roman" w:hAnsi="Times New Roman" w:cs="Times New Roman"/>
          <w:b/>
          <w:bCs/>
        </w:rPr>
        <w:t xml:space="preserve"> en la región. </w:t>
      </w:r>
      <w:r>
        <w:rPr>
          <w:rFonts w:ascii="Times New Roman" w:hAnsi="Times New Roman" w:cs="Times New Roman"/>
          <w:b/>
          <w:bCs/>
        </w:rPr>
        <w:t>U</w:t>
      </w:r>
      <w:r w:rsidRPr="00B53108">
        <w:rPr>
          <w:rFonts w:ascii="Times New Roman" w:hAnsi="Times New Roman" w:cs="Times New Roman"/>
          <w:b/>
          <w:bCs/>
        </w:rPr>
        <w:t xml:space="preserve">n análisis comparativo de </w:t>
      </w:r>
      <w:r>
        <w:rPr>
          <w:rFonts w:ascii="Times New Roman" w:hAnsi="Times New Roman" w:cs="Times New Roman"/>
          <w:b/>
          <w:bCs/>
        </w:rPr>
        <w:t>A</w:t>
      </w:r>
      <w:r w:rsidRPr="00B53108">
        <w:rPr>
          <w:rFonts w:ascii="Times New Roman" w:hAnsi="Times New Roman" w:cs="Times New Roman"/>
          <w:b/>
          <w:bCs/>
        </w:rPr>
        <w:t xml:space="preserve">rgentina y </w:t>
      </w:r>
      <w:r>
        <w:rPr>
          <w:rFonts w:ascii="Times New Roman" w:hAnsi="Times New Roman" w:cs="Times New Roman"/>
          <w:b/>
          <w:bCs/>
        </w:rPr>
        <w:t>C</w:t>
      </w:r>
      <w:r w:rsidRPr="00B53108">
        <w:rPr>
          <w:rFonts w:ascii="Times New Roman" w:hAnsi="Times New Roman" w:cs="Times New Roman"/>
          <w:b/>
          <w:bCs/>
        </w:rPr>
        <w:t>hile</w:t>
      </w:r>
    </w:p>
    <w:p w14:paraId="43C49479" w14:textId="77777777" w:rsidR="005F3B2E" w:rsidRPr="00BA642E" w:rsidRDefault="005F3B2E" w:rsidP="001923DC">
      <w:pPr>
        <w:jc w:val="center"/>
        <w:rPr>
          <w:rFonts w:ascii="Times New Roman" w:hAnsi="Times New Roman" w:cs="Times New Roman"/>
        </w:rPr>
      </w:pPr>
    </w:p>
    <w:p w14:paraId="4E738780" w14:textId="6B15D0B4" w:rsidR="005F3B2E" w:rsidRPr="00BA642E" w:rsidRDefault="008B48F9" w:rsidP="005F3B2E">
      <w:pPr>
        <w:spacing w:after="0" w:line="240" w:lineRule="auto"/>
        <w:jc w:val="right"/>
        <w:rPr>
          <w:rFonts w:ascii="Times New Roman" w:hAnsi="Times New Roman" w:cs="Times New Roman"/>
        </w:rPr>
      </w:pPr>
      <w:r>
        <w:rPr>
          <w:rFonts w:ascii="Times New Roman" w:hAnsi="Times New Roman" w:cs="Times New Roman"/>
        </w:rPr>
        <w:t xml:space="preserve">Trotta, Lucía </w:t>
      </w:r>
    </w:p>
    <w:p w14:paraId="6C2AECCA" w14:textId="72161F5F" w:rsidR="005F3B2E" w:rsidRPr="00BA642E" w:rsidRDefault="008B48F9" w:rsidP="005F3B2E">
      <w:pPr>
        <w:spacing w:after="0" w:line="240" w:lineRule="auto"/>
        <w:jc w:val="right"/>
        <w:rPr>
          <w:rFonts w:ascii="Times New Roman" w:hAnsi="Times New Roman" w:cs="Times New Roman"/>
        </w:rPr>
      </w:pPr>
      <w:r>
        <w:rPr>
          <w:rFonts w:ascii="Times New Roman" w:hAnsi="Times New Roman" w:cs="Times New Roman"/>
        </w:rPr>
        <w:t>UNLP</w:t>
      </w:r>
    </w:p>
    <w:p w14:paraId="7D0026CD" w14:textId="5298428C" w:rsidR="005F3B2E" w:rsidRPr="00BA642E" w:rsidRDefault="008B48F9" w:rsidP="005F3B2E">
      <w:pPr>
        <w:spacing w:after="0" w:line="240" w:lineRule="auto"/>
        <w:jc w:val="right"/>
        <w:rPr>
          <w:rFonts w:ascii="Times New Roman" w:hAnsi="Times New Roman" w:cs="Times New Roman"/>
        </w:rPr>
      </w:pPr>
      <w:r>
        <w:rPr>
          <w:rFonts w:ascii="Times New Roman" w:hAnsi="Times New Roman" w:cs="Times New Roman"/>
        </w:rPr>
        <w:t>l</w:t>
      </w:r>
      <w:r w:rsidR="00067781" w:rsidRPr="00067781">
        <w:rPr>
          <w:rFonts w:ascii="Times New Roman" w:hAnsi="Times New Roman" w:cs="Times New Roman"/>
        </w:rPr>
        <w:t>uciatrotta.2@gmail.com</w:t>
      </w:r>
    </w:p>
    <w:p w14:paraId="1FA0F857" w14:textId="77777777" w:rsidR="005F3B2E" w:rsidRPr="00BA642E" w:rsidRDefault="005F3B2E" w:rsidP="005F3B2E">
      <w:pPr>
        <w:rPr>
          <w:rFonts w:ascii="Times New Roman" w:hAnsi="Times New Roman" w:cs="Times New Roman"/>
        </w:rPr>
      </w:pPr>
    </w:p>
    <w:p w14:paraId="7B9027E2" w14:textId="77777777" w:rsidR="00BA642E" w:rsidRPr="00BA642E" w:rsidRDefault="00BA642E" w:rsidP="005F3B2E">
      <w:pPr>
        <w:rPr>
          <w:rFonts w:ascii="Times New Roman" w:hAnsi="Times New Roman" w:cs="Times New Roman"/>
          <w:b/>
          <w:bCs/>
        </w:rPr>
      </w:pPr>
    </w:p>
    <w:p w14:paraId="35A6682C" w14:textId="21090B39" w:rsidR="00BA642E" w:rsidRPr="00ED2B85" w:rsidRDefault="00BA642E" w:rsidP="007B5B5F">
      <w:pPr>
        <w:spacing w:line="240" w:lineRule="auto"/>
        <w:jc w:val="both"/>
        <w:rPr>
          <w:rFonts w:ascii="Times New Roman" w:hAnsi="Times New Roman" w:cs="Times New Roman"/>
          <w:b/>
          <w:bCs/>
          <w:lang w:val="es-AR"/>
        </w:rPr>
      </w:pPr>
      <w:r w:rsidRPr="00ED2B85">
        <w:rPr>
          <w:rFonts w:ascii="Times New Roman" w:hAnsi="Times New Roman" w:cs="Times New Roman"/>
          <w:b/>
          <w:bCs/>
          <w:lang w:val="es-AR"/>
        </w:rPr>
        <w:t>Resumen:</w:t>
      </w:r>
      <w:r w:rsidR="007B5B5F" w:rsidRPr="00ED2B85">
        <w:rPr>
          <w:rFonts w:ascii="Times New Roman" w:hAnsi="Times New Roman" w:cs="Times New Roman"/>
          <w:b/>
          <w:bCs/>
          <w:lang w:val="es-AR"/>
        </w:rPr>
        <w:t xml:space="preserve"> </w:t>
      </w:r>
    </w:p>
    <w:p w14:paraId="668C63C3" w14:textId="77777777" w:rsidR="00291222" w:rsidRPr="00291222" w:rsidRDefault="00291222" w:rsidP="00291222">
      <w:pPr>
        <w:jc w:val="both"/>
        <w:rPr>
          <w:rFonts w:ascii="Times New Roman" w:hAnsi="Times New Roman" w:cs="Times New Roman"/>
        </w:rPr>
      </w:pPr>
      <w:r w:rsidRPr="00291222">
        <w:rPr>
          <w:rFonts w:ascii="Times New Roman" w:hAnsi="Times New Roman" w:cs="Times New Roman"/>
        </w:rPr>
        <w:t xml:space="preserve">La actualidad de la universidad latinoamericana se inscribe en un escenario más general de tensiones propias de la fase del capitalismo actual, donde recrudecen disputas respecto de la educación y el conocimiento como un bien común. Se vivencian en distintas latitudes ataques materiales y simbólicos que, en nuestra región, cobra la forma de una embestida contra la idea de universidad como espacio de libertad, de generación de conocimiento crítico y como </w:t>
      </w:r>
      <w:r w:rsidRPr="00291222">
        <w:rPr>
          <w:rFonts w:ascii="Times New Roman" w:hAnsi="Times New Roman" w:cs="Times New Roman"/>
          <w:highlight w:val="white"/>
        </w:rPr>
        <w:t>agente de democratización (</w:t>
      </w:r>
      <w:proofErr w:type="spellStart"/>
      <w:r w:rsidRPr="00291222">
        <w:rPr>
          <w:rFonts w:ascii="Times New Roman" w:hAnsi="Times New Roman" w:cs="Times New Roman"/>
          <w:highlight w:val="white"/>
        </w:rPr>
        <w:t>Krotsch</w:t>
      </w:r>
      <w:proofErr w:type="spellEnd"/>
      <w:r w:rsidRPr="00291222">
        <w:rPr>
          <w:rFonts w:ascii="Times New Roman" w:hAnsi="Times New Roman" w:cs="Times New Roman"/>
          <w:highlight w:val="white"/>
        </w:rPr>
        <w:t>, 2001)</w:t>
      </w:r>
      <w:r w:rsidRPr="00291222">
        <w:rPr>
          <w:rFonts w:ascii="Times New Roman" w:hAnsi="Times New Roman" w:cs="Times New Roman"/>
        </w:rPr>
        <w:t xml:space="preserve">. Una de las principales dimensiones en las que se expresa esta disputa en el plano universitario refiere a la conceptualización de la educación superior (ES) como una mercancía o como un derecho, y remite a los procesos de privatización y mercantilización que atraviesan los sistemas de la región, los cuales nos permiten caracterizarla como </w:t>
      </w:r>
      <w:proofErr w:type="spellStart"/>
      <w:r w:rsidRPr="00291222">
        <w:rPr>
          <w:rFonts w:ascii="Times New Roman" w:hAnsi="Times New Roman" w:cs="Times New Roman"/>
          <w:i/>
          <w:iCs/>
        </w:rPr>
        <w:t>hiperprivatizada</w:t>
      </w:r>
      <w:proofErr w:type="spellEnd"/>
      <w:r w:rsidRPr="00291222">
        <w:rPr>
          <w:rFonts w:ascii="Times New Roman" w:hAnsi="Times New Roman" w:cs="Times New Roman"/>
        </w:rPr>
        <w:t xml:space="preserve"> (Saforcada, et. al, 2019). A partir de un análisis de las tendencias regionales y las formas que asumen éstas en casos nacionales, observamos una </w:t>
      </w:r>
      <w:r w:rsidRPr="00291222">
        <w:rPr>
          <w:rFonts w:ascii="Times New Roman" w:eastAsia="Arial" w:hAnsi="Times New Roman" w:cs="Times New Roman"/>
          <w:bCs/>
          <w:i/>
          <w:iCs/>
        </w:rPr>
        <w:t>gramática de la privatización de la ES</w:t>
      </w:r>
      <w:r w:rsidRPr="00291222">
        <w:rPr>
          <w:rFonts w:ascii="Times New Roman" w:eastAsia="Arial" w:hAnsi="Times New Roman" w:cs="Times New Roman"/>
          <w:bCs/>
          <w:i/>
        </w:rPr>
        <w:t xml:space="preserve">. </w:t>
      </w:r>
      <w:r w:rsidRPr="00291222">
        <w:rPr>
          <w:rFonts w:ascii="Times New Roman" w:eastAsia="Arial" w:hAnsi="Times New Roman" w:cs="Times New Roman"/>
        </w:rPr>
        <w:t xml:space="preserve">Argentina y Chile se presentan como casos paradigmáticos, extremos de un continuum de privatización. Sin embargo, en ambos casos operan dinámicas </w:t>
      </w:r>
      <w:proofErr w:type="spellStart"/>
      <w:r w:rsidRPr="00291222">
        <w:rPr>
          <w:rFonts w:ascii="Times New Roman" w:eastAsia="Arial" w:hAnsi="Times New Roman" w:cs="Times New Roman"/>
        </w:rPr>
        <w:t>mercantilizadoras</w:t>
      </w:r>
      <w:proofErr w:type="spellEnd"/>
      <w:r w:rsidRPr="00291222">
        <w:rPr>
          <w:rFonts w:ascii="Times New Roman" w:eastAsia="Arial" w:hAnsi="Times New Roman" w:cs="Times New Roman"/>
        </w:rPr>
        <w:t xml:space="preserve"> distintivas que, a su vez, suponen diferentes vinculaciones con lo público. </w:t>
      </w:r>
      <w:r w:rsidRPr="00291222">
        <w:rPr>
          <w:rFonts w:ascii="Times New Roman" w:eastAsia="Montserrat" w:hAnsi="Times New Roman" w:cs="Times New Roman"/>
        </w:rPr>
        <w:t xml:space="preserve">El sistema educativo chileno es mundialmente conocido como emblema de la implementación del modelo de libre mercado con origen en un gobierno dictatorial que buscaba refundar el país en clave neoliberal (Garretón, 2014) y que asumió un carácter estructural. Como resultado: el 84% de la matrícula, el 87% de </w:t>
      </w:r>
      <w:proofErr w:type="spellStart"/>
      <w:r w:rsidRPr="00291222">
        <w:rPr>
          <w:rFonts w:ascii="Times New Roman" w:eastAsia="Montserrat" w:hAnsi="Times New Roman" w:cs="Times New Roman"/>
        </w:rPr>
        <w:t>lxs</w:t>
      </w:r>
      <w:proofErr w:type="spellEnd"/>
      <w:r w:rsidRPr="00291222">
        <w:rPr>
          <w:rFonts w:ascii="Times New Roman" w:eastAsia="Montserrat" w:hAnsi="Times New Roman" w:cs="Times New Roman"/>
        </w:rPr>
        <w:t xml:space="preserve"> </w:t>
      </w:r>
      <w:proofErr w:type="spellStart"/>
      <w:r w:rsidRPr="00291222">
        <w:rPr>
          <w:rFonts w:ascii="Times New Roman" w:eastAsia="Montserrat" w:hAnsi="Times New Roman" w:cs="Times New Roman"/>
        </w:rPr>
        <w:t>egresadxs</w:t>
      </w:r>
      <w:proofErr w:type="spellEnd"/>
      <w:r w:rsidRPr="00291222">
        <w:rPr>
          <w:rFonts w:ascii="Times New Roman" w:eastAsia="Montserrat" w:hAnsi="Times New Roman" w:cs="Times New Roman"/>
        </w:rPr>
        <w:t xml:space="preserve">, el 67% de las instituciones, y el 52% del gasto total en ES pertenecen al sector privado (Red Índices, 2023). A la contundencia de los datos que ubican al SES como uno de los más privatizados del mundo, podemos incorporar otras dimensiones de análisis como la política de financiamiento y la de </w:t>
      </w:r>
      <w:proofErr w:type="spellStart"/>
      <w:r w:rsidRPr="00291222">
        <w:rPr>
          <w:rFonts w:ascii="Times New Roman" w:eastAsia="Montserrat" w:hAnsi="Times New Roman" w:cs="Times New Roman"/>
        </w:rPr>
        <w:t>CyT</w:t>
      </w:r>
      <w:proofErr w:type="spellEnd"/>
      <w:r w:rsidRPr="00291222">
        <w:rPr>
          <w:rFonts w:ascii="Times New Roman" w:eastAsia="Montserrat" w:hAnsi="Times New Roman" w:cs="Times New Roman"/>
        </w:rPr>
        <w:t xml:space="preserve"> que dan cuenta de la privatización a partir de la subvención pública a la oferta, como también de la centralidad de lógicas competitivas y productivistas que refuerzan su carácter </w:t>
      </w:r>
      <w:proofErr w:type="spellStart"/>
      <w:r w:rsidRPr="00291222">
        <w:rPr>
          <w:rFonts w:ascii="Times New Roman" w:eastAsia="Montserrat" w:hAnsi="Times New Roman" w:cs="Times New Roman"/>
        </w:rPr>
        <w:t>mercantilizador</w:t>
      </w:r>
      <w:proofErr w:type="spellEnd"/>
      <w:r w:rsidRPr="00291222">
        <w:rPr>
          <w:rFonts w:ascii="Times New Roman" w:eastAsia="Montserrat" w:hAnsi="Times New Roman" w:cs="Times New Roman"/>
        </w:rPr>
        <w:t xml:space="preserve">. El sistema universitario argentino se asienta en una matriz público-estatal que se caracteriza por una dimensión cuantitativa: más estudiantes (80%), más </w:t>
      </w:r>
      <w:proofErr w:type="spellStart"/>
      <w:r w:rsidRPr="00291222">
        <w:rPr>
          <w:rFonts w:ascii="Times New Roman" w:eastAsia="Montserrat" w:hAnsi="Times New Roman" w:cs="Times New Roman"/>
        </w:rPr>
        <w:t>egresadxs</w:t>
      </w:r>
      <w:proofErr w:type="spellEnd"/>
      <w:r w:rsidRPr="00291222">
        <w:rPr>
          <w:rFonts w:ascii="Times New Roman" w:eastAsia="Montserrat" w:hAnsi="Times New Roman" w:cs="Times New Roman"/>
        </w:rPr>
        <w:t xml:space="preserve"> (65%), más gasto (85%) y paridad en </w:t>
      </w:r>
      <w:r w:rsidRPr="00291222">
        <w:rPr>
          <w:rFonts w:ascii="Times New Roman" w:eastAsia="Montserrat" w:hAnsi="Times New Roman" w:cs="Times New Roman"/>
        </w:rPr>
        <w:lastRenderedPageBreak/>
        <w:t>cuanto a la oferta académica; y una dimensión simbólica, por la centralidad que tienen dentro del conglomerado de instituciones de ES, las universidades nacionales.</w:t>
      </w:r>
      <w:r w:rsidRPr="00291222">
        <w:rPr>
          <w:rFonts w:ascii="Times New Roman" w:hAnsi="Times New Roman" w:cs="Times New Roman"/>
        </w:rPr>
        <w:t xml:space="preserve"> </w:t>
      </w:r>
      <w:r w:rsidRPr="00291222">
        <w:rPr>
          <w:rFonts w:ascii="Times New Roman" w:eastAsia="Montserrat" w:hAnsi="Times New Roman" w:cs="Times New Roman"/>
        </w:rPr>
        <w:t xml:space="preserve">Sin embargo, desde un análisis multidimensional se vislumbran aspectos del fenómeno que aparecen como invisibilizados. Por ejemplo, si analizamos las dinámicas de diferenciación horizontal y vertical de la oferta como la expansión del posgrado y la educación a distancia como formatos más permeables a la privatización y mercantilización y desde donde se tensiona “por arriba y desde los costados” el corazón de la matriz público-estatal del sistema: la oferta de grado presencial. </w:t>
      </w:r>
      <w:r w:rsidRPr="00291222">
        <w:rPr>
          <w:rFonts w:ascii="Times New Roman" w:hAnsi="Times New Roman" w:cs="Times New Roman"/>
        </w:rPr>
        <w:t xml:space="preserve">Esta ponencia recupera estos resultados antes expuestos de investigaciones previas y se propone compartir algunas primeras aproximaciones de una indagación en curso que analiza comparativamente ambos casos con la idea profundizar las dimensiones de la mercantilización y los sentidos que se construyen alrededor de lo público </w:t>
      </w:r>
    </w:p>
    <w:p w14:paraId="321EE6E3" w14:textId="77777777" w:rsidR="00291222" w:rsidRPr="00291222" w:rsidRDefault="00291222" w:rsidP="007B5B5F">
      <w:pPr>
        <w:spacing w:line="240" w:lineRule="auto"/>
        <w:jc w:val="both"/>
        <w:rPr>
          <w:rFonts w:ascii="Times New Roman" w:hAnsi="Times New Roman" w:cs="Times New Roman"/>
          <w:b/>
          <w:bCs/>
        </w:rPr>
      </w:pPr>
    </w:p>
    <w:p w14:paraId="26866F69" w14:textId="58AD8B7F" w:rsidR="004264C5" w:rsidRPr="004264C5" w:rsidRDefault="00BA642E" w:rsidP="004264C5">
      <w:pPr>
        <w:jc w:val="both"/>
        <w:rPr>
          <w:rFonts w:ascii="Times New Roman" w:hAnsi="Times New Roman" w:cs="Times New Roman"/>
        </w:rPr>
      </w:pPr>
      <w:r w:rsidRPr="002E3AA0">
        <w:rPr>
          <w:rFonts w:ascii="Times New Roman" w:hAnsi="Times New Roman" w:cs="Times New Roman"/>
          <w:b/>
          <w:bCs/>
          <w:lang w:val="es-AR"/>
        </w:rPr>
        <w:t xml:space="preserve">Palabras clave: </w:t>
      </w:r>
      <w:r w:rsidR="004264C5" w:rsidRPr="004264C5">
        <w:rPr>
          <w:rFonts w:ascii="Times New Roman" w:hAnsi="Times New Roman" w:cs="Times New Roman"/>
        </w:rPr>
        <w:t xml:space="preserve">PRIVATIZACIÓN, MERCANTILIZACIÓN, </w:t>
      </w:r>
      <w:r w:rsidR="00B57226">
        <w:rPr>
          <w:rFonts w:ascii="Times New Roman" w:hAnsi="Times New Roman" w:cs="Times New Roman"/>
        </w:rPr>
        <w:t xml:space="preserve">ESPACIO </w:t>
      </w:r>
      <w:r w:rsidR="004264C5" w:rsidRPr="004264C5">
        <w:rPr>
          <w:rFonts w:ascii="Times New Roman" w:hAnsi="Times New Roman" w:cs="Times New Roman"/>
        </w:rPr>
        <w:t xml:space="preserve">PÚBLICO, ARGENTINA, CHILE </w:t>
      </w:r>
    </w:p>
    <w:p w14:paraId="6A5547A1" w14:textId="36B7FAC2" w:rsidR="00BA642E" w:rsidRDefault="00BA642E" w:rsidP="007B5B5F">
      <w:pPr>
        <w:spacing w:line="240" w:lineRule="auto"/>
        <w:rPr>
          <w:rFonts w:ascii="Times New Roman" w:hAnsi="Times New Roman" w:cs="Times New Roman"/>
          <w:b/>
          <w:bCs/>
          <w:lang w:val="en-US"/>
        </w:rPr>
      </w:pPr>
      <w:proofErr w:type="spellStart"/>
      <w:r w:rsidRPr="002E3AA0">
        <w:rPr>
          <w:rFonts w:ascii="Times New Roman" w:hAnsi="Times New Roman" w:cs="Times New Roman"/>
          <w:b/>
          <w:bCs/>
          <w:lang w:val="en-US"/>
        </w:rPr>
        <w:t>Introducción</w:t>
      </w:r>
      <w:proofErr w:type="spellEnd"/>
    </w:p>
    <w:p w14:paraId="7136A0A6" w14:textId="77777777" w:rsidR="0014442A" w:rsidRPr="00CD0209" w:rsidRDefault="0014442A" w:rsidP="0014442A">
      <w:pPr>
        <w:spacing w:after="120" w:line="240" w:lineRule="auto"/>
        <w:jc w:val="both"/>
        <w:rPr>
          <w:rFonts w:ascii="Times New Roman" w:hAnsi="Times New Roman" w:cs="Times New Roman"/>
        </w:rPr>
      </w:pPr>
      <w:r w:rsidRPr="00CD0209">
        <w:rPr>
          <w:rFonts w:ascii="Times New Roman" w:hAnsi="Times New Roman" w:cs="Times New Roman"/>
        </w:rPr>
        <w:t xml:space="preserve">La actualidad de la universidad latinoamericana se inscribe en un escenario más general de tensiones propias de la fase del capitalismo actual, donde recrudecen disputas respecto de la educación y el conocimiento como un bien común. En un escenario signado por el avance de grupos políticos y gobiernos de extrema derecha que conjugan la supremacía del mercado, un liberalismo antidemocrático y una base de moralidad tradicional (Brown, 2022), se vivencian en distintas latitudes ataques materiales y simbólicos a las universidades que, en nuestra región, cobra la forma de una embestida contra la idea de universidad como espacio de libertad, de generación de conocimiento crítico y como </w:t>
      </w:r>
      <w:r w:rsidRPr="00CD0209">
        <w:rPr>
          <w:rFonts w:ascii="Times New Roman" w:hAnsi="Times New Roman" w:cs="Times New Roman"/>
          <w:highlight w:val="white"/>
        </w:rPr>
        <w:t>agente de democratización (</w:t>
      </w:r>
      <w:proofErr w:type="spellStart"/>
      <w:r w:rsidRPr="00CD0209">
        <w:rPr>
          <w:rFonts w:ascii="Times New Roman" w:hAnsi="Times New Roman" w:cs="Times New Roman"/>
          <w:highlight w:val="white"/>
        </w:rPr>
        <w:t>Krotsch</w:t>
      </w:r>
      <w:proofErr w:type="spellEnd"/>
      <w:r w:rsidRPr="00CD0209">
        <w:rPr>
          <w:rFonts w:ascii="Times New Roman" w:hAnsi="Times New Roman" w:cs="Times New Roman"/>
          <w:highlight w:val="white"/>
        </w:rPr>
        <w:t>, 2001)</w:t>
      </w:r>
      <w:r w:rsidRPr="00CD0209">
        <w:rPr>
          <w:rFonts w:ascii="Times New Roman" w:hAnsi="Times New Roman" w:cs="Times New Roman"/>
        </w:rPr>
        <w:t xml:space="preserve">. Una de las principales dimensiones en las que se expresa esta disputa en el plano universitario refiere a la conceptualización de la educación superior (ES) como una mercancía o como un derecho, y remite a la tensión entre los procesos de privatización y mercantilización que atraviesan los sistemas de América Latina y el Caribe (ALC), los cuales nos permiten caracterizarla como </w:t>
      </w:r>
      <w:proofErr w:type="spellStart"/>
      <w:r w:rsidRPr="00CD0209">
        <w:rPr>
          <w:rFonts w:ascii="Times New Roman" w:hAnsi="Times New Roman" w:cs="Times New Roman"/>
          <w:i/>
          <w:iCs/>
        </w:rPr>
        <w:t>hiperprivatizada</w:t>
      </w:r>
      <w:proofErr w:type="spellEnd"/>
      <w:r w:rsidRPr="00CD0209">
        <w:rPr>
          <w:rFonts w:ascii="Times New Roman" w:hAnsi="Times New Roman" w:cs="Times New Roman"/>
        </w:rPr>
        <w:t xml:space="preserve"> (Saforcada, et. al, 2019) por un lado, y el reconocimiento de la ES como un </w:t>
      </w:r>
      <w:r w:rsidRPr="00CD0209">
        <w:rPr>
          <w:rFonts w:ascii="Times New Roman" w:hAnsi="Times New Roman" w:cs="Times New Roman"/>
          <w:i/>
          <w:iCs/>
          <w:lang w:val="es-ES"/>
        </w:rPr>
        <w:t>bien público social, un derecho humano y universal y un deber del Estado</w:t>
      </w:r>
      <w:r w:rsidRPr="00CD0209">
        <w:rPr>
          <w:rFonts w:ascii="Times New Roman" w:hAnsi="Times New Roman" w:cs="Times New Roman"/>
          <w:lang w:val="es-ES"/>
        </w:rPr>
        <w:t xml:space="preserve">, derivado de la Conferencia Regional de Educación Superior (CRES) de 2008 y su ratificación en 2018, por otro. </w:t>
      </w:r>
    </w:p>
    <w:p w14:paraId="57BDFAD0" w14:textId="77777777" w:rsidR="0014442A" w:rsidRPr="00CD0209" w:rsidRDefault="0014442A" w:rsidP="0014442A">
      <w:pPr>
        <w:spacing w:after="120" w:line="240" w:lineRule="auto"/>
        <w:jc w:val="both"/>
        <w:rPr>
          <w:rFonts w:ascii="Times New Roman" w:hAnsi="Times New Roman" w:cs="Times New Roman"/>
        </w:rPr>
      </w:pPr>
      <w:r w:rsidRPr="00CD0209">
        <w:rPr>
          <w:rFonts w:ascii="Times New Roman" w:hAnsi="Times New Roman" w:cs="Times New Roman"/>
        </w:rPr>
        <w:t xml:space="preserve">Los procesos de privatización en alza en las últimas décadas se expresan de manera multidimensional. </w:t>
      </w:r>
      <w:r w:rsidRPr="00CD0209">
        <w:rPr>
          <w:rFonts w:ascii="Times New Roman" w:eastAsia="Montserrat" w:hAnsi="Times New Roman" w:cs="Times New Roman"/>
        </w:rPr>
        <w:t xml:space="preserve">El fenómeno se constata a partir de indicadores y datos cuantitativos, así como también en el análisis de procesos como la privatización de la política pública, las estrategias de actores transnacionales, la proliferación de alianzas público-privado, las modalidades de financiamiento a la demanda y vía fondos competitivos, las lógicas productivistas en la investigación, entre otros. </w:t>
      </w:r>
    </w:p>
    <w:p w14:paraId="2E4BD6CE" w14:textId="77777777" w:rsidR="0014442A" w:rsidRPr="00CD0209" w:rsidRDefault="0014442A" w:rsidP="0014442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lastRenderedPageBreak/>
        <w:t xml:space="preserve">Estas tendencias generales de la región asumen modalidades específicas en casos nacionales construyendo una </w:t>
      </w:r>
      <w:r w:rsidRPr="00CD0209">
        <w:rPr>
          <w:rFonts w:ascii="Times New Roman" w:eastAsia="Montserrat" w:hAnsi="Times New Roman" w:cs="Times New Roman"/>
          <w:i/>
          <w:iCs/>
        </w:rPr>
        <w:t xml:space="preserve">gramática de privatización </w:t>
      </w:r>
      <w:r w:rsidRPr="00CD0209">
        <w:rPr>
          <w:rFonts w:ascii="Times New Roman" w:eastAsia="Montserrat" w:hAnsi="Times New Roman" w:cs="Times New Roman"/>
        </w:rPr>
        <w:t xml:space="preserve">(Atairo, Trotta, Saforcada, 2025), esto es, en cada caso nacional se conjugan elementos propios de la historia y las características de cada sistema, que hacen que dichas tendencias asuman una forma particular, con mayor peso de ciertos componentes u otros. Pero, sin embargo, registrando una dinámica común: </w:t>
      </w:r>
      <w:r w:rsidRPr="00CD0209">
        <w:rPr>
          <w:rFonts w:ascii="Times New Roman" w:hAnsi="Times New Roman" w:cs="Times New Roman"/>
        </w:rPr>
        <w:t>a mayor crecimiento del sector privado, mayor debilitamiento de lo público.</w:t>
      </w:r>
    </w:p>
    <w:p w14:paraId="2E7C5D20" w14:textId="1F84B9BB" w:rsidR="0014442A" w:rsidRPr="00CD0209" w:rsidRDefault="0014442A" w:rsidP="0014442A">
      <w:pPr>
        <w:spacing w:after="120" w:line="240" w:lineRule="auto"/>
        <w:jc w:val="both"/>
        <w:rPr>
          <w:rFonts w:ascii="Times New Roman" w:hAnsi="Times New Roman" w:cs="Times New Roman"/>
        </w:rPr>
      </w:pPr>
      <w:r w:rsidRPr="00CD0209">
        <w:rPr>
          <w:rFonts w:ascii="Times New Roman" w:hAnsi="Times New Roman" w:cs="Times New Roman"/>
        </w:rPr>
        <w:t>Esta ponencia recupera resultados de investigaciones colectivas previas (</w:t>
      </w:r>
      <w:r w:rsidRPr="00CD0209">
        <w:rPr>
          <w:rFonts w:ascii="Times New Roman" w:eastAsia="Montserrat" w:hAnsi="Times New Roman" w:cs="Times New Roman"/>
        </w:rPr>
        <w:t>Trotta, 2022; Atairo, Trotta y Saforcada, 2023; Atairo, Trotta y Saforcada, 2025)</w:t>
      </w:r>
      <w:r w:rsidRPr="00CD0209">
        <w:rPr>
          <w:rFonts w:ascii="Times New Roman" w:hAnsi="Times New Roman" w:cs="Times New Roman"/>
        </w:rPr>
        <w:t xml:space="preserve"> en donde se abordó el fenómeno regional como telón de fondo para el análisis de 4 casos nacionales, y se propone compartir algunas primeras aproximaciones de una indagación en curso que analiza comparativamente los casos de</w:t>
      </w:r>
      <w:r w:rsidR="00844644">
        <w:rPr>
          <w:rFonts w:ascii="Times New Roman" w:hAnsi="Times New Roman" w:cs="Times New Roman"/>
        </w:rPr>
        <w:t xml:space="preserve">  </w:t>
      </w:r>
      <w:r w:rsidRPr="00CD0209">
        <w:rPr>
          <w:rFonts w:ascii="Times New Roman" w:hAnsi="Times New Roman" w:cs="Times New Roman"/>
        </w:rPr>
        <w:t>Argentina y</w:t>
      </w:r>
      <w:r w:rsidR="00844644">
        <w:rPr>
          <w:rFonts w:ascii="Times New Roman" w:hAnsi="Times New Roman" w:cs="Times New Roman"/>
        </w:rPr>
        <w:t xml:space="preserve">  </w:t>
      </w:r>
      <w:r w:rsidRPr="00CD0209">
        <w:rPr>
          <w:rFonts w:ascii="Times New Roman" w:hAnsi="Times New Roman" w:cs="Times New Roman"/>
        </w:rPr>
        <w:t xml:space="preserve">Chile en el último lustro con la idea de profundizar las dimensiones de la mercantilización y los sentidos que se construyen alrededor de lo público en cada caso. </w:t>
      </w:r>
    </w:p>
    <w:p w14:paraId="740D689E" w14:textId="77777777" w:rsidR="0014442A" w:rsidRPr="00CD0209" w:rsidRDefault="0014442A" w:rsidP="0014442A">
      <w:pPr>
        <w:spacing w:after="120" w:line="240" w:lineRule="auto"/>
        <w:jc w:val="both"/>
        <w:rPr>
          <w:rFonts w:ascii="Times New Roman" w:eastAsia="Arial" w:hAnsi="Times New Roman" w:cs="Times New Roman"/>
        </w:rPr>
      </w:pPr>
      <w:r w:rsidRPr="00CD0209">
        <w:rPr>
          <w:rFonts w:ascii="Times New Roman" w:eastAsia="Montserrat" w:hAnsi="Times New Roman" w:cs="Times New Roman"/>
        </w:rPr>
        <w:t xml:space="preserve">Se utiliza una </w:t>
      </w:r>
      <w:r w:rsidRPr="00CD0209">
        <w:rPr>
          <w:rFonts w:ascii="Times New Roman" w:hAnsi="Times New Roman" w:cs="Times New Roman"/>
        </w:rPr>
        <w:t xml:space="preserve">perspectiva crítica </w:t>
      </w:r>
      <w:r w:rsidRPr="00CD0209">
        <w:rPr>
          <w:rFonts w:ascii="Times New Roman" w:eastAsia="Arial" w:hAnsi="Times New Roman" w:cs="Times New Roman"/>
        </w:rPr>
        <w:t xml:space="preserve">en </w:t>
      </w:r>
      <w:proofErr w:type="spellStart"/>
      <w:r w:rsidRPr="00CD0209">
        <w:rPr>
          <w:rFonts w:ascii="Times New Roman" w:eastAsia="Arial" w:hAnsi="Times New Roman" w:cs="Times New Roman"/>
        </w:rPr>
        <w:t>pos</w:t>
      </w:r>
      <w:proofErr w:type="spellEnd"/>
      <w:r w:rsidRPr="00CD0209">
        <w:rPr>
          <w:rFonts w:ascii="Times New Roman" w:eastAsia="Arial" w:hAnsi="Times New Roman" w:cs="Times New Roman"/>
        </w:rPr>
        <w:t xml:space="preserve"> de identificar las estructuras de poder dentro del campo universitario y sus articulaciones con configuraciones de poder más amplias, evitando aproximaciones normativas o totalizantes, con el propósito de develar sentidos invisibilizados y naturalizados en las entrañas de los sistemas. Ello supone un enfoque que subraya la complejidad y multidimensionalidad del fenómeno, es decir, considera diversas dimensiones de privatización y mercantilización, tanto aquellas clásicas como otras más recientes, que revelan nuevas formas de privatización de la ES en las últimas décadas.</w:t>
      </w:r>
    </w:p>
    <w:p w14:paraId="417366FD" w14:textId="77777777" w:rsidR="0014442A" w:rsidRPr="00CD0209" w:rsidRDefault="0014442A" w:rsidP="0014442A">
      <w:pPr>
        <w:spacing w:after="120" w:line="240" w:lineRule="auto"/>
        <w:jc w:val="both"/>
        <w:rPr>
          <w:rFonts w:ascii="Times New Roman" w:hAnsi="Times New Roman" w:cs="Times New Roman"/>
        </w:rPr>
      </w:pPr>
      <w:r w:rsidRPr="00CD0209">
        <w:rPr>
          <w:rFonts w:ascii="Times New Roman" w:eastAsia="Arial" w:hAnsi="Times New Roman" w:cs="Times New Roman"/>
        </w:rPr>
        <w:t xml:space="preserve">Al mismo tiempo, </w:t>
      </w:r>
      <w:r w:rsidRPr="00CD0209">
        <w:rPr>
          <w:rFonts w:ascii="Times New Roman" w:hAnsi="Times New Roman" w:cs="Times New Roman"/>
        </w:rPr>
        <w:t xml:space="preserve">esta perspectiva es intrínsecamente relacional. Esto es, aun cuando por momentos nos detendremos en la expansión y el desarrollo del sector privado, el foco de nuestro análisis se centra en las dinámicas que se entretejen entre ambos sectores y el lugar que ocupa la universidad latinoamericana como escenario privilegiado de una disputa por los sentidos de lo público en la actualidad. </w:t>
      </w:r>
    </w:p>
    <w:p w14:paraId="0342DFD7" w14:textId="77777777" w:rsidR="0014442A" w:rsidRPr="00CD0209" w:rsidRDefault="0014442A" w:rsidP="0014442A">
      <w:pPr>
        <w:shd w:val="clear" w:color="auto" w:fill="FFFFFF"/>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Por último, se incorpora una mirada situada, en tanto se reconoce que las tendencias generales de los procesos de privatización y mercantilización asumen </w:t>
      </w:r>
      <w:r w:rsidRPr="00CD0209">
        <w:rPr>
          <w:rFonts w:ascii="Times New Roman" w:eastAsia="Montserrat" w:hAnsi="Times New Roman" w:cs="Times New Roman"/>
          <w:i/>
          <w:iCs/>
        </w:rPr>
        <w:t>formas locales</w:t>
      </w:r>
      <w:r w:rsidRPr="00CD0209">
        <w:rPr>
          <w:rFonts w:ascii="Times New Roman" w:eastAsia="Montserrat" w:hAnsi="Times New Roman" w:cs="Times New Roman"/>
        </w:rPr>
        <w:t xml:space="preserve"> con relación a las </w:t>
      </w:r>
      <w:r w:rsidRPr="00CD0209">
        <w:rPr>
          <w:rFonts w:ascii="Times New Roman" w:eastAsia="Montserrat" w:hAnsi="Times New Roman" w:cs="Times New Roman"/>
          <w:i/>
        </w:rPr>
        <w:t xml:space="preserve">configuraciones institucionales nacionales </w:t>
      </w:r>
      <w:r w:rsidRPr="00CD0209">
        <w:rPr>
          <w:rFonts w:ascii="Times New Roman" w:eastAsia="Montserrat" w:hAnsi="Times New Roman" w:cs="Times New Roman"/>
        </w:rPr>
        <w:t>emergentes de las complejas interacciones entre las políticas, los universitarios y las instituciones universitarias</w:t>
      </w:r>
      <w:r w:rsidRPr="00CD0209">
        <w:rPr>
          <w:rFonts w:ascii="Times New Roman" w:eastAsia="Montserrat" w:hAnsi="Times New Roman" w:cs="Times New Roman"/>
          <w:i/>
        </w:rPr>
        <w:t xml:space="preserve"> </w:t>
      </w:r>
      <w:r w:rsidRPr="00CD0209">
        <w:rPr>
          <w:rFonts w:ascii="Times New Roman" w:eastAsia="Montserrat" w:hAnsi="Times New Roman" w:cs="Times New Roman"/>
        </w:rPr>
        <w:t xml:space="preserve">(Acosta Silva, Atairo y Camou, 2015). Esta mirada repone fuertemente la dimensión de los actores pujando por impulsar, profundizar o contrarrestar estos procesos, dentro de los cuales se destaca el rol de los Estados Nacionales y los diferentes gobiernos a la hora de materializar estas tendencias en un escenario con fuerte presencia de actores supranacionales y transnacionales. </w:t>
      </w:r>
    </w:p>
    <w:p w14:paraId="3791EC1C" w14:textId="77777777" w:rsidR="0014442A" w:rsidRPr="00CD0209" w:rsidRDefault="0014442A" w:rsidP="0014442A">
      <w:pPr>
        <w:spacing w:after="120" w:line="240" w:lineRule="auto"/>
        <w:jc w:val="both"/>
        <w:rPr>
          <w:rFonts w:ascii="Times New Roman" w:eastAsia="Montserrat" w:hAnsi="Times New Roman" w:cs="Times New Roman"/>
        </w:rPr>
      </w:pPr>
      <w:r w:rsidRPr="00CD0209">
        <w:rPr>
          <w:rFonts w:ascii="Times New Roman" w:hAnsi="Times New Roman" w:cs="Times New Roman"/>
        </w:rPr>
        <w:t xml:space="preserve">La selección de ambos países responde a su identificación como dos </w:t>
      </w:r>
      <w:r w:rsidRPr="00CD0209">
        <w:rPr>
          <w:rFonts w:ascii="Times New Roman" w:hAnsi="Times New Roman" w:cs="Times New Roman"/>
          <w:i/>
          <w:iCs/>
        </w:rPr>
        <w:t xml:space="preserve">casos críticos, </w:t>
      </w:r>
      <w:r w:rsidRPr="00CD0209">
        <w:rPr>
          <w:rFonts w:ascii="Times New Roman" w:eastAsia="Montserrat" w:hAnsi="Times New Roman" w:cs="Times New Roman"/>
        </w:rPr>
        <w:t xml:space="preserve">en tanto tienen una importancia estratégica con relación al problema general que se investiga (Forni, 2010). </w:t>
      </w:r>
    </w:p>
    <w:p w14:paraId="741BC011" w14:textId="39EFFBD5" w:rsidR="0014442A" w:rsidRPr="00CD0209" w:rsidRDefault="0014442A" w:rsidP="0014442A">
      <w:pPr>
        <w:spacing w:after="120" w:line="240" w:lineRule="auto"/>
        <w:jc w:val="both"/>
        <w:rPr>
          <w:rFonts w:ascii="Times New Roman" w:eastAsia="Montserrat" w:hAnsi="Times New Roman" w:cs="Times New Roman"/>
          <w:i/>
          <w:iCs/>
        </w:rPr>
      </w:pPr>
      <w:r w:rsidRPr="00CD0209">
        <w:rPr>
          <w:rFonts w:ascii="Times New Roman" w:eastAsia="Arial" w:hAnsi="Times New Roman" w:cs="Times New Roman"/>
        </w:rPr>
        <w:t xml:space="preserve">Considerando los indicadores “clásicos”, podemos ubicar </w:t>
      </w:r>
      <w:r w:rsidRPr="00CD0209">
        <w:rPr>
          <w:rFonts w:ascii="Times New Roman" w:eastAsia="Arial" w:hAnsi="Times New Roman" w:cs="Times New Roman"/>
        </w:rPr>
        <w:t>a Chile</w:t>
      </w:r>
      <w:r w:rsidRPr="00CD0209">
        <w:rPr>
          <w:rFonts w:ascii="Times New Roman" w:eastAsia="Arial" w:hAnsi="Times New Roman" w:cs="Times New Roman"/>
        </w:rPr>
        <w:t xml:space="preserve"> y Argentina como dos extremos de un </w:t>
      </w:r>
      <w:r w:rsidRPr="00CD0209">
        <w:rPr>
          <w:rFonts w:ascii="Times New Roman" w:eastAsia="Arial" w:hAnsi="Times New Roman" w:cs="Times New Roman"/>
          <w:i/>
        </w:rPr>
        <w:t>continuum</w:t>
      </w:r>
      <w:r w:rsidRPr="00CD0209">
        <w:rPr>
          <w:rFonts w:ascii="Times New Roman" w:eastAsia="Arial" w:hAnsi="Times New Roman" w:cs="Times New Roman"/>
        </w:rPr>
        <w:t xml:space="preserve"> de privatización, donde el primero se caracteriza por representar el modelo tradicional de mercado en su máxima expresión y el segundo por </w:t>
      </w:r>
      <w:r w:rsidRPr="00CD0209">
        <w:rPr>
          <w:rFonts w:ascii="Times New Roman" w:eastAsia="Arial" w:hAnsi="Times New Roman" w:cs="Times New Roman"/>
        </w:rPr>
        <w:lastRenderedPageBreak/>
        <w:t xml:space="preserve">su fuerte tradición público-estatal, donde los procesos de privatización aparecen de formas más invisibilizadas e incipientes. </w:t>
      </w:r>
    </w:p>
    <w:p w14:paraId="67A45179" w14:textId="545B10DD" w:rsidR="0014442A" w:rsidRPr="00CD0209" w:rsidRDefault="0014442A" w:rsidP="0014442A">
      <w:pPr>
        <w:spacing w:after="120" w:line="240" w:lineRule="auto"/>
        <w:jc w:val="both"/>
        <w:rPr>
          <w:rFonts w:ascii="Times New Roman" w:hAnsi="Times New Roman" w:cs="Times New Roman"/>
        </w:rPr>
      </w:pPr>
      <w:r w:rsidRPr="00CD0209">
        <w:rPr>
          <w:rFonts w:ascii="Times New Roman" w:eastAsia="Montserrat" w:hAnsi="Times New Roman" w:cs="Times New Roman"/>
        </w:rPr>
        <w:t xml:space="preserve">En esta ponencia nos proponemos entonces caracterizar los SES de ambos países en clave de privatización recuperando indicadores clásicos y, a partir del concepto de </w:t>
      </w:r>
      <w:r w:rsidRPr="00CD0209">
        <w:rPr>
          <w:rFonts w:ascii="Times New Roman" w:eastAsia="Montserrat" w:hAnsi="Times New Roman" w:cs="Times New Roman"/>
          <w:i/>
          <w:iCs/>
        </w:rPr>
        <w:t>trayectoria hacia la privatización</w:t>
      </w:r>
      <w:r w:rsidRPr="00CD0209">
        <w:rPr>
          <w:rFonts w:ascii="Times New Roman" w:eastAsia="Montserrat" w:hAnsi="Times New Roman" w:cs="Times New Roman"/>
        </w:rPr>
        <w:t xml:space="preserve"> (Verger, Moschetti y </w:t>
      </w:r>
      <w:proofErr w:type="spellStart"/>
      <w:r w:rsidRPr="00CD0209">
        <w:rPr>
          <w:rFonts w:ascii="Times New Roman" w:eastAsia="Montserrat" w:hAnsi="Times New Roman" w:cs="Times New Roman"/>
        </w:rPr>
        <w:t>Fontdevila</w:t>
      </w:r>
      <w:proofErr w:type="spellEnd"/>
      <w:r w:rsidRPr="00CD0209">
        <w:rPr>
          <w:rFonts w:ascii="Times New Roman" w:eastAsia="Montserrat" w:hAnsi="Times New Roman" w:cs="Times New Roman"/>
        </w:rPr>
        <w:t>, 2017), dar cuenta del carácter histórico del peso y la gravitación específica del sector privado y del sector público en cada sistema. S</w:t>
      </w:r>
      <w:r w:rsidRPr="00CD0209">
        <w:rPr>
          <w:rFonts w:ascii="Times New Roman" w:hAnsi="Times New Roman" w:cs="Times New Roman"/>
        </w:rPr>
        <w:t>e retoman algunos aspectos de dichas trayectorias</w:t>
      </w:r>
      <w:r w:rsidRPr="00CD0209">
        <w:rPr>
          <w:rStyle w:val="Refdenotaalpie"/>
          <w:rFonts w:ascii="Times New Roman" w:hAnsi="Times New Roman" w:cs="Times New Roman"/>
        </w:rPr>
        <w:footnoteReference w:id="1"/>
      </w:r>
      <w:r w:rsidRPr="00CD0209">
        <w:rPr>
          <w:rFonts w:ascii="Times New Roman" w:hAnsi="Times New Roman" w:cs="Times New Roman"/>
        </w:rPr>
        <w:t xml:space="preserve"> para luego focalizar en el “corazón” de cada sistema. Esto es, en dónde reside la centralidad de lo público para el caso argentino y la centralidad de lo privado en el </w:t>
      </w:r>
      <w:r w:rsidR="00AE4C34" w:rsidRPr="00CD0209">
        <w:rPr>
          <w:rFonts w:ascii="Times New Roman" w:hAnsi="Times New Roman" w:cs="Times New Roman"/>
        </w:rPr>
        <w:t xml:space="preserve">caso </w:t>
      </w:r>
      <w:r w:rsidR="00AE4C34">
        <w:rPr>
          <w:rFonts w:ascii="Times New Roman" w:hAnsi="Times New Roman" w:cs="Times New Roman"/>
        </w:rPr>
        <w:t>c</w:t>
      </w:r>
      <w:r w:rsidR="00AE4C34" w:rsidRPr="00CD0209">
        <w:rPr>
          <w:rFonts w:ascii="Times New Roman" w:hAnsi="Times New Roman" w:cs="Times New Roman"/>
        </w:rPr>
        <w:t>hileno</w:t>
      </w:r>
      <w:r w:rsidRPr="00CD0209">
        <w:rPr>
          <w:rFonts w:ascii="Times New Roman" w:hAnsi="Times New Roman" w:cs="Times New Roman"/>
        </w:rPr>
        <w:t xml:space="preserve">, con la idea de compartir luego ciertas reflexiones iniciales respecto de procesos recientes que tienden a desafiar cada una de esas matrices. </w:t>
      </w:r>
    </w:p>
    <w:p w14:paraId="25D66E31" w14:textId="77777777" w:rsidR="0014442A" w:rsidRPr="00CD0209" w:rsidRDefault="0014442A" w:rsidP="0014442A">
      <w:pPr>
        <w:spacing w:after="120" w:line="240" w:lineRule="auto"/>
        <w:jc w:val="both"/>
        <w:rPr>
          <w:rFonts w:ascii="Times New Roman" w:hAnsi="Times New Roman" w:cs="Times New Roman"/>
        </w:rPr>
      </w:pPr>
      <w:r w:rsidRPr="00CD0209">
        <w:rPr>
          <w:rFonts w:ascii="Times New Roman" w:hAnsi="Times New Roman" w:cs="Times New Roman"/>
        </w:rPr>
        <w:t xml:space="preserve">En este sentido, los procesos de privatización y mercantilización, lejos de presentarse de manera univoca y lineal, asumen recorridos por demás complejos e intrincados, al mismo tiempo que no están exentos de tensiones y resistencias. </w:t>
      </w:r>
    </w:p>
    <w:p w14:paraId="1FBB7E91" w14:textId="77777777" w:rsidR="00830C3C" w:rsidRPr="0014442A" w:rsidRDefault="00830C3C" w:rsidP="007B5B5F">
      <w:pPr>
        <w:spacing w:line="240" w:lineRule="auto"/>
        <w:rPr>
          <w:rFonts w:ascii="Times New Roman" w:hAnsi="Times New Roman" w:cs="Times New Roman"/>
          <w:b/>
          <w:bCs/>
        </w:rPr>
      </w:pPr>
    </w:p>
    <w:p w14:paraId="2FD138AD" w14:textId="65FB0755" w:rsidR="005F3B2E" w:rsidRDefault="005F3B2E" w:rsidP="007B5B5F">
      <w:pPr>
        <w:spacing w:line="240" w:lineRule="auto"/>
        <w:rPr>
          <w:rFonts w:ascii="Times New Roman" w:hAnsi="Times New Roman" w:cs="Times New Roman"/>
          <w:b/>
          <w:bCs/>
          <w:lang w:val="en-US"/>
        </w:rPr>
      </w:pPr>
      <w:r w:rsidRPr="002E3AA0">
        <w:rPr>
          <w:rFonts w:ascii="Times New Roman" w:hAnsi="Times New Roman" w:cs="Times New Roman"/>
          <w:b/>
          <w:bCs/>
          <w:lang w:val="en-US"/>
        </w:rPr>
        <w:t>Desarrollo</w:t>
      </w:r>
    </w:p>
    <w:p w14:paraId="7E0CC4D3" w14:textId="78C2DCC8" w:rsidR="00B65C1B" w:rsidRPr="00B65C1B" w:rsidRDefault="00B65C1B" w:rsidP="00B65C1B">
      <w:pPr>
        <w:pStyle w:val="Prrafodelista"/>
        <w:numPr>
          <w:ilvl w:val="0"/>
          <w:numId w:val="1"/>
        </w:numPr>
        <w:spacing w:after="120" w:line="240" w:lineRule="auto"/>
        <w:jc w:val="both"/>
        <w:rPr>
          <w:rFonts w:ascii="Times New Roman" w:hAnsi="Times New Roman" w:cs="Times New Roman"/>
          <w:b/>
          <w:bCs/>
        </w:rPr>
      </w:pPr>
      <w:r w:rsidRPr="00B65C1B">
        <w:rPr>
          <w:rFonts w:ascii="Times New Roman" w:hAnsi="Times New Roman" w:cs="Times New Roman"/>
          <w:b/>
          <w:bCs/>
        </w:rPr>
        <w:t xml:space="preserve">Argentina y Chile: dos extremos de un continuum </w:t>
      </w:r>
    </w:p>
    <w:p w14:paraId="4AE7D254" w14:textId="77777777" w:rsidR="00B65C1B" w:rsidRPr="00CD0209" w:rsidRDefault="00B65C1B" w:rsidP="00B65C1B">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El sistema universitario argentino</w:t>
      </w:r>
      <w:r w:rsidRPr="00CD0209">
        <w:rPr>
          <w:rStyle w:val="Refdenotaalpie"/>
          <w:rFonts w:ascii="Times New Roman" w:eastAsia="Montserrat" w:hAnsi="Times New Roman" w:cs="Times New Roman"/>
        </w:rPr>
        <w:footnoteReference w:id="2"/>
      </w:r>
      <w:r w:rsidRPr="00CD0209">
        <w:rPr>
          <w:rFonts w:ascii="Times New Roman" w:eastAsia="Montserrat" w:hAnsi="Times New Roman" w:cs="Times New Roman"/>
        </w:rPr>
        <w:t xml:space="preserve"> se caracteriza por una matriz público-estatal que constituye su marca identitaria. Comprende 120 universidades y 22 institutos universitarios, de los cuales 72 son estatales, 69 privados y 1 internacional donde estudian 2.608.231 de </w:t>
      </w:r>
      <w:proofErr w:type="spellStart"/>
      <w:r w:rsidRPr="00CD0209">
        <w:rPr>
          <w:rFonts w:ascii="Times New Roman" w:eastAsia="Montserrat" w:hAnsi="Times New Roman" w:cs="Times New Roman"/>
        </w:rPr>
        <w:t>alumnxs</w:t>
      </w:r>
      <w:proofErr w:type="spellEnd"/>
      <w:r w:rsidRPr="00CD0209">
        <w:rPr>
          <w:rFonts w:ascii="Times New Roman" w:eastAsia="Montserrat" w:hAnsi="Times New Roman" w:cs="Times New Roman"/>
        </w:rPr>
        <w:t xml:space="preserve"> (Anuario estadístico 2024, SPU)</w:t>
      </w:r>
    </w:p>
    <w:p w14:paraId="3A7CCE23" w14:textId="0148216D" w:rsidR="00B65C1B" w:rsidRPr="00CD0209" w:rsidRDefault="00B65C1B" w:rsidP="00B65C1B">
      <w:pPr>
        <w:spacing w:after="120" w:line="240" w:lineRule="auto"/>
        <w:jc w:val="both"/>
        <w:rPr>
          <w:rFonts w:ascii="Times New Roman" w:eastAsia="Montserrat" w:hAnsi="Times New Roman" w:cs="Times New Roman"/>
        </w:rPr>
      </w:pPr>
      <w:r w:rsidRPr="00CD0209">
        <w:rPr>
          <w:rFonts w:ascii="Times New Roman" w:eastAsia="Arial" w:hAnsi="Times New Roman" w:cs="Times New Roman"/>
        </w:rPr>
        <w:t xml:space="preserve">El </w:t>
      </w:r>
      <w:r w:rsidR="00305DAF" w:rsidRPr="00CD0209">
        <w:rPr>
          <w:rFonts w:ascii="Times New Roman" w:eastAsia="Arial" w:hAnsi="Times New Roman" w:cs="Times New Roman"/>
        </w:rPr>
        <w:t xml:space="preserve">SES </w:t>
      </w:r>
      <w:r w:rsidR="00844644">
        <w:rPr>
          <w:rFonts w:ascii="Times New Roman" w:eastAsia="Arial" w:hAnsi="Times New Roman" w:cs="Times New Roman"/>
        </w:rPr>
        <w:t>c</w:t>
      </w:r>
      <w:r w:rsidR="00305DAF" w:rsidRPr="00CD0209">
        <w:rPr>
          <w:rFonts w:ascii="Times New Roman" w:eastAsia="Arial" w:hAnsi="Times New Roman" w:cs="Times New Roman"/>
        </w:rPr>
        <w:t>hileno</w:t>
      </w:r>
      <w:r w:rsidRPr="00CD0209">
        <w:rPr>
          <w:rFonts w:ascii="Times New Roman" w:eastAsia="Arial" w:hAnsi="Times New Roman" w:cs="Times New Roman"/>
        </w:rPr>
        <w:t xml:space="preserve"> </w:t>
      </w:r>
      <w:r w:rsidRPr="00CD0209">
        <w:rPr>
          <w:rFonts w:ascii="Times New Roman" w:eastAsia="Montserrat" w:hAnsi="Times New Roman" w:cs="Times New Roman"/>
        </w:rPr>
        <w:t>es mundialmente conocido como el emblema de la implementación del modelo de libre mercado. Esto es, confiar en el mercado como la única institución capaz de garantizar la libertad individual y como el sistema óptimo de asignación de recursos.</w:t>
      </w:r>
      <w:r w:rsidR="00844644">
        <w:rPr>
          <w:rFonts w:ascii="Times New Roman" w:eastAsia="Montserrat" w:hAnsi="Times New Roman" w:cs="Times New Roman"/>
        </w:rPr>
        <w:t xml:space="preserve">  </w:t>
      </w:r>
      <w:r w:rsidRPr="00CD0209">
        <w:rPr>
          <w:rFonts w:ascii="Times New Roman" w:eastAsia="Montserrat" w:hAnsi="Times New Roman" w:cs="Times New Roman"/>
        </w:rPr>
        <w:t>Chile (junto con Corea, Japón e Indonesia) es uno de los países con el SES más privatizado del mundo (Brunner, 2008). Se compone de dos subsistemas. El subsistema universitario congrega 814.147 estudiantes y está conformado por 58 universidades: 18 estatales, 9 privadas con aporte del Estado creadas antes de 1980 o que derivan de ellas y 31 privadas</w:t>
      </w:r>
      <w:r w:rsidRPr="00CD0209">
        <w:rPr>
          <w:rFonts w:ascii="Times New Roman" w:eastAsia="Montserrat" w:hAnsi="Times New Roman" w:cs="Times New Roman"/>
          <w:b/>
        </w:rPr>
        <w:t> </w:t>
      </w:r>
      <w:r w:rsidRPr="00CD0209">
        <w:rPr>
          <w:rFonts w:ascii="Times New Roman" w:eastAsia="Montserrat" w:hAnsi="Times New Roman" w:cs="Times New Roman"/>
        </w:rPr>
        <w:t xml:space="preserve">creadas después de 1980. Mientras que el subsistema técnico profesional está compuesto por 33 Institutos Profesionales (IP) que reúnen 426.533 estudiantes y 29 Centros de Formación Técnica (CFT) con 145.304 estudiantes; todos ellos de carácter privado, a los que se sumaron a partir de la Ley 20.910 del año 2016 paulatinamente 15 CFT estatales (SIES 2024, Mineduc). </w:t>
      </w:r>
    </w:p>
    <w:p w14:paraId="60FCE496" w14:textId="0B68CBBA" w:rsidR="00B65C1B" w:rsidRPr="00CD0209" w:rsidRDefault="00B65C1B" w:rsidP="00B65C1B">
      <w:pPr>
        <w:shd w:val="clear" w:color="auto" w:fill="FFFFFF"/>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Las universidades estatales y las privadas con aportes estatales (confesionales y no confesionales), que configuraron la matriz organizacional originaria del sistema universitario, se congregan en el Consejo de Rectores de las </w:t>
      </w:r>
      <w:r w:rsidR="00305DAF" w:rsidRPr="00CD0209">
        <w:rPr>
          <w:rFonts w:ascii="Times New Roman" w:eastAsia="Montserrat" w:hAnsi="Times New Roman" w:cs="Times New Roman"/>
        </w:rPr>
        <w:t xml:space="preserve">Universidades </w:t>
      </w:r>
      <w:r w:rsidR="00305DAF">
        <w:rPr>
          <w:rFonts w:ascii="Times New Roman" w:eastAsia="Montserrat" w:hAnsi="Times New Roman" w:cs="Times New Roman"/>
        </w:rPr>
        <w:t>C</w:t>
      </w:r>
      <w:r w:rsidR="00305DAF" w:rsidRPr="00CD0209">
        <w:rPr>
          <w:rFonts w:ascii="Times New Roman" w:eastAsia="Montserrat" w:hAnsi="Times New Roman" w:cs="Times New Roman"/>
        </w:rPr>
        <w:t>hilenas</w:t>
      </w:r>
      <w:r w:rsidRPr="00CD0209">
        <w:rPr>
          <w:rFonts w:ascii="Times New Roman" w:eastAsia="Montserrat" w:hAnsi="Times New Roman" w:cs="Times New Roman"/>
        </w:rPr>
        <w:t xml:space="preserve"> (CRUCH), de allí que comúnmente se las identifica como “las universidades del </w:t>
      </w:r>
      <w:r w:rsidRPr="00CD0209">
        <w:rPr>
          <w:rFonts w:ascii="Times New Roman" w:eastAsia="Montserrat" w:hAnsi="Times New Roman" w:cs="Times New Roman"/>
        </w:rPr>
        <w:lastRenderedPageBreak/>
        <w:t>CRUCH” o “tradicionales”. A estas se sumaron en el año 2019 tres universidades privadas</w:t>
      </w:r>
      <w:r w:rsidRPr="00CD0209">
        <w:rPr>
          <w:rFonts w:ascii="Times New Roman" w:eastAsia="Montserrat" w:hAnsi="Times New Roman" w:cs="Times New Roman"/>
          <w:vertAlign w:val="superscript"/>
        </w:rPr>
        <w:footnoteReference w:id="3"/>
      </w:r>
      <w:r w:rsidRPr="00CD0209">
        <w:rPr>
          <w:rFonts w:ascii="Times New Roman" w:eastAsia="Montserrat" w:hAnsi="Times New Roman" w:cs="Times New Roman"/>
        </w:rPr>
        <w:t xml:space="preserve">. </w:t>
      </w:r>
    </w:p>
    <w:p w14:paraId="2FE7ACE9" w14:textId="2A0AD7DE" w:rsidR="00B65C1B" w:rsidRPr="00CD0209" w:rsidRDefault="00B65C1B" w:rsidP="00B65C1B">
      <w:pPr>
        <w:shd w:val="clear" w:color="auto" w:fill="FFFFFF"/>
        <w:spacing w:after="120" w:line="240" w:lineRule="auto"/>
        <w:jc w:val="both"/>
        <w:rPr>
          <w:rFonts w:ascii="Times New Roman" w:eastAsia="Arial" w:hAnsi="Times New Roman" w:cs="Times New Roman"/>
        </w:rPr>
      </w:pPr>
      <w:r w:rsidRPr="00CD0209">
        <w:rPr>
          <w:rFonts w:ascii="Times New Roman" w:eastAsia="Arial" w:hAnsi="Times New Roman" w:cs="Times New Roman"/>
        </w:rPr>
        <w:t>Los sistemas de educación superior de Argentina y Chile se ubican en una etapa de universalización de la ES, en ambos casos superando ampliamente tasas brutas de matriculación (TBM) por encima del 50%: en el caso de</w:t>
      </w:r>
      <w:r w:rsidR="00844644">
        <w:rPr>
          <w:rFonts w:ascii="Times New Roman" w:eastAsia="Arial" w:hAnsi="Times New Roman" w:cs="Times New Roman"/>
        </w:rPr>
        <w:t xml:space="preserve">  </w:t>
      </w:r>
      <w:r w:rsidRPr="00CD0209">
        <w:rPr>
          <w:rFonts w:ascii="Times New Roman" w:eastAsia="Arial" w:hAnsi="Times New Roman" w:cs="Times New Roman"/>
        </w:rPr>
        <w:t>Argentina su TBM para el año 2023 fue del 75,23% y la de</w:t>
      </w:r>
      <w:r w:rsidR="00844644">
        <w:rPr>
          <w:rFonts w:ascii="Times New Roman" w:eastAsia="Arial" w:hAnsi="Times New Roman" w:cs="Times New Roman"/>
        </w:rPr>
        <w:t xml:space="preserve">  </w:t>
      </w:r>
      <w:r w:rsidRPr="00CD0209">
        <w:rPr>
          <w:rFonts w:ascii="Times New Roman" w:eastAsia="Arial" w:hAnsi="Times New Roman" w:cs="Times New Roman"/>
        </w:rPr>
        <w:t>Chile de 73,31%, y con tasas netas (rango 18-24) que también se ubican por encima de la media regional, en el caso de</w:t>
      </w:r>
      <w:r w:rsidR="00844644">
        <w:rPr>
          <w:rFonts w:ascii="Times New Roman" w:eastAsia="Arial" w:hAnsi="Times New Roman" w:cs="Times New Roman"/>
        </w:rPr>
        <w:t xml:space="preserve">  </w:t>
      </w:r>
      <w:r w:rsidRPr="00CD0209">
        <w:rPr>
          <w:rFonts w:ascii="Times New Roman" w:eastAsia="Arial" w:hAnsi="Times New Roman" w:cs="Times New Roman"/>
        </w:rPr>
        <w:t>Argentina con una TNM de 35,54% y</w:t>
      </w:r>
      <w:r w:rsidR="00844644">
        <w:rPr>
          <w:rFonts w:ascii="Times New Roman" w:eastAsia="Arial" w:hAnsi="Times New Roman" w:cs="Times New Roman"/>
        </w:rPr>
        <w:t xml:space="preserve">  </w:t>
      </w:r>
      <w:r w:rsidRPr="00CD0209">
        <w:rPr>
          <w:rFonts w:ascii="Times New Roman" w:eastAsia="Arial" w:hAnsi="Times New Roman" w:cs="Times New Roman"/>
        </w:rPr>
        <w:t xml:space="preserve">Chile con una TNM que alcanza al 44,73%, el número más alto de toda la región (Red índices, 2026). </w:t>
      </w:r>
    </w:p>
    <w:p w14:paraId="65E12967" w14:textId="68AF4656" w:rsidR="00B65C1B" w:rsidRPr="00CD0209" w:rsidRDefault="00B65C1B" w:rsidP="00B65C1B">
      <w:pPr>
        <w:shd w:val="clear" w:color="auto" w:fill="FFFFFF"/>
        <w:spacing w:after="120" w:line="240" w:lineRule="auto"/>
        <w:jc w:val="both"/>
        <w:rPr>
          <w:rFonts w:ascii="Times New Roman" w:eastAsia="Arial" w:hAnsi="Times New Roman" w:cs="Times New Roman"/>
        </w:rPr>
      </w:pPr>
      <w:r w:rsidRPr="00CD0209">
        <w:rPr>
          <w:rFonts w:ascii="Times New Roman" w:eastAsia="Arial" w:hAnsi="Times New Roman" w:cs="Times New Roman"/>
        </w:rPr>
        <w:t xml:space="preserve">Cada sistema reviste ciertas características particulares respecto de los mecanismos de acceso: </w:t>
      </w:r>
      <w:r w:rsidR="00305DAF" w:rsidRPr="00CD0209">
        <w:rPr>
          <w:rFonts w:ascii="Times New Roman" w:eastAsia="Arial" w:hAnsi="Times New Roman" w:cs="Times New Roman"/>
        </w:rPr>
        <w:t>en Argentina</w:t>
      </w:r>
      <w:r w:rsidRPr="00CD0209">
        <w:rPr>
          <w:rFonts w:ascii="Times New Roman" w:eastAsia="Arial" w:hAnsi="Times New Roman" w:cs="Times New Roman"/>
        </w:rPr>
        <w:t xml:space="preserve"> no hay examen de ingreso selectivo a las universidades públicas, que son gratuitas, sendas características establecidas en la Ley 27.204 del año 2015 (Art. 2 bis y Art.4). Mientras que </w:t>
      </w:r>
      <w:r w:rsidR="00305DAF" w:rsidRPr="00CD0209">
        <w:rPr>
          <w:rFonts w:ascii="Times New Roman" w:eastAsia="Arial" w:hAnsi="Times New Roman" w:cs="Times New Roman"/>
        </w:rPr>
        <w:t>en Chile</w:t>
      </w:r>
      <w:r w:rsidRPr="00CD0209">
        <w:rPr>
          <w:rFonts w:ascii="Times New Roman" w:eastAsia="Arial" w:hAnsi="Times New Roman" w:cs="Times New Roman"/>
        </w:rPr>
        <w:t xml:space="preserve"> se combinan altos aranceles con un complejo sistema de admisión (común para las instituciones adscriptas) que incluye distintos instrumentos de acceso (Notas de Enseñanza Media, Ranking de Notas y Pruebas de Acceso a la Educación Superior) y, en algunas carreras, definición de vacantes. También existen una serie de admisiones especiales y la definición de cupos como política de afirmación positiva. </w:t>
      </w:r>
    </w:p>
    <w:p w14:paraId="09FE4E8E" w14:textId="5A49B301" w:rsidR="00B65C1B" w:rsidRPr="00CD0209" w:rsidRDefault="00B65C1B" w:rsidP="00B65C1B">
      <w:pPr>
        <w:shd w:val="clear" w:color="auto" w:fill="FFFFFF"/>
        <w:spacing w:after="120" w:line="240" w:lineRule="auto"/>
        <w:jc w:val="both"/>
        <w:rPr>
          <w:rFonts w:ascii="Times New Roman" w:eastAsia="Arial" w:hAnsi="Times New Roman" w:cs="Times New Roman"/>
        </w:rPr>
      </w:pPr>
      <w:r w:rsidRPr="00CD0209">
        <w:rPr>
          <w:rFonts w:ascii="Times New Roman" w:eastAsia="Arial" w:hAnsi="Times New Roman" w:cs="Times New Roman"/>
        </w:rPr>
        <w:t>Lo que ya denota dos estrategias distintas de recepción de la expansión matricular que caracterizó a todos los SES en las últimas décadas: en el caso de</w:t>
      </w:r>
      <w:r w:rsidR="00844644">
        <w:rPr>
          <w:rFonts w:ascii="Times New Roman" w:eastAsia="Arial" w:hAnsi="Times New Roman" w:cs="Times New Roman"/>
        </w:rPr>
        <w:t xml:space="preserve">  </w:t>
      </w:r>
      <w:r w:rsidRPr="00CD0209">
        <w:rPr>
          <w:rFonts w:ascii="Times New Roman" w:eastAsia="Arial" w:hAnsi="Times New Roman" w:cs="Times New Roman"/>
        </w:rPr>
        <w:t>Argentina, esta expansión tendió a ser absorbida por el sistema público y el crecimiento de una oferta institucional de cercanía; en el caso de</w:t>
      </w:r>
      <w:r w:rsidR="00844644">
        <w:rPr>
          <w:rFonts w:ascii="Times New Roman" w:eastAsia="Arial" w:hAnsi="Times New Roman" w:cs="Times New Roman"/>
        </w:rPr>
        <w:t xml:space="preserve">  </w:t>
      </w:r>
      <w:r w:rsidRPr="00CD0209">
        <w:rPr>
          <w:rFonts w:ascii="Times New Roman" w:eastAsia="Arial" w:hAnsi="Times New Roman" w:cs="Times New Roman"/>
        </w:rPr>
        <w:t xml:space="preserve">Chile, fue un proceso que se resolvió en clave privada en tanto fue absorbida por instituciones principalmente del subsistema técnico: IP y CFT (con menores requisitos de ingreso y aranceles), pero también vía la </w:t>
      </w:r>
      <w:proofErr w:type="spellStart"/>
      <w:r w:rsidRPr="00CD0209">
        <w:rPr>
          <w:rFonts w:ascii="Times New Roman" w:eastAsia="Arial" w:hAnsi="Times New Roman" w:cs="Times New Roman"/>
        </w:rPr>
        <w:t>financiarización</w:t>
      </w:r>
      <w:proofErr w:type="spellEnd"/>
      <w:r w:rsidRPr="00CD0209">
        <w:rPr>
          <w:rFonts w:ascii="Times New Roman" w:eastAsia="Arial" w:hAnsi="Times New Roman" w:cs="Times New Roman"/>
        </w:rPr>
        <w:t xml:space="preserve"> por medio de créditos y el endeudamiento de las familias. </w:t>
      </w:r>
    </w:p>
    <w:p w14:paraId="7C1853E8" w14:textId="1A396FB5" w:rsidR="00B65C1B" w:rsidRPr="00CD0209" w:rsidRDefault="00B65C1B" w:rsidP="00B65C1B">
      <w:pPr>
        <w:shd w:val="clear" w:color="auto" w:fill="FFFFFF"/>
        <w:spacing w:after="120" w:line="240" w:lineRule="auto"/>
        <w:jc w:val="both"/>
        <w:rPr>
          <w:rFonts w:ascii="Times New Roman" w:eastAsia="Arial" w:hAnsi="Times New Roman" w:cs="Times New Roman"/>
        </w:rPr>
      </w:pPr>
      <w:r w:rsidRPr="00CD0209">
        <w:rPr>
          <w:rFonts w:ascii="Times New Roman" w:eastAsia="Montserrat" w:hAnsi="Times New Roman" w:cs="Times New Roman"/>
        </w:rPr>
        <w:t xml:space="preserve">De las tres dimensiones clave que expresan el grado de privatización de los SES: la oferta institucional, la distribución de la matrícula y la estructura del </w:t>
      </w:r>
      <w:r w:rsidR="00FB78E9" w:rsidRPr="00CD0209">
        <w:rPr>
          <w:rFonts w:ascii="Times New Roman" w:eastAsia="Montserrat" w:hAnsi="Times New Roman" w:cs="Times New Roman"/>
        </w:rPr>
        <w:t>gasto, Argentina</w:t>
      </w:r>
      <w:r w:rsidRPr="00CD0209">
        <w:rPr>
          <w:rFonts w:ascii="Times New Roman" w:eastAsia="Montserrat" w:hAnsi="Times New Roman" w:cs="Times New Roman"/>
        </w:rPr>
        <w:t xml:space="preserve"> se sitúa dentro de los sistemas más orientados a lo público, ofreciendo un fuerte contraste con la “foto” que emana del análisis de los SES de gran parte de los países de la región, </w:t>
      </w:r>
      <w:r w:rsidR="00FB78E9" w:rsidRPr="00CD0209">
        <w:rPr>
          <w:rFonts w:ascii="Times New Roman" w:eastAsia="Montserrat" w:hAnsi="Times New Roman" w:cs="Times New Roman"/>
        </w:rPr>
        <w:t>donde Chile</w:t>
      </w:r>
      <w:r w:rsidRPr="00CD0209">
        <w:rPr>
          <w:rFonts w:ascii="Times New Roman" w:eastAsia="Montserrat" w:hAnsi="Times New Roman" w:cs="Times New Roman"/>
        </w:rPr>
        <w:t xml:space="preserve"> oficia como el caso paradigmático de privatización. </w:t>
      </w:r>
    </w:p>
    <w:p w14:paraId="4C57DF92" w14:textId="3F2541E1" w:rsidR="00B65C1B" w:rsidRPr="00CD0209" w:rsidRDefault="00B65C1B" w:rsidP="00B65C1B">
      <w:pPr>
        <w:shd w:val="clear" w:color="auto" w:fill="FFFFFF"/>
        <w:spacing w:after="120" w:line="240" w:lineRule="auto"/>
        <w:jc w:val="both"/>
        <w:rPr>
          <w:rFonts w:ascii="Times New Roman" w:eastAsia="Arial" w:hAnsi="Times New Roman" w:cs="Times New Roman"/>
        </w:rPr>
      </w:pPr>
      <w:r w:rsidRPr="00CD0209">
        <w:rPr>
          <w:rFonts w:ascii="Times New Roman" w:eastAsia="Arial" w:hAnsi="Times New Roman" w:cs="Times New Roman"/>
        </w:rPr>
        <w:t xml:space="preserve">En términos de oferta, para el año 2024, el sector privado oficia como el principal proveedor de ES </w:t>
      </w:r>
      <w:r w:rsidR="00FB78E9" w:rsidRPr="00CD0209">
        <w:rPr>
          <w:rFonts w:ascii="Times New Roman" w:eastAsia="Arial" w:hAnsi="Times New Roman" w:cs="Times New Roman"/>
        </w:rPr>
        <w:t>en Chile</w:t>
      </w:r>
      <w:r w:rsidRPr="00CD0209">
        <w:rPr>
          <w:rFonts w:ascii="Times New Roman" w:eastAsia="Arial" w:hAnsi="Times New Roman" w:cs="Times New Roman"/>
        </w:rPr>
        <w:t xml:space="preserve"> en tanto domina con 76% (contando universidades CRUCH privadas, universidades privadas, IP y CFT privados) mientras que el sector estatal representa el 24% (contando universidades CRUCH estatales y CFT estatales). Mientras que </w:t>
      </w:r>
      <w:r w:rsidR="00FB78E9" w:rsidRPr="00CD0209">
        <w:rPr>
          <w:rFonts w:ascii="Times New Roman" w:eastAsia="Arial" w:hAnsi="Times New Roman" w:cs="Times New Roman"/>
        </w:rPr>
        <w:t>en Argentina</w:t>
      </w:r>
      <w:r w:rsidRPr="00CD0209">
        <w:rPr>
          <w:rFonts w:ascii="Times New Roman" w:eastAsia="Arial" w:hAnsi="Times New Roman" w:cs="Times New Roman"/>
        </w:rPr>
        <w:t xml:space="preserve"> la distribución de la oferta institucional por sector de gestión es más paritaria con un 51% para el sector estatal y un 49% para el privado. Esto significa que </w:t>
      </w:r>
      <w:r w:rsidR="00FB78E9" w:rsidRPr="00CD0209">
        <w:rPr>
          <w:rFonts w:ascii="Times New Roman" w:eastAsia="Arial" w:hAnsi="Times New Roman" w:cs="Times New Roman"/>
        </w:rPr>
        <w:t>en Chile</w:t>
      </w:r>
      <w:r w:rsidRPr="00CD0209">
        <w:rPr>
          <w:rFonts w:ascii="Times New Roman" w:eastAsia="Arial" w:hAnsi="Times New Roman" w:cs="Times New Roman"/>
        </w:rPr>
        <w:t xml:space="preserve"> 6 de cada 10 instituciones son privadas; mientras que, </w:t>
      </w:r>
      <w:r w:rsidR="00FB78E9" w:rsidRPr="00CD0209">
        <w:rPr>
          <w:rFonts w:ascii="Times New Roman" w:eastAsia="Arial" w:hAnsi="Times New Roman" w:cs="Times New Roman"/>
        </w:rPr>
        <w:t>en Argentina</w:t>
      </w:r>
      <w:r w:rsidRPr="00CD0209">
        <w:rPr>
          <w:rFonts w:ascii="Times New Roman" w:eastAsia="Arial" w:hAnsi="Times New Roman" w:cs="Times New Roman"/>
        </w:rPr>
        <w:t xml:space="preserve">, de cada 10 instituciones, 5 son privadas y 5 públicas. En ambos países el lucro está prohibido por lo que no se encuentran instituciones bajo esta denominación. </w:t>
      </w:r>
    </w:p>
    <w:p w14:paraId="6228BA48" w14:textId="29A5A3BA" w:rsidR="00B65C1B" w:rsidRPr="00CD0209" w:rsidRDefault="00B65C1B" w:rsidP="00B65C1B">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Una segunda dimensión que abona a la caracterización de los sistemas según su grado de privatización es la distribución de la matrícula. Mientras </w:t>
      </w:r>
      <w:r w:rsidR="00FB78E9" w:rsidRPr="00CD0209">
        <w:rPr>
          <w:rFonts w:ascii="Times New Roman" w:eastAsia="Montserrat" w:hAnsi="Times New Roman" w:cs="Times New Roman"/>
        </w:rPr>
        <w:t>en Argentina</w:t>
      </w:r>
      <w:r w:rsidRPr="00CD0209">
        <w:rPr>
          <w:rFonts w:ascii="Times New Roman" w:eastAsia="Montserrat" w:hAnsi="Times New Roman" w:cs="Times New Roman"/>
        </w:rPr>
        <w:t xml:space="preserve"> encontramos una </w:t>
      </w:r>
      <w:r w:rsidRPr="00CD0209">
        <w:rPr>
          <w:rFonts w:ascii="Times New Roman" w:eastAsia="Montserrat" w:hAnsi="Times New Roman" w:cs="Times New Roman"/>
        </w:rPr>
        <w:lastRenderedPageBreak/>
        <w:t xml:space="preserve">alta concentración de </w:t>
      </w:r>
      <w:proofErr w:type="spellStart"/>
      <w:r w:rsidRPr="00CD0209">
        <w:rPr>
          <w:rFonts w:ascii="Times New Roman" w:eastAsia="Montserrat" w:hAnsi="Times New Roman" w:cs="Times New Roman"/>
        </w:rPr>
        <w:t>lxs</w:t>
      </w:r>
      <w:proofErr w:type="spellEnd"/>
      <w:r w:rsidRPr="00CD0209">
        <w:rPr>
          <w:rFonts w:ascii="Times New Roman" w:eastAsia="Montserrat" w:hAnsi="Times New Roman" w:cs="Times New Roman"/>
        </w:rPr>
        <w:t xml:space="preserve"> estudiantes en el sector estatal: para el año 2024 de </w:t>
      </w:r>
      <w:proofErr w:type="spellStart"/>
      <w:r w:rsidRPr="00CD0209">
        <w:rPr>
          <w:rFonts w:ascii="Times New Roman" w:eastAsia="Montserrat" w:hAnsi="Times New Roman" w:cs="Times New Roman"/>
        </w:rPr>
        <w:t>lxs</w:t>
      </w:r>
      <w:proofErr w:type="spellEnd"/>
      <w:r w:rsidRPr="00CD0209">
        <w:rPr>
          <w:rFonts w:ascii="Times New Roman" w:eastAsia="Montserrat" w:hAnsi="Times New Roman" w:cs="Times New Roman"/>
        </w:rPr>
        <w:t xml:space="preserve"> 2.608.231 estudiantes </w:t>
      </w:r>
      <w:proofErr w:type="spellStart"/>
      <w:r w:rsidRPr="00CD0209">
        <w:rPr>
          <w:rFonts w:ascii="Times New Roman" w:eastAsia="Montserrat" w:hAnsi="Times New Roman" w:cs="Times New Roman"/>
        </w:rPr>
        <w:t>universitarixs</w:t>
      </w:r>
      <w:proofErr w:type="spellEnd"/>
      <w:r w:rsidRPr="00CD0209">
        <w:rPr>
          <w:rFonts w:ascii="Times New Roman" w:eastAsia="Montserrat" w:hAnsi="Times New Roman" w:cs="Times New Roman"/>
        </w:rPr>
        <w:t xml:space="preserve"> de </w:t>
      </w:r>
      <w:proofErr w:type="spellStart"/>
      <w:r w:rsidRPr="00CD0209">
        <w:rPr>
          <w:rFonts w:ascii="Times New Roman" w:eastAsia="Montserrat" w:hAnsi="Times New Roman" w:cs="Times New Roman"/>
        </w:rPr>
        <w:t>pre-grado</w:t>
      </w:r>
      <w:proofErr w:type="spellEnd"/>
      <w:r w:rsidRPr="00CD0209">
        <w:rPr>
          <w:rFonts w:ascii="Times New Roman" w:eastAsia="Montserrat" w:hAnsi="Times New Roman" w:cs="Times New Roman"/>
        </w:rPr>
        <w:t xml:space="preserve"> y grado, el 79% asiste a las instituciones de educación estatal, mientras que el 21% restante corresponde a la matrícula privada. </w:t>
      </w:r>
      <w:r w:rsidR="00FB78E9" w:rsidRPr="00CD0209">
        <w:rPr>
          <w:rFonts w:ascii="Times New Roman" w:eastAsia="Montserrat" w:hAnsi="Times New Roman" w:cs="Times New Roman"/>
        </w:rPr>
        <w:t>En Chile</w:t>
      </w:r>
      <w:r w:rsidRPr="00CD0209">
        <w:rPr>
          <w:rFonts w:ascii="Times New Roman" w:eastAsia="Montserrat" w:hAnsi="Times New Roman" w:cs="Times New Roman"/>
        </w:rPr>
        <w:t xml:space="preserve">, a la inversa, del total de 1.277.340 estudiantes de grado, el 84% se concentra en el sector privado (sumando la matrícula de los CFT privados, IP, universidades privadas, universidades privadas del CRUCH), y el 16 % en el estatal (sumando universidades CRUCH estatales y CFT estatales). </w:t>
      </w:r>
    </w:p>
    <w:p w14:paraId="4F7F389E" w14:textId="49B95D26" w:rsidR="00B65C1B" w:rsidRPr="00CD0209" w:rsidRDefault="00B65C1B" w:rsidP="00B65C1B">
      <w:pPr>
        <w:shd w:val="clear" w:color="auto" w:fill="FFFFFF"/>
        <w:spacing w:after="120" w:line="240" w:lineRule="auto"/>
        <w:jc w:val="both"/>
        <w:rPr>
          <w:rFonts w:ascii="Times New Roman" w:eastAsia="Arial" w:hAnsi="Times New Roman" w:cs="Times New Roman"/>
        </w:rPr>
      </w:pPr>
      <w:r w:rsidRPr="00CD0209">
        <w:rPr>
          <w:rFonts w:ascii="Times New Roman" w:eastAsia="Arial" w:hAnsi="Times New Roman" w:cs="Times New Roman"/>
        </w:rPr>
        <w:t xml:space="preserve">Es decir que </w:t>
      </w:r>
      <w:r w:rsidR="00FB78E9" w:rsidRPr="00CD0209">
        <w:rPr>
          <w:rFonts w:ascii="Times New Roman" w:eastAsia="Arial" w:hAnsi="Times New Roman" w:cs="Times New Roman"/>
        </w:rPr>
        <w:t>en Chile</w:t>
      </w:r>
      <w:r w:rsidRPr="00CD0209">
        <w:rPr>
          <w:rFonts w:ascii="Times New Roman" w:eastAsia="Arial" w:hAnsi="Times New Roman" w:cs="Times New Roman"/>
        </w:rPr>
        <w:t xml:space="preserve"> 8 de cada 10 estudiantes asisten al sector privado; mientras que </w:t>
      </w:r>
      <w:r w:rsidR="00FB78E9" w:rsidRPr="00CD0209">
        <w:rPr>
          <w:rFonts w:ascii="Times New Roman" w:eastAsia="Arial" w:hAnsi="Times New Roman" w:cs="Times New Roman"/>
        </w:rPr>
        <w:t>en Argentina</w:t>
      </w:r>
      <w:r w:rsidRPr="00CD0209">
        <w:rPr>
          <w:rFonts w:ascii="Times New Roman" w:eastAsia="Arial" w:hAnsi="Times New Roman" w:cs="Times New Roman"/>
        </w:rPr>
        <w:t xml:space="preserve"> sólo 2 de cada 10 estudiantes lo hacen. Esto se replica, aunque con matices, si observamos los números de </w:t>
      </w:r>
      <w:proofErr w:type="spellStart"/>
      <w:r w:rsidRPr="00CD0209">
        <w:rPr>
          <w:rFonts w:ascii="Times New Roman" w:eastAsia="Arial" w:hAnsi="Times New Roman" w:cs="Times New Roman"/>
        </w:rPr>
        <w:t>egresadxs</w:t>
      </w:r>
      <w:proofErr w:type="spellEnd"/>
      <w:r w:rsidRPr="00CD0209">
        <w:rPr>
          <w:rFonts w:ascii="Times New Roman" w:eastAsia="Arial" w:hAnsi="Times New Roman" w:cs="Times New Roman"/>
        </w:rPr>
        <w:t xml:space="preserve">: mientras que </w:t>
      </w:r>
      <w:r w:rsidR="00FB78E9" w:rsidRPr="00CD0209">
        <w:rPr>
          <w:rFonts w:ascii="Times New Roman" w:eastAsia="Arial" w:hAnsi="Times New Roman" w:cs="Times New Roman"/>
        </w:rPr>
        <w:t>en Chile</w:t>
      </w:r>
      <w:r w:rsidRPr="00CD0209">
        <w:rPr>
          <w:rFonts w:ascii="Times New Roman" w:eastAsia="Arial" w:hAnsi="Times New Roman" w:cs="Times New Roman"/>
        </w:rPr>
        <w:t xml:space="preserve"> 9 de cada 10, pertenecen al sector privado; </w:t>
      </w:r>
      <w:r w:rsidR="00FB78E9" w:rsidRPr="00CD0209">
        <w:rPr>
          <w:rFonts w:ascii="Times New Roman" w:eastAsia="Arial" w:hAnsi="Times New Roman" w:cs="Times New Roman"/>
        </w:rPr>
        <w:t>en Argentina</w:t>
      </w:r>
      <w:r w:rsidRPr="00CD0209">
        <w:rPr>
          <w:rFonts w:ascii="Times New Roman" w:eastAsia="Arial" w:hAnsi="Times New Roman" w:cs="Times New Roman"/>
        </w:rPr>
        <w:t xml:space="preserve"> ese número se reduce a 3.</w:t>
      </w:r>
    </w:p>
    <w:p w14:paraId="5EABE4C8" w14:textId="03E439D0" w:rsidR="00B65C1B" w:rsidRPr="00CD0209" w:rsidRDefault="00B65C1B" w:rsidP="00B65C1B">
      <w:pPr>
        <w:shd w:val="clear" w:color="auto" w:fill="FFFFFF"/>
        <w:spacing w:after="120" w:line="240" w:lineRule="auto"/>
        <w:jc w:val="both"/>
        <w:rPr>
          <w:rFonts w:ascii="Times New Roman" w:eastAsia="Arial" w:hAnsi="Times New Roman" w:cs="Times New Roman"/>
        </w:rPr>
      </w:pPr>
      <w:r w:rsidRPr="00CD0209">
        <w:rPr>
          <w:rFonts w:ascii="Times New Roman" w:eastAsia="Arial" w:hAnsi="Times New Roman" w:cs="Times New Roman"/>
        </w:rPr>
        <w:t xml:space="preserve">Por otro lado, cabe resaltar que, si analizamos la distribución de la matrícula de posgrado, sucede algo peculiar en ambos sistemas. En el caso </w:t>
      </w:r>
      <w:r w:rsidR="00FB78E9" w:rsidRPr="00CD0209">
        <w:rPr>
          <w:rFonts w:ascii="Times New Roman" w:eastAsia="Arial" w:hAnsi="Times New Roman" w:cs="Times New Roman"/>
        </w:rPr>
        <w:t>de Argentina</w:t>
      </w:r>
      <w:r w:rsidRPr="00CD0209">
        <w:rPr>
          <w:rFonts w:ascii="Times New Roman" w:eastAsia="Arial" w:hAnsi="Times New Roman" w:cs="Times New Roman"/>
        </w:rPr>
        <w:t xml:space="preserve"> la concentración en el sector estatal es levemente inferior (75% contra 22% en privada y 3% en internacional) y, en el caso de Chile, la concentración en el sector privado disminuye 7 puntos porcentuales, obteniendo una distribución de 77% para el sector privado y 23% para el estatal. </w:t>
      </w:r>
    </w:p>
    <w:p w14:paraId="0374AF44" w14:textId="3681AB2F" w:rsidR="00B65C1B" w:rsidRPr="00CD0209" w:rsidRDefault="00B65C1B" w:rsidP="00B65C1B">
      <w:pPr>
        <w:spacing w:after="120" w:line="240" w:lineRule="auto"/>
        <w:jc w:val="both"/>
        <w:rPr>
          <w:rFonts w:ascii="Times New Roman" w:eastAsia="Arial" w:hAnsi="Times New Roman" w:cs="Times New Roman"/>
        </w:rPr>
      </w:pPr>
      <w:r w:rsidRPr="00CD0209">
        <w:rPr>
          <w:rFonts w:ascii="Times New Roman" w:eastAsia="Arial" w:hAnsi="Times New Roman" w:cs="Times New Roman"/>
        </w:rPr>
        <w:t xml:space="preserve">Por último, otro indicador que da cuenta del grado de privatización de cada sistema es el gasto total que se realiza en la ES por sector de gestión, donde observamos que, mientras </w:t>
      </w:r>
      <w:r w:rsidR="00FB78E9" w:rsidRPr="00CD0209">
        <w:rPr>
          <w:rFonts w:ascii="Times New Roman" w:eastAsia="Arial" w:hAnsi="Times New Roman" w:cs="Times New Roman"/>
        </w:rPr>
        <w:t>en Argentina</w:t>
      </w:r>
      <w:r w:rsidRPr="00CD0209">
        <w:rPr>
          <w:rFonts w:ascii="Times New Roman" w:eastAsia="Arial" w:hAnsi="Times New Roman" w:cs="Times New Roman"/>
        </w:rPr>
        <w:t xml:space="preserve"> la participación del sector privado representa apenas un 16%, </w:t>
      </w:r>
      <w:proofErr w:type="gramStart"/>
      <w:r w:rsidRPr="00CD0209">
        <w:rPr>
          <w:rFonts w:ascii="Times New Roman" w:eastAsia="Arial" w:hAnsi="Times New Roman" w:cs="Times New Roman"/>
        </w:rPr>
        <w:t>en</w:t>
      </w:r>
      <w:r w:rsidR="00844644">
        <w:rPr>
          <w:rFonts w:ascii="Times New Roman" w:eastAsia="Arial" w:hAnsi="Times New Roman" w:cs="Times New Roman"/>
        </w:rPr>
        <w:t xml:space="preserve">  </w:t>
      </w:r>
      <w:r w:rsidRPr="00CD0209">
        <w:rPr>
          <w:rFonts w:ascii="Times New Roman" w:eastAsia="Arial" w:hAnsi="Times New Roman" w:cs="Times New Roman"/>
        </w:rPr>
        <w:t>Chile</w:t>
      </w:r>
      <w:proofErr w:type="gramEnd"/>
      <w:r w:rsidRPr="00CD0209">
        <w:rPr>
          <w:rFonts w:ascii="Times New Roman" w:eastAsia="Arial" w:hAnsi="Times New Roman" w:cs="Times New Roman"/>
        </w:rPr>
        <w:t xml:space="preserve"> se presenta una distribución paritaria entre ambos sectores (Red índices 2024, datos del 2019). Aunque dentro del gasto privado que contempla aquellos recursos que reciben las instituciones desde </w:t>
      </w:r>
      <w:proofErr w:type="spellStart"/>
      <w:r w:rsidRPr="00CD0209">
        <w:rPr>
          <w:rFonts w:ascii="Times New Roman" w:eastAsia="Arial" w:hAnsi="Times New Roman" w:cs="Times New Roman"/>
        </w:rPr>
        <w:t>lxs</w:t>
      </w:r>
      <w:proofErr w:type="spellEnd"/>
      <w:r w:rsidRPr="00CD0209">
        <w:rPr>
          <w:rFonts w:ascii="Times New Roman" w:eastAsia="Arial" w:hAnsi="Times New Roman" w:cs="Times New Roman"/>
        </w:rPr>
        <w:t xml:space="preserve"> estudiantes y sus familias se contabilizan aquellos aportes que vienen de becas y/o créditos que, en realidad son en gran parte recursos fiscales, por lo cual se estima que el financiamiento estatal es </w:t>
      </w:r>
      <w:proofErr w:type="gramStart"/>
      <w:r w:rsidRPr="00CD0209">
        <w:rPr>
          <w:rFonts w:ascii="Times New Roman" w:eastAsia="Arial" w:hAnsi="Times New Roman" w:cs="Times New Roman"/>
        </w:rPr>
        <w:t>mayor</w:t>
      </w:r>
      <w:proofErr w:type="gramEnd"/>
      <w:r w:rsidRPr="00CD0209">
        <w:rPr>
          <w:rFonts w:ascii="Times New Roman" w:eastAsia="Arial" w:hAnsi="Times New Roman" w:cs="Times New Roman"/>
        </w:rPr>
        <w:t xml:space="preserve"> pero se destina al sector privado, como veremos en las próximas secciones del trabajo </w:t>
      </w:r>
    </w:p>
    <w:p w14:paraId="2E7478AE" w14:textId="12567EC5" w:rsidR="00B65C1B" w:rsidRDefault="00B65C1B" w:rsidP="00B65C1B">
      <w:pPr>
        <w:spacing w:after="120" w:line="240" w:lineRule="auto"/>
        <w:jc w:val="both"/>
        <w:rPr>
          <w:rFonts w:ascii="Times New Roman" w:eastAsia="Arial" w:hAnsi="Times New Roman" w:cs="Times New Roman"/>
        </w:rPr>
      </w:pPr>
      <w:r w:rsidRPr="00CD0209">
        <w:rPr>
          <w:rFonts w:ascii="Times New Roman" w:eastAsia="Arial" w:hAnsi="Times New Roman" w:cs="Times New Roman"/>
        </w:rPr>
        <w:t xml:space="preserve">Teniendo en cuenta la caracterización de ALC como una región </w:t>
      </w:r>
      <w:proofErr w:type="spellStart"/>
      <w:r w:rsidRPr="00CD0209">
        <w:rPr>
          <w:rFonts w:ascii="Times New Roman" w:eastAsia="Arial" w:hAnsi="Times New Roman" w:cs="Times New Roman"/>
        </w:rPr>
        <w:t>hiperprivatizada</w:t>
      </w:r>
      <w:proofErr w:type="spellEnd"/>
      <w:r w:rsidRPr="00CD0209">
        <w:rPr>
          <w:rFonts w:ascii="Times New Roman" w:eastAsia="Arial" w:hAnsi="Times New Roman" w:cs="Times New Roman"/>
        </w:rPr>
        <w:t>, estos datos generales de ambos sistemas nos permiten ubicarlos como dos extremos de un continuum de privatización, donde</w:t>
      </w:r>
      <w:r w:rsidR="00844644">
        <w:rPr>
          <w:rFonts w:ascii="Times New Roman" w:eastAsia="Arial" w:hAnsi="Times New Roman" w:cs="Times New Roman"/>
        </w:rPr>
        <w:t xml:space="preserve">  </w:t>
      </w:r>
      <w:r w:rsidRPr="00CD0209">
        <w:rPr>
          <w:rFonts w:ascii="Times New Roman" w:eastAsia="Arial" w:hAnsi="Times New Roman" w:cs="Times New Roman"/>
        </w:rPr>
        <w:t>Chile comparte características con otros sistemas y sobresale no sólo por la contundencia de estas variables sino, por su carácter pionero y la consolidación de un sistema estructuralmente orientado hacia el mercado; mientras que</w:t>
      </w:r>
      <w:r w:rsidR="00844644">
        <w:rPr>
          <w:rFonts w:ascii="Times New Roman" w:eastAsia="Arial" w:hAnsi="Times New Roman" w:cs="Times New Roman"/>
        </w:rPr>
        <w:t xml:space="preserve">  </w:t>
      </w:r>
      <w:r w:rsidRPr="00CD0209">
        <w:rPr>
          <w:rFonts w:ascii="Times New Roman" w:eastAsia="Arial" w:hAnsi="Times New Roman" w:cs="Times New Roman"/>
        </w:rPr>
        <w:t xml:space="preserve">Argentina, se posiciona como una excepción en la región, junto con Uruguay, Bolivia y por supuesto Cuba, al presentar los niveles más bajos de privatización, pero además por la centralidad que asumen las UUNN en el sistema, como veremos a continuación. </w:t>
      </w:r>
    </w:p>
    <w:p w14:paraId="07AB8937" w14:textId="77777777" w:rsidR="00744ECC" w:rsidRPr="00CD0209" w:rsidRDefault="00744ECC" w:rsidP="00B65C1B">
      <w:pPr>
        <w:spacing w:after="120" w:line="240" w:lineRule="auto"/>
        <w:jc w:val="both"/>
        <w:rPr>
          <w:rFonts w:ascii="Times New Roman" w:eastAsia="Arial" w:hAnsi="Times New Roman" w:cs="Times New Roman"/>
        </w:rPr>
      </w:pPr>
    </w:p>
    <w:p w14:paraId="078B8AA0" w14:textId="696C5561" w:rsidR="00AF2371" w:rsidRPr="00AF2371" w:rsidRDefault="00AF2371" w:rsidP="00AF2371">
      <w:pPr>
        <w:pStyle w:val="Prrafodelista"/>
        <w:numPr>
          <w:ilvl w:val="0"/>
          <w:numId w:val="1"/>
        </w:numPr>
        <w:spacing w:after="120" w:line="240" w:lineRule="auto"/>
        <w:jc w:val="both"/>
        <w:rPr>
          <w:rFonts w:ascii="Times New Roman" w:hAnsi="Times New Roman" w:cs="Times New Roman"/>
          <w:b/>
          <w:bCs/>
        </w:rPr>
      </w:pPr>
      <w:r w:rsidRPr="00AF2371">
        <w:rPr>
          <w:rFonts w:ascii="Times New Roman" w:hAnsi="Times New Roman" w:cs="Times New Roman"/>
          <w:b/>
          <w:bCs/>
        </w:rPr>
        <w:t xml:space="preserve">Trayectorias hacia la privatización y el lugar de lo público </w:t>
      </w:r>
    </w:p>
    <w:p w14:paraId="0F51DFCA" w14:textId="7326AF75" w:rsidR="00AF2371" w:rsidRPr="00CD0209" w:rsidRDefault="00AF2371" w:rsidP="00AF2371">
      <w:pPr>
        <w:spacing w:after="120" w:line="240" w:lineRule="auto"/>
        <w:jc w:val="both"/>
        <w:rPr>
          <w:rFonts w:ascii="Times New Roman" w:hAnsi="Times New Roman" w:cs="Times New Roman"/>
          <w:b/>
          <w:bCs/>
        </w:rPr>
      </w:pPr>
      <w:r>
        <w:rPr>
          <w:rFonts w:ascii="Times New Roman" w:hAnsi="Times New Roman" w:cs="Times New Roman"/>
          <w:b/>
          <w:bCs/>
        </w:rPr>
        <w:t>2</w:t>
      </w:r>
      <w:r w:rsidRPr="00CD0209">
        <w:rPr>
          <w:rFonts w:ascii="Times New Roman" w:hAnsi="Times New Roman" w:cs="Times New Roman"/>
          <w:b/>
          <w:bCs/>
        </w:rPr>
        <w:t xml:space="preserve">.1 Trayectorias hacia la privatización y el lugar de lo público </w:t>
      </w:r>
      <w:r w:rsidRPr="00CD0209">
        <w:rPr>
          <w:rFonts w:ascii="Times New Roman" w:hAnsi="Times New Roman" w:cs="Times New Roman"/>
          <w:b/>
          <w:bCs/>
        </w:rPr>
        <w:t>en Argentina</w:t>
      </w:r>
      <w:r w:rsidRPr="00CD0209">
        <w:rPr>
          <w:rFonts w:ascii="Times New Roman" w:hAnsi="Times New Roman" w:cs="Times New Roman"/>
          <w:b/>
          <w:bCs/>
        </w:rPr>
        <w:t xml:space="preserve"> </w:t>
      </w:r>
    </w:p>
    <w:p w14:paraId="5302FCAF" w14:textId="77777777" w:rsidR="00AF2371" w:rsidRPr="00CD0209" w:rsidRDefault="00AF2371" w:rsidP="00AF2371">
      <w:pPr>
        <w:spacing w:after="120" w:line="240" w:lineRule="auto"/>
        <w:jc w:val="both"/>
        <w:rPr>
          <w:rFonts w:ascii="Times New Roman" w:eastAsia="Arial" w:hAnsi="Times New Roman" w:cs="Times New Roman"/>
        </w:rPr>
      </w:pPr>
      <w:r w:rsidRPr="00CD0209">
        <w:rPr>
          <w:rFonts w:ascii="Times New Roman" w:eastAsia="Arial" w:hAnsi="Times New Roman" w:cs="Times New Roman"/>
          <w:bCs/>
        </w:rPr>
        <w:t xml:space="preserve">El sistema universitario argentino se caracteriza por una matriz público–estatal que constituye su marca identitaria y que se observa en </w:t>
      </w:r>
      <w:r w:rsidRPr="00CD0209">
        <w:rPr>
          <w:rFonts w:ascii="Times New Roman" w:eastAsia="Arial" w:hAnsi="Times New Roman" w:cs="Times New Roman"/>
        </w:rPr>
        <w:t xml:space="preserve">una dimensión cuantitativa: en términos de distribución de la matrícula, la oferta, el peso de los recursos del sector público-estatal como también su centralidad en cantidad de </w:t>
      </w:r>
      <w:proofErr w:type="spellStart"/>
      <w:r w:rsidRPr="00CD0209">
        <w:rPr>
          <w:rFonts w:ascii="Times New Roman" w:eastAsia="Montserrat" w:hAnsi="Times New Roman" w:cs="Times New Roman"/>
        </w:rPr>
        <w:t>investigadorxs</w:t>
      </w:r>
      <w:proofErr w:type="spellEnd"/>
      <w:r w:rsidRPr="00CD0209">
        <w:rPr>
          <w:rFonts w:ascii="Times New Roman" w:eastAsia="Montserrat" w:hAnsi="Times New Roman" w:cs="Times New Roman"/>
        </w:rPr>
        <w:t xml:space="preserve"> y producción de conocimiento</w:t>
      </w:r>
      <w:r w:rsidRPr="00CD0209">
        <w:rPr>
          <w:rFonts w:ascii="Times New Roman" w:eastAsia="Arial" w:hAnsi="Times New Roman" w:cs="Times New Roman"/>
        </w:rPr>
        <w:t xml:space="preserve">; y en una dimensión simbólica, por la centralidad que tienen dentro del </w:t>
      </w:r>
      <w:r w:rsidRPr="00CD0209">
        <w:rPr>
          <w:rFonts w:ascii="Times New Roman" w:eastAsia="Arial" w:hAnsi="Times New Roman" w:cs="Times New Roman"/>
        </w:rPr>
        <w:lastRenderedPageBreak/>
        <w:t xml:space="preserve">conglomerado de instituciones de ES, las Universidades Nacionales (UUNN), dando cuenta de un sistema con bajo nivel de privatización. </w:t>
      </w:r>
    </w:p>
    <w:p w14:paraId="34A4972C" w14:textId="47B686B4" w:rsidR="00AF2371" w:rsidRPr="00CD0209" w:rsidRDefault="00AF2371" w:rsidP="00AF2371">
      <w:pPr>
        <w:spacing w:after="120" w:line="240" w:lineRule="auto"/>
        <w:jc w:val="both"/>
        <w:rPr>
          <w:rFonts w:ascii="Times New Roman" w:eastAsia="Montserrat" w:hAnsi="Times New Roman" w:cs="Times New Roman"/>
        </w:rPr>
      </w:pPr>
      <w:r w:rsidRPr="00CD0209">
        <w:rPr>
          <w:rFonts w:ascii="Times New Roman" w:hAnsi="Times New Roman" w:cs="Times New Roman"/>
        </w:rPr>
        <w:t>Podría decirse que el sistema universitario argentino inicia su trayectoria hacia la privatización de manera tardía respecto de sus pares en la región</w:t>
      </w:r>
      <w:r w:rsidRPr="00CD0209">
        <w:rPr>
          <w:rFonts w:ascii="Times New Roman" w:eastAsia="Montserrat" w:hAnsi="Times New Roman" w:cs="Times New Roman"/>
        </w:rPr>
        <w:t xml:space="preserve"> que, entre fines de siglo XIX y principios de siglo XX, vieron emerger muy tempranamente universidades privadas</w:t>
      </w:r>
      <w:r w:rsidRPr="00CD0209">
        <w:rPr>
          <w:rFonts w:ascii="Times New Roman" w:hAnsi="Times New Roman" w:cs="Times New Roman"/>
        </w:rPr>
        <w:t xml:space="preserve">. </w:t>
      </w:r>
      <w:r w:rsidRPr="00CD0209">
        <w:rPr>
          <w:rFonts w:ascii="Times New Roman" w:eastAsia="Montserrat" w:hAnsi="Times New Roman" w:cs="Times New Roman"/>
        </w:rPr>
        <w:t xml:space="preserve">La primera etapa se inicia </w:t>
      </w:r>
      <w:r w:rsidRPr="00CD0209">
        <w:rPr>
          <w:rFonts w:ascii="Times New Roman" w:eastAsia="Montserrat" w:hAnsi="Times New Roman" w:cs="Times New Roman"/>
        </w:rPr>
        <w:t>en Argentina</w:t>
      </w:r>
      <w:r w:rsidRPr="00CD0209">
        <w:rPr>
          <w:rFonts w:ascii="Times New Roman" w:eastAsia="Montserrat" w:hAnsi="Times New Roman" w:cs="Times New Roman"/>
        </w:rPr>
        <w:t xml:space="preserve"> recién a fines de los años 50 y se extiende en el tiempo hasta finales de los años 60. En este período emergen dos modelos de universidad: las universidades católicas y las laicas de corte más profesional, no elitistas. La mayor parte de dichas instituciones surgen impulsadas por la Iglesia Católica, como alternativa al modelo hegemónico de carácter universitario, laico, autónomo, cogestionado, imperante luego de la Reforma Universitaria de 1918. En este período surgen los primeros marcos regulatorios para el sector y como resultado de esta primera etapa, se observan unos primeros pasos hacia la diversificación institucional, con el surgimiento de un sector privado que se diferenciaba del estatal principalmente en lo concerniente al financiamiento, al modelo de gestión y al gobierno de las instituciones, pero que compartía una primacía del patrón académico </w:t>
      </w:r>
      <w:proofErr w:type="spellStart"/>
      <w:r w:rsidRPr="00CD0209">
        <w:rPr>
          <w:rFonts w:ascii="Times New Roman" w:eastAsia="Montserrat" w:hAnsi="Times New Roman" w:cs="Times New Roman"/>
        </w:rPr>
        <w:t>profesionalista</w:t>
      </w:r>
      <w:proofErr w:type="spellEnd"/>
      <w:r w:rsidRPr="00CD0209">
        <w:rPr>
          <w:rFonts w:ascii="Times New Roman" w:eastAsia="Montserrat" w:hAnsi="Times New Roman" w:cs="Times New Roman"/>
        </w:rPr>
        <w:t>, en este caso con una amplia presencia de las carreras de “tiza y pizarrón”.</w:t>
      </w:r>
    </w:p>
    <w:p w14:paraId="29484568" w14:textId="77777777" w:rsidR="00AF2371" w:rsidRPr="00CD0209" w:rsidRDefault="00AF2371" w:rsidP="00AF2371">
      <w:pPr>
        <w:spacing w:after="120" w:line="240" w:lineRule="auto"/>
        <w:jc w:val="both"/>
        <w:rPr>
          <w:rFonts w:ascii="Times New Roman" w:eastAsia="Arial" w:hAnsi="Times New Roman" w:cs="Times New Roman"/>
        </w:rPr>
      </w:pPr>
      <w:r w:rsidRPr="00CD0209">
        <w:rPr>
          <w:rFonts w:ascii="Times New Roman" w:eastAsia="Montserrat" w:hAnsi="Times New Roman" w:cs="Times New Roman"/>
        </w:rPr>
        <w:t xml:space="preserve">Recién hacia la década del 90, en un contexto de polarización social, se puede identificar una nueva etapa de expansión del sector privado que supuso un primer momento breve (1989-1996) de crecimiento desregulado y una expansión superlativa de dos tipos de instituciones de manera concomitante: por un lado, las instituciones privadas con orientación académica volcadas a la investigación y el posgrado; por otro, las instituciones con una fuerte orientación profesional, menores costos y centradas en el otorgamiento de credenciales. De allí que </w:t>
      </w:r>
      <w:proofErr w:type="spellStart"/>
      <w:r w:rsidRPr="00CD0209">
        <w:rPr>
          <w:rFonts w:ascii="Times New Roman" w:eastAsia="Montserrat" w:hAnsi="Times New Roman" w:cs="Times New Roman"/>
        </w:rPr>
        <w:t>varixs</w:t>
      </w:r>
      <w:proofErr w:type="spellEnd"/>
      <w:r w:rsidRPr="00CD0209">
        <w:rPr>
          <w:rFonts w:ascii="Times New Roman" w:eastAsia="Montserrat" w:hAnsi="Times New Roman" w:cs="Times New Roman"/>
        </w:rPr>
        <w:t xml:space="preserve"> </w:t>
      </w:r>
      <w:proofErr w:type="spellStart"/>
      <w:r w:rsidRPr="00CD0209">
        <w:rPr>
          <w:rFonts w:ascii="Times New Roman" w:eastAsia="Montserrat" w:hAnsi="Times New Roman" w:cs="Times New Roman"/>
        </w:rPr>
        <w:t>autorxs</w:t>
      </w:r>
      <w:proofErr w:type="spellEnd"/>
      <w:r w:rsidRPr="00CD0209">
        <w:rPr>
          <w:rFonts w:ascii="Times New Roman" w:eastAsia="Montserrat" w:hAnsi="Times New Roman" w:cs="Times New Roman"/>
        </w:rPr>
        <w:t xml:space="preserve"> (Del Bello et. al, 2007) consignan el período como el momento de </w:t>
      </w:r>
      <w:r w:rsidRPr="00CD0209">
        <w:rPr>
          <w:rFonts w:ascii="Times New Roman" w:eastAsia="Montserrat" w:hAnsi="Times New Roman" w:cs="Times New Roman"/>
          <w:i/>
        </w:rPr>
        <w:t>la gran expansión</w:t>
      </w:r>
      <w:r w:rsidRPr="00CD0209">
        <w:rPr>
          <w:rFonts w:ascii="Times New Roman" w:eastAsia="Montserrat" w:hAnsi="Times New Roman" w:cs="Times New Roman"/>
        </w:rPr>
        <w:t xml:space="preserve"> o el “boom” del sector. En este escenario se observa que la diversificación de la oferta del sistema generó las condiciones para la competencia institucional y el desarrollo del sector privado. Al mismo tiempo, se impulsó una agenda universitaria que promovía la evaluación tanto de instituciones como de carreras; la mercantilización del sector público con el arancelamiento y la diversificación de las fuentes de financiamiento para generar recursos propios; la limitación en el acceso al sector público con exámenes de ingreso restricto y la diversificación institucional, configurando hacia 1995 un SES ampliado y cada vez más heterogéneo en términos de perfiles institucionales. </w:t>
      </w:r>
      <w:r w:rsidRPr="00CD0209">
        <w:rPr>
          <w:rFonts w:ascii="Times New Roman" w:eastAsia="Arial" w:hAnsi="Times New Roman" w:cs="Times New Roman"/>
        </w:rPr>
        <w:t xml:space="preserve">Proceso que tiende a mermar luego de la sanción de la Ley de Educación Superior (LES), que inaugura </w:t>
      </w:r>
      <w:r w:rsidRPr="00CD0209">
        <w:rPr>
          <w:rFonts w:ascii="Times New Roman" w:eastAsia="Montserrat" w:hAnsi="Times New Roman" w:cs="Times New Roman"/>
        </w:rPr>
        <w:t>un nuevo escenario sistémico de regulación sobre todo el sistema</w:t>
      </w:r>
      <w:r w:rsidRPr="00CD0209">
        <w:rPr>
          <w:rFonts w:ascii="Times New Roman" w:eastAsia="Arial" w:hAnsi="Times New Roman" w:cs="Times New Roman"/>
        </w:rPr>
        <w:t xml:space="preserve"> y la puesta en marcha de la Comisión Nacional de Evaluación y Acreditación Universitaria (CONEAU) y su fuerte impronta regulatoria que oficiaría </w:t>
      </w:r>
      <w:r w:rsidRPr="00CD0209">
        <w:rPr>
          <w:rFonts w:ascii="Times New Roman" w:eastAsia="Montserrat" w:hAnsi="Times New Roman" w:cs="Times New Roman"/>
        </w:rPr>
        <w:t xml:space="preserve">de contención a la proliferación desbocada de nuevas instituciones de muy baja calidad y escasa infraestructura, como sucedió en otros países de la región, garantizando sostener la legitimidad de todo el sistema. </w:t>
      </w:r>
    </w:p>
    <w:p w14:paraId="549B7920" w14:textId="77777777" w:rsidR="00AF2371" w:rsidRPr="00CD0209" w:rsidRDefault="00AF2371" w:rsidP="00AF2371">
      <w:pPr>
        <w:spacing w:after="120" w:line="240" w:lineRule="auto"/>
        <w:jc w:val="both"/>
        <w:rPr>
          <w:rFonts w:ascii="Times New Roman" w:eastAsia="Arial" w:hAnsi="Times New Roman" w:cs="Times New Roman"/>
        </w:rPr>
      </w:pPr>
      <w:r w:rsidRPr="00CD0209">
        <w:rPr>
          <w:rFonts w:ascii="Times New Roman" w:eastAsia="Arial" w:hAnsi="Times New Roman" w:cs="Times New Roman"/>
        </w:rPr>
        <w:t xml:space="preserve">Por último, un tercer momento que abarca los últimos 25 años, de expansión moderada pero sostenida, en la que se crean mayormente institutos universitarios y del sector salud, rama disciplinar que pasará a tener un peso específico dentro de la oferta del sector. </w:t>
      </w:r>
    </w:p>
    <w:p w14:paraId="6B82B25D" w14:textId="017522FA" w:rsidR="00AF2371" w:rsidRPr="00CD0209" w:rsidRDefault="00AF2371" w:rsidP="00AF2371">
      <w:pPr>
        <w:spacing w:after="120" w:line="240" w:lineRule="auto"/>
        <w:jc w:val="both"/>
        <w:rPr>
          <w:rFonts w:ascii="Times New Roman" w:eastAsia="Arial" w:hAnsi="Times New Roman" w:cs="Times New Roman"/>
        </w:rPr>
      </w:pPr>
      <w:r w:rsidRPr="00CD0209">
        <w:rPr>
          <w:rFonts w:ascii="Times New Roman" w:eastAsia="Arial" w:hAnsi="Times New Roman" w:cs="Times New Roman"/>
        </w:rPr>
        <w:lastRenderedPageBreak/>
        <w:t xml:space="preserve">En suma, tanto las formas de asumieron la configuración del sector público y la del privado, como el rol central que tuvo la CONEAU desde 1996 como ente regulador de la expansión cuantitativa pero también cualitativa del sistema, abonaron a “contener” el fenómeno de privatización y mercantilización en el país, constituyendo </w:t>
      </w:r>
      <w:proofErr w:type="gramStart"/>
      <w:r w:rsidRPr="00CD0209">
        <w:rPr>
          <w:rFonts w:ascii="Times New Roman" w:eastAsia="Arial" w:hAnsi="Times New Roman" w:cs="Times New Roman"/>
        </w:rPr>
        <w:t>a</w:t>
      </w:r>
      <w:r w:rsidR="00844644">
        <w:rPr>
          <w:rFonts w:ascii="Times New Roman" w:eastAsia="Arial" w:hAnsi="Times New Roman" w:cs="Times New Roman"/>
        </w:rPr>
        <w:t xml:space="preserve">  </w:t>
      </w:r>
      <w:r w:rsidRPr="00CD0209">
        <w:rPr>
          <w:rFonts w:ascii="Times New Roman" w:eastAsia="Arial" w:hAnsi="Times New Roman" w:cs="Times New Roman"/>
        </w:rPr>
        <w:t>Argentina</w:t>
      </w:r>
      <w:proofErr w:type="gramEnd"/>
      <w:r w:rsidRPr="00CD0209">
        <w:rPr>
          <w:rFonts w:ascii="Times New Roman" w:eastAsia="Arial" w:hAnsi="Times New Roman" w:cs="Times New Roman"/>
        </w:rPr>
        <w:t xml:space="preserve"> como una </w:t>
      </w:r>
      <w:r w:rsidRPr="00CD0209">
        <w:rPr>
          <w:rFonts w:ascii="Times New Roman" w:eastAsia="Arial" w:hAnsi="Times New Roman" w:cs="Times New Roman"/>
          <w:i/>
        </w:rPr>
        <w:t xml:space="preserve">excepción </w:t>
      </w:r>
      <w:r w:rsidRPr="00CD0209">
        <w:rPr>
          <w:rFonts w:ascii="Times New Roman" w:eastAsia="Arial" w:hAnsi="Times New Roman" w:cs="Times New Roman"/>
        </w:rPr>
        <w:t xml:space="preserve">en la región. </w:t>
      </w:r>
    </w:p>
    <w:p w14:paraId="10018FA7" w14:textId="77777777" w:rsidR="00AF2371" w:rsidRPr="00CD0209" w:rsidRDefault="00AF2371" w:rsidP="00AF2371">
      <w:pPr>
        <w:spacing w:after="120" w:line="240" w:lineRule="auto"/>
        <w:jc w:val="both"/>
        <w:rPr>
          <w:rFonts w:ascii="Times New Roman" w:eastAsia="Arial" w:hAnsi="Times New Roman" w:cs="Times New Roman"/>
        </w:rPr>
      </w:pPr>
      <w:r w:rsidRPr="00CD0209">
        <w:rPr>
          <w:rFonts w:ascii="Times New Roman" w:eastAsia="Arial" w:hAnsi="Times New Roman" w:cs="Times New Roman"/>
        </w:rPr>
        <w:t xml:space="preserve">En este sentido, se observan momentos precisos en los que el sector privado tuvo “ventanas de oportunidad” para incrementar su participación en el mundo universitario en términos de buscar una mayor rentabilidad, pero también en términos ideológicos, promoviendo la idea de que “lo privado es mejor” y con ello la </w:t>
      </w:r>
      <w:proofErr w:type="spellStart"/>
      <w:r w:rsidRPr="00CD0209">
        <w:rPr>
          <w:rFonts w:ascii="Times New Roman" w:eastAsia="Arial" w:hAnsi="Times New Roman" w:cs="Times New Roman"/>
        </w:rPr>
        <w:t>desjerarquización</w:t>
      </w:r>
      <w:proofErr w:type="spellEnd"/>
      <w:r w:rsidRPr="00CD0209">
        <w:rPr>
          <w:rFonts w:ascii="Times New Roman" w:eastAsia="Arial" w:hAnsi="Times New Roman" w:cs="Times New Roman"/>
        </w:rPr>
        <w:t xml:space="preserve"> de lo público. </w:t>
      </w:r>
    </w:p>
    <w:p w14:paraId="26F0A281" w14:textId="77777777" w:rsidR="00AF2371" w:rsidRPr="00CD0209" w:rsidRDefault="00AF2371" w:rsidP="00AF2371">
      <w:pPr>
        <w:spacing w:after="120" w:line="240" w:lineRule="auto"/>
        <w:jc w:val="both"/>
        <w:rPr>
          <w:rFonts w:ascii="Times New Roman" w:eastAsia="Arial" w:hAnsi="Times New Roman" w:cs="Times New Roman"/>
        </w:rPr>
      </w:pPr>
      <w:r w:rsidRPr="00CD0209">
        <w:rPr>
          <w:rFonts w:ascii="Times New Roman" w:eastAsia="Arial" w:hAnsi="Times New Roman" w:cs="Times New Roman"/>
        </w:rPr>
        <w:t xml:space="preserve">El actual escenario, donde se desarrolla un ataque material y simbólico a las UUNN por parte del gobierno nacional, con fuertes ajustes presupuestarios que restringen el desarrollo cotidiano de las instituciones, aparece propicio para el recrudecimiento de la avanzada privatizadora en el país. </w:t>
      </w:r>
    </w:p>
    <w:p w14:paraId="78970879" w14:textId="77777777" w:rsidR="00AF2371" w:rsidRPr="00CD0209" w:rsidRDefault="00AF2371" w:rsidP="00AF2371">
      <w:pPr>
        <w:spacing w:after="120" w:line="240" w:lineRule="auto"/>
        <w:jc w:val="both"/>
        <w:rPr>
          <w:rFonts w:ascii="Times New Roman" w:hAnsi="Times New Roman" w:cs="Times New Roman"/>
        </w:rPr>
      </w:pPr>
    </w:p>
    <w:p w14:paraId="552D1373" w14:textId="5C88995B" w:rsidR="00AF2371" w:rsidRPr="00CD0209" w:rsidRDefault="00AF2371" w:rsidP="00AF2371">
      <w:pPr>
        <w:spacing w:after="120" w:line="240" w:lineRule="auto"/>
        <w:jc w:val="both"/>
        <w:rPr>
          <w:rFonts w:ascii="Times New Roman" w:hAnsi="Times New Roman" w:cs="Times New Roman"/>
          <w:b/>
          <w:bCs/>
        </w:rPr>
      </w:pPr>
      <w:r>
        <w:rPr>
          <w:rFonts w:ascii="Times New Roman" w:hAnsi="Times New Roman" w:cs="Times New Roman"/>
          <w:b/>
          <w:bCs/>
        </w:rPr>
        <w:t>2</w:t>
      </w:r>
      <w:r w:rsidRPr="00CD0209">
        <w:rPr>
          <w:rFonts w:ascii="Times New Roman" w:hAnsi="Times New Roman" w:cs="Times New Roman"/>
          <w:b/>
          <w:bCs/>
        </w:rPr>
        <w:t xml:space="preserve">.2 Trayectorias hacia la privatización y el lugar de lo público </w:t>
      </w:r>
      <w:r w:rsidRPr="00CD0209">
        <w:rPr>
          <w:rFonts w:ascii="Times New Roman" w:hAnsi="Times New Roman" w:cs="Times New Roman"/>
          <w:b/>
          <w:bCs/>
        </w:rPr>
        <w:t>en Chile</w:t>
      </w:r>
      <w:r w:rsidRPr="00CD0209">
        <w:rPr>
          <w:rFonts w:ascii="Times New Roman" w:hAnsi="Times New Roman" w:cs="Times New Roman"/>
          <w:b/>
          <w:bCs/>
        </w:rPr>
        <w:t xml:space="preserve"> </w:t>
      </w:r>
    </w:p>
    <w:p w14:paraId="4266F661" w14:textId="541AA63E" w:rsidR="00AF2371" w:rsidRPr="00CD0209" w:rsidRDefault="00AF2371" w:rsidP="00AF2371">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En términos históricos, se pueden señalar dos etapas fundamentales de privatización e incorporación de procesos de mercantilización en la </w:t>
      </w:r>
      <w:r w:rsidRPr="00CD0209">
        <w:rPr>
          <w:rFonts w:ascii="Times New Roman" w:eastAsia="Montserrat" w:hAnsi="Times New Roman" w:cs="Times New Roman"/>
        </w:rPr>
        <w:t xml:space="preserve">ES </w:t>
      </w:r>
      <w:r>
        <w:rPr>
          <w:rFonts w:ascii="Times New Roman" w:eastAsia="Montserrat" w:hAnsi="Times New Roman" w:cs="Times New Roman"/>
        </w:rPr>
        <w:t>c</w:t>
      </w:r>
      <w:r w:rsidRPr="00CD0209">
        <w:rPr>
          <w:rFonts w:ascii="Times New Roman" w:eastAsia="Montserrat" w:hAnsi="Times New Roman" w:cs="Times New Roman"/>
        </w:rPr>
        <w:t>hilena</w:t>
      </w:r>
      <w:r w:rsidRPr="00CD0209">
        <w:rPr>
          <w:rFonts w:ascii="Times New Roman" w:eastAsia="Montserrat" w:hAnsi="Times New Roman" w:cs="Times New Roman"/>
        </w:rPr>
        <w:t xml:space="preserve">, y luego una tercera etapa atravesada por oscilaciones entre políticas que profundizan el esquema privatista y otras que lo tensionan como respuesta a la demanda social. En primer lugar, la transformación estructural que impulsó la dictadura de Augusto Pinochet en la década del 80 (1980-1990). Luego, las modificaciones sobre esa estructura mercantilizada que supusieron las políticas implementadas por los gobiernos de la Concertación durante la década del 90 y los primeros años del nuevo siglo (1990-2006). Por último, los vaivenes políticos que conllevó la alternancia entre los gobiernos de Michelle Bachelet y Sebastián Piñera y, por último, Gabriel Boric, en un contexto de fuerte cuestionamiento social respecto del lucro en el sistema universitario (2006-2026). </w:t>
      </w:r>
    </w:p>
    <w:p w14:paraId="0306B970" w14:textId="6C2D72E1" w:rsidR="00AF2371" w:rsidRPr="00CD0209" w:rsidRDefault="00AF2371" w:rsidP="00AF2371">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Hay un gran acuerdo en señalar que es en la década del 80 cuando se reescribe la historia de las universidades en el marco de la radical reestructuración del sector educativo que llevó a cabo la dictadura de Augusto Pinochet. Hasta ese momento, el SES</w:t>
      </w:r>
      <w:r w:rsidR="00844644">
        <w:rPr>
          <w:rFonts w:ascii="Times New Roman" w:eastAsia="Montserrat" w:hAnsi="Times New Roman" w:cs="Times New Roman"/>
        </w:rPr>
        <w:t xml:space="preserve">  </w:t>
      </w:r>
      <w:r w:rsidRPr="00CD0209">
        <w:rPr>
          <w:rFonts w:ascii="Times New Roman" w:eastAsia="Montserrat" w:hAnsi="Times New Roman" w:cs="Times New Roman"/>
        </w:rPr>
        <w:t>Chileno se conformaba por dos universidades públicas y seis universidades privadas con subvención estatal, creadas tempranamente en comparación a sus pares latinoamericanas, y que tenían un fuerte rol en su vinculación con lo público, en tanto el país contaba con una fuerte tradición de un Estado Docente en el que la educación privada ocupaba un lugar central como complementaria del Estado a partir del principio de libertad de enseñanza (Fondo de Investigación y Desarrollo en Educación [FONIDE], 2009).</w:t>
      </w:r>
    </w:p>
    <w:p w14:paraId="3404BB21" w14:textId="7E8D4213" w:rsidR="00AF2371" w:rsidRPr="00CD0209" w:rsidRDefault="00AF2371" w:rsidP="00AF2371">
      <w:pPr>
        <w:spacing w:after="120" w:line="240" w:lineRule="auto"/>
        <w:jc w:val="both"/>
        <w:rPr>
          <w:rFonts w:ascii="Times New Roman" w:eastAsia="Montserrat" w:hAnsi="Times New Roman" w:cs="Times New Roman"/>
          <w:i/>
          <w:vertAlign w:val="superscript"/>
        </w:rPr>
      </w:pPr>
      <w:r w:rsidRPr="00CD0209">
        <w:rPr>
          <w:rFonts w:ascii="Times New Roman" w:eastAsia="Montserrat" w:hAnsi="Times New Roman" w:cs="Times New Roman"/>
        </w:rPr>
        <w:t xml:space="preserve">Este </w:t>
      </w:r>
      <w:r w:rsidRPr="00CD0209">
        <w:rPr>
          <w:rFonts w:ascii="Times New Roman" w:eastAsia="Montserrat" w:hAnsi="Times New Roman" w:cs="Times New Roman"/>
          <w:i/>
        </w:rPr>
        <w:t>campo organizacional tradicional</w:t>
      </w:r>
      <w:r w:rsidRPr="00CD0209">
        <w:rPr>
          <w:rFonts w:ascii="Times New Roman" w:eastAsia="Montserrat" w:hAnsi="Times New Roman" w:cs="Times New Roman"/>
        </w:rPr>
        <w:t xml:space="preserve"> (Brunner, 2014) cobró forma hacia la década del 50 cuando la Universidad </w:t>
      </w:r>
      <w:r w:rsidRPr="00CD0209">
        <w:rPr>
          <w:rFonts w:ascii="Times New Roman" w:eastAsia="Montserrat" w:hAnsi="Times New Roman" w:cs="Times New Roman"/>
        </w:rPr>
        <w:t>de Chile</w:t>
      </w:r>
      <w:r w:rsidRPr="00CD0209">
        <w:rPr>
          <w:rFonts w:ascii="Times New Roman" w:eastAsia="Montserrat" w:hAnsi="Times New Roman" w:cs="Times New Roman"/>
        </w:rPr>
        <w:t xml:space="preserve"> pierde el predominio legal como representante exclusiva del Estado Docente y resiente su rol regente del sistema, constituyéndose un régimen mixto a partir de la obtención por parte de las instituciones privadas del derecho a examinar, certificar y habilitar autónomamente a sus estudiantes. Esta incorporación de las universidades privadas –confesionales y no confesionales– a la esfera pública </w:t>
      </w:r>
      <w:proofErr w:type="gramStart"/>
      <w:r w:rsidRPr="00CD0209">
        <w:rPr>
          <w:rFonts w:ascii="Times New Roman" w:eastAsia="Montserrat" w:hAnsi="Times New Roman" w:cs="Times New Roman"/>
        </w:rPr>
        <w:t xml:space="preserve">vino </w:t>
      </w:r>
      <w:r w:rsidRPr="00CD0209">
        <w:rPr>
          <w:rFonts w:ascii="Times New Roman" w:eastAsia="Montserrat" w:hAnsi="Times New Roman" w:cs="Times New Roman"/>
        </w:rPr>
        <w:lastRenderedPageBreak/>
        <w:t>acompañada luego</w:t>
      </w:r>
      <w:proofErr w:type="gramEnd"/>
      <w:r w:rsidRPr="00CD0209">
        <w:rPr>
          <w:rFonts w:ascii="Times New Roman" w:eastAsia="Montserrat" w:hAnsi="Times New Roman" w:cs="Times New Roman"/>
        </w:rPr>
        <w:t xml:space="preserve"> de financiamiento estatal bajo el formato de subvenciones. En términos organizacionales, este proceso se cristalizó en 1954 en la creación del CRUCH que, con el tiempo, se convirtió en un órgano rector del sistema. Estas universidades se caracterizaban por una alta selectividad y una baja cobertura de la matrícula. </w:t>
      </w:r>
    </w:p>
    <w:p w14:paraId="348BB8BC" w14:textId="19BFB9AC" w:rsidR="00AF2371" w:rsidRPr="00CD0209" w:rsidRDefault="00AF2371" w:rsidP="00AF2371">
      <w:pPr>
        <w:pBdr>
          <w:top w:val="nil"/>
          <w:left w:val="nil"/>
          <w:bottom w:val="nil"/>
          <w:right w:val="nil"/>
          <w:between w:val="nil"/>
        </w:pBd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Sobre esta configuración consolidada como un sistema de élite que marca fuertemente la matriz originaria del </w:t>
      </w:r>
      <w:r w:rsidR="00E41471" w:rsidRPr="00CD0209">
        <w:rPr>
          <w:rFonts w:ascii="Times New Roman" w:eastAsia="Montserrat" w:hAnsi="Times New Roman" w:cs="Times New Roman"/>
        </w:rPr>
        <w:t xml:space="preserve">SES </w:t>
      </w:r>
      <w:r w:rsidR="00E41471">
        <w:rPr>
          <w:rFonts w:ascii="Times New Roman" w:eastAsia="Montserrat" w:hAnsi="Times New Roman" w:cs="Times New Roman"/>
        </w:rPr>
        <w:t>c</w:t>
      </w:r>
      <w:r w:rsidR="00E41471" w:rsidRPr="00CD0209">
        <w:rPr>
          <w:rFonts w:ascii="Times New Roman" w:eastAsia="Montserrat" w:hAnsi="Times New Roman" w:cs="Times New Roman"/>
        </w:rPr>
        <w:t>hileno</w:t>
      </w:r>
      <w:r w:rsidRPr="00CD0209">
        <w:rPr>
          <w:rFonts w:ascii="Times New Roman" w:eastAsia="Montserrat" w:hAnsi="Times New Roman" w:cs="Times New Roman"/>
        </w:rPr>
        <w:t xml:space="preserve"> y la singular posición de las universidades privadas tradicionales en el país, se imprime en los años 1967 y 1968 una reforma universitaria heredera de los vientos de cambios que se propagaron por el continente desde la reforma cordobesa de 1918, en diálogo con una creciente movilización social, cultural y política que atravesaba a gran parte de América Latina. </w:t>
      </w:r>
    </w:p>
    <w:p w14:paraId="6F3AC34F" w14:textId="77777777" w:rsidR="00AF2371" w:rsidRPr="00CD0209" w:rsidRDefault="00AF2371" w:rsidP="00AF2371">
      <w:pPr>
        <w:pBdr>
          <w:top w:val="nil"/>
          <w:left w:val="nil"/>
          <w:bottom w:val="nil"/>
          <w:right w:val="nil"/>
          <w:between w:val="nil"/>
        </w:pBd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De allí que la (contra)reforma de 1980 avanza fundamentalmente contra esa universidad reformada de las décadas previas, en particular su rol político, el sistema de gobierno con participación estudiantil y la explosión matricular que preponderó entre 1967 y 1973 (Salazar y Leihy, 2013).</w:t>
      </w:r>
    </w:p>
    <w:p w14:paraId="3C63A4B0" w14:textId="77777777" w:rsidR="00AF2371" w:rsidRPr="00CD0209" w:rsidRDefault="00AF2371" w:rsidP="00AF2371">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Su cristalización en la Constitución de 1980 consagra la condición de subsidiariedad del Estado, conjugando un componente fuertemente liberal con un ideario conservador. En este sentido, el proceso de privatización educativa se produjo en el marco de una redefinición del rol del Estado en materia de financiamiento, provisión y regulación de la educación impulsada por la dictadura, cuyo fuerte compromiso ideológico con la doctrina neoliberal imprimió un sello distintivo a dichas transformaciones que asumieron un carácter estructural (Verger, Moschetti y </w:t>
      </w:r>
      <w:proofErr w:type="spellStart"/>
      <w:r w:rsidRPr="00CD0209">
        <w:rPr>
          <w:rFonts w:ascii="Times New Roman" w:eastAsia="Montserrat" w:hAnsi="Times New Roman" w:cs="Times New Roman"/>
        </w:rPr>
        <w:t>Fontdevila</w:t>
      </w:r>
      <w:proofErr w:type="spellEnd"/>
      <w:r w:rsidRPr="00CD0209">
        <w:rPr>
          <w:rFonts w:ascii="Times New Roman" w:eastAsia="Montserrat" w:hAnsi="Times New Roman" w:cs="Times New Roman"/>
        </w:rPr>
        <w:t>, 2017).</w:t>
      </w:r>
    </w:p>
    <w:p w14:paraId="55B1B87F" w14:textId="77777777" w:rsidR="00AF2371" w:rsidRPr="00CD0209" w:rsidRDefault="00AF2371" w:rsidP="00AF2371">
      <w:pPr>
        <w:pBdr>
          <w:top w:val="nil"/>
          <w:left w:val="nil"/>
          <w:bottom w:val="nil"/>
          <w:right w:val="nil"/>
          <w:between w:val="nil"/>
        </w:pBd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En este marco, el sistema universitario tradicional se vio fuertemente trastocado con las medidas implementadas a partir del Decreto Ley </w:t>
      </w:r>
      <w:proofErr w:type="spellStart"/>
      <w:r w:rsidRPr="00CD0209">
        <w:rPr>
          <w:rFonts w:ascii="Times New Roman" w:eastAsia="Montserrat" w:hAnsi="Times New Roman" w:cs="Times New Roman"/>
        </w:rPr>
        <w:t>N°</w:t>
      </w:r>
      <w:proofErr w:type="spellEnd"/>
      <w:r w:rsidRPr="00CD0209">
        <w:rPr>
          <w:rFonts w:ascii="Times New Roman" w:eastAsia="Montserrat" w:hAnsi="Times New Roman" w:cs="Times New Roman"/>
        </w:rPr>
        <w:t xml:space="preserve"> 3541 de diciembre de 1980 que, junto con otras normativas complementarias, sentó las bases del rediseño del sistema promoviendo la diversificación institucional (quitándole peso a las universidades estatales por medio de la división en sedes regionales) y una diferenciación vertical (con la creación de IP y CFT); autorizando la creación de nuevas instituciones privadas, amparadas en la libertad académica; rediseñando el sistema de financiamiento, que se vuelca fuertemente a la demanda y propicia el autofinanciamiento de las universidades tradicionales en un escenario de reducción drástica de los fondos públicos (Sisto, 2013). </w:t>
      </w:r>
    </w:p>
    <w:p w14:paraId="1DFFC1B2" w14:textId="77777777" w:rsidR="00AF2371" w:rsidRPr="00CD0209" w:rsidRDefault="00AF2371" w:rsidP="00AF2371">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Se sientan así las bases para la reconfiguración del sistema a partir de dos ejes principales: la diversificación institucional, que inicia un ciclo que derivará con el correr de los años en la primacía del sector privado respecto de la concentración de la oferta institucional y la matrícula; y el rediseño del sistema de financiamiento a partir de una fuerte reducción de los recursos públicos, articulada con la promoción de fondos competitivos e instrumentos que reorientan el financiamiento a la demanda, lo que transformará de manera fundante el vínculo entre el Estado y las universidades. </w:t>
      </w:r>
    </w:p>
    <w:p w14:paraId="77B6902B" w14:textId="77777777" w:rsidR="00AF2371" w:rsidRPr="00CD0209" w:rsidRDefault="00AF2371" w:rsidP="00AF2371">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En el período siguiente (1990-2006) las políticas de los gobiernos democráticos se caracterizaron por un incremento del presupuesto </w:t>
      </w:r>
      <w:proofErr w:type="gramStart"/>
      <w:r w:rsidRPr="00CD0209">
        <w:rPr>
          <w:rFonts w:ascii="Times New Roman" w:eastAsia="Montserrat" w:hAnsi="Times New Roman" w:cs="Times New Roman"/>
        </w:rPr>
        <w:t>educativo</w:t>
      </w:r>
      <w:proofErr w:type="gramEnd"/>
      <w:r w:rsidRPr="00CD0209">
        <w:rPr>
          <w:rFonts w:ascii="Times New Roman" w:eastAsia="Montserrat" w:hAnsi="Times New Roman" w:cs="Times New Roman"/>
        </w:rPr>
        <w:t xml:space="preserve"> pero tendieron más que a refundar, a corregir ciertos elementos del sistema, que terminaron consolidando el modelo heredado de la dictadura (Garretón, 2014). Se implementó el Programa de Mejoramiento de la Equidad y Calidad de la Educación Superior (MECESUP) con financiamiento del </w:t>
      </w:r>
      <w:r w:rsidRPr="00CD0209">
        <w:rPr>
          <w:rFonts w:ascii="Times New Roman" w:eastAsia="Montserrat" w:hAnsi="Times New Roman" w:cs="Times New Roman"/>
        </w:rPr>
        <w:lastRenderedPageBreak/>
        <w:t>Banco Mundial (</w:t>
      </w:r>
      <w:hyperlink r:id="rId7">
        <w:r w:rsidRPr="00CD0209">
          <w:rPr>
            <w:rFonts w:ascii="Times New Roman" w:eastAsia="Montserrat" w:hAnsi="Times New Roman" w:cs="Times New Roman"/>
          </w:rPr>
          <w:t>BIRF</w:t>
        </w:r>
      </w:hyperlink>
      <w:r w:rsidRPr="00CD0209">
        <w:rPr>
          <w:rFonts w:ascii="Times New Roman" w:eastAsia="Montserrat" w:hAnsi="Times New Roman" w:cs="Times New Roman"/>
        </w:rPr>
        <w:t xml:space="preserve">), que permitió establecer un fondo competitivo para la asignación de recursos basado en resultados, financiar acciones de mejora académica e infraestructura para las universidades CRUCH y diseñar nuevos instrumentos de financiamiento. Éstos tendieron a fortalecer al sector privado y consolidar el esquema de financiamiento a la demanda a partir del fortalecimiento de los denominados beneficios estudiantiles, principalmente becas y la creación de dos sistemas crediticios: el Fondo Solidario de Créditos Universitarios (FSCU) en 1994 y el Crédito con Aval del Estado (CAE), en 2005, del cual hablaremos más adelante. </w:t>
      </w:r>
    </w:p>
    <w:p w14:paraId="31C5BEE7" w14:textId="77777777" w:rsidR="00AF2371" w:rsidRPr="00CD0209" w:rsidRDefault="00AF2371" w:rsidP="00AF2371">
      <w:pPr>
        <w:pBdr>
          <w:top w:val="nil"/>
          <w:left w:val="nil"/>
          <w:bottom w:val="nil"/>
          <w:right w:val="nil"/>
          <w:between w:val="nil"/>
        </w:pBd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El último período (2006-2026) se inicia con la denominada “Revolución </w:t>
      </w:r>
      <w:proofErr w:type="spellStart"/>
      <w:r w:rsidRPr="00CD0209">
        <w:rPr>
          <w:rFonts w:ascii="Times New Roman" w:eastAsia="Montserrat" w:hAnsi="Times New Roman" w:cs="Times New Roman"/>
        </w:rPr>
        <w:t>pingüina</w:t>
      </w:r>
      <w:proofErr w:type="spellEnd"/>
      <w:r w:rsidRPr="00CD0209">
        <w:rPr>
          <w:rFonts w:ascii="Times New Roman" w:eastAsia="Montserrat" w:hAnsi="Times New Roman" w:cs="Times New Roman"/>
        </w:rPr>
        <w:t xml:space="preserve">” de </w:t>
      </w:r>
      <w:proofErr w:type="spellStart"/>
      <w:r w:rsidRPr="00CD0209">
        <w:rPr>
          <w:rFonts w:ascii="Times New Roman" w:eastAsia="Montserrat" w:hAnsi="Times New Roman" w:cs="Times New Roman"/>
        </w:rPr>
        <w:t>lxs</w:t>
      </w:r>
      <w:proofErr w:type="spellEnd"/>
      <w:r w:rsidRPr="00CD0209">
        <w:rPr>
          <w:rFonts w:ascii="Times New Roman" w:eastAsia="Montserrat" w:hAnsi="Times New Roman" w:cs="Times New Roman"/>
        </w:rPr>
        <w:t xml:space="preserve"> estudiantes secundarios como respuesta al alza en el cobro de la Prueba de Selección Universitaria (PSU) y ciertas restricciones al Pase Escolar de transporte, que derivarían en demandas más generales como la derogación de la </w:t>
      </w:r>
      <w:r w:rsidRPr="00CD0209">
        <w:rPr>
          <w:rFonts w:ascii="Times New Roman" w:eastAsia="Montserrat" w:hAnsi="Times New Roman" w:cs="Times New Roman"/>
          <w:color w:val="000000"/>
        </w:rPr>
        <w:t xml:space="preserve">Ley Orgánica Constitucional de la Enseñanza (Ley </w:t>
      </w:r>
      <w:proofErr w:type="spellStart"/>
      <w:r w:rsidRPr="00CD0209">
        <w:rPr>
          <w:rFonts w:ascii="Times New Roman" w:eastAsia="Montserrat" w:hAnsi="Times New Roman" w:cs="Times New Roman"/>
          <w:color w:val="000000"/>
        </w:rPr>
        <w:t>N°</w:t>
      </w:r>
      <w:proofErr w:type="spellEnd"/>
      <w:r w:rsidRPr="00CD0209">
        <w:rPr>
          <w:rFonts w:ascii="Times New Roman" w:eastAsia="Montserrat" w:hAnsi="Times New Roman" w:cs="Times New Roman"/>
          <w:color w:val="000000"/>
        </w:rPr>
        <w:t xml:space="preserve"> 18.962/1980) </w:t>
      </w:r>
      <w:r w:rsidRPr="00CD0209">
        <w:rPr>
          <w:rFonts w:ascii="Times New Roman" w:eastAsia="Montserrat" w:hAnsi="Times New Roman" w:cs="Times New Roman"/>
        </w:rPr>
        <w:t xml:space="preserve">y críticas hacia la calidad del sistema y la falta de facilidades para la continuidad de los estudios superiores, impugnando así varios de los elementos vertebradores del esquema privatizador de la enseñanza. Y que tiene como punto álgido las movilizaciones estudiantiles del año 2011, donde ya se empezaba a evidenciar la problemática del endeudamiento que traían los créditos como el CAE como vía para acceder a la ES y que articularon las demandas alrededor de los reclamos de </w:t>
      </w:r>
      <w:bookmarkStart w:id="0" w:name="_heading=h.f41xd46ulbkk" w:colFirst="0" w:colLast="0"/>
      <w:bookmarkEnd w:id="0"/>
      <w:r w:rsidRPr="00CD0209">
        <w:rPr>
          <w:rFonts w:ascii="Times New Roman" w:eastAsia="Montserrat" w:hAnsi="Times New Roman" w:cs="Times New Roman"/>
        </w:rPr>
        <w:t xml:space="preserve">fin al lucro y gratuidad. Con la primera, se puso en escena una realidad extendida en las universidades privadas, como los subterfugios que empleaban las administraciones para remitir utilidades fuera del país y lucrar con las IES. La segunda demanda se ampara en la concepción de la educación como un derecho y la obligación del Estado de garantizarlo. </w:t>
      </w:r>
    </w:p>
    <w:p w14:paraId="0A39725F" w14:textId="77777777" w:rsidR="00AF2371" w:rsidRPr="00CD0209" w:rsidRDefault="00AF2371" w:rsidP="00AF2371">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Durante el segundo gobierno de Bachelet (2014-2018), se implementaron medidas tendientes a dar respuesta a la demanda social instalada luego del ciclo de movilizaciones estudiantiles de los años anteriores, que se orientaron hacia un cambio de paradigma en la ES y una mayor presencia del Estado (Verger, Moschetti y </w:t>
      </w:r>
      <w:proofErr w:type="spellStart"/>
      <w:r w:rsidRPr="00CD0209">
        <w:rPr>
          <w:rFonts w:ascii="Times New Roman" w:eastAsia="Montserrat" w:hAnsi="Times New Roman" w:cs="Times New Roman"/>
        </w:rPr>
        <w:t>Fontdevila</w:t>
      </w:r>
      <w:proofErr w:type="spellEnd"/>
      <w:r w:rsidRPr="00CD0209">
        <w:rPr>
          <w:rFonts w:ascii="Times New Roman" w:eastAsia="Montserrat" w:hAnsi="Times New Roman" w:cs="Times New Roman"/>
        </w:rPr>
        <w:t xml:space="preserve">, 2017). En este contexto se incrementa el presupuesto en ES, destinándose no sólo a instrumentos de financiamiento a la demanda sino también se incrementa el financiamiento a la oferta en el marco de lo que se denominó un “nuevo trato” entre el Estado y el SES. Esto involucró la implementación de Convenios de Desempeño, así como un programa de apoyo a la totalidad de las IES públicas, la creación de dos nuevas universidades estatales y la proyección de 15 CFT de dependencia estatal. Con todo, la medida principal se orientó a estipular la gratuidad universitaria, primero como parte de una reforma de la Ley de Presupuestos del año 2016; luego, en el 2018, en el marco de una nueva Ley para la Educación Superior (Ley 21.091). </w:t>
      </w:r>
    </w:p>
    <w:p w14:paraId="58E560CE" w14:textId="77777777" w:rsidR="00AF2371" w:rsidRPr="00CD0209" w:rsidRDefault="00AF2371" w:rsidP="00AF2371">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Sin embargo, durante el segundo gobierno de Piñera (2018-2022), se fueron dando ciertos corrimientos que trastocaron la orientación de la política: planificada para las universidades del CRUCH, se les sumaron, por un recurso presentado en el Tribunal Constitucional, las universidades privadas no CRUCH primero, y los IP y CFT después. Este gobierno se vio fuertemente impugnado por un estallido social, donde </w:t>
      </w:r>
      <w:proofErr w:type="spellStart"/>
      <w:r w:rsidRPr="00CD0209">
        <w:rPr>
          <w:rFonts w:ascii="Times New Roman" w:eastAsia="Montserrat" w:hAnsi="Times New Roman" w:cs="Times New Roman"/>
        </w:rPr>
        <w:t>lxs</w:t>
      </w:r>
      <w:proofErr w:type="spellEnd"/>
      <w:r w:rsidRPr="00CD0209">
        <w:rPr>
          <w:rFonts w:ascii="Times New Roman" w:eastAsia="Montserrat" w:hAnsi="Times New Roman" w:cs="Times New Roman"/>
        </w:rPr>
        <w:t xml:space="preserve"> estudiantes otra vez fueron protagonistas, que derivó en la creación de una Convención Constituyente para escribir una nueva constitución y dar por tierra ese monstruo jurídico heredado de la dictadura pinochetista. La constitución fue rechazada en el plebiscito realizado en 2022, </w:t>
      </w:r>
      <w:r w:rsidRPr="00CD0209">
        <w:rPr>
          <w:rFonts w:ascii="Times New Roman" w:eastAsia="Montserrat" w:hAnsi="Times New Roman" w:cs="Times New Roman"/>
        </w:rPr>
        <w:lastRenderedPageBreak/>
        <w:t>ya bajo la presidencia de Gabriel Boric, quien fuera uno de los dirigentes estudiantiles durante las revueltas del 2011.</w:t>
      </w:r>
    </w:p>
    <w:p w14:paraId="72BFA4D0" w14:textId="77777777" w:rsidR="00AF2371" w:rsidRDefault="00AF2371" w:rsidP="00AF2371">
      <w:pPr>
        <w:spacing w:after="120" w:line="240" w:lineRule="auto"/>
        <w:jc w:val="both"/>
        <w:rPr>
          <w:rFonts w:ascii="Times New Roman" w:hAnsi="Times New Roman" w:cs="Times New Roman"/>
        </w:rPr>
      </w:pPr>
      <w:r w:rsidRPr="00CD0209">
        <w:rPr>
          <w:rFonts w:ascii="Times New Roman" w:eastAsia="Montserrat" w:hAnsi="Times New Roman" w:cs="Times New Roman"/>
        </w:rPr>
        <w:t xml:space="preserve">Podemos decir que es recién durante su presidencia que se consolida la idea de una ES </w:t>
      </w:r>
      <w:r w:rsidRPr="00CD0209">
        <w:rPr>
          <w:rFonts w:ascii="Times New Roman" w:hAnsi="Times New Roman" w:cs="Times New Roman"/>
        </w:rPr>
        <w:t xml:space="preserve">pública, gratuita y de calidad, sobre la premisa de garantizar el derecho a la educación, paradigma que orientara las políticas universitarias de gran parte de los países de la región en las décadas previas, </w:t>
      </w:r>
      <w:proofErr w:type="gramStart"/>
      <w:r w:rsidRPr="00CD0209">
        <w:rPr>
          <w:rFonts w:ascii="Times New Roman" w:hAnsi="Times New Roman" w:cs="Times New Roman"/>
        </w:rPr>
        <w:t>y</w:t>
      </w:r>
      <w:proofErr w:type="gramEnd"/>
      <w:r w:rsidRPr="00CD0209">
        <w:rPr>
          <w:rFonts w:ascii="Times New Roman" w:hAnsi="Times New Roman" w:cs="Times New Roman"/>
        </w:rPr>
        <w:t xml:space="preserve"> por tanto, la necesidad de desmontar las lógicas de mercado imperantes. En este sentido, se planteó una agenda de modernización de la ES sobre la base de organizar un nuevo instrumento de Financiamiento público para la Educación Superior (FES), centrado en las instituciones y el fortalecimiento de los CFT y universidades estatales, así como en reconocer el rol del Estado respecto del endeudamiento de las familias a través del CAE y la reformulación de sus criterios, así como la propuesta de condonaciones parciales y totales de las deudas (MINEDUC, 2023). Es decir, por un lado, el reconocimiento del Estado como el actor principal para la </w:t>
      </w:r>
      <w:proofErr w:type="spellStart"/>
      <w:r w:rsidRPr="00CD0209">
        <w:rPr>
          <w:rFonts w:ascii="Times New Roman" w:hAnsi="Times New Roman" w:cs="Times New Roman"/>
        </w:rPr>
        <w:t>garantización</w:t>
      </w:r>
      <w:proofErr w:type="spellEnd"/>
      <w:r w:rsidRPr="00CD0209">
        <w:rPr>
          <w:rFonts w:ascii="Times New Roman" w:hAnsi="Times New Roman" w:cs="Times New Roman"/>
        </w:rPr>
        <w:t xml:space="preserve"> del ejercicio efectivo de la ES como derecho, tal como lo estableciera la CRES 2008 y 2018, pero también y fundamentalmente, el reconocimiento del sistema de financiamiento (a la demanda y con un fuerte peso de lo crediticio) como columna vertebral de la privatización del sistema. </w:t>
      </w:r>
    </w:p>
    <w:p w14:paraId="444E359F" w14:textId="77777777" w:rsidR="00744ECC" w:rsidRPr="00CD0209" w:rsidRDefault="00744ECC" w:rsidP="00AF2371">
      <w:pPr>
        <w:spacing w:after="120" w:line="240" w:lineRule="auto"/>
        <w:jc w:val="both"/>
        <w:rPr>
          <w:rFonts w:ascii="Times New Roman" w:hAnsi="Times New Roman" w:cs="Times New Roman"/>
        </w:rPr>
      </w:pPr>
    </w:p>
    <w:p w14:paraId="1CC32131" w14:textId="7E18388F" w:rsidR="00C3323A" w:rsidRPr="00CD0209" w:rsidRDefault="00C3323A" w:rsidP="00C3323A">
      <w:pPr>
        <w:pStyle w:val="Prrafodelista"/>
        <w:numPr>
          <w:ilvl w:val="0"/>
          <w:numId w:val="2"/>
        </w:numPr>
        <w:spacing w:after="120" w:line="240" w:lineRule="auto"/>
        <w:ind w:left="426" w:hanging="426"/>
        <w:jc w:val="both"/>
        <w:rPr>
          <w:rFonts w:ascii="Times New Roman" w:hAnsi="Times New Roman" w:cs="Times New Roman"/>
          <w:b/>
          <w:bCs/>
        </w:rPr>
      </w:pPr>
      <w:r w:rsidRPr="00CD0209">
        <w:rPr>
          <w:rFonts w:ascii="Times New Roman" w:hAnsi="Times New Roman" w:cs="Times New Roman"/>
          <w:b/>
          <w:bCs/>
        </w:rPr>
        <w:t xml:space="preserve">El corazón de lo público </w:t>
      </w:r>
      <w:r w:rsidRPr="00CD0209">
        <w:rPr>
          <w:rFonts w:ascii="Times New Roman" w:hAnsi="Times New Roman" w:cs="Times New Roman"/>
          <w:b/>
          <w:bCs/>
        </w:rPr>
        <w:t>en Argentina</w:t>
      </w:r>
      <w:r w:rsidRPr="00CD0209">
        <w:rPr>
          <w:rFonts w:ascii="Times New Roman" w:hAnsi="Times New Roman" w:cs="Times New Roman"/>
          <w:b/>
          <w:bCs/>
        </w:rPr>
        <w:t xml:space="preserve">: el nivel del grado y los procesos de erosión “desde los costados” </w:t>
      </w:r>
    </w:p>
    <w:p w14:paraId="04DD062F"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El sistema universitario argentino se configuró sobre una base monopólica estatal hasta entrado el siglo XX y, aun cuando se fue diversificando, el sector público-estatal –principalmente las UUNN tradicionales– ofició en reiteradas oportunidades como modelo, ya sea a emular, ya sea a contrariar, del vasto desarrollo institucional posterior. Además, las UUNN, poseen un rol histórico en la arena política nacional, en tanto sus actores tendieron a constituirse en actores políticos con una fuerte capacidad de movilización y veto. Por lo cual sostenemos que la matriz público-estatal del sistema se asienta no sólo en el peso cuantitativo del sector estatal sino también en la dimensión simbólica respecto del sentido que asumen las UUNN para el conjunto del sistema. Respecto del primer aspecto, cabe destacar el rol preponderante del Estado en la expansión del sistema, tanto por su rol de regulación del sector privado como por su accionar en la promoción del público. </w:t>
      </w:r>
    </w:p>
    <w:p w14:paraId="2E42E116" w14:textId="77777777" w:rsidR="00C3323A" w:rsidRPr="00CD0209" w:rsidRDefault="00C3323A" w:rsidP="00C3323A">
      <w:pPr>
        <w:spacing w:after="120" w:line="240" w:lineRule="auto"/>
        <w:jc w:val="both"/>
        <w:rPr>
          <w:rFonts w:ascii="Times New Roman" w:eastAsia="Arial" w:hAnsi="Times New Roman" w:cs="Times New Roman"/>
        </w:rPr>
      </w:pPr>
      <w:r w:rsidRPr="00CD0209">
        <w:rPr>
          <w:rFonts w:ascii="Times New Roman" w:eastAsia="Montserrat" w:hAnsi="Times New Roman" w:cs="Times New Roman"/>
        </w:rPr>
        <w:t xml:space="preserve">Así, </w:t>
      </w:r>
      <w:r w:rsidRPr="00CD0209">
        <w:rPr>
          <w:rFonts w:ascii="Times New Roman" w:eastAsia="Arial" w:hAnsi="Times New Roman" w:cs="Times New Roman"/>
        </w:rPr>
        <w:t xml:space="preserve">sobre una base institucional de origen difuso conformada hasta comienzos del siglo XX por un puñado de universidades </w:t>
      </w:r>
      <w:r w:rsidRPr="00CD0209">
        <w:rPr>
          <w:rFonts w:ascii="Times New Roman" w:eastAsia="Arial" w:hAnsi="Times New Roman" w:cs="Times New Roman"/>
          <w:i/>
          <w:iCs/>
        </w:rPr>
        <w:t>tradicionales</w:t>
      </w:r>
      <w:r w:rsidRPr="00CD0209">
        <w:rPr>
          <w:rFonts w:ascii="Times New Roman" w:eastAsia="Arial" w:hAnsi="Times New Roman" w:cs="Times New Roman"/>
        </w:rPr>
        <w:t xml:space="preserve">, observamos su rol protagónico en la ampliación de la oferta público-estatal impulsando distintos modelos de universidad que venían sino a cuestionar a construir alternativas al modelo </w:t>
      </w:r>
      <w:r w:rsidRPr="00CD0209">
        <w:rPr>
          <w:rFonts w:ascii="Times New Roman" w:eastAsia="Arial" w:hAnsi="Times New Roman" w:cs="Times New Roman"/>
          <w:i/>
          <w:iCs/>
        </w:rPr>
        <w:t xml:space="preserve">reformista y profesional </w:t>
      </w:r>
      <w:r w:rsidRPr="00CD0209">
        <w:rPr>
          <w:rFonts w:ascii="Times New Roman" w:eastAsia="Arial" w:hAnsi="Times New Roman" w:cs="Times New Roman"/>
        </w:rPr>
        <w:t xml:space="preserve">de aquellas </w:t>
      </w:r>
      <w:r w:rsidRPr="00CD0209">
        <w:rPr>
          <w:rFonts w:ascii="Times New Roman" w:eastAsia="Montserrat" w:hAnsi="Times New Roman" w:cs="Times New Roman"/>
        </w:rPr>
        <w:t xml:space="preserve">como parte de una respuesta ante diferentes situaciones coyunturales: las universidades del Plan </w:t>
      </w:r>
      <w:proofErr w:type="spellStart"/>
      <w:r w:rsidRPr="00CD0209">
        <w:rPr>
          <w:rFonts w:ascii="Times New Roman" w:eastAsia="Montserrat" w:hAnsi="Times New Roman" w:cs="Times New Roman"/>
        </w:rPr>
        <w:t>Taquini</w:t>
      </w:r>
      <w:proofErr w:type="spellEnd"/>
      <w:r w:rsidRPr="00CD0209">
        <w:rPr>
          <w:rFonts w:ascii="Times New Roman" w:eastAsia="Montserrat" w:hAnsi="Times New Roman" w:cs="Times New Roman"/>
        </w:rPr>
        <w:t xml:space="preserve"> en los 70 ante la radicalización política del estudiantado; las universidades </w:t>
      </w:r>
      <w:r w:rsidRPr="00CD0209">
        <w:rPr>
          <w:rFonts w:ascii="Times New Roman" w:eastAsia="Montserrat" w:hAnsi="Times New Roman" w:cs="Times New Roman"/>
          <w:i/>
        </w:rPr>
        <w:t xml:space="preserve">del Conurbano </w:t>
      </w:r>
      <w:r w:rsidRPr="00CD0209">
        <w:rPr>
          <w:rFonts w:ascii="Times New Roman" w:eastAsia="Montserrat" w:hAnsi="Times New Roman" w:cs="Times New Roman"/>
        </w:rPr>
        <w:t xml:space="preserve">en los 90 y su consecuente impacto en la relación de fuerzas dentro del CIN; las universidades </w:t>
      </w:r>
      <w:r w:rsidRPr="00CD0209">
        <w:rPr>
          <w:rFonts w:ascii="Times New Roman" w:eastAsia="Montserrat" w:hAnsi="Times New Roman" w:cs="Times New Roman"/>
          <w:i/>
        </w:rPr>
        <w:t>del Bicentenario</w:t>
      </w:r>
      <w:r w:rsidRPr="00CD0209">
        <w:rPr>
          <w:rFonts w:ascii="Times New Roman" w:eastAsia="Montserrat" w:hAnsi="Times New Roman" w:cs="Times New Roman"/>
        </w:rPr>
        <w:t xml:space="preserve"> en los 2010, como parte de un proceso de democratización pero también de construcción de poderes locales </w:t>
      </w:r>
      <w:r w:rsidRPr="00CD0209">
        <w:rPr>
          <w:rFonts w:ascii="Times New Roman" w:eastAsia="Arial" w:hAnsi="Times New Roman" w:cs="Times New Roman"/>
        </w:rPr>
        <w:t>(Rovelli, 2012)</w:t>
      </w:r>
    </w:p>
    <w:p w14:paraId="56C1E2AE" w14:textId="77777777" w:rsidR="00C3323A" w:rsidRPr="00CD0209" w:rsidRDefault="00C3323A" w:rsidP="00C3323A">
      <w:pPr>
        <w:spacing w:after="120" w:line="240" w:lineRule="auto"/>
        <w:jc w:val="both"/>
        <w:rPr>
          <w:rFonts w:ascii="Times New Roman" w:eastAsia="Arial" w:hAnsi="Times New Roman" w:cs="Times New Roman"/>
        </w:rPr>
      </w:pPr>
      <w:r w:rsidRPr="00CD0209">
        <w:rPr>
          <w:rFonts w:ascii="Times New Roman" w:eastAsia="Arial" w:hAnsi="Times New Roman" w:cs="Times New Roman"/>
        </w:rPr>
        <w:lastRenderedPageBreak/>
        <w:t xml:space="preserve">En este derrotero histórico, hay ciertos elementos que se fueron constituyendo - no sin conflictos, tensiones y contramarchas - como parte constitutiva de esa matriz público-estatal. </w:t>
      </w:r>
    </w:p>
    <w:p w14:paraId="6722174F" w14:textId="5BE446DF"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En primer lugar, su tradición plebeya (Carli, 2012), anclada en el fuerte valor social de las credenciales universitarias y el título profesional. Esta recoge, por un lado, un aspecto de la herencia reformista sobre el reclutamiento de </w:t>
      </w:r>
      <w:proofErr w:type="spellStart"/>
      <w:r w:rsidRPr="00CD0209">
        <w:rPr>
          <w:rFonts w:ascii="Times New Roman" w:eastAsia="Montserrat" w:hAnsi="Times New Roman" w:cs="Times New Roman"/>
        </w:rPr>
        <w:t>profesorxs</w:t>
      </w:r>
      <w:proofErr w:type="spellEnd"/>
      <w:r w:rsidRPr="00CD0209">
        <w:rPr>
          <w:rFonts w:ascii="Times New Roman" w:eastAsia="Montserrat" w:hAnsi="Times New Roman" w:cs="Times New Roman"/>
        </w:rPr>
        <w:t xml:space="preserve">, la docencia libre, la inauguración de la carrera académica, que había propiciado una apertura de las casas de altos </w:t>
      </w:r>
      <w:r w:rsidR="009D3603" w:rsidRPr="00CD0209">
        <w:rPr>
          <w:rFonts w:ascii="Times New Roman" w:eastAsia="Montserrat" w:hAnsi="Times New Roman" w:cs="Times New Roman"/>
        </w:rPr>
        <w:t>estudios,</w:t>
      </w:r>
      <w:r w:rsidRPr="00CD0209">
        <w:rPr>
          <w:rFonts w:ascii="Times New Roman" w:eastAsia="Montserrat" w:hAnsi="Times New Roman" w:cs="Times New Roman"/>
        </w:rPr>
        <w:t xml:space="preserve"> así como ampliado la posibilidad de iniciar una carrera universitaria desde comienzo de siglo XX (Buchbinder, 2005). Y, por otro, la forma en cómo se procesó tempranamente la masificación de los estudios superiores en el país, mediada por las políticas de acceso impulsadas por el gobierno peronista desde mediados de los años 40, como el establecimiento de becas, la eliminación de los aranceles, la supresión del examen de ingreso y finalmente, el establecimiento de la gratuidad de los estudios universitarios, que propiciaron la afluencia de nuevos sectores sociales a la universidad. </w:t>
      </w:r>
    </w:p>
    <w:p w14:paraId="21E51355"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Gratuidad e ingreso irrestricto serán así dos valores fundantes de ese imaginario público-estatal forjado al calor de procesos de ampliación de derechos que perviven como componentes constitutivos de la matriz público-estatal, a diferencia de otros países de la región que tendieron a establecer o consolidar sistemas de ingreso restrictivos y, en algunos casos, arancelados, en sus instituciones públicas, con la consecuente derivación y absorción de matrícula por instituciones privadas. </w:t>
      </w:r>
    </w:p>
    <w:p w14:paraId="6C23715A"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En segundo lugar, se reconoce ampliamente que las UUNN tendieron a no abandonar ciertas pretensiones de excelencia académica, tanto en sus funciones docentes como de investigación, validado tanto en el valor social de sus titulaciones como en el amplio reconocimiento y prestigio del que gozan, ya sea por parte de la comunidad académica nacional e internacional, como por grandes sectores de la sociedad. </w:t>
      </w:r>
    </w:p>
    <w:p w14:paraId="26C082DB"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En tercer lugar, aunque con ciertas variaciones, tensiones y derivaciones, la forma del gobierno universitario asumió desde la reforma universitaria de 1918 una modalidad singular, que pervive principalmente en las UUNN tradicionales y que tuvo su propio derrotero en el resto de Latinoamérica. Esta es una </w:t>
      </w:r>
      <w:r w:rsidRPr="00CD0209">
        <w:rPr>
          <w:rFonts w:ascii="Times New Roman" w:eastAsia="Montserrat" w:hAnsi="Times New Roman" w:cs="Times New Roman"/>
          <w:i/>
        </w:rPr>
        <w:t>forma de gobierno de base colegiada amplia</w:t>
      </w:r>
      <w:r w:rsidRPr="00CD0209">
        <w:rPr>
          <w:rFonts w:ascii="Times New Roman" w:eastAsia="Montserrat" w:hAnsi="Times New Roman" w:cs="Times New Roman"/>
          <w:b/>
          <w:i/>
        </w:rPr>
        <w:t xml:space="preserve"> </w:t>
      </w:r>
      <w:r w:rsidRPr="00CD0209">
        <w:rPr>
          <w:rFonts w:ascii="Times New Roman" w:eastAsia="Montserrat" w:hAnsi="Times New Roman" w:cs="Times New Roman"/>
        </w:rPr>
        <w:t xml:space="preserve">(Atairo, 2014) que combina un alto grado de autonomía frente al Estado con un cogobierno tripartito, que implica una significativa autoridad de los espacios colegiados, con participación de </w:t>
      </w:r>
      <w:proofErr w:type="spellStart"/>
      <w:r w:rsidRPr="00CD0209">
        <w:rPr>
          <w:rFonts w:ascii="Times New Roman" w:eastAsia="Montserrat" w:hAnsi="Times New Roman" w:cs="Times New Roman"/>
        </w:rPr>
        <w:t>profesorxs</w:t>
      </w:r>
      <w:proofErr w:type="spellEnd"/>
      <w:r w:rsidRPr="00CD0209">
        <w:rPr>
          <w:rFonts w:ascii="Times New Roman" w:eastAsia="Montserrat" w:hAnsi="Times New Roman" w:cs="Times New Roman"/>
        </w:rPr>
        <w:t xml:space="preserve">, estudiantes y </w:t>
      </w:r>
      <w:proofErr w:type="spellStart"/>
      <w:r w:rsidRPr="00CD0209">
        <w:rPr>
          <w:rFonts w:ascii="Times New Roman" w:eastAsia="Montserrat" w:hAnsi="Times New Roman" w:cs="Times New Roman"/>
        </w:rPr>
        <w:t>graduadxs</w:t>
      </w:r>
      <w:proofErr w:type="spellEnd"/>
      <w:r w:rsidRPr="00CD0209">
        <w:rPr>
          <w:rFonts w:ascii="Times New Roman" w:eastAsia="Montserrat" w:hAnsi="Times New Roman" w:cs="Times New Roman"/>
        </w:rPr>
        <w:t xml:space="preserve"> en la toma de decisiones, al que en los años recientes se fueron sumando otros estamentos y sectores. </w:t>
      </w:r>
    </w:p>
    <w:p w14:paraId="4268DA75"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Finalmente, cabe señalar un elemento con fuerte presencia desde los orígenes de la historia universitaria que es su perfil </w:t>
      </w:r>
      <w:proofErr w:type="spellStart"/>
      <w:r w:rsidRPr="00CD0209">
        <w:rPr>
          <w:rFonts w:ascii="Times New Roman" w:eastAsia="Montserrat" w:hAnsi="Times New Roman" w:cs="Times New Roman"/>
        </w:rPr>
        <w:t>profesionalista</w:t>
      </w:r>
      <w:proofErr w:type="spellEnd"/>
      <w:r w:rsidRPr="00CD0209">
        <w:rPr>
          <w:rFonts w:ascii="Times New Roman" w:eastAsia="Montserrat" w:hAnsi="Times New Roman" w:cs="Times New Roman"/>
        </w:rPr>
        <w:t xml:space="preserve">. En este sentido, tanto las instituciones privadas como las públicas de más reciente creación, tendieron –más allá de sus proyectos institucionales originales–, cuando no a emular una oferta académica anclada en las profesiones liberales tradicionales, a constituir un abanico de carreras que las incluyera. </w:t>
      </w:r>
    </w:p>
    <w:p w14:paraId="4B919E9C"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De lo que se desprenden dos características centrales del sistema universitario público: el peso específico del actor estudiantil en el campo de la política universitaria en particular y de la política en general; y la legitimidad, aunque puesta en tensión en los últimos años, </w:t>
      </w:r>
      <w:r w:rsidRPr="00CD0209">
        <w:rPr>
          <w:rFonts w:ascii="Times New Roman" w:eastAsia="Montserrat" w:hAnsi="Times New Roman" w:cs="Times New Roman"/>
        </w:rPr>
        <w:lastRenderedPageBreak/>
        <w:t xml:space="preserve">de las UUNN no sólo como dispositivo de movilidad social sino también como baluarte de calidad. Lo que pareciera actuar como un dique fundamental contra la propagación en el ámbito universitario de la idea de que “lo privado es mejor”, que ofició históricamente como una de las premisas para los procesos de privatización en los otros niveles. </w:t>
      </w:r>
    </w:p>
    <w:p w14:paraId="2C7E93ED"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Ello no implica, sin embargo, la ausencia de procesos de privatización y de lógicas </w:t>
      </w:r>
      <w:proofErr w:type="spellStart"/>
      <w:r w:rsidRPr="00CD0209">
        <w:rPr>
          <w:rFonts w:ascii="Times New Roman" w:eastAsia="Montserrat" w:hAnsi="Times New Roman" w:cs="Times New Roman"/>
        </w:rPr>
        <w:t>mercantilizantes</w:t>
      </w:r>
      <w:proofErr w:type="spellEnd"/>
      <w:r w:rsidRPr="00CD0209">
        <w:rPr>
          <w:rFonts w:ascii="Times New Roman" w:eastAsia="Montserrat" w:hAnsi="Times New Roman" w:cs="Times New Roman"/>
        </w:rPr>
        <w:t>, esto es, la presencia de valores y criterios propios del mercado como rectores de dinámicas institucionales y de las prácticas de los actores universitarios, pero sí, modalidades particulares que asumen una clave local en el nivel. Este sistema centrado en lo público – estatal también se encuentra atravesado por fenómenos tales como</w:t>
      </w:r>
      <w:r w:rsidRPr="00CD0209">
        <w:rPr>
          <w:rFonts w:ascii="Times New Roman" w:eastAsia="Arial" w:hAnsi="Times New Roman" w:cs="Times New Roman"/>
        </w:rPr>
        <w:t xml:space="preserve"> la expansión de los posgrados arancelados (y una tensión “desde arriba” a la gratuidad), la proliferación de sedes y extensiones áulicas, la precarización del trabajo docente, la participación de actores económicos en la definición de políticas institucionales o curriculares, </w:t>
      </w:r>
      <w:r w:rsidRPr="00CD0209">
        <w:rPr>
          <w:rFonts w:ascii="Times New Roman" w:eastAsia="Montserrat" w:hAnsi="Times New Roman" w:cs="Times New Roman"/>
        </w:rPr>
        <w:t xml:space="preserve">la primacía de una lógica productivista en la academia y en los modos de producción de conocimiento, entre otras variables de privatización y mercantilización. </w:t>
      </w:r>
    </w:p>
    <w:p w14:paraId="0EFDA8FE" w14:textId="20ED1A15"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En esta oportunidad, focalizaremos en aquellos procesos de diferenciación horizontal de la oferta institucional que proliferaron en el sistema universitario argentino en las últimas décadas como formatos más permeables a la privatización y mercantilización y desde donde se tensiona “desde los costados” el corazón de la matriz público-estatal del sistema: la oferta de grado presencial. Analizaremos brevemente en esta clave la expansión de la educación a distancia (EaD) por su crecimiento reciente pero exponencial y que cuestiona algunas de </w:t>
      </w:r>
      <w:r w:rsidR="009D3603" w:rsidRPr="00CD0209">
        <w:rPr>
          <w:rFonts w:ascii="Times New Roman" w:eastAsia="Montserrat" w:hAnsi="Times New Roman" w:cs="Times New Roman"/>
        </w:rPr>
        <w:t>esas dimensiones constitutivas</w:t>
      </w:r>
      <w:r w:rsidRPr="00CD0209">
        <w:rPr>
          <w:rFonts w:ascii="Times New Roman" w:eastAsia="Montserrat" w:hAnsi="Times New Roman" w:cs="Times New Roman"/>
        </w:rPr>
        <w:t xml:space="preserve">. </w:t>
      </w:r>
    </w:p>
    <w:p w14:paraId="3448CD19" w14:textId="77777777" w:rsidR="00C3323A" w:rsidRPr="00CD0209" w:rsidRDefault="00C3323A" w:rsidP="00C3323A">
      <w:pPr>
        <w:spacing w:after="120" w:line="240" w:lineRule="auto"/>
        <w:jc w:val="both"/>
        <w:rPr>
          <w:rFonts w:ascii="Times New Roman" w:hAnsi="Times New Roman" w:cs="Times New Roman"/>
        </w:rPr>
      </w:pPr>
      <w:r w:rsidRPr="00CD0209">
        <w:rPr>
          <w:rFonts w:ascii="Times New Roman" w:eastAsia="Montserrat" w:hAnsi="Times New Roman" w:cs="Times New Roman"/>
        </w:rPr>
        <w:t xml:space="preserve">En el período 2010-2024, se observa que la matrícula de pregrado y grado de EAD tuvo un crecimiento sustancial, cuya variación rondó alrededor del 250%. Este crecimiento estuvo motorizado especialmente por el sector privado, que registró un incremento superlativo del 400%, pasando de 31.000 a 157.000 estudiantes en esos 15 años, mientras que el sector estatal aumentó en un 130%. Esto dio por resultado una distribución de la matrícula de pregrado y grado por sector que casi se invierte respecto de la modalidad presencial: mientras en la presencialidad el sector estatal representa el 79% y el sector privado el 21%, en la modalidad a distancia, representan un 37% y 63% respectivamente (año 2024). Ello se refuerza si analizamos los </w:t>
      </w:r>
      <w:proofErr w:type="spellStart"/>
      <w:r w:rsidRPr="00CD0209">
        <w:rPr>
          <w:rFonts w:ascii="Times New Roman" w:eastAsia="Montserrat" w:hAnsi="Times New Roman" w:cs="Times New Roman"/>
        </w:rPr>
        <w:t>egresadxs</w:t>
      </w:r>
      <w:proofErr w:type="spellEnd"/>
      <w:r w:rsidRPr="00CD0209">
        <w:rPr>
          <w:rFonts w:ascii="Times New Roman" w:eastAsia="Montserrat" w:hAnsi="Times New Roman" w:cs="Times New Roman"/>
        </w:rPr>
        <w:t xml:space="preserve">, donde el sector privado representa un 69%. Es decir, de cada 10 </w:t>
      </w:r>
      <w:proofErr w:type="spellStart"/>
      <w:r w:rsidRPr="00CD0209">
        <w:rPr>
          <w:rFonts w:ascii="Times New Roman" w:eastAsia="Montserrat" w:hAnsi="Times New Roman" w:cs="Times New Roman"/>
        </w:rPr>
        <w:t>egresadxs</w:t>
      </w:r>
      <w:proofErr w:type="spellEnd"/>
      <w:r w:rsidRPr="00CD0209">
        <w:rPr>
          <w:rFonts w:ascii="Times New Roman" w:eastAsia="Montserrat" w:hAnsi="Times New Roman" w:cs="Times New Roman"/>
        </w:rPr>
        <w:t xml:space="preserve"> de la EAD, 7 pertenecen a dicho sector. Guarismos que son confirmados si analizamos la oferta que, representa el 10% del total y se distribuye 39% para el sector estatal y 61% para el privado (Anuario 2024, SPU). </w:t>
      </w:r>
    </w:p>
    <w:p w14:paraId="67F11418"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En síntesis, en clave de privatización y mercantilización del sistema, la expansión de la EaD presenta desafíos que en lo inmediato tensionan la matriz público-estatal en un doble movimiento. Por un lado, al instalar lógicas mercantiles en las universidades públicas a través del arancel</w:t>
      </w:r>
      <w:r w:rsidRPr="00CD0209">
        <w:rPr>
          <w:rStyle w:val="Refdenotaalpie"/>
          <w:rFonts w:ascii="Times New Roman" w:eastAsia="Montserrat" w:hAnsi="Times New Roman" w:cs="Times New Roman"/>
        </w:rPr>
        <w:footnoteReference w:id="4"/>
      </w:r>
      <w:r w:rsidRPr="00CD0209">
        <w:rPr>
          <w:rFonts w:ascii="Times New Roman" w:eastAsia="Montserrat" w:hAnsi="Times New Roman" w:cs="Times New Roman"/>
        </w:rPr>
        <w:t xml:space="preserve">, de la potencial presencia de actores comerciales no sólo en la provisión de la EaD como un servicio sino en todas las tareas complementarias necesarias para su desarrollo; de la creciente cantidad de convenios y alianzas público-privadas en ese sentido, acelerados desde la pandemia; del reforzamiento de una lógica de competencia entre las ofertas; de la precarización del trabajo de </w:t>
      </w:r>
      <w:proofErr w:type="spellStart"/>
      <w:r w:rsidRPr="00CD0209">
        <w:rPr>
          <w:rFonts w:ascii="Times New Roman" w:eastAsia="Montserrat" w:hAnsi="Times New Roman" w:cs="Times New Roman"/>
        </w:rPr>
        <w:t>lxs</w:t>
      </w:r>
      <w:proofErr w:type="spellEnd"/>
      <w:r w:rsidRPr="00CD0209">
        <w:rPr>
          <w:rFonts w:ascii="Times New Roman" w:eastAsia="Montserrat" w:hAnsi="Times New Roman" w:cs="Times New Roman"/>
        </w:rPr>
        <w:t xml:space="preserve"> docentes y de la </w:t>
      </w:r>
      <w:r w:rsidRPr="00CD0209">
        <w:rPr>
          <w:rFonts w:ascii="Times New Roman" w:eastAsia="Montserrat" w:hAnsi="Times New Roman" w:cs="Times New Roman"/>
        </w:rPr>
        <w:lastRenderedPageBreak/>
        <w:t xml:space="preserve">pérdida de ciudadanía universitaria, entre otros. Por otro lado, la tensiona de hecho, en tanto el sector privado muestra un desarrollo superlativo de la matrícula en la modalidad, principalmente en el nivel de grado, el que caracterizamos como el corazón de esta matriz. </w:t>
      </w:r>
    </w:p>
    <w:p w14:paraId="269CB8A8"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Aun cuando representan una proporción menor respecto del conjunto total de ofertas y matrícula, en un escenario de creciente demanda por estos nuevos formatos y modalidades híbridas de habitar el sistema universitario con las que convivimos desde la </w:t>
      </w:r>
      <w:proofErr w:type="spellStart"/>
      <w:r w:rsidRPr="00CD0209">
        <w:rPr>
          <w:rFonts w:ascii="Times New Roman" w:eastAsia="Montserrat" w:hAnsi="Times New Roman" w:cs="Times New Roman"/>
        </w:rPr>
        <w:t>pospandemia</w:t>
      </w:r>
      <w:proofErr w:type="spellEnd"/>
      <w:r w:rsidRPr="00CD0209">
        <w:rPr>
          <w:rFonts w:ascii="Times New Roman" w:eastAsia="Montserrat" w:hAnsi="Times New Roman" w:cs="Times New Roman"/>
        </w:rPr>
        <w:t>, representan un desafío “desde los costados”.</w:t>
      </w:r>
    </w:p>
    <w:p w14:paraId="6564D9FF"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Se observa así una matriz pública-estatal más maleable y borrosa que en el nivel del grado presencial que, si bien sabemos que reúne la mayor cantidad de ofertas y estudiantes, constituyéndose en el corazón del sistema y en el núcleo duro de dicha matriz, convive, cada vez con mayor amplitud, con el desarrollo de estos otros </w:t>
      </w:r>
      <w:r w:rsidRPr="00CD0209">
        <w:rPr>
          <w:rFonts w:ascii="Times New Roman" w:eastAsia="Montserrat" w:hAnsi="Times New Roman" w:cs="Times New Roman"/>
          <w:i/>
        </w:rPr>
        <w:t xml:space="preserve">territorios </w:t>
      </w:r>
      <w:r w:rsidRPr="00CD0209">
        <w:rPr>
          <w:rFonts w:ascii="Times New Roman" w:eastAsia="Montserrat" w:hAnsi="Times New Roman" w:cs="Times New Roman"/>
        </w:rPr>
        <w:t xml:space="preserve">en clara expansión y bajo lógicas mucho más disponibles a la mercantilización. </w:t>
      </w:r>
    </w:p>
    <w:p w14:paraId="690C0B16" w14:textId="77777777" w:rsidR="00C3323A" w:rsidRPr="00CD0209" w:rsidRDefault="00C3323A" w:rsidP="00C3323A">
      <w:pPr>
        <w:spacing w:after="120" w:line="240" w:lineRule="auto"/>
        <w:jc w:val="both"/>
        <w:rPr>
          <w:rFonts w:ascii="Times New Roman" w:hAnsi="Times New Roman" w:cs="Times New Roman"/>
        </w:rPr>
      </w:pPr>
    </w:p>
    <w:p w14:paraId="0E124A13" w14:textId="5A5AABE4" w:rsidR="00C3323A" w:rsidRPr="00C3323A" w:rsidRDefault="00C3323A" w:rsidP="00EA43E3">
      <w:pPr>
        <w:pStyle w:val="Prrafodelista"/>
        <w:numPr>
          <w:ilvl w:val="0"/>
          <w:numId w:val="2"/>
        </w:numPr>
        <w:spacing w:after="120" w:line="240" w:lineRule="auto"/>
        <w:ind w:left="284" w:hanging="284"/>
        <w:jc w:val="both"/>
        <w:rPr>
          <w:rFonts w:ascii="Times New Roman" w:hAnsi="Times New Roman" w:cs="Times New Roman"/>
          <w:b/>
          <w:bCs/>
        </w:rPr>
      </w:pPr>
      <w:r w:rsidRPr="00C3323A">
        <w:rPr>
          <w:rFonts w:ascii="Times New Roman" w:hAnsi="Times New Roman" w:cs="Times New Roman"/>
          <w:b/>
          <w:bCs/>
        </w:rPr>
        <w:t xml:space="preserve">El corazón de la privatización </w:t>
      </w:r>
      <w:r w:rsidR="009D3603" w:rsidRPr="00C3323A">
        <w:rPr>
          <w:rFonts w:ascii="Times New Roman" w:hAnsi="Times New Roman" w:cs="Times New Roman"/>
          <w:b/>
          <w:bCs/>
        </w:rPr>
        <w:t>en Chile</w:t>
      </w:r>
      <w:r w:rsidRPr="00C3323A">
        <w:rPr>
          <w:rFonts w:ascii="Times New Roman" w:hAnsi="Times New Roman" w:cs="Times New Roman"/>
          <w:b/>
          <w:bCs/>
        </w:rPr>
        <w:t xml:space="preserve">: financiamiento a la demanda, sistema crediticio y los intentos de publificación </w:t>
      </w:r>
    </w:p>
    <w:p w14:paraId="6EB070C6" w14:textId="7D0B7643"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El financiamiento del </w:t>
      </w:r>
      <w:r w:rsidR="009D3603" w:rsidRPr="00CD0209">
        <w:rPr>
          <w:rFonts w:ascii="Times New Roman" w:eastAsia="Montserrat" w:hAnsi="Times New Roman" w:cs="Times New Roman"/>
        </w:rPr>
        <w:t xml:space="preserve">sistema </w:t>
      </w:r>
      <w:r w:rsidR="009D3603">
        <w:rPr>
          <w:rFonts w:ascii="Times New Roman" w:eastAsia="Montserrat" w:hAnsi="Times New Roman" w:cs="Times New Roman"/>
        </w:rPr>
        <w:t>c</w:t>
      </w:r>
      <w:r w:rsidR="009D3603" w:rsidRPr="00CD0209">
        <w:rPr>
          <w:rFonts w:ascii="Times New Roman" w:eastAsia="Montserrat" w:hAnsi="Times New Roman" w:cs="Times New Roman"/>
        </w:rPr>
        <w:t>hileno</w:t>
      </w:r>
      <w:r w:rsidRPr="00CD0209">
        <w:rPr>
          <w:rFonts w:ascii="Times New Roman" w:eastAsia="Montserrat" w:hAnsi="Times New Roman" w:cs="Times New Roman"/>
        </w:rPr>
        <w:t xml:space="preserve"> es la columna vertebral que organiza su fuerte impronta privatista y </w:t>
      </w:r>
      <w:proofErr w:type="spellStart"/>
      <w:r w:rsidRPr="00CD0209">
        <w:rPr>
          <w:rFonts w:ascii="Times New Roman" w:eastAsia="Montserrat" w:hAnsi="Times New Roman" w:cs="Times New Roman"/>
        </w:rPr>
        <w:t>mercantilizadora</w:t>
      </w:r>
      <w:proofErr w:type="spellEnd"/>
      <w:r w:rsidRPr="00CD0209">
        <w:rPr>
          <w:rFonts w:ascii="Times New Roman" w:eastAsia="Montserrat" w:hAnsi="Times New Roman" w:cs="Times New Roman"/>
        </w:rPr>
        <w:t xml:space="preserve">. Se trata de un esquema altamente complejo y diversificado, con un fuerte caudal de aportes privados, mientras que el aporte estatal se estructura principalmente alrededor de subsidios a la demanda y, en segunda medida, subsidios a la oferta sobre una base de principios competitivos. Estos principios también sustentan el financiamiento específico en I+D+i que supone un financiamiento directo a los institutos de investigación y fondos concursables para </w:t>
      </w:r>
      <w:proofErr w:type="spellStart"/>
      <w:r w:rsidRPr="00CD0209">
        <w:rPr>
          <w:rFonts w:ascii="Times New Roman" w:eastAsia="Montserrat" w:hAnsi="Times New Roman" w:cs="Times New Roman"/>
        </w:rPr>
        <w:t>lxs</w:t>
      </w:r>
      <w:proofErr w:type="spellEnd"/>
      <w:r w:rsidRPr="00CD0209">
        <w:rPr>
          <w:rFonts w:ascii="Times New Roman" w:eastAsia="Montserrat" w:hAnsi="Times New Roman" w:cs="Times New Roman"/>
        </w:rPr>
        <w:t xml:space="preserve"> </w:t>
      </w:r>
      <w:proofErr w:type="spellStart"/>
      <w:r w:rsidRPr="00CD0209">
        <w:rPr>
          <w:rFonts w:ascii="Times New Roman" w:eastAsia="Montserrat" w:hAnsi="Times New Roman" w:cs="Times New Roman"/>
        </w:rPr>
        <w:t>investigadorxs</w:t>
      </w:r>
      <w:proofErr w:type="spellEnd"/>
      <w:r w:rsidRPr="00CD0209">
        <w:rPr>
          <w:rFonts w:ascii="Times New Roman" w:eastAsia="Montserrat" w:hAnsi="Times New Roman" w:cs="Times New Roman"/>
        </w:rPr>
        <w:t xml:space="preserve">. </w:t>
      </w:r>
    </w:p>
    <w:p w14:paraId="01E34CC7"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Como mencionamos más arriba, a partir de la década del 80 y de las políticas impulsadas por el gobierno pinochetista, se reestructura el esquema de financiamiento para virar de un modelo basado en aportes directos a uno de progresivo autofinanciamiento y financiamiento a la demanda, que deja a los escasos recursos de aportes directos regidos por una lógica de asignación basada en criterios de productividad, prestigio y negociación (Sisto, 2013). </w:t>
      </w:r>
    </w:p>
    <w:p w14:paraId="080510B0"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El financiamiento a la demanda, como versa la doctrina neoliberal, se impulsa argumentando que mejora la calidad, en tanto supone que un sistema que otorga autonomía a las instituciones y garantiza la competitividad entre éstas para captar la “mejor” matrícula, eleva la calidad de la enseñanza y del sistema. Es así como, a partir de este momento, se diseñan instrumentos de financiamiento bajo esta lógica que se van ampliando y complejizando en las siguientes décadas. Dentro de éstos, destacan los denominados </w:t>
      </w:r>
      <w:r w:rsidRPr="00CD0209">
        <w:rPr>
          <w:rFonts w:ascii="Times New Roman" w:eastAsia="Montserrat" w:hAnsi="Times New Roman" w:cs="Times New Roman"/>
          <w:i/>
          <w:iCs/>
        </w:rPr>
        <w:t xml:space="preserve">beneficios estudiantiles, </w:t>
      </w:r>
      <w:r w:rsidRPr="00CD0209">
        <w:rPr>
          <w:rFonts w:ascii="Times New Roman" w:eastAsia="Montserrat" w:hAnsi="Times New Roman" w:cs="Times New Roman"/>
        </w:rPr>
        <w:t xml:space="preserve">dentro de los cuales en la actualidad encontramos las becas de arancel, el crédito con aval estatal (CAE) y la más reciente política de gratuidad. </w:t>
      </w:r>
    </w:p>
    <w:p w14:paraId="455DF1BA"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Si observamos la distribución del gasto público respecto de los distintos elementos de financiación en perspectiva histórica, en 1990 la totalidad del presupuesto se distribuía entre fondos de aporte basal, fondos concursables y los apoyos estudiantiles, representando el 72%, 23% y 5%, respectivamente. Luego, se fue dando un claro corrimiento hacia priorizar los apoyos estudiantiles vía el mecanismo de financiamiento </w:t>
      </w:r>
      <w:r w:rsidRPr="00CD0209">
        <w:rPr>
          <w:rFonts w:ascii="Times New Roman" w:eastAsia="Montserrat" w:hAnsi="Times New Roman" w:cs="Times New Roman"/>
        </w:rPr>
        <w:lastRenderedPageBreak/>
        <w:t xml:space="preserve">a la demanda, en tanto se invirtió completamente la distribución, donde éstos se llevan ahora el 82% de los montos ejecutados, mientras que los fondos basales se redujeron al 16% (SIES 2024, MINEDUC). </w:t>
      </w:r>
    </w:p>
    <w:p w14:paraId="400F4979"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El CAE, creado en el año 2005, marcó un hito en términos de orientar el esquema hacia la privatización. Estos créditos son administrados por un organismo estatal autónomo (Comisión Ingresa) y otorgados por una institución financiera, actuando el Estado como garante.</w:t>
      </w:r>
      <w:r w:rsidRPr="00CD0209">
        <w:rPr>
          <w:rFonts w:ascii="Times New Roman" w:hAnsi="Times New Roman" w:cs="Times New Roman"/>
          <w:vertAlign w:val="superscript"/>
        </w:rPr>
        <w:footnoteReference w:id="5"/>
      </w:r>
      <w:r w:rsidRPr="00CD0209">
        <w:rPr>
          <w:rFonts w:ascii="Times New Roman" w:eastAsia="Montserrat" w:hAnsi="Times New Roman" w:cs="Times New Roman"/>
        </w:rPr>
        <w:t xml:space="preserve"> En su origen, en un contexto de incremento de la demanda y restricciones presupuestarias, se argumentaba que se debía recurrir a la Banca privada para garantizar una política de ampliación del acceso a la ES (</w:t>
      </w:r>
      <w:proofErr w:type="spellStart"/>
      <w:r w:rsidRPr="00CD0209">
        <w:rPr>
          <w:rFonts w:ascii="Times New Roman" w:eastAsia="Montserrat" w:hAnsi="Times New Roman" w:cs="Times New Roman"/>
        </w:rPr>
        <w:t>Kremerman</w:t>
      </w:r>
      <w:proofErr w:type="spellEnd"/>
      <w:r w:rsidRPr="00CD0209">
        <w:rPr>
          <w:rFonts w:ascii="Times New Roman" w:eastAsia="Montserrat" w:hAnsi="Times New Roman" w:cs="Times New Roman"/>
        </w:rPr>
        <w:t xml:space="preserve"> y Páez, 2016). En un sistema que conjuga arancelamiento, exigentes requisitos académicos y una intrincada logística de inscripción para la adquisición de los beneficios estudiantiles, el CAE vino a configurar una respuesta a la inclusión vía el endeudamiento de </w:t>
      </w:r>
      <w:proofErr w:type="spellStart"/>
      <w:r w:rsidRPr="00CD0209">
        <w:rPr>
          <w:rFonts w:ascii="Times New Roman" w:eastAsia="Montserrat" w:hAnsi="Times New Roman" w:cs="Times New Roman"/>
        </w:rPr>
        <w:t>lxs</w:t>
      </w:r>
      <w:proofErr w:type="spellEnd"/>
      <w:r w:rsidRPr="00CD0209">
        <w:rPr>
          <w:rFonts w:ascii="Times New Roman" w:eastAsia="Montserrat" w:hAnsi="Times New Roman" w:cs="Times New Roman"/>
        </w:rPr>
        <w:t xml:space="preserve"> estudiantes y sus familias. En este sentido, es necesario señalar que la expansión de la matrícula y la consecuente masificación del sistema fue producto de la absorción de dicha demanda por parte de IES privadas no tradicionales (no CRUCH) por medio de dos principales vías: las becas de arancel y el CAE. Es decir, ante un sistema estatal con fuertes restricciones (aranceles, examen de ingreso), la inclusión de nuevos sectores sociales a la ES implicó el redireccionamiento de fondos hacia el sector privado. El CAE específicamente propició el endeudamiento de las familias y se convirtió en un nicho de negocios para la banca privada, por lo cual se constituyó en un instrumento paradigmático de la privatización del sistema. </w:t>
      </w:r>
    </w:p>
    <w:p w14:paraId="25827A81"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Mientras que la gratuidad</w:t>
      </w:r>
      <w:r w:rsidRPr="00CD0209">
        <w:rPr>
          <w:rStyle w:val="Refdenotaalpie"/>
          <w:rFonts w:ascii="Times New Roman" w:eastAsia="Montserrat" w:hAnsi="Times New Roman" w:cs="Times New Roman"/>
        </w:rPr>
        <w:footnoteReference w:id="6"/>
      </w:r>
      <w:r w:rsidRPr="00CD0209">
        <w:rPr>
          <w:rFonts w:ascii="Times New Roman" w:eastAsia="Montserrat" w:hAnsi="Times New Roman" w:cs="Times New Roman"/>
        </w:rPr>
        <w:t xml:space="preserve">, marcó otro hito en un sentido contrario, pero como veremos, con matices y dificultades. </w:t>
      </w:r>
    </w:p>
    <w:p w14:paraId="19A26EA6"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Como vimos, esta política se originó en los reclamos estudiantiles de los años previos y se encuentra en sintonía con la demanda por mayor democratización de los SES de la región. Sin embargo, en tanto se otorga por estudiante matriculado y no como un aporte basal a las instituciones ha tendido, al igual que los otros instrumentos basados en la demanda, a consolidar una lógica de competencia entre las instituciones por la captación de </w:t>
      </w:r>
      <w:proofErr w:type="spellStart"/>
      <w:r w:rsidRPr="00CD0209">
        <w:rPr>
          <w:rFonts w:ascii="Times New Roman" w:eastAsia="Montserrat" w:hAnsi="Times New Roman" w:cs="Times New Roman"/>
        </w:rPr>
        <w:t>lxs</w:t>
      </w:r>
      <w:proofErr w:type="spellEnd"/>
      <w:r w:rsidRPr="00CD0209">
        <w:rPr>
          <w:rFonts w:ascii="Times New Roman" w:eastAsia="Montserrat" w:hAnsi="Times New Roman" w:cs="Times New Roman"/>
        </w:rPr>
        <w:t xml:space="preserve"> estudiantes, al mismo tiempo que a fortalecer al sector privado, ya que gran parte de dicho financiamiento es para estudiantes matriculados en IES privadas. Por lo que, incluso este instrumento pensado en clave de ampliación del acceso y democratización del sistema se instituyó como un engranaje más del esquema de privatización. </w:t>
      </w:r>
    </w:p>
    <w:p w14:paraId="077B8A3C"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Dentro de los beneficios estudiantiles, se identifica un claro redireccionamiento de los fondos hacia la gratuidad que en tan sólo 8 años pasó a acaparar el 75% de este tipo de fondos, presentándose una fuerte disminución tanto en los fondos destinados a las becas que pasaron de representar el 50% en el año 2015 al 8% en el 2024; y similar para los fondos destinados a solventar el CAE, que pasaron del 43% al 17% en los mismos años, </w:t>
      </w:r>
      <w:r w:rsidRPr="00CD0209">
        <w:rPr>
          <w:rFonts w:ascii="Times New Roman" w:eastAsia="Montserrat" w:hAnsi="Times New Roman" w:cs="Times New Roman"/>
        </w:rPr>
        <w:lastRenderedPageBreak/>
        <w:t xml:space="preserve">dando cuenta de la impronta de la gratuidad como política central de financiamiento de la última década (SIES 2024, MINEDUC). </w:t>
      </w:r>
    </w:p>
    <w:p w14:paraId="2972CE8E" w14:textId="77777777"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Sin embargo, cabe preguntarse ¿Hacia dónde se dirige el financiamiento público en un esquema volcado a la demanda? </w:t>
      </w:r>
    </w:p>
    <w:p w14:paraId="346ADE40" w14:textId="2B350952" w:rsidR="00C3323A" w:rsidRPr="00CD0209" w:rsidRDefault="00C3323A" w:rsidP="00C3323A">
      <w:pPr>
        <w:spacing w:after="120" w:line="240" w:lineRule="auto"/>
        <w:jc w:val="both"/>
        <w:rPr>
          <w:rFonts w:ascii="Times New Roman" w:eastAsia="Montserrat" w:hAnsi="Times New Roman" w:cs="Times New Roman"/>
        </w:rPr>
      </w:pPr>
      <w:r w:rsidRPr="00CD0209">
        <w:rPr>
          <w:rFonts w:ascii="Times New Roman" w:eastAsia="Montserrat" w:hAnsi="Times New Roman" w:cs="Times New Roman"/>
        </w:rPr>
        <w:t xml:space="preserve">Dentro del financiamiento a la oferta o a las instituciones, se observa que los fondos principales se direccionan prioritariamente hacia las universidades del CRUCH. Por su parte, dentro de los distintos instrumentos del l financiamiento a la demanda observamos que los montos destinados a las Becas Bicentenario (las principales dentro de su tipo) se dirigen en un 91% a las universidades privadas (contando las CRUCH Y NO CRUCH) y un 9% para las CRUCH estatales; mientras que los montos destinados al CAE, al que pueden aplicar estudiantes de cualquier tipo de institución, se dirigen también en un 90% al sector privado, en este caso considerando CFT, IP y universidades, de las cuales las privadas (no CRUCH) se llevan el 60%. Por último, el 74% de los fondos destinados a la gratuidad se dirigen a las arcas privadas y 26% a las estatales (contando universidades y CFT), siendo tres instituciones privadas (la Universidad Autónoma </w:t>
      </w:r>
      <w:r w:rsidR="003A2782" w:rsidRPr="00CD0209">
        <w:rPr>
          <w:rFonts w:ascii="Times New Roman" w:eastAsia="Montserrat" w:hAnsi="Times New Roman" w:cs="Times New Roman"/>
        </w:rPr>
        <w:t>de Chile</w:t>
      </w:r>
      <w:r w:rsidRPr="00CD0209">
        <w:rPr>
          <w:rFonts w:ascii="Times New Roman" w:eastAsia="Montserrat" w:hAnsi="Times New Roman" w:cs="Times New Roman"/>
        </w:rPr>
        <w:t xml:space="preserve">, el IP INACAP y el IP DUOC UC) las primeras tres adjudicatarias en cuanto al volumen de los montos. </w:t>
      </w:r>
    </w:p>
    <w:p w14:paraId="4C288B84" w14:textId="2BCF2791" w:rsidR="00B65C1B" w:rsidRPr="00B65C1B" w:rsidRDefault="00C3323A" w:rsidP="003A2782">
      <w:pPr>
        <w:spacing w:line="240" w:lineRule="auto"/>
        <w:jc w:val="both"/>
        <w:rPr>
          <w:rFonts w:ascii="Times New Roman" w:hAnsi="Times New Roman" w:cs="Times New Roman"/>
          <w:b/>
          <w:bCs/>
        </w:rPr>
      </w:pPr>
      <w:r w:rsidRPr="00CD0209">
        <w:rPr>
          <w:rFonts w:ascii="Times New Roman" w:eastAsia="Arial" w:hAnsi="Times New Roman" w:cs="Times New Roman"/>
        </w:rPr>
        <w:t xml:space="preserve">Por lo cual, destacamos dos procesos: por un lado, aun cuando </w:t>
      </w:r>
      <w:r w:rsidR="003A2782" w:rsidRPr="00CD0209">
        <w:rPr>
          <w:rFonts w:ascii="Times New Roman" w:eastAsia="Arial" w:hAnsi="Times New Roman" w:cs="Times New Roman"/>
        </w:rPr>
        <w:t>en Chile</w:t>
      </w:r>
      <w:r w:rsidRPr="00CD0209">
        <w:rPr>
          <w:rFonts w:ascii="Times New Roman" w:eastAsia="Arial" w:hAnsi="Times New Roman" w:cs="Times New Roman"/>
        </w:rPr>
        <w:t xml:space="preserve"> se observa con posterioridad al año 2005 una tendencia muy gradual a que el Estado incremente su participación en el financiamiento respecto de las familias, para el año 2022</w:t>
      </w:r>
      <w:r w:rsidRPr="00CD0209">
        <w:rPr>
          <w:rFonts w:ascii="Times New Roman" w:hAnsi="Times New Roman" w:cs="Times New Roman"/>
        </w:rPr>
        <w:t xml:space="preserve"> (cuya cifra fue el equivalente a 1,1% del Producto Interno Bruto)</w:t>
      </w:r>
      <w:r w:rsidRPr="00CD0209">
        <w:rPr>
          <w:rFonts w:ascii="Times New Roman" w:eastAsia="Arial" w:hAnsi="Times New Roman" w:cs="Times New Roman"/>
        </w:rPr>
        <w:t xml:space="preserve">, éste no supera la paridad entre los sectores (SIES 2024, MINEDUC). Y, por otro, </w:t>
      </w:r>
      <w:r w:rsidRPr="00CD0209">
        <w:rPr>
          <w:rFonts w:ascii="Times New Roman" w:eastAsia="Montserrat" w:hAnsi="Times New Roman" w:cs="Times New Roman"/>
        </w:rPr>
        <w:t xml:space="preserve">la configuración histórica de un esquema de financiamiento volcado a la demanda, lejos de desplegarse de manera </w:t>
      </w:r>
      <w:r w:rsidRPr="00CD0209">
        <w:rPr>
          <w:rFonts w:ascii="Times New Roman" w:eastAsia="Montserrat" w:hAnsi="Times New Roman" w:cs="Times New Roman"/>
          <w:i/>
        </w:rPr>
        <w:t>sui generis</w:t>
      </w:r>
      <w:r w:rsidRPr="00CD0209">
        <w:rPr>
          <w:rFonts w:ascii="Times New Roman" w:eastAsia="Montserrat" w:hAnsi="Times New Roman" w:cs="Times New Roman"/>
        </w:rPr>
        <w:t>, implica una (re)distribución de recursos estatales hacia algunos actores universitarios en detrimento de otros. Este somero repaso por el destino de los fondos puede darnos un indicio de porqué sostenemos que el sistema de financiamiento basado a la demanda es el corazón y el ancla privatizadora del sistema</w:t>
      </w:r>
    </w:p>
    <w:p w14:paraId="12CE0BCB" w14:textId="6A82741F" w:rsidR="005F3B2E" w:rsidRPr="00232FBF" w:rsidRDefault="005F3B2E" w:rsidP="007B5B5F">
      <w:pPr>
        <w:spacing w:line="240" w:lineRule="auto"/>
        <w:rPr>
          <w:rFonts w:ascii="Times New Roman" w:hAnsi="Times New Roman" w:cs="Times New Roman"/>
          <w:b/>
          <w:bCs/>
          <w:lang w:val="es-AR"/>
        </w:rPr>
      </w:pPr>
      <w:r w:rsidRPr="00232FBF">
        <w:rPr>
          <w:rFonts w:ascii="Times New Roman" w:hAnsi="Times New Roman" w:cs="Times New Roman"/>
          <w:b/>
          <w:bCs/>
          <w:lang w:val="es-AR"/>
        </w:rPr>
        <w:t>Conclusiones</w:t>
      </w:r>
    </w:p>
    <w:p w14:paraId="23E8A591" w14:textId="6F9138D9" w:rsidR="00232FBF" w:rsidRPr="00CD0209" w:rsidRDefault="00232FBF" w:rsidP="00232FBF">
      <w:pPr>
        <w:spacing w:after="120" w:line="240" w:lineRule="auto"/>
        <w:jc w:val="both"/>
        <w:rPr>
          <w:rFonts w:ascii="Times New Roman" w:hAnsi="Times New Roman" w:cs="Times New Roman"/>
        </w:rPr>
      </w:pPr>
      <w:r w:rsidRPr="00CD0209">
        <w:rPr>
          <w:rFonts w:ascii="Times New Roman" w:hAnsi="Times New Roman" w:cs="Times New Roman"/>
        </w:rPr>
        <w:t xml:space="preserve">Más que conclusiones compartimos en este apartado algunas ideas que se postulan para seguir analizando de manera comparativa ambos casos. Los procesos recientes que postulamos tienden sino a desarmar, al menos a tensionar, el corazón de cada sistema, que ubica a cada uno en un extremo opuesto del continuum. En el caso </w:t>
      </w:r>
      <w:r w:rsidRPr="00CD0209">
        <w:rPr>
          <w:rFonts w:ascii="Times New Roman" w:hAnsi="Times New Roman" w:cs="Times New Roman"/>
        </w:rPr>
        <w:t>de Chile</w:t>
      </w:r>
      <w:r w:rsidRPr="00CD0209">
        <w:rPr>
          <w:rFonts w:ascii="Times New Roman" w:hAnsi="Times New Roman" w:cs="Times New Roman"/>
        </w:rPr>
        <w:t xml:space="preserve">, donde se materializa con contundencia la idea de la ES como mercancía, asistimos durante el gobierno de Gabriel Boric al impulso de proyectos y políticas que tendieron a cuestionar (aunque con impacto disímil) los dos pilares fundamentales del sistema de financiamiento, columna vertebral de su matriz netamente privatista: el financiamiento a la demanda y el endeudamiento de las familias como vía de acceso a la ES. Con ello, podemos arriesgar, que se impulsaron procesos de publificación del sistema. Aunque cabe destacar que el sentido de lo público en la </w:t>
      </w:r>
      <w:r w:rsidRPr="00CD0209">
        <w:rPr>
          <w:rFonts w:ascii="Times New Roman" w:hAnsi="Times New Roman" w:cs="Times New Roman"/>
        </w:rPr>
        <w:t xml:space="preserve">sociedad </w:t>
      </w:r>
      <w:r>
        <w:rPr>
          <w:rFonts w:ascii="Times New Roman" w:hAnsi="Times New Roman" w:cs="Times New Roman"/>
        </w:rPr>
        <w:t>c</w:t>
      </w:r>
      <w:r w:rsidRPr="00CD0209">
        <w:rPr>
          <w:rFonts w:ascii="Times New Roman" w:hAnsi="Times New Roman" w:cs="Times New Roman"/>
        </w:rPr>
        <w:t>hilena</w:t>
      </w:r>
      <w:r w:rsidRPr="00CD0209">
        <w:rPr>
          <w:rFonts w:ascii="Times New Roman" w:hAnsi="Times New Roman" w:cs="Times New Roman"/>
        </w:rPr>
        <w:t xml:space="preserve"> no remite a una división tajante entre ambos sectores, sino más bien a una historia de compenetración y relación mancomunada. Quedará para futuras investigaciones el análisis de qué sucede con estos procesos con un nuevo gobierno bajo un signo de derecha radical como el actual. </w:t>
      </w:r>
    </w:p>
    <w:p w14:paraId="2F24715C" w14:textId="7F7C3415" w:rsidR="00232FBF" w:rsidRPr="00CD0209" w:rsidRDefault="00232FBF" w:rsidP="00232FBF">
      <w:pPr>
        <w:spacing w:after="120" w:line="240" w:lineRule="auto"/>
        <w:jc w:val="both"/>
        <w:rPr>
          <w:rFonts w:ascii="Times New Roman" w:eastAsia="Montserrat" w:hAnsi="Times New Roman" w:cs="Times New Roman"/>
        </w:rPr>
      </w:pPr>
      <w:r w:rsidRPr="00CD0209">
        <w:rPr>
          <w:rFonts w:ascii="Times New Roman" w:hAnsi="Times New Roman" w:cs="Times New Roman"/>
        </w:rPr>
        <w:lastRenderedPageBreak/>
        <w:t xml:space="preserve">En el caso </w:t>
      </w:r>
      <w:r w:rsidRPr="00CD0209">
        <w:rPr>
          <w:rFonts w:ascii="Times New Roman" w:hAnsi="Times New Roman" w:cs="Times New Roman"/>
        </w:rPr>
        <w:t>de Argentina</w:t>
      </w:r>
      <w:r w:rsidRPr="00CD0209">
        <w:rPr>
          <w:rFonts w:ascii="Times New Roman" w:hAnsi="Times New Roman" w:cs="Times New Roman"/>
        </w:rPr>
        <w:t xml:space="preserve">, </w:t>
      </w:r>
      <w:r w:rsidRPr="00CD0209">
        <w:rPr>
          <w:rFonts w:ascii="Times New Roman" w:eastAsia="Montserrat" w:hAnsi="Times New Roman" w:cs="Times New Roman"/>
        </w:rPr>
        <w:t xml:space="preserve">con su matriz universitaria volcada a lo público, el fenómeno toma la forma de baja </w:t>
      </w:r>
      <w:proofErr w:type="gramStart"/>
      <w:r w:rsidRPr="00CD0209">
        <w:rPr>
          <w:rFonts w:ascii="Times New Roman" w:eastAsia="Montserrat" w:hAnsi="Times New Roman" w:cs="Times New Roman"/>
        </w:rPr>
        <w:t>privatización</w:t>
      </w:r>
      <w:proofErr w:type="gramEnd"/>
      <w:r w:rsidRPr="00CD0209">
        <w:rPr>
          <w:rFonts w:ascii="Times New Roman" w:eastAsia="Montserrat" w:hAnsi="Times New Roman" w:cs="Times New Roman"/>
        </w:rPr>
        <w:t xml:space="preserve"> pero con dinámicas </w:t>
      </w:r>
      <w:proofErr w:type="spellStart"/>
      <w:r w:rsidRPr="00CD0209">
        <w:rPr>
          <w:rFonts w:ascii="Times New Roman" w:eastAsia="Montserrat" w:hAnsi="Times New Roman" w:cs="Times New Roman"/>
        </w:rPr>
        <w:t>mercantilizadoras</w:t>
      </w:r>
      <w:proofErr w:type="spellEnd"/>
      <w:r w:rsidRPr="00CD0209">
        <w:rPr>
          <w:rFonts w:ascii="Times New Roman" w:eastAsia="Montserrat" w:hAnsi="Times New Roman" w:cs="Times New Roman"/>
        </w:rPr>
        <w:t xml:space="preserve"> crecientes, que se expresan de manera más sutil e invisibilizada pero no por ello menos efectivas y corroen aquellas dimensiones que dan identidad al corazón del sistema en el nivel del grado. Incluso en momentos en donde primó una política centrada en la </w:t>
      </w:r>
      <w:proofErr w:type="spellStart"/>
      <w:r w:rsidRPr="00CD0209">
        <w:rPr>
          <w:rFonts w:ascii="Times New Roman" w:eastAsia="Montserrat" w:hAnsi="Times New Roman" w:cs="Times New Roman"/>
        </w:rPr>
        <w:t>garantización</w:t>
      </w:r>
      <w:proofErr w:type="spellEnd"/>
      <w:r w:rsidRPr="00CD0209">
        <w:rPr>
          <w:rFonts w:ascii="Times New Roman" w:eastAsia="Montserrat" w:hAnsi="Times New Roman" w:cs="Times New Roman"/>
        </w:rPr>
        <w:t xml:space="preserve"> del derecho a la ES, observamos el avance de lógicas </w:t>
      </w:r>
      <w:proofErr w:type="spellStart"/>
      <w:r w:rsidRPr="00CD0209">
        <w:rPr>
          <w:rFonts w:ascii="Times New Roman" w:eastAsia="Montserrat" w:hAnsi="Times New Roman" w:cs="Times New Roman"/>
        </w:rPr>
        <w:t>mercantilizantes</w:t>
      </w:r>
      <w:proofErr w:type="spellEnd"/>
      <w:r w:rsidRPr="00CD0209">
        <w:rPr>
          <w:rFonts w:ascii="Times New Roman" w:eastAsia="Montserrat" w:hAnsi="Times New Roman" w:cs="Times New Roman"/>
        </w:rPr>
        <w:t xml:space="preserve"> que se profundizan en momentos como el actual con un gobierno de derecha radical que promueve un discurso fuertemente </w:t>
      </w:r>
      <w:proofErr w:type="spellStart"/>
      <w:r w:rsidRPr="00CD0209">
        <w:rPr>
          <w:rFonts w:ascii="Times New Roman" w:eastAsia="Montserrat" w:hAnsi="Times New Roman" w:cs="Times New Roman"/>
        </w:rPr>
        <w:t>pro-mercado</w:t>
      </w:r>
      <w:proofErr w:type="spellEnd"/>
      <w:r w:rsidRPr="00CD0209">
        <w:rPr>
          <w:rFonts w:ascii="Times New Roman" w:eastAsia="Montserrat" w:hAnsi="Times New Roman" w:cs="Times New Roman"/>
        </w:rPr>
        <w:t xml:space="preserve"> y de descalificación de todo lo público. Resulta interesante pensar que mientras las movilizaciones más masivas contra el gobierno de Javier Milei tuvieron como eje central la defensa de la universidad pública, ese mismo sentido de lo público se corroe tanto desde fuera, por el desfinanciamiento y las propuestas del gobierno de desarmar aquellos elementos clave que ordenan al sistema alrededor de la idea de derecho a la ES (la Ley 27.204, por ejemplo), como desde dentro, en un proceso que viene desplegándose en las últimas décadas y que atraviesa también las prácticas y subjetividades de </w:t>
      </w:r>
      <w:proofErr w:type="spellStart"/>
      <w:r w:rsidRPr="00CD0209">
        <w:rPr>
          <w:rFonts w:ascii="Times New Roman" w:eastAsia="Montserrat" w:hAnsi="Times New Roman" w:cs="Times New Roman"/>
        </w:rPr>
        <w:t>lxs</w:t>
      </w:r>
      <w:proofErr w:type="spellEnd"/>
      <w:r w:rsidRPr="00CD0209">
        <w:rPr>
          <w:rFonts w:ascii="Times New Roman" w:eastAsia="Montserrat" w:hAnsi="Times New Roman" w:cs="Times New Roman"/>
        </w:rPr>
        <w:t xml:space="preserve"> que habitamos la universidad. </w:t>
      </w:r>
    </w:p>
    <w:p w14:paraId="241DAD6A" w14:textId="77777777" w:rsidR="00232FBF" w:rsidRPr="00CD0209" w:rsidRDefault="00232FBF" w:rsidP="00232FBF">
      <w:pPr>
        <w:spacing w:after="120" w:line="240" w:lineRule="auto"/>
        <w:jc w:val="both"/>
        <w:rPr>
          <w:rFonts w:ascii="Times New Roman" w:hAnsi="Times New Roman" w:cs="Times New Roman"/>
        </w:rPr>
      </w:pPr>
      <w:r w:rsidRPr="00CD0209">
        <w:rPr>
          <w:rFonts w:ascii="Times New Roman" w:hAnsi="Times New Roman" w:cs="Times New Roman"/>
        </w:rPr>
        <w:t xml:space="preserve">En definitiva, nos proponemos seguir pensando a partir de estos dos sistemas tan distintos, pero donde se expresa una misma tensión que se plantea en toda ALC: entre la educación como un derecho o como una mercancía, y la disputa por el bien educativo como un bien común. </w:t>
      </w:r>
    </w:p>
    <w:p w14:paraId="544B704F" w14:textId="77777777" w:rsidR="00BC236F" w:rsidRPr="00232FBF" w:rsidRDefault="00BC236F" w:rsidP="007B5B5F">
      <w:pPr>
        <w:spacing w:line="240" w:lineRule="auto"/>
        <w:jc w:val="both"/>
        <w:rPr>
          <w:rFonts w:ascii="Times New Roman" w:hAnsi="Times New Roman" w:cs="Times New Roman"/>
        </w:rPr>
      </w:pPr>
    </w:p>
    <w:p w14:paraId="4E1F8C82" w14:textId="77777777" w:rsidR="00ED2B85" w:rsidRPr="00BA642E" w:rsidRDefault="00ED2B85" w:rsidP="00ED2B85">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2B5E41ED" w14:textId="7220C169"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t xml:space="preserve">Acosta Silva, Adrián; Atairo, Daniela y Camou, Antonio (2015). </w:t>
      </w:r>
      <w:r w:rsidRPr="00186E86">
        <w:rPr>
          <w:rFonts w:ascii="Times New Roman" w:eastAsia="Montserrat" w:hAnsi="Times New Roman" w:cs="Times New Roman"/>
          <w:i/>
        </w:rPr>
        <w:t>Gobernabilidad y democracia en la universidad pública latinoamericana: Argentina y México en perspectiva comparada</w:t>
      </w:r>
      <w:r w:rsidRPr="00186E86">
        <w:rPr>
          <w:rFonts w:ascii="Times New Roman" w:eastAsia="Montserrat" w:hAnsi="Times New Roman" w:cs="Times New Roman"/>
        </w:rPr>
        <w:t xml:space="preserve">. Buenos Aires: CLACSO. </w:t>
      </w:r>
      <w:hyperlink r:id="rId8">
        <w:r w:rsidRPr="00186E86">
          <w:rPr>
            <w:rFonts w:ascii="Times New Roman" w:eastAsia="Montserrat" w:hAnsi="Times New Roman" w:cs="Times New Roman"/>
            <w:color w:val="0563C1"/>
            <w:u w:val="single"/>
          </w:rPr>
          <w:t>https://biblioteca-repositorio.clacso.edu.ar/handle/CLACSO/10993</w:t>
        </w:r>
      </w:hyperlink>
      <w:r w:rsidR="00844644">
        <w:rPr>
          <w:rFonts w:ascii="Times New Roman" w:eastAsia="Montserrat" w:hAnsi="Times New Roman" w:cs="Times New Roman"/>
        </w:rPr>
        <w:t xml:space="preserve">  </w:t>
      </w:r>
    </w:p>
    <w:p w14:paraId="5A13EDBF" w14:textId="77777777"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t xml:space="preserve">Atairo, Daniela (2014). </w:t>
      </w:r>
      <w:r w:rsidRPr="00186E86">
        <w:rPr>
          <w:rFonts w:ascii="Times New Roman" w:eastAsia="Montserrat" w:hAnsi="Times New Roman" w:cs="Times New Roman"/>
          <w:i/>
        </w:rPr>
        <w:t>El revés de la trama: cambios en el gobierno de la Universidad Nacional de La Plata durante 1986-2014</w:t>
      </w:r>
      <w:r w:rsidRPr="00186E86">
        <w:rPr>
          <w:rFonts w:ascii="Times New Roman" w:eastAsia="Montserrat" w:hAnsi="Times New Roman" w:cs="Times New Roman"/>
        </w:rPr>
        <w:t xml:space="preserve"> [Tesis de doctorado]. FLACSO-Argentina</w:t>
      </w:r>
    </w:p>
    <w:p w14:paraId="4994B19F" w14:textId="77777777" w:rsidR="00ED2B85" w:rsidRPr="00186E86" w:rsidRDefault="00ED2B85" w:rsidP="00ED2B85">
      <w:pPr>
        <w:spacing w:after="120" w:line="240" w:lineRule="auto"/>
        <w:jc w:val="both"/>
        <w:rPr>
          <w:rFonts w:ascii="Times New Roman" w:eastAsia="Montserrat" w:hAnsi="Times New Roman" w:cs="Times New Roman"/>
          <w:highlight w:val="white"/>
        </w:rPr>
      </w:pPr>
      <w:r w:rsidRPr="00186E86">
        <w:rPr>
          <w:rFonts w:ascii="Times New Roman" w:eastAsia="Montserrat" w:hAnsi="Times New Roman" w:cs="Times New Roman"/>
          <w:highlight w:val="white"/>
        </w:rPr>
        <w:t xml:space="preserve">Atairo, Daniela; Trotta, Lucía y Saforcada, Fernanda (2023). La privatización de la universidad Latinoamericana y los mecanismos de financiamiento como estrategia política. Un estudio de casos. </w:t>
      </w:r>
      <w:r w:rsidRPr="00186E86">
        <w:rPr>
          <w:rFonts w:ascii="Times New Roman" w:eastAsia="Montserrat" w:hAnsi="Times New Roman" w:cs="Times New Roman"/>
          <w:i/>
          <w:highlight w:val="white"/>
        </w:rPr>
        <w:t>Revista Española de Educación Comparada</w:t>
      </w:r>
      <w:r w:rsidRPr="00186E86">
        <w:rPr>
          <w:rFonts w:ascii="Times New Roman" w:eastAsia="Montserrat" w:hAnsi="Times New Roman" w:cs="Times New Roman"/>
          <w:highlight w:val="white"/>
        </w:rPr>
        <w:t xml:space="preserve">, (42), 261–283. </w:t>
      </w:r>
      <w:hyperlink r:id="rId9">
        <w:r w:rsidRPr="00186E86">
          <w:rPr>
            <w:rFonts w:ascii="Times New Roman" w:eastAsia="Montserrat" w:hAnsi="Times New Roman" w:cs="Times New Roman"/>
            <w:color w:val="0563C1"/>
            <w:highlight w:val="white"/>
            <w:u w:val="single"/>
          </w:rPr>
          <w:t>https://doi.org/10.5944/reec.42.2023.34279</w:t>
        </w:r>
      </w:hyperlink>
      <w:r w:rsidRPr="00186E86">
        <w:rPr>
          <w:rFonts w:ascii="Times New Roman" w:eastAsia="Montserrat" w:hAnsi="Times New Roman" w:cs="Times New Roman"/>
          <w:highlight w:val="white"/>
        </w:rPr>
        <w:t xml:space="preserve"> </w:t>
      </w:r>
    </w:p>
    <w:p w14:paraId="686EF68D" w14:textId="77777777" w:rsidR="00ED2B85" w:rsidRPr="00186E86" w:rsidRDefault="00ED2B85" w:rsidP="00ED2B85">
      <w:pPr>
        <w:spacing w:after="120" w:line="240" w:lineRule="auto"/>
        <w:jc w:val="both"/>
        <w:rPr>
          <w:rFonts w:ascii="Times New Roman" w:hAnsi="Times New Roman" w:cs="Times New Roman"/>
          <w:lang w:val="es-ES"/>
        </w:rPr>
      </w:pPr>
      <w:r w:rsidRPr="00186E86">
        <w:rPr>
          <w:rFonts w:ascii="Times New Roman" w:eastAsia="Montserrat" w:hAnsi="Times New Roman" w:cs="Times New Roman"/>
        </w:rPr>
        <w:t xml:space="preserve">Atairo, Daniela; Trotta, Lucía; Saforcada, Fernanda (2025) La colonización de lo público: privatización de la universidad en América Latina y el Caribe. Buenos Aires: IEC-CONADU. Disponible en: </w:t>
      </w:r>
      <w:hyperlink r:id="rId10" w:history="1">
        <w:r w:rsidRPr="00186E86">
          <w:rPr>
            <w:rStyle w:val="Hipervnculo"/>
            <w:rFonts w:ascii="Times New Roman" w:hAnsi="Times New Roman" w:cs="Times New Roman"/>
            <w:lang w:val="es-ES"/>
          </w:rPr>
          <w:t>https://biblioteca-repositorio.clacso.edu.ar/handle/CLACSO/277360</w:t>
        </w:r>
      </w:hyperlink>
    </w:p>
    <w:p w14:paraId="03F57E9B" w14:textId="77777777" w:rsidR="00ED2B85" w:rsidRPr="00186E86" w:rsidRDefault="00ED2B85" w:rsidP="00ED2B85">
      <w:pPr>
        <w:spacing w:after="120" w:line="240" w:lineRule="auto"/>
        <w:jc w:val="both"/>
        <w:rPr>
          <w:rFonts w:ascii="Times New Roman" w:eastAsia="Montserrat" w:hAnsi="Times New Roman" w:cs="Times New Roman"/>
          <w:lang w:val="es-AR"/>
        </w:rPr>
      </w:pPr>
      <w:r w:rsidRPr="00186E86">
        <w:rPr>
          <w:rFonts w:ascii="Times New Roman" w:eastAsia="Montserrat" w:hAnsi="Times New Roman" w:cs="Times New Roman"/>
        </w:rPr>
        <w:t>Brown, Wendy (2022). ¿Hacia qué está mutando la nueva derecha? Entrevista de Raphael Khachaturian. Revista Nueva Sociedad. Disponible en: https://nuso.org/articulo/hacia-dondeesta-mutando-la-derecha/imprimir</w:t>
      </w:r>
    </w:p>
    <w:p w14:paraId="7C06ABB0" w14:textId="77777777" w:rsidR="00ED2B85" w:rsidRPr="00186E86" w:rsidRDefault="00ED2B85" w:rsidP="00ED2B85">
      <w:pPr>
        <w:spacing w:after="120" w:line="240" w:lineRule="auto"/>
        <w:jc w:val="both"/>
        <w:rPr>
          <w:rFonts w:ascii="Times New Roman" w:eastAsia="Montserrat" w:hAnsi="Times New Roman" w:cs="Times New Roman"/>
          <w:color w:val="000000"/>
          <w:highlight w:val="yellow"/>
        </w:rPr>
      </w:pPr>
      <w:r w:rsidRPr="00186E86">
        <w:rPr>
          <w:rFonts w:ascii="Times New Roman" w:eastAsia="Montserrat" w:hAnsi="Times New Roman" w:cs="Times New Roman"/>
          <w:lang w:val="es-AR"/>
        </w:rPr>
        <w:t xml:space="preserve">Brunner, José Joaquín (2014). </w:t>
      </w:r>
      <w:r w:rsidRPr="00186E86">
        <w:rPr>
          <w:rFonts w:ascii="Times New Roman" w:eastAsia="Montserrat" w:hAnsi="Times New Roman" w:cs="Times New Roman"/>
        </w:rPr>
        <w:t xml:space="preserve">Medio siglo de transformaciones de la educación superior chilena: un estado del arte. En Andrés Bernasconi (ed.), </w:t>
      </w:r>
      <w:r w:rsidRPr="00186E86">
        <w:rPr>
          <w:rFonts w:ascii="Times New Roman" w:eastAsia="Montserrat" w:hAnsi="Times New Roman" w:cs="Times New Roman"/>
          <w:i/>
        </w:rPr>
        <w:t>La Educación Superior de Chile: Transformación, desarrollo y crisis</w:t>
      </w:r>
      <w:r w:rsidRPr="00186E86">
        <w:rPr>
          <w:rFonts w:ascii="Times New Roman" w:eastAsia="Montserrat" w:hAnsi="Times New Roman" w:cs="Times New Roman"/>
        </w:rPr>
        <w:t>. Santiago de Chile: Ediciones UC</w:t>
      </w:r>
    </w:p>
    <w:p w14:paraId="26F585A9" w14:textId="77777777"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lastRenderedPageBreak/>
        <w:t xml:space="preserve">Brunner, José Joaquín (julio de 2008). El sistema de educación superior en Chile: un enfoque de economía política comparada. </w:t>
      </w:r>
      <w:proofErr w:type="spellStart"/>
      <w:r w:rsidRPr="00186E86">
        <w:rPr>
          <w:rFonts w:ascii="Times New Roman" w:eastAsia="Montserrat" w:hAnsi="Times New Roman" w:cs="Times New Roman"/>
          <w:i/>
        </w:rPr>
        <w:t>Avaliação</w:t>
      </w:r>
      <w:proofErr w:type="spellEnd"/>
      <w:r w:rsidRPr="00186E86">
        <w:rPr>
          <w:rFonts w:ascii="Times New Roman" w:eastAsia="Montserrat" w:hAnsi="Times New Roman" w:cs="Times New Roman"/>
        </w:rPr>
        <w:t xml:space="preserve">, </w:t>
      </w:r>
      <w:r w:rsidRPr="00186E86">
        <w:rPr>
          <w:rFonts w:ascii="Times New Roman" w:eastAsia="Montserrat" w:hAnsi="Times New Roman" w:cs="Times New Roman"/>
          <w:i/>
        </w:rPr>
        <w:t>13</w:t>
      </w:r>
      <w:r w:rsidRPr="00186E86">
        <w:rPr>
          <w:rFonts w:ascii="Times New Roman" w:eastAsia="Montserrat" w:hAnsi="Times New Roman" w:cs="Times New Roman"/>
        </w:rPr>
        <w:t xml:space="preserve">(2), 451-486. </w:t>
      </w:r>
    </w:p>
    <w:p w14:paraId="34156EA6" w14:textId="77777777" w:rsidR="00ED2B85" w:rsidRPr="00186E86" w:rsidRDefault="00ED2B85" w:rsidP="00ED2B85">
      <w:pPr>
        <w:spacing w:after="120" w:line="240" w:lineRule="auto"/>
        <w:jc w:val="both"/>
        <w:rPr>
          <w:rFonts w:ascii="Times New Roman" w:eastAsia="Montserrat" w:hAnsi="Times New Roman" w:cs="Times New Roman"/>
          <w:color w:val="000000"/>
        </w:rPr>
      </w:pPr>
      <w:r w:rsidRPr="00186E86">
        <w:rPr>
          <w:rFonts w:ascii="Times New Roman" w:eastAsia="Montserrat" w:hAnsi="Times New Roman" w:cs="Times New Roman"/>
          <w:color w:val="000000"/>
        </w:rPr>
        <w:t xml:space="preserve">Buchbinder, Pablo (2005). </w:t>
      </w:r>
      <w:r w:rsidRPr="00186E86">
        <w:rPr>
          <w:rFonts w:ascii="Times New Roman" w:eastAsia="Montserrat" w:hAnsi="Times New Roman" w:cs="Times New Roman"/>
          <w:i/>
          <w:color w:val="000000"/>
        </w:rPr>
        <w:t>Historia de las universidades argentinas</w:t>
      </w:r>
      <w:r w:rsidRPr="00186E86">
        <w:rPr>
          <w:rFonts w:ascii="Times New Roman" w:eastAsia="Montserrat" w:hAnsi="Times New Roman" w:cs="Times New Roman"/>
          <w:color w:val="000000"/>
        </w:rPr>
        <w:t>. Buenos Aires: Sudamericana.</w:t>
      </w:r>
    </w:p>
    <w:p w14:paraId="3542B05F" w14:textId="77777777"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t xml:space="preserve">Carli, Sandra (2012). </w:t>
      </w:r>
      <w:r w:rsidRPr="00186E86">
        <w:rPr>
          <w:rFonts w:ascii="Times New Roman" w:eastAsia="Montserrat" w:hAnsi="Times New Roman" w:cs="Times New Roman"/>
          <w:i/>
        </w:rPr>
        <w:t>El estudiante universitario. Hacia una historia del presente de la educación pública</w:t>
      </w:r>
      <w:r w:rsidRPr="00186E86">
        <w:rPr>
          <w:rFonts w:ascii="Times New Roman" w:eastAsia="Montserrat" w:hAnsi="Times New Roman" w:cs="Times New Roman"/>
        </w:rPr>
        <w:t>. Buenos Aires: Siglo XXI.</w:t>
      </w:r>
    </w:p>
    <w:p w14:paraId="5A74ECB9" w14:textId="77777777"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t xml:space="preserve">Del Bello, Juan Carlos; Barsky, Osvaldo y Giménez, Graciela (2007). </w:t>
      </w:r>
      <w:r w:rsidRPr="00186E86">
        <w:rPr>
          <w:rFonts w:ascii="Times New Roman" w:eastAsia="Montserrat" w:hAnsi="Times New Roman" w:cs="Times New Roman"/>
          <w:i/>
        </w:rPr>
        <w:t xml:space="preserve">La universidad privada argentina. </w:t>
      </w:r>
      <w:r w:rsidRPr="00186E86">
        <w:rPr>
          <w:rFonts w:ascii="Times New Roman" w:eastAsia="Montserrat" w:hAnsi="Times New Roman" w:cs="Times New Roman"/>
        </w:rPr>
        <w:t xml:space="preserve">Buenos Aires: Libros del Zorzal. </w:t>
      </w:r>
    </w:p>
    <w:p w14:paraId="52AA6899" w14:textId="77777777"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t xml:space="preserve">Fondo de Investigación y Desarrollo en Educación [FONIDE] (2009). El sector particular subvencionado en Chile. </w:t>
      </w:r>
      <w:proofErr w:type="spellStart"/>
      <w:r w:rsidRPr="00186E86">
        <w:rPr>
          <w:rFonts w:ascii="Times New Roman" w:eastAsia="Montserrat" w:hAnsi="Times New Roman" w:cs="Times New Roman"/>
        </w:rPr>
        <w:t>Tipologización</w:t>
      </w:r>
      <w:proofErr w:type="spellEnd"/>
      <w:r w:rsidRPr="00186E86">
        <w:rPr>
          <w:rFonts w:ascii="Times New Roman" w:eastAsia="Montserrat" w:hAnsi="Times New Roman" w:cs="Times New Roman"/>
        </w:rPr>
        <w:t xml:space="preserve"> y perspectivas frente a las nuevas regulaciones. </w:t>
      </w:r>
      <w:hyperlink r:id="rId11">
        <w:r w:rsidRPr="00186E86">
          <w:rPr>
            <w:rFonts w:ascii="Times New Roman" w:eastAsia="Montserrat" w:hAnsi="Times New Roman" w:cs="Times New Roman"/>
            <w:color w:val="0000FF"/>
            <w:u w:val="single"/>
          </w:rPr>
          <w:t>https://www.opech.cl/bibliografico/Doc_Financiamiento/tipologizacion_perspectivas_nuevas_regulaciones.pdf</w:t>
        </w:r>
      </w:hyperlink>
    </w:p>
    <w:p w14:paraId="6E7B84EE" w14:textId="77777777" w:rsidR="00ED2B85" w:rsidRPr="00186E86" w:rsidRDefault="00ED2B85" w:rsidP="00ED2B85">
      <w:pPr>
        <w:spacing w:after="120" w:line="240" w:lineRule="auto"/>
        <w:jc w:val="both"/>
        <w:rPr>
          <w:rFonts w:ascii="Times New Roman" w:eastAsia="Montserrat" w:hAnsi="Times New Roman" w:cs="Times New Roman"/>
          <w:highlight w:val="yellow"/>
        </w:rPr>
      </w:pPr>
      <w:r w:rsidRPr="00186E86">
        <w:rPr>
          <w:rFonts w:ascii="Times New Roman" w:eastAsia="Montserrat" w:hAnsi="Times New Roman" w:cs="Times New Roman"/>
          <w:color w:val="000000"/>
        </w:rPr>
        <w:t xml:space="preserve">Forni, Pablo (2010). Los estudios de caso: Orígenes, cuestiones de diseño y sus aportes a la teoría social. </w:t>
      </w:r>
      <w:r w:rsidRPr="00186E86">
        <w:rPr>
          <w:rFonts w:ascii="Times New Roman" w:eastAsia="Montserrat" w:hAnsi="Times New Roman" w:cs="Times New Roman"/>
          <w:i/>
          <w:color w:val="000000"/>
        </w:rPr>
        <w:t>Miríada: Investigación en ciencias sociales</w:t>
      </w:r>
      <w:r w:rsidRPr="00186E86">
        <w:rPr>
          <w:rFonts w:ascii="Times New Roman" w:eastAsia="Montserrat" w:hAnsi="Times New Roman" w:cs="Times New Roman"/>
          <w:color w:val="000000"/>
        </w:rPr>
        <w:t xml:space="preserve">, </w:t>
      </w:r>
      <w:r w:rsidRPr="00186E86">
        <w:rPr>
          <w:rFonts w:ascii="Times New Roman" w:eastAsia="Montserrat" w:hAnsi="Times New Roman" w:cs="Times New Roman"/>
          <w:i/>
          <w:color w:val="000000"/>
        </w:rPr>
        <w:t>3</w:t>
      </w:r>
      <w:r w:rsidRPr="00186E86">
        <w:rPr>
          <w:rFonts w:ascii="Times New Roman" w:eastAsia="Montserrat" w:hAnsi="Times New Roman" w:cs="Times New Roman"/>
          <w:color w:val="000000"/>
        </w:rPr>
        <w:t xml:space="preserve">(5), pp. 61-80. </w:t>
      </w:r>
      <w:hyperlink r:id="rId12">
        <w:r w:rsidRPr="00186E86">
          <w:rPr>
            <w:rFonts w:ascii="Times New Roman" w:eastAsia="Montserrat" w:hAnsi="Times New Roman" w:cs="Times New Roman"/>
            <w:color w:val="0563C1"/>
            <w:u w:val="single"/>
          </w:rPr>
          <w:t>https://p3.usal.edu.ar/index.php/miriada/article/view/5</w:t>
        </w:r>
      </w:hyperlink>
    </w:p>
    <w:p w14:paraId="13A78604" w14:textId="77777777" w:rsidR="00ED2B85" w:rsidRPr="00186E86" w:rsidRDefault="00ED2B85" w:rsidP="00ED2B85">
      <w:pPr>
        <w:pBdr>
          <w:top w:val="nil"/>
          <w:left w:val="nil"/>
          <w:bottom w:val="nil"/>
          <w:right w:val="nil"/>
          <w:between w:val="nil"/>
        </w:pBdr>
        <w:spacing w:after="120" w:line="240" w:lineRule="auto"/>
        <w:jc w:val="both"/>
        <w:rPr>
          <w:rFonts w:ascii="Times New Roman" w:eastAsia="Montserrat" w:hAnsi="Times New Roman" w:cs="Times New Roman"/>
          <w:color w:val="000000"/>
        </w:rPr>
      </w:pPr>
      <w:r w:rsidRPr="00186E86">
        <w:rPr>
          <w:rFonts w:ascii="Times New Roman" w:eastAsia="Montserrat" w:hAnsi="Times New Roman" w:cs="Times New Roman"/>
          <w:color w:val="000000"/>
        </w:rPr>
        <w:t xml:space="preserve">Garretón, Manuel (noviembre de 2014). [Participación en la “Mesa 2: La universidad de Chile y el sistema de educación superior”]. </w:t>
      </w:r>
      <w:r w:rsidRPr="00186E86">
        <w:rPr>
          <w:rFonts w:ascii="Times New Roman" w:eastAsia="Montserrat" w:hAnsi="Times New Roman" w:cs="Times New Roman"/>
          <w:i/>
          <w:color w:val="000000"/>
        </w:rPr>
        <w:t>Anales de la Universidad de Chile,</w:t>
      </w:r>
      <w:r w:rsidRPr="00186E86">
        <w:rPr>
          <w:rFonts w:ascii="Times New Roman" w:eastAsia="Montserrat" w:hAnsi="Times New Roman" w:cs="Times New Roman"/>
          <w:color w:val="000000"/>
        </w:rPr>
        <w:t xml:space="preserve"> (7), 161–197. </w:t>
      </w:r>
    </w:p>
    <w:p w14:paraId="1CCCFC21" w14:textId="77777777"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t>Kremerman, Marco y Páez, Alexander (2016</w:t>
      </w:r>
      <w:r w:rsidRPr="00186E86">
        <w:rPr>
          <w:rFonts w:ascii="Times New Roman" w:eastAsia="Montserrat" w:hAnsi="Times New Roman" w:cs="Times New Roman"/>
          <w:i/>
        </w:rPr>
        <w:t>). Endeudar para gobernar y mercantilizar: El caso del CAE</w:t>
      </w:r>
      <w:r w:rsidRPr="00186E86">
        <w:rPr>
          <w:rFonts w:ascii="Times New Roman" w:eastAsia="Montserrat" w:hAnsi="Times New Roman" w:cs="Times New Roman"/>
        </w:rPr>
        <w:t xml:space="preserve">. Santiago de Chile: Fundación SOL. </w:t>
      </w:r>
    </w:p>
    <w:p w14:paraId="7EF14C0F" w14:textId="77777777"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t xml:space="preserve">Krotsch, Pedro (2001). </w:t>
      </w:r>
      <w:r w:rsidRPr="00186E86">
        <w:rPr>
          <w:rFonts w:ascii="Times New Roman" w:eastAsia="Montserrat" w:hAnsi="Times New Roman" w:cs="Times New Roman"/>
          <w:i/>
        </w:rPr>
        <w:t>Educación superior y reformas comparadas</w:t>
      </w:r>
      <w:r w:rsidRPr="00186E86">
        <w:rPr>
          <w:rFonts w:ascii="Times New Roman" w:eastAsia="Montserrat" w:hAnsi="Times New Roman" w:cs="Times New Roman"/>
        </w:rPr>
        <w:t>. Bernal: Universidad Nacional de Quilmes.</w:t>
      </w:r>
    </w:p>
    <w:p w14:paraId="09FFE5FF" w14:textId="77777777" w:rsidR="00ED2B85" w:rsidRPr="00186E86" w:rsidRDefault="00ED2B85" w:rsidP="00ED2B85">
      <w:pPr>
        <w:spacing w:after="120" w:line="240" w:lineRule="auto"/>
        <w:rPr>
          <w:rFonts w:ascii="Times New Roman" w:hAnsi="Times New Roman" w:cs="Times New Roman"/>
        </w:rPr>
      </w:pPr>
      <w:r w:rsidRPr="00186E86">
        <w:rPr>
          <w:rFonts w:ascii="Times New Roman" w:hAnsi="Times New Roman" w:cs="Times New Roman"/>
          <w:b/>
          <w:bCs/>
        </w:rPr>
        <w:t xml:space="preserve"> </w:t>
      </w:r>
      <w:r w:rsidRPr="00186E86">
        <w:rPr>
          <w:rFonts w:ascii="Times New Roman" w:hAnsi="Times New Roman" w:cs="Times New Roman"/>
        </w:rPr>
        <w:t xml:space="preserve">Ministerio de Educación [MINEDUC] (2023). “Sistemas de educación superior en clave regional: Reconfiguraciones, tendencias y desafíos del siglo XXI y post pandemia”, minuta de presentación del Subsecretario de Educación Superior Víctor Orellana. Disponible en: </w:t>
      </w:r>
      <w:hyperlink r:id="rId13" w:history="1">
        <w:r w:rsidRPr="00186E86">
          <w:rPr>
            <w:rStyle w:val="Hipervnculo"/>
            <w:rFonts w:ascii="Times New Roman" w:hAnsi="Times New Roman" w:cs="Times New Roman"/>
          </w:rPr>
          <w:t>https://educacionsuperior.mineduc.cl/2023/06/07/subsecretario-victor-orellana-expuso-en-seminario-mercosur-la-nueva-agenda-de-modernizacion-en-educacion-superior/</w:t>
        </w:r>
      </w:hyperlink>
    </w:p>
    <w:p w14:paraId="39271592" w14:textId="77777777"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t xml:space="preserve">Rovelli, Laura (2012). Dinámicas históricas y lógicas de expansión universitaria en la Argentina. En Adriana Chiroleu, Claudio Suasnabar y Laura Rovelli, </w:t>
      </w:r>
      <w:r w:rsidRPr="00186E86">
        <w:rPr>
          <w:rFonts w:ascii="Times New Roman" w:eastAsia="Montserrat" w:hAnsi="Times New Roman" w:cs="Times New Roman"/>
          <w:i/>
        </w:rPr>
        <w:t>Política universitaria en Argentina: revisando viejos legados en busca de nuevos horizontes.</w:t>
      </w:r>
      <w:r w:rsidRPr="00186E86">
        <w:rPr>
          <w:rFonts w:ascii="Times New Roman" w:eastAsia="Montserrat" w:hAnsi="Times New Roman" w:cs="Times New Roman"/>
        </w:rPr>
        <w:t xml:space="preserve"> IEC-CONADU-UNGS.</w:t>
      </w:r>
    </w:p>
    <w:p w14:paraId="2B7342C7" w14:textId="77777777"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t xml:space="preserve">Saforcada, Fernanda (Dir.), Daniela Atairo, Lucia Trotta y Aldana Rodríguez Golisano (2019) Tendencias de privatización y mercantilización de la universidad en América Latina. Los casos de Argentina, Chile, Perú y República Dominicana, </w:t>
      </w:r>
      <w:proofErr w:type="spellStart"/>
      <w:r w:rsidRPr="00186E86">
        <w:rPr>
          <w:rFonts w:ascii="Times New Roman" w:eastAsia="Montserrat" w:hAnsi="Times New Roman" w:cs="Times New Roman"/>
        </w:rPr>
        <w:t>Education</w:t>
      </w:r>
      <w:proofErr w:type="spellEnd"/>
      <w:r w:rsidRPr="00186E86">
        <w:rPr>
          <w:rFonts w:ascii="Times New Roman" w:eastAsia="Montserrat" w:hAnsi="Times New Roman" w:cs="Times New Roman"/>
        </w:rPr>
        <w:t xml:space="preserve"> International/IEC-</w:t>
      </w:r>
      <w:proofErr w:type="spellStart"/>
      <w:r w:rsidRPr="00186E86">
        <w:rPr>
          <w:rFonts w:ascii="Times New Roman" w:eastAsia="Montserrat" w:hAnsi="Times New Roman" w:cs="Times New Roman"/>
        </w:rPr>
        <w:t>Conadu</w:t>
      </w:r>
      <w:proofErr w:type="spellEnd"/>
      <w:r w:rsidRPr="00186E86">
        <w:rPr>
          <w:rFonts w:ascii="Times New Roman" w:eastAsia="Montserrat" w:hAnsi="Times New Roman" w:cs="Times New Roman"/>
        </w:rPr>
        <w:t xml:space="preserve"> </w:t>
      </w:r>
    </w:p>
    <w:p w14:paraId="7FD5A3BB" w14:textId="77777777"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t xml:space="preserve">Salazar, José Miguel y Leihy, </w:t>
      </w:r>
      <w:proofErr w:type="spellStart"/>
      <w:r w:rsidRPr="00186E86">
        <w:rPr>
          <w:rFonts w:ascii="Times New Roman" w:eastAsia="Montserrat" w:hAnsi="Times New Roman" w:cs="Times New Roman"/>
        </w:rPr>
        <w:t>Peodair</w:t>
      </w:r>
      <w:proofErr w:type="spellEnd"/>
      <w:r w:rsidRPr="00186E86">
        <w:rPr>
          <w:rFonts w:ascii="Times New Roman" w:eastAsia="Montserrat" w:hAnsi="Times New Roman" w:cs="Times New Roman"/>
        </w:rPr>
        <w:t xml:space="preserve"> Seamus (2013). El Manual Invisible: Tres décadas de políticas de educación superior en Chile (1980-2010). </w:t>
      </w:r>
      <w:proofErr w:type="spellStart"/>
      <w:r w:rsidRPr="00186E86">
        <w:rPr>
          <w:rFonts w:ascii="Times New Roman" w:eastAsia="Montserrat" w:hAnsi="Times New Roman" w:cs="Times New Roman"/>
          <w:i/>
        </w:rPr>
        <w:t>Education</w:t>
      </w:r>
      <w:proofErr w:type="spellEnd"/>
      <w:r w:rsidRPr="00186E86">
        <w:rPr>
          <w:rFonts w:ascii="Times New Roman" w:eastAsia="Montserrat" w:hAnsi="Times New Roman" w:cs="Times New Roman"/>
          <w:i/>
        </w:rPr>
        <w:t xml:space="preserve"> Policy </w:t>
      </w:r>
      <w:proofErr w:type="spellStart"/>
      <w:r w:rsidRPr="00186E86">
        <w:rPr>
          <w:rFonts w:ascii="Times New Roman" w:eastAsia="Montserrat" w:hAnsi="Times New Roman" w:cs="Times New Roman"/>
          <w:i/>
        </w:rPr>
        <w:t>Analysis</w:t>
      </w:r>
      <w:proofErr w:type="spellEnd"/>
      <w:r w:rsidRPr="00186E86">
        <w:rPr>
          <w:rFonts w:ascii="Times New Roman" w:eastAsia="Montserrat" w:hAnsi="Times New Roman" w:cs="Times New Roman"/>
          <w:i/>
        </w:rPr>
        <w:t xml:space="preserve"> Archives/Archivos Analíticos de Políticas Educativas</w:t>
      </w:r>
      <w:r w:rsidRPr="00186E86">
        <w:rPr>
          <w:rFonts w:ascii="Times New Roman" w:eastAsia="Montserrat" w:hAnsi="Times New Roman" w:cs="Times New Roman"/>
        </w:rPr>
        <w:t xml:space="preserve">, </w:t>
      </w:r>
      <w:r w:rsidRPr="00186E86">
        <w:rPr>
          <w:rFonts w:ascii="Times New Roman" w:eastAsia="Montserrat" w:hAnsi="Times New Roman" w:cs="Times New Roman"/>
          <w:i/>
        </w:rPr>
        <w:t>21</w:t>
      </w:r>
      <w:r w:rsidRPr="00186E86">
        <w:rPr>
          <w:rFonts w:ascii="Times New Roman" w:eastAsia="Montserrat" w:hAnsi="Times New Roman" w:cs="Times New Roman"/>
        </w:rPr>
        <w:t xml:space="preserve">(34). </w:t>
      </w:r>
      <w:hyperlink r:id="rId14">
        <w:r w:rsidRPr="00186E86">
          <w:rPr>
            <w:rFonts w:ascii="Times New Roman" w:eastAsia="Montserrat" w:hAnsi="Times New Roman" w:cs="Times New Roman"/>
            <w:color w:val="0000FF"/>
            <w:u w:val="single"/>
          </w:rPr>
          <w:t>https://doi.org/10.14507/epaa.v21n34.2013</w:t>
        </w:r>
      </w:hyperlink>
      <w:r w:rsidRPr="00186E86">
        <w:rPr>
          <w:rFonts w:ascii="Times New Roman" w:eastAsia="Montserrat" w:hAnsi="Times New Roman" w:cs="Times New Roman"/>
        </w:rPr>
        <w:t xml:space="preserve"> </w:t>
      </w:r>
    </w:p>
    <w:p w14:paraId="41F73C29" w14:textId="77777777"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lastRenderedPageBreak/>
        <w:t xml:space="preserve">Sisto, Vicente (enero-junio de 2013). Entre la privatización y la reconstrucción de lo público en Chile: Movimientos estudiantiles y el debate acerca del devenir de la universidad. </w:t>
      </w:r>
      <w:r w:rsidRPr="00186E86">
        <w:rPr>
          <w:rFonts w:ascii="Times New Roman" w:eastAsia="Montserrat" w:hAnsi="Times New Roman" w:cs="Times New Roman"/>
          <w:i/>
        </w:rPr>
        <w:t>Horizontes Sociológicos</w:t>
      </w:r>
      <w:r w:rsidRPr="00186E86">
        <w:rPr>
          <w:rFonts w:ascii="Times New Roman" w:eastAsia="Montserrat" w:hAnsi="Times New Roman" w:cs="Times New Roman"/>
        </w:rPr>
        <w:t xml:space="preserve">, </w:t>
      </w:r>
      <w:r w:rsidRPr="00186E86">
        <w:rPr>
          <w:rFonts w:ascii="Times New Roman" w:eastAsia="Montserrat" w:hAnsi="Times New Roman" w:cs="Times New Roman"/>
          <w:i/>
        </w:rPr>
        <w:t>1</w:t>
      </w:r>
      <w:r w:rsidRPr="00186E86">
        <w:rPr>
          <w:rFonts w:ascii="Times New Roman" w:eastAsia="Montserrat" w:hAnsi="Times New Roman" w:cs="Times New Roman"/>
        </w:rPr>
        <w:t xml:space="preserve">(1). </w:t>
      </w:r>
    </w:p>
    <w:p w14:paraId="44CBDB38" w14:textId="77777777"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t xml:space="preserve">Trotta, Lucía (2022) La privatización de la universidad latinoamericana: viejas tendencias, nuevas modalidades. En Saforcada, Fernanda; Atairo, Daniela; Trotta, Lucía (2022). </w:t>
      </w:r>
      <w:r w:rsidRPr="00186E86">
        <w:rPr>
          <w:rFonts w:ascii="Times New Roman" w:eastAsia="Montserrat" w:hAnsi="Times New Roman" w:cs="Times New Roman"/>
          <w:i/>
          <w:iCs/>
        </w:rPr>
        <w:t>La privatización de la universidad en América Latina y el Caribe</w:t>
      </w:r>
      <w:r w:rsidRPr="00186E86">
        <w:rPr>
          <w:rFonts w:ascii="Times New Roman" w:eastAsia="Montserrat" w:hAnsi="Times New Roman" w:cs="Times New Roman"/>
        </w:rPr>
        <w:t xml:space="preserve"> / - 1a ed. - Ciudad Autónoma de Buenos Aires: CLACSO; IEC-CONADU, 2022. Libro digital, PDF - (Que se pinte de pueblo). Disponible en: </w:t>
      </w:r>
      <w:hyperlink r:id="rId15" w:history="1">
        <w:r w:rsidRPr="00186E86">
          <w:rPr>
            <w:rStyle w:val="Hipervnculo"/>
            <w:rFonts w:ascii="Times New Roman" w:eastAsia="Montserrat" w:hAnsi="Times New Roman" w:cs="Times New Roman"/>
          </w:rPr>
          <w:t>https://bibliotecarepositorio.clacso.edu.ar/bitstream/CLACSO/169349/1/La-privatizacion-de-la-universidad.pdf</w:t>
        </w:r>
      </w:hyperlink>
    </w:p>
    <w:p w14:paraId="5BA5C384" w14:textId="77777777"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t xml:space="preserve">Trotta, Lucía (2025a). Trayectoria y configuración actual de la privatización en Chile. En Atairo, Daniela; Trotta, Lucía; Saforcada, Fernanda (2025) La colonización de lo público: privatización de la universidad en América Latina y el Caribe. Buenos Aires: IEC-CONADU. </w:t>
      </w:r>
    </w:p>
    <w:p w14:paraId="014A866F" w14:textId="77777777" w:rsidR="00ED2B85" w:rsidRPr="00186E86" w:rsidRDefault="00ED2B85" w:rsidP="00ED2B85">
      <w:pPr>
        <w:spacing w:after="120" w:line="240" w:lineRule="auto"/>
        <w:jc w:val="both"/>
        <w:rPr>
          <w:rFonts w:ascii="Times New Roman" w:eastAsia="Montserrat" w:hAnsi="Times New Roman" w:cs="Times New Roman"/>
        </w:rPr>
      </w:pPr>
      <w:r w:rsidRPr="00186E86">
        <w:rPr>
          <w:rFonts w:ascii="Times New Roman" w:eastAsia="Montserrat" w:hAnsi="Times New Roman" w:cs="Times New Roman"/>
        </w:rPr>
        <w:t xml:space="preserve">Trotta, Lucía (2025b). Trayectoria y configuración actual de la privatización en la Argentina. En Atairo, Daniela; Trotta, Lucía; Saforcada, Fernanda (2025) La colonización de lo público: privatización de la universidad en América Latina y el Caribe. Buenos Aires: IEC-CONADU. </w:t>
      </w:r>
    </w:p>
    <w:p w14:paraId="2313FDE2" w14:textId="77777777" w:rsidR="00ED2B85" w:rsidRPr="00186E86" w:rsidRDefault="00ED2B85" w:rsidP="00ED2B85">
      <w:pPr>
        <w:spacing w:after="120" w:line="240" w:lineRule="auto"/>
        <w:jc w:val="both"/>
        <w:rPr>
          <w:rFonts w:ascii="Times New Roman" w:eastAsia="Montserrat" w:hAnsi="Times New Roman" w:cs="Times New Roman"/>
          <w:lang w:val="en-US"/>
        </w:rPr>
      </w:pPr>
      <w:r w:rsidRPr="00186E86">
        <w:rPr>
          <w:rFonts w:ascii="Times New Roman" w:eastAsia="Montserrat" w:hAnsi="Times New Roman" w:cs="Times New Roman"/>
        </w:rPr>
        <w:t xml:space="preserve">Verger, Antoni, Moschetti, Mauro y </w:t>
      </w:r>
      <w:proofErr w:type="spellStart"/>
      <w:r w:rsidRPr="00186E86">
        <w:rPr>
          <w:rFonts w:ascii="Times New Roman" w:eastAsia="Montserrat" w:hAnsi="Times New Roman" w:cs="Times New Roman"/>
        </w:rPr>
        <w:t>Fontdevila</w:t>
      </w:r>
      <w:proofErr w:type="spellEnd"/>
      <w:r w:rsidRPr="00186E86">
        <w:rPr>
          <w:rFonts w:ascii="Times New Roman" w:eastAsia="Montserrat" w:hAnsi="Times New Roman" w:cs="Times New Roman"/>
        </w:rPr>
        <w:t xml:space="preserve">, Clara (2017). </w:t>
      </w:r>
      <w:r w:rsidRPr="00186E86">
        <w:rPr>
          <w:rFonts w:ascii="Times New Roman" w:eastAsia="Montserrat" w:hAnsi="Times New Roman" w:cs="Times New Roman"/>
          <w:i/>
        </w:rPr>
        <w:t>La privatización educativa en América Latina: Una cartografía de políticas, tendencias y trayectorias.</w:t>
      </w:r>
      <w:r w:rsidRPr="00186E86">
        <w:rPr>
          <w:rFonts w:ascii="Times New Roman" w:eastAsia="Montserrat" w:hAnsi="Times New Roman" w:cs="Times New Roman"/>
        </w:rPr>
        <w:t xml:space="preserve"> </w:t>
      </w:r>
      <w:r w:rsidRPr="00186E86">
        <w:rPr>
          <w:rFonts w:ascii="Times New Roman" w:eastAsia="Montserrat" w:hAnsi="Times New Roman" w:cs="Times New Roman"/>
          <w:lang w:val="en-US"/>
        </w:rPr>
        <w:t xml:space="preserve">Barcelona: </w:t>
      </w:r>
      <w:proofErr w:type="spellStart"/>
      <w:r w:rsidRPr="00186E86">
        <w:rPr>
          <w:rFonts w:ascii="Times New Roman" w:eastAsia="Montserrat" w:hAnsi="Times New Roman" w:cs="Times New Roman"/>
          <w:lang w:val="en-US"/>
        </w:rPr>
        <w:t>Universitat</w:t>
      </w:r>
      <w:proofErr w:type="spellEnd"/>
      <w:r w:rsidRPr="00186E86">
        <w:rPr>
          <w:rFonts w:ascii="Times New Roman" w:eastAsia="Montserrat" w:hAnsi="Times New Roman" w:cs="Times New Roman"/>
          <w:lang w:val="en-US"/>
        </w:rPr>
        <w:t xml:space="preserve"> </w:t>
      </w:r>
      <w:proofErr w:type="spellStart"/>
      <w:r w:rsidRPr="00186E86">
        <w:rPr>
          <w:rFonts w:ascii="Times New Roman" w:eastAsia="Montserrat" w:hAnsi="Times New Roman" w:cs="Times New Roman"/>
          <w:lang w:val="en-US"/>
        </w:rPr>
        <w:t>Autónoma</w:t>
      </w:r>
      <w:proofErr w:type="spellEnd"/>
      <w:r w:rsidRPr="00186E86">
        <w:rPr>
          <w:rFonts w:ascii="Times New Roman" w:eastAsia="Montserrat" w:hAnsi="Times New Roman" w:cs="Times New Roman"/>
          <w:lang w:val="en-US"/>
        </w:rPr>
        <w:t xml:space="preserve"> de Barcelona / IE.</w:t>
      </w:r>
    </w:p>
    <w:p w14:paraId="23CA62C6" w14:textId="77777777" w:rsidR="00C802F5" w:rsidRPr="00BA642E" w:rsidRDefault="00C802F5" w:rsidP="007B5B5F">
      <w:pPr>
        <w:spacing w:line="240" w:lineRule="auto"/>
        <w:rPr>
          <w:rFonts w:ascii="Times New Roman" w:hAnsi="Times New Roman" w:cs="Times New Roman"/>
        </w:rPr>
      </w:pPr>
    </w:p>
    <w:sectPr w:rsidR="00C802F5" w:rsidRPr="00BA642E" w:rsidSect="00701F64">
      <w:headerReference w:type="default" r:id="rId16"/>
      <w:footerReference w:type="default" r:id="rId1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1A4AB" w14:textId="77777777" w:rsidR="00DC08CA" w:rsidRPr="00BA642E" w:rsidRDefault="00DC08CA" w:rsidP="00C802F5">
      <w:pPr>
        <w:spacing w:after="0" w:line="240" w:lineRule="auto"/>
      </w:pPr>
      <w:r w:rsidRPr="00BA642E">
        <w:separator/>
      </w:r>
    </w:p>
  </w:endnote>
  <w:endnote w:type="continuationSeparator" w:id="0">
    <w:p w14:paraId="3329532E" w14:textId="77777777" w:rsidR="00DC08CA" w:rsidRPr="00BA642E" w:rsidRDefault="00DC08CA"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05BAC" w14:textId="77777777" w:rsidR="00DC08CA" w:rsidRPr="00BA642E" w:rsidRDefault="00DC08CA" w:rsidP="00C802F5">
      <w:pPr>
        <w:spacing w:after="0" w:line="240" w:lineRule="auto"/>
      </w:pPr>
      <w:r w:rsidRPr="00BA642E">
        <w:separator/>
      </w:r>
    </w:p>
  </w:footnote>
  <w:footnote w:type="continuationSeparator" w:id="0">
    <w:p w14:paraId="5463FC32" w14:textId="77777777" w:rsidR="00DC08CA" w:rsidRPr="00BA642E" w:rsidRDefault="00DC08CA" w:rsidP="00C802F5">
      <w:pPr>
        <w:spacing w:after="0" w:line="240" w:lineRule="auto"/>
      </w:pPr>
      <w:r w:rsidRPr="00BA642E">
        <w:continuationSeparator/>
      </w:r>
    </w:p>
  </w:footnote>
  <w:footnote w:id="1">
    <w:p w14:paraId="2E4E2279" w14:textId="77777777" w:rsidR="0014442A" w:rsidRPr="00DD36AA" w:rsidRDefault="0014442A" w:rsidP="0014442A">
      <w:pPr>
        <w:pStyle w:val="Textonotapie"/>
        <w:jc w:val="both"/>
        <w:rPr>
          <w:rFonts w:ascii="Times New Roman" w:hAnsi="Times New Roman" w:cs="Times New Roman"/>
        </w:rPr>
      </w:pPr>
      <w:r w:rsidRPr="00DD36AA">
        <w:rPr>
          <w:rStyle w:val="Refdenotaalpie"/>
          <w:rFonts w:ascii="Times New Roman" w:hAnsi="Times New Roman" w:cs="Times New Roman"/>
        </w:rPr>
        <w:footnoteRef/>
      </w:r>
      <w:r w:rsidRPr="00DD36AA">
        <w:rPr>
          <w:rFonts w:ascii="Times New Roman" w:hAnsi="Times New Roman" w:cs="Times New Roman"/>
        </w:rPr>
        <w:t xml:space="preserve"> Para ver estos procesos con más detalle ver Trotta, 2025 a y b</w:t>
      </w:r>
    </w:p>
  </w:footnote>
  <w:footnote w:id="2">
    <w:p w14:paraId="45466ECC" w14:textId="77777777" w:rsidR="00B65C1B" w:rsidRPr="00DD36AA" w:rsidRDefault="00B65C1B" w:rsidP="00B65C1B">
      <w:pPr>
        <w:shd w:val="clear" w:color="auto" w:fill="FFFFFF"/>
        <w:spacing w:after="0" w:line="240" w:lineRule="auto"/>
        <w:jc w:val="both"/>
        <w:rPr>
          <w:rFonts w:ascii="Times New Roman" w:eastAsia="Arial" w:hAnsi="Times New Roman" w:cs="Times New Roman"/>
          <w:sz w:val="20"/>
          <w:szCs w:val="20"/>
        </w:rPr>
      </w:pPr>
      <w:r w:rsidRPr="00DD36AA">
        <w:rPr>
          <w:rStyle w:val="Refdenotaalpie"/>
          <w:rFonts w:ascii="Times New Roman" w:hAnsi="Times New Roman" w:cs="Times New Roman"/>
          <w:sz w:val="20"/>
          <w:szCs w:val="20"/>
        </w:rPr>
        <w:footnoteRef/>
      </w:r>
      <w:r w:rsidRPr="00DD36AA">
        <w:rPr>
          <w:rFonts w:ascii="Times New Roman" w:hAnsi="Times New Roman" w:cs="Times New Roman"/>
          <w:sz w:val="20"/>
          <w:szCs w:val="20"/>
        </w:rPr>
        <w:t xml:space="preserve"> </w:t>
      </w:r>
      <w:r w:rsidRPr="00DD36AA">
        <w:rPr>
          <w:rFonts w:ascii="Times New Roman" w:eastAsia="Arial" w:hAnsi="Times New Roman" w:cs="Times New Roman"/>
          <w:sz w:val="20"/>
          <w:szCs w:val="20"/>
        </w:rPr>
        <w:t>Para el caso de Argentina nos centramos en el subsistema universitario</w:t>
      </w:r>
      <w:r w:rsidRPr="00DD36AA">
        <w:rPr>
          <w:rFonts w:ascii="Times New Roman" w:eastAsia="Montserrat" w:hAnsi="Times New Roman" w:cs="Times New Roman"/>
          <w:sz w:val="20"/>
          <w:szCs w:val="20"/>
        </w:rPr>
        <w:t xml:space="preserve"> por la representatividad numérica y simbólica que tiene dentro del SES nacional; en el caso de Chile tomamos al</w:t>
      </w:r>
      <w:r w:rsidRPr="00DD36AA">
        <w:rPr>
          <w:rFonts w:ascii="Times New Roman" w:eastAsia="Arial" w:hAnsi="Times New Roman" w:cs="Times New Roman"/>
          <w:sz w:val="20"/>
          <w:szCs w:val="20"/>
        </w:rPr>
        <w:t xml:space="preserve"> conjunto del SES. </w:t>
      </w:r>
    </w:p>
    <w:p w14:paraId="3A155BCE" w14:textId="77777777" w:rsidR="00B65C1B" w:rsidRPr="00BD2862" w:rsidRDefault="00B65C1B" w:rsidP="00B65C1B">
      <w:pPr>
        <w:pStyle w:val="Textonotapie"/>
      </w:pPr>
    </w:p>
  </w:footnote>
  <w:footnote w:id="3">
    <w:p w14:paraId="606FC38D" w14:textId="77777777" w:rsidR="00B65C1B" w:rsidRPr="00FB78E9" w:rsidRDefault="00B65C1B" w:rsidP="00B65C1B">
      <w:pPr>
        <w:pBdr>
          <w:top w:val="nil"/>
          <w:left w:val="nil"/>
          <w:bottom w:val="nil"/>
          <w:right w:val="nil"/>
          <w:between w:val="nil"/>
        </w:pBdr>
        <w:spacing w:after="0" w:line="240" w:lineRule="auto"/>
        <w:jc w:val="both"/>
        <w:rPr>
          <w:rFonts w:ascii="Times New Roman" w:eastAsia="Montserrat" w:hAnsi="Times New Roman" w:cs="Times New Roman"/>
          <w:color w:val="000000"/>
          <w:sz w:val="20"/>
          <w:szCs w:val="20"/>
        </w:rPr>
      </w:pPr>
      <w:r w:rsidRPr="00FB78E9">
        <w:rPr>
          <w:rFonts w:ascii="Times New Roman" w:hAnsi="Times New Roman" w:cs="Times New Roman"/>
          <w:sz w:val="20"/>
          <w:szCs w:val="20"/>
          <w:vertAlign w:val="superscript"/>
        </w:rPr>
        <w:footnoteRef/>
      </w:r>
      <w:r w:rsidRPr="00FB78E9">
        <w:rPr>
          <w:rFonts w:ascii="Times New Roman" w:eastAsia="Montserrat" w:hAnsi="Times New Roman" w:cs="Times New Roman"/>
          <w:color w:val="000000"/>
          <w:sz w:val="20"/>
          <w:szCs w:val="20"/>
        </w:rPr>
        <w:t xml:space="preserve"> Diego Portales, De los Andes y Alberto Hurtado</w:t>
      </w:r>
    </w:p>
  </w:footnote>
  <w:footnote w:id="4">
    <w:p w14:paraId="75644F31" w14:textId="77777777" w:rsidR="00C3323A" w:rsidRPr="009502C2" w:rsidRDefault="00C3323A" w:rsidP="00C3323A">
      <w:pPr>
        <w:pStyle w:val="Textonotapie"/>
        <w:jc w:val="both"/>
        <w:rPr>
          <w:rFonts w:ascii="Times New Roman" w:hAnsi="Times New Roman" w:cs="Times New Roman"/>
        </w:rPr>
      </w:pPr>
      <w:r w:rsidRPr="009502C2">
        <w:rPr>
          <w:rStyle w:val="Refdenotaalpie"/>
          <w:rFonts w:ascii="Times New Roman" w:hAnsi="Times New Roman" w:cs="Times New Roman"/>
        </w:rPr>
        <w:footnoteRef/>
      </w:r>
      <w:r w:rsidRPr="009502C2">
        <w:rPr>
          <w:rFonts w:ascii="Times New Roman" w:hAnsi="Times New Roman" w:cs="Times New Roman"/>
        </w:rPr>
        <w:t xml:space="preserve"> </w:t>
      </w:r>
      <w:r w:rsidRPr="009502C2">
        <w:rPr>
          <w:rFonts w:ascii="Times New Roman" w:eastAsia="Montserrat" w:hAnsi="Times New Roman" w:cs="Times New Roman"/>
        </w:rPr>
        <w:t>Si bien no estaría habilitado por la Ley 27.204/15, se registran en muchas ofertas de EAD de UUNN el cobro de distinto tipo de aranceles o matriculaciones</w:t>
      </w:r>
    </w:p>
  </w:footnote>
  <w:footnote w:id="5">
    <w:p w14:paraId="243EF49B" w14:textId="77777777" w:rsidR="00C3323A" w:rsidRPr="000B6853" w:rsidRDefault="00C3323A" w:rsidP="00C3323A">
      <w:pPr>
        <w:spacing w:after="0" w:line="240" w:lineRule="auto"/>
        <w:jc w:val="both"/>
        <w:rPr>
          <w:rFonts w:ascii="Times New Roman" w:hAnsi="Times New Roman" w:cs="Times New Roman"/>
          <w:color w:val="000000"/>
          <w:sz w:val="20"/>
          <w:szCs w:val="20"/>
        </w:rPr>
      </w:pPr>
      <w:r w:rsidRPr="000B6853">
        <w:rPr>
          <w:rFonts w:ascii="Times New Roman" w:hAnsi="Times New Roman" w:cs="Times New Roman"/>
          <w:sz w:val="20"/>
          <w:szCs w:val="20"/>
          <w:vertAlign w:val="superscript"/>
        </w:rPr>
        <w:footnoteRef/>
      </w:r>
      <w:r w:rsidRPr="000B6853">
        <w:rPr>
          <w:rFonts w:ascii="Times New Roman" w:eastAsia="Arial" w:hAnsi="Times New Roman" w:cs="Times New Roman"/>
          <w:sz w:val="20"/>
          <w:szCs w:val="20"/>
        </w:rPr>
        <w:t xml:space="preserve"> </w:t>
      </w:r>
      <w:hyperlink r:id="rId1">
        <w:r w:rsidRPr="000B6853">
          <w:rPr>
            <w:rFonts w:ascii="Times New Roman" w:eastAsia="Arial" w:hAnsi="Times New Roman" w:cs="Times New Roman"/>
            <w:color w:val="0000FF"/>
            <w:sz w:val="20"/>
            <w:szCs w:val="20"/>
            <w:u w:val="single"/>
          </w:rPr>
          <w:t>http://portal.beneficiosestudiantiles.cl/becas-y-creditos/credito-con-garantia-estatal-cae</w:t>
        </w:r>
      </w:hyperlink>
    </w:p>
  </w:footnote>
  <w:footnote w:id="6">
    <w:p w14:paraId="1E3A94C9" w14:textId="77777777" w:rsidR="00C3323A" w:rsidRPr="000B6853" w:rsidRDefault="00C3323A" w:rsidP="00C3323A">
      <w:pPr>
        <w:spacing w:after="0" w:line="240" w:lineRule="auto"/>
        <w:jc w:val="both"/>
        <w:rPr>
          <w:rFonts w:ascii="Times New Roman" w:eastAsia="Montserrat" w:hAnsi="Times New Roman" w:cs="Times New Roman"/>
          <w:sz w:val="20"/>
          <w:szCs w:val="20"/>
        </w:rPr>
      </w:pPr>
      <w:r w:rsidRPr="000B6853">
        <w:rPr>
          <w:rStyle w:val="Refdenotaalpie"/>
          <w:rFonts w:ascii="Times New Roman" w:hAnsi="Times New Roman" w:cs="Times New Roman"/>
          <w:sz w:val="20"/>
          <w:szCs w:val="20"/>
        </w:rPr>
        <w:footnoteRef/>
      </w:r>
      <w:r w:rsidRPr="000B6853">
        <w:rPr>
          <w:rFonts w:ascii="Times New Roman" w:hAnsi="Times New Roman" w:cs="Times New Roman"/>
          <w:sz w:val="20"/>
          <w:szCs w:val="20"/>
        </w:rPr>
        <w:t xml:space="preserve"> </w:t>
      </w:r>
      <w:r w:rsidRPr="000B6853">
        <w:rPr>
          <w:rFonts w:ascii="Times New Roman" w:eastAsia="Montserrat" w:hAnsi="Times New Roman" w:cs="Times New Roman"/>
          <w:sz w:val="20"/>
          <w:szCs w:val="20"/>
        </w:rPr>
        <w:t xml:space="preserve">La política de gratuidad supone la eximición del pago de arancel y matrícula durante la duración nominal de la carrera para </w:t>
      </w:r>
      <w:proofErr w:type="spellStart"/>
      <w:r w:rsidRPr="000B6853">
        <w:rPr>
          <w:rFonts w:ascii="Times New Roman" w:eastAsia="Montserrat" w:hAnsi="Times New Roman" w:cs="Times New Roman"/>
          <w:sz w:val="20"/>
          <w:szCs w:val="20"/>
        </w:rPr>
        <w:t>aquellxs</w:t>
      </w:r>
      <w:proofErr w:type="spellEnd"/>
      <w:r w:rsidRPr="000B6853">
        <w:rPr>
          <w:rFonts w:ascii="Times New Roman" w:eastAsia="Montserrat" w:hAnsi="Times New Roman" w:cs="Times New Roman"/>
          <w:sz w:val="20"/>
          <w:szCs w:val="20"/>
        </w:rPr>
        <w:t xml:space="preserve"> estudiantes correspondientes al 60% de menores ingresos de la población que estudien en </w:t>
      </w:r>
      <w:hyperlink r:id="rId2" w:anchor="references_tabs_field_asociar_subproceso_tab1" w:tgtFrame="_blank" w:history="1">
        <w:r w:rsidRPr="000B6853">
          <w:rPr>
            <w:rStyle w:val="Hipervnculo"/>
            <w:rFonts w:ascii="Times New Roman" w:eastAsia="Montserrat" w:hAnsi="Times New Roman" w:cs="Times New Roman"/>
            <w:color w:val="auto"/>
            <w:sz w:val="20"/>
            <w:szCs w:val="20"/>
            <w:u w:val="none"/>
          </w:rPr>
          <w:t>instituciones adscritas a este beneficio</w:t>
        </w:r>
      </w:hyperlink>
      <w:r w:rsidRPr="000B6853">
        <w:rPr>
          <w:rFonts w:ascii="Times New Roman" w:eastAsia="Montserrat" w:hAnsi="Times New Roman" w:cs="Times New Roman"/>
          <w:sz w:val="20"/>
          <w:szCs w:val="20"/>
        </w:rPr>
        <w:t xml:space="preserve">. </w:t>
      </w:r>
      <w:hyperlink r:id="rId3" w:history="1">
        <w:r w:rsidRPr="000B6853">
          <w:rPr>
            <w:rStyle w:val="Hipervnculo"/>
            <w:rFonts w:ascii="Times New Roman" w:eastAsia="Montserrat" w:hAnsi="Times New Roman" w:cs="Times New Roman"/>
            <w:color w:val="auto"/>
            <w:sz w:val="20"/>
            <w:szCs w:val="20"/>
          </w:rPr>
          <w:t>https://portal.beneficiosestudiantiles.cl/gratuidad</w:t>
        </w:r>
      </w:hyperlink>
    </w:p>
    <w:p w14:paraId="486A9885" w14:textId="77777777" w:rsidR="00C3323A" w:rsidRPr="000B6853" w:rsidRDefault="00C3323A" w:rsidP="00C3323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2C6F"/>
    <w:multiLevelType w:val="hybridMultilevel"/>
    <w:tmpl w:val="8050F85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6DA76C86"/>
    <w:multiLevelType w:val="hybridMultilevel"/>
    <w:tmpl w:val="C8C4AB9E"/>
    <w:lvl w:ilvl="0" w:tplc="6862F71E">
      <w:start w:val="3"/>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16cid:durableId="802577211">
    <w:abstractNumId w:val="0"/>
  </w:num>
  <w:num w:numId="2" w16cid:durableId="1318339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67781"/>
    <w:rsid w:val="0014442A"/>
    <w:rsid w:val="001816D6"/>
    <w:rsid w:val="00185F5E"/>
    <w:rsid w:val="001923DC"/>
    <w:rsid w:val="002327C3"/>
    <w:rsid w:val="00232FBF"/>
    <w:rsid w:val="00291222"/>
    <w:rsid w:val="002E3AA0"/>
    <w:rsid w:val="00305DAF"/>
    <w:rsid w:val="00312392"/>
    <w:rsid w:val="003216E1"/>
    <w:rsid w:val="003A2782"/>
    <w:rsid w:val="004040C0"/>
    <w:rsid w:val="004264C5"/>
    <w:rsid w:val="00437E9C"/>
    <w:rsid w:val="00550766"/>
    <w:rsid w:val="005F3B2E"/>
    <w:rsid w:val="00701F64"/>
    <w:rsid w:val="00705049"/>
    <w:rsid w:val="00744ECC"/>
    <w:rsid w:val="007B5B5F"/>
    <w:rsid w:val="007D233B"/>
    <w:rsid w:val="00830C3C"/>
    <w:rsid w:val="00844644"/>
    <w:rsid w:val="0085070B"/>
    <w:rsid w:val="008B15D2"/>
    <w:rsid w:val="008B48F9"/>
    <w:rsid w:val="009D3603"/>
    <w:rsid w:val="00A17247"/>
    <w:rsid w:val="00AE4C34"/>
    <w:rsid w:val="00AF2371"/>
    <w:rsid w:val="00B53108"/>
    <w:rsid w:val="00B57226"/>
    <w:rsid w:val="00B65C1B"/>
    <w:rsid w:val="00BA642E"/>
    <w:rsid w:val="00BC236F"/>
    <w:rsid w:val="00C3323A"/>
    <w:rsid w:val="00C802F5"/>
    <w:rsid w:val="00C96B2C"/>
    <w:rsid w:val="00CC04C1"/>
    <w:rsid w:val="00D843EC"/>
    <w:rsid w:val="00DC08CA"/>
    <w:rsid w:val="00E41471"/>
    <w:rsid w:val="00EA43E3"/>
    <w:rsid w:val="00ED2B85"/>
    <w:rsid w:val="00FB78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pie">
    <w:name w:val="footnote text"/>
    <w:basedOn w:val="Normal"/>
    <w:link w:val="TextonotapieCar"/>
    <w:uiPriority w:val="99"/>
    <w:semiHidden/>
    <w:unhideWhenUsed/>
    <w:rsid w:val="0014442A"/>
    <w:pPr>
      <w:spacing w:after="0" w:line="240" w:lineRule="auto"/>
    </w:pPr>
    <w:rPr>
      <w:sz w:val="20"/>
      <w:szCs w:val="20"/>
      <w:lang w:val="es-AR"/>
    </w:rPr>
  </w:style>
  <w:style w:type="character" w:customStyle="1" w:styleId="TextonotapieCar">
    <w:name w:val="Texto nota pie Car"/>
    <w:basedOn w:val="Fuentedeprrafopredeter"/>
    <w:link w:val="Textonotapie"/>
    <w:uiPriority w:val="99"/>
    <w:semiHidden/>
    <w:rsid w:val="0014442A"/>
    <w:rPr>
      <w:sz w:val="20"/>
      <w:szCs w:val="20"/>
    </w:rPr>
  </w:style>
  <w:style w:type="character" w:styleId="Refdenotaalpie">
    <w:name w:val="footnote reference"/>
    <w:basedOn w:val="Fuentedeprrafopredeter"/>
    <w:uiPriority w:val="99"/>
    <w:semiHidden/>
    <w:unhideWhenUsed/>
    <w:rsid w:val="001444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ca-repositorio.clacso.edu.ar/handle/CLACSO/10993" TargetMode="External"/><Relationship Id="rId13" Type="http://schemas.openxmlformats.org/officeDocument/2006/relationships/hyperlink" Target="https://educacionsuperior.mineduc.cl/2023/06/07/subsecretario-victor-orellana-expuso-en-seminario-mercosur-la-nueva-agenda-de-modernizacion-en-educacion-superio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orldbank.org/" TargetMode="External"/><Relationship Id="rId12" Type="http://schemas.openxmlformats.org/officeDocument/2006/relationships/hyperlink" Target="https://p3.usal.edu.ar/index.php/miriada/article/view/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ch.cl/bibliografico/Doc_Financiamiento/tipologizacion_perspectivas_nuevas_regulaciones.pdf" TargetMode="External"/><Relationship Id="rId5" Type="http://schemas.openxmlformats.org/officeDocument/2006/relationships/footnotes" Target="footnotes.xml"/><Relationship Id="rId15" Type="http://schemas.openxmlformats.org/officeDocument/2006/relationships/hyperlink" Target="https://bibliotecarepositorio.clacso.edu.ar/bitstream/CLACSO/169349/1/La-privatizacion-de-la-universidad.pdf" TargetMode="External"/><Relationship Id="rId10" Type="http://schemas.openxmlformats.org/officeDocument/2006/relationships/hyperlink" Target="https://biblioteca-repositorio.clacso.edu.ar/handle/CLACSO/27736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5944/reec.42.2023.34279" TargetMode="External"/><Relationship Id="rId14" Type="http://schemas.openxmlformats.org/officeDocument/2006/relationships/hyperlink" Target="https://doi.org/10.14507/epaa.v21n34.201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portal.beneficiosestudiantiles.cl/gratuidad" TargetMode="External"/><Relationship Id="rId2" Type="http://schemas.openxmlformats.org/officeDocument/2006/relationships/hyperlink" Target="https://portal.beneficiosestudiantiles.cl/gratuidad" TargetMode="External"/><Relationship Id="rId1" Type="http://schemas.openxmlformats.org/officeDocument/2006/relationships/hyperlink" Target="http://portal.beneficiosestudiantiles.cl/becas-y-creditos/credito-con-garantia-estatal-ca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19</Pages>
  <Words>9200</Words>
  <Characters>50603</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lucía t.</cp:lastModifiedBy>
  <cp:revision>28</cp:revision>
  <dcterms:created xsi:type="dcterms:W3CDTF">2026-03-14T03:50:00Z</dcterms:created>
  <dcterms:modified xsi:type="dcterms:W3CDTF">2026-07-12T23:19:00Z</dcterms:modified>
</cp:coreProperties>
</file>