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1E99DEB8" w:rsidR="001923DC" w:rsidRPr="00BA642E" w:rsidRDefault="00824ACD" w:rsidP="00824ACD">
      <w:pPr>
        <w:spacing w:after="0" w:line="240" w:lineRule="auto"/>
        <w:jc w:val="center"/>
        <w:rPr>
          <w:rFonts w:ascii="Times New Roman" w:hAnsi="Times New Roman" w:cs="Times New Roman"/>
          <w:b/>
          <w:bCs/>
        </w:rPr>
      </w:pPr>
      <w:r w:rsidRPr="00824ACD">
        <w:rPr>
          <w:rFonts w:ascii="Times New Roman" w:hAnsi="Times New Roman" w:cs="Times New Roman"/>
          <w:b/>
          <w:bCs/>
        </w:rPr>
        <w:t xml:space="preserve">Del objeto regulatorio a la intervención: el </w:t>
      </w:r>
      <w:proofErr w:type="spellStart"/>
      <w:r w:rsidRPr="00824ACD">
        <w:rPr>
          <w:rFonts w:ascii="Times New Roman" w:hAnsi="Times New Roman" w:cs="Times New Roman"/>
          <w:b/>
          <w:bCs/>
        </w:rPr>
        <w:t>microdiseño</w:t>
      </w:r>
      <w:proofErr w:type="spellEnd"/>
      <w:r w:rsidRPr="00824ACD">
        <w:rPr>
          <w:rFonts w:ascii="Times New Roman" w:hAnsi="Times New Roman" w:cs="Times New Roman"/>
          <w:b/>
          <w:bCs/>
        </w:rPr>
        <w:t xml:space="preserve"> del Modelo de Evaluación Institucional del CEAACES (Ecuador, 2013)</w:t>
      </w:r>
    </w:p>
    <w:p w14:paraId="43C49479" w14:textId="3D732676" w:rsidR="005F3B2E" w:rsidRPr="00BA642E" w:rsidRDefault="005F3B2E" w:rsidP="001923DC">
      <w:pPr>
        <w:jc w:val="center"/>
        <w:rPr>
          <w:rFonts w:ascii="Times New Roman" w:hAnsi="Times New Roman" w:cs="Times New Roman"/>
        </w:rPr>
      </w:pPr>
    </w:p>
    <w:p w14:paraId="4E738780" w14:textId="00AD3D84"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A</w:t>
      </w:r>
      <w:r w:rsidR="00764066">
        <w:rPr>
          <w:rFonts w:ascii="Times New Roman" w:hAnsi="Times New Roman" w:cs="Times New Roman"/>
        </w:rPr>
        <w:t>raujo Silva Lorena</w:t>
      </w:r>
    </w:p>
    <w:p w14:paraId="6C2AECCA" w14:textId="6795EAE1" w:rsidR="005F3B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P</w:t>
      </w:r>
      <w:r w:rsidR="00764066">
        <w:rPr>
          <w:rFonts w:ascii="Times New Roman" w:hAnsi="Times New Roman" w:cs="Times New Roman"/>
        </w:rPr>
        <w:t xml:space="preserve">ontificia Universidad Católica del Ecuador </w:t>
      </w:r>
    </w:p>
    <w:p w14:paraId="0206AD05" w14:textId="29B247BE" w:rsidR="00764066" w:rsidRPr="00BA642E" w:rsidRDefault="00764066" w:rsidP="005F3B2E">
      <w:pPr>
        <w:spacing w:after="0" w:line="240" w:lineRule="auto"/>
        <w:jc w:val="right"/>
        <w:rPr>
          <w:rFonts w:ascii="Times New Roman" w:hAnsi="Times New Roman" w:cs="Times New Roman"/>
        </w:rPr>
      </w:pPr>
      <w:r>
        <w:rPr>
          <w:rFonts w:ascii="Times New Roman" w:hAnsi="Times New Roman" w:cs="Times New Roman"/>
        </w:rPr>
        <w:t>Universidad Nacional de La Plata</w:t>
      </w:r>
    </w:p>
    <w:p w14:paraId="7D0026CD" w14:textId="7FAFCCAD" w:rsidR="005F3B2E" w:rsidRPr="00BA642E" w:rsidRDefault="00764066" w:rsidP="005F3B2E">
      <w:pPr>
        <w:spacing w:after="0" w:line="240" w:lineRule="auto"/>
        <w:jc w:val="right"/>
        <w:rPr>
          <w:rFonts w:ascii="Times New Roman" w:hAnsi="Times New Roman" w:cs="Times New Roman"/>
        </w:rPr>
      </w:pPr>
      <w:r>
        <w:rPr>
          <w:rFonts w:ascii="Times New Roman" w:hAnsi="Times New Roman" w:cs="Times New Roman"/>
        </w:rPr>
        <w:t>learaujo</w:t>
      </w:r>
      <w:r w:rsidR="00DC5C56" w:rsidRPr="00DC5C56">
        <w:rPr>
          <w:rFonts w:ascii="Times New Roman" w:hAnsi="Times New Roman" w:cs="Times New Roman"/>
        </w:rPr>
        <w:t>@</w:t>
      </w:r>
      <w:r>
        <w:rPr>
          <w:rFonts w:ascii="Times New Roman" w:hAnsi="Times New Roman" w:cs="Times New Roman"/>
        </w:rPr>
        <w:t>puce.edu.ec</w:t>
      </w:r>
    </w:p>
    <w:p w14:paraId="1B43FD84" w14:textId="77777777" w:rsidR="001923DC" w:rsidRPr="00BA642E" w:rsidRDefault="001923DC" w:rsidP="001923DC">
      <w:pPr>
        <w:jc w:val="center"/>
        <w:rPr>
          <w:rFonts w:ascii="Times New Roman" w:hAnsi="Times New Roman" w:cs="Times New Roman"/>
        </w:rPr>
      </w:pPr>
    </w:p>
    <w:p w14:paraId="7B9027E2" w14:textId="77777777" w:rsidR="00BA642E" w:rsidRPr="00932BF5" w:rsidRDefault="00BA642E" w:rsidP="00932BF5">
      <w:pPr>
        <w:spacing w:after="0" w:line="240" w:lineRule="auto"/>
        <w:rPr>
          <w:rFonts w:ascii="Times New Roman" w:hAnsi="Times New Roman" w:cs="Times New Roman"/>
          <w:b/>
          <w:bCs/>
        </w:rPr>
      </w:pPr>
    </w:p>
    <w:p w14:paraId="35A6682C" w14:textId="314734D0" w:rsidR="00BA642E" w:rsidRDefault="00BA642E" w:rsidP="00932BF5">
      <w:pPr>
        <w:spacing w:after="0" w:line="240" w:lineRule="auto"/>
        <w:jc w:val="both"/>
        <w:rPr>
          <w:rFonts w:ascii="Times New Roman" w:hAnsi="Times New Roman" w:cs="Times New Roman"/>
          <w:b/>
          <w:bCs/>
          <w:lang w:val="en-US"/>
        </w:rPr>
      </w:pPr>
      <w:proofErr w:type="spellStart"/>
      <w:r w:rsidRPr="00932BF5">
        <w:rPr>
          <w:rFonts w:ascii="Times New Roman" w:hAnsi="Times New Roman" w:cs="Times New Roman"/>
          <w:b/>
          <w:bCs/>
          <w:lang w:val="en-US"/>
        </w:rPr>
        <w:t>Resumen</w:t>
      </w:r>
      <w:proofErr w:type="spellEnd"/>
      <w:r w:rsidRPr="00932BF5">
        <w:rPr>
          <w:rFonts w:ascii="Times New Roman" w:hAnsi="Times New Roman" w:cs="Times New Roman"/>
          <w:b/>
          <w:bCs/>
          <w:lang w:val="en-US"/>
        </w:rPr>
        <w:t>:</w:t>
      </w:r>
      <w:r w:rsidR="007B5B5F" w:rsidRPr="00932BF5">
        <w:rPr>
          <w:rFonts w:ascii="Times New Roman" w:hAnsi="Times New Roman" w:cs="Times New Roman"/>
          <w:b/>
          <w:bCs/>
          <w:lang w:val="en-US"/>
        </w:rPr>
        <w:t xml:space="preserve"> </w:t>
      </w:r>
    </w:p>
    <w:p w14:paraId="43F6F181" w14:textId="69EC643E" w:rsidR="00932BF5" w:rsidRPr="00932BF5" w:rsidRDefault="00932BF5" w:rsidP="00932BF5">
      <w:pPr>
        <w:spacing w:after="0" w:line="240" w:lineRule="auto"/>
        <w:jc w:val="both"/>
        <w:rPr>
          <w:rFonts w:ascii="Times New Roman" w:hAnsi="Times New Roman" w:cs="Times New Roman"/>
          <w:lang w:val="es-EC"/>
        </w:rPr>
      </w:pPr>
      <w:r w:rsidRPr="00932BF5">
        <w:rPr>
          <w:rFonts w:ascii="Times New Roman" w:hAnsi="Times New Roman" w:cs="Times New Roman"/>
        </w:rPr>
        <w:t xml:space="preserve">Los estudios sobre aseguramiento de la calidad en educación superior han analizado ampliamente los efectos de la evaluación institucional sobre las universidades; sin embargo, se conoce menos acerca de las decisiones de diseño mediante las cuales estos instrumentos adquieren capacidad para intervenir sobre los sistemas universitarios. Este trabajo analiza el Modelo de Evaluación Institucional de Universidades y Escuelas Politécnicas aplicado por el Consejo de Evaluación, Acreditación y Aseguramiento de la Calidad de la Educación Superior (CEAACES) en Ecuador en 2013, con el propósito de comprender cómo su </w:t>
      </w:r>
      <w:proofErr w:type="spellStart"/>
      <w:r w:rsidRPr="00932BF5">
        <w:rPr>
          <w:rFonts w:ascii="Times New Roman" w:hAnsi="Times New Roman" w:cs="Times New Roman"/>
        </w:rPr>
        <w:t>microdiseño</w:t>
      </w:r>
      <w:proofErr w:type="spellEnd"/>
      <w:r w:rsidRPr="00932BF5">
        <w:rPr>
          <w:rFonts w:ascii="Times New Roman" w:hAnsi="Times New Roman" w:cs="Times New Roman"/>
        </w:rPr>
        <w:t xml:space="preserve"> incorporó lógicas de intervención que hicieron posible la gobernanza del sistema universitario. Desde una perspectiva de análisis de instrumentos de política y </w:t>
      </w:r>
      <w:proofErr w:type="spellStart"/>
      <w:r w:rsidRPr="00932BF5">
        <w:rPr>
          <w:rFonts w:ascii="Times New Roman" w:hAnsi="Times New Roman" w:cs="Times New Roman"/>
        </w:rPr>
        <w:t>microdiseño</w:t>
      </w:r>
      <w:proofErr w:type="spellEnd"/>
      <w:r w:rsidRPr="00932BF5">
        <w:rPr>
          <w:rFonts w:ascii="Times New Roman" w:hAnsi="Times New Roman" w:cs="Times New Roman"/>
        </w:rPr>
        <w:t xml:space="preserve"> (</w:t>
      </w:r>
      <w:proofErr w:type="spellStart"/>
      <w:r w:rsidRPr="00932BF5">
        <w:rPr>
          <w:rFonts w:ascii="Times New Roman" w:hAnsi="Times New Roman" w:cs="Times New Roman"/>
        </w:rPr>
        <w:t>Lascoumes</w:t>
      </w:r>
      <w:proofErr w:type="spellEnd"/>
      <w:r w:rsidRPr="00932BF5">
        <w:rPr>
          <w:rFonts w:ascii="Times New Roman" w:hAnsi="Times New Roman" w:cs="Times New Roman"/>
        </w:rPr>
        <w:t xml:space="preserve"> y Le </w:t>
      </w:r>
      <w:proofErr w:type="spellStart"/>
      <w:r w:rsidRPr="00932BF5">
        <w:rPr>
          <w:rFonts w:ascii="Times New Roman" w:hAnsi="Times New Roman" w:cs="Times New Roman"/>
        </w:rPr>
        <w:t>Galès</w:t>
      </w:r>
      <w:proofErr w:type="spellEnd"/>
      <w:r w:rsidRPr="00932BF5">
        <w:rPr>
          <w:rFonts w:ascii="Times New Roman" w:hAnsi="Times New Roman" w:cs="Times New Roman"/>
        </w:rPr>
        <w:t xml:space="preserve">; Capano y Howlett), se desarrolla una reconstrucción analítica basada en el examen del Mandato Constituyente No. 14, la Constitución de 2008, la Ley Orgánica de Educación Superior de 2010 y la documentación técnica del modelo de evaluación. Los resultados muestran que la capacidad de gobierno del instrumento se construye mediante una secuencia integrada de operaciones de diseño: la delimitación del objeto regulatorio, la construcción de una representación operativa de la universidad, la calibración de esa representación mediante reglas de valoración y su activación regulatoria a través de la clasificación institucional. Se concluye que el Estado no interviene directamente sobre las universidades, sino sobre la representación que el propio instrumento construye de ellas, convirtiendo el </w:t>
      </w:r>
      <w:proofErr w:type="spellStart"/>
      <w:r w:rsidRPr="00932BF5">
        <w:rPr>
          <w:rFonts w:ascii="Times New Roman" w:hAnsi="Times New Roman" w:cs="Times New Roman"/>
        </w:rPr>
        <w:t>microdiseño</w:t>
      </w:r>
      <w:proofErr w:type="spellEnd"/>
      <w:r w:rsidRPr="00932BF5">
        <w:rPr>
          <w:rFonts w:ascii="Times New Roman" w:hAnsi="Times New Roman" w:cs="Times New Roman"/>
        </w:rPr>
        <w:t xml:space="preserve"> en un componente central para comprender la gobernanza de los sistemas de educación superior.</w:t>
      </w:r>
    </w:p>
    <w:p w14:paraId="0CA619D3" w14:textId="77777777" w:rsidR="00932BF5" w:rsidRPr="00932BF5" w:rsidRDefault="00932BF5" w:rsidP="00932BF5">
      <w:pPr>
        <w:spacing w:after="0" w:line="240" w:lineRule="auto"/>
        <w:jc w:val="both"/>
        <w:rPr>
          <w:rFonts w:ascii="Times New Roman" w:hAnsi="Times New Roman" w:cs="Times New Roman"/>
          <w:b/>
          <w:bCs/>
          <w:lang w:val="es-EC"/>
        </w:rPr>
      </w:pPr>
    </w:p>
    <w:p w14:paraId="2994BAB3" w14:textId="45C04BDC" w:rsidR="00BA642E" w:rsidRPr="00932BF5" w:rsidRDefault="00BA642E" w:rsidP="00932BF5">
      <w:pPr>
        <w:spacing w:after="0" w:line="240" w:lineRule="auto"/>
        <w:jc w:val="both"/>
        <w:rPr>
          <w:rFonts w:ascii="Times New Roman" w:hAnsi="Times New Roman" w:cs="Times New Roman"/>
          <w:b/>
          <w:bCs/>
          <w:lang w:val="es-EC"/>
        </w:rPr>
      </w:pPr>
      <w:r w:rsidRPr="00932BF5">
        <w:rPr>
          <w:rFonts w:ascii="Times New Roman" w:hAnsi="Times New Roman" w:cs="Times New Roman"/>
          <w:b/>
          <w:bCs/>
          <w:lang w:val="es-EC"/>
        </w:rPr>
        <w:t xml:space="preserve">Palabras clave: </w:t>
      </w:r>
      <w:proofErr w:type="spellStart"/>
      <w:r w:rsidR="00932BF5" w:rsidRPr="00932BF5">
        <w:rPr>
          <w:rFonts w:ascii="Times New Roman" w:hAnsi="Times New Roman" w:cs="Times New Roman"/>
        </w:rPr>
        <w:t>M</w:t>
      </w:r>
      <w:r w:rsidR="00932BF5" w:rsidRPr="00932BF5">
        <w:rPr>
          <w:rFonts w:ascii="Times New Roman" w:hAnsi="Times New Roman" w:cs="Times New Roman"/>
        </w:rPr>
        <w:t>icrodiseño</w:t>
      </w:r>
      <w:proofErr w:type="spellEnd"/>
      <w:r w:rsidR="00932BF5" w:rsidRPr="00932BF5">
        <w:rPr>
          <w:rFonts w:ascii="Times New Roman" w:hAnsi="Times New Roman" w:cs="Times New Roman"/>
        </w:rPr>
        <w:t xml:space="preserve"> de </w:t>
      </w:r>
      <w:r w:rsidR="00932BF5" w:rsidRPr="00932BF5">
        <w:rPr>
          <w:rFonts w:ascii="Times New Roman" w:hAnsi="Times New Roman" w:cs="Times New Roman"/>
        </w:rPr>
        <w:t>P</w:t>
      </w:r>
      <w:r w:rsidR="00932BF5" w:rsidRPr="00932BF5">
        <w:rPr>
          <w:rFonts w:ascii="Times New Roman" w:hAnsi="Times New Roman" w:cs="Times New Roman"/>
        </w:rPr>
        <w:t xml:space="preserve">olíticas; </w:t>
      </w:r>
      <w:r w:rsidR="00932BF5" w:rsidRPr="00932BF5">
        <w:rPr>
          <w:rFonts w:ascii="Times New Roman" w:hAnsi="Times New Roman" w:cs="Times New Roman"/>
        </w:rPr>
        <w:t>I</w:t>
      </w:r>
      <w:r w:rsidR="00932BF5" w:rsidRPr="00932BF5">
        <w:rPr>
          <w:rFonts w:ascii="Times New Roman" w:hAnsi="Times New Roman" w:cs="Times New Roman"/>
        </w:rPr>
        <w:t xml:space="preserve">nstrumentos de </w:t>
      </w:r>
      <w:r w:rsidR="00932BF5" w:rsidRPr="00932BF5">
        <w:rPr>
          <w:rFonts w:ascii="Times New Roman" w:hAnsi="Times New Roman" w:cs="Times New Roman"/>
        </w:rPr>
        <w:t>P</w:t>
      </w:r>
      <w:r w:rsidR="00932BF5" w:rsidRPr="00932BF5">
        <w:rPr>
          <w:rFonts w:ascii="Times New Roman" w:hAnsi="Times New Roman" w:cs="Times New Roman"/>
        </w:rPr>
        <w:t xml:space="preserve">olítica; </w:t>
      </w:r>
      <w:r w:rsidR="00932BF5" w:rsidRPr="00932BF5">
        <w:rPr>
          <w:rFonts w:ascii="Times New Roman" w:hAnsi="Times New Roman" w:cs="Times New Roman"/>
        </w:rPr>
        <w:t>G</w:t>
      </w:r>
      <w:r w:rsidR="00932BF5" w:rsidRPr="00932BF5">
        <w:rPr>
          <w:rFonts w:ascii="Times New Roman" w:hAnsi="Times New Roman" w:cs="Times New Roman"/>
        </w:rPr>
        <w:t xml:space="preserve">obernanza; </w:t>
      </w:r>
      <w:r w:rsidR="00932BF5" w:rsidRPr="00932BF5">
        <w:rPr>
          <w:rFonts w:ascii="Times New Roman" w:hAnsi="Times New Roman" w:cs="Times New Roman"/>
        </w:rPr>
        <w:t>A</w:t>
      </w:r>
      <w:r w:rsidR="00932BF5" w:rsidRPr="00932BF5">
        <w:rPr>
          <w:rFonts w:ascii="Times New Roman" w:hAnsi="Times New Roman" w:cs="Times New Roman"/>
        </w:rPr>
        <w:t xml:space="preserve">seguramiento de la </w:t>
      </w:r>
      <w:r w:rsidR="00932BF5" w:rsidRPr="00932BF5">
        <w:rPr>
          <w:rFonts w:ascii="Times New Roman" w:hAnsi="Times New Roman" w:cs="Times New Roman"/>
        </w:rPr>
        <w:t>C</w:t>
      </w:r>
      <w:r w:rsidR="00932BF5" w:rsidRPr="00932BF5">
        <w:rPr>
          <w:rFonts w:ascii="Times New Roman" w:hAnsi="Times New Roman" w:cs="Times New Roman"/>
        </w:rPr>
        <w:t xml:space="preserve">alidad; </w:t>
      </w:r>
      <w:r w:rsidR="00932BF5" w:rsidRPr="00932BF5">
        <w:rPr>
          <w:rFonts w:ascii="Times New Roman" w:hAnsi="Times New Roman" w:cs="Times New Roman"/>
        </w:rPr>
        <w:t>E</w:t>
      </w:r>
      <w:r w:rsidR="00932BF5" w:rsidRPr="00932BF5">
        <w:rPr>
          <w:rFonts w:ascii="Times New Roman" w:hAnsi="Times New Roman" w:cs="Times New Roman"/>
        </w:rPr>
        <w:t xml:space="preserve">valuación </w:t>
      </w:r>
      <w:r w:rsidR="00932BF5" w:rsidRPr="00932BF5">
        <w:rPr>
          <w:rFonts w:ascii="Times New Roman" w:hAnsi="Times New Roman" w:cs="Times New Roman"/>
        </w:rPr>
        <w:t>I</w:t>
      </w:r>
      <w:r w:rsidR="00932BF5" w:rsidRPr="00932BF5">
        <w:rPr>
          <w:rFonts w:ascii="Times New Roman" w:hAnsi="Times New Roman" w:cs="Times New Roman"/>
        </w:rPr>
        <w:t xml:space="preserve">nstitucional; </w:t>
      </w:r>
      <w:r w:rsidR="00932BF5" w:rsidRPr="00932BF5">
        <w:rPr>
          <w:rFonts w:ascii="Times New Roman" w:hAnsi="Times New Roman" w:cs="Times New Roman"/>
        </w:rPr>
        <w:t>E</w:t>
      </w:r>
      <w:r w:rsidR="00932BF5" w:rsidRPr="00932BF5">
        <w:rPr>
          <w:rFonts w:ascii="Times New Roman" w:hAnsi="Times New Roman" w:cs="Times New Roman"/>
        </w:rPr>
        <w:t xml:space="preserve">ducación </w:t>
      </w:r>
      <w:r w:rsidR="00932BF5" w:rsidRPr="00932BF5">
        <w:rPr>
          <w:rFonts w:ascii="Times New Roman" w:hAnsi="Times New Roman" w:cs="Times New Roman"/>
        </w:rPr>
        <w:t>S</w:t>
      </w:r>
      <w:r w:rsidR="00932BF5" w:rsidRPr="00932BF5">
        <w:rPr>
          <w:rFonts w:ascii="Times New Roman" w:hAnsi="Times New Roman" w:cs="Times New Roman"/>
        </w:rPr>
        <w:t>uperior; Ecuador</w:t>
      </w:r>
    </w:p>
    <w:p w14:paraId="2782A114" w14:textId="77777777" w:rsidR="00932BF5" w:rsidRPr="00932BF5" w:rsidRDefault="00932BF5" w:rsidP="00932BF5">
      <w:pPr>
        <w:spacing w:after="0" w:line="240" w:lineRule="auto"/>
        <w:jc w:val="both"/>
        <w:rPr>
          <w:rFonts w:ascii="Times New Roman" w:hAnsi="Times New Roman" w:cs="Times New Roman"/>
          <w:b/>
          <w:bCs/>
          <w:lang w:val="es-EC"/>
        </w:rPr>
      </w:pPr>
    </w:p>
    <w:p w14:paraId="6A5547A1" w14:textId="36B7FAC2" w:rsidR="00BA642E" w:rsidRPr="00932BF5" w:rsidRDefault="00BA642E" w:rsidP="00932BF5">
      <w:pPr>
        <w:spacing w:after="0" w:line="240" w:lineRule="auto"/>
        <w:rPr>
          <w:rFonts w:ascii="Times New Roman" w:hAnsi="Times New Roman" w:cs="Times New Roman"/>
          <w:b/>
          <w:bCs/>
          <w:lang w:val="en-US"/>
        </w:rPr>
      </w:pPr>
      <w:proofErr w:type="spellStart"/>
      <w:r w:rsidRPr="00932BF5">
        <w:rPr>
          <w:rFonts w:ascii="Times New Roman" w:hAnsi="Times New Roman" w:cs="Times New Roman"/>
          <w:b/>
          <w:bCs/>
          <w:lang w:val="en-US"/>
        </w:rPr>
        <w:t>Introducción</w:t>
      </w:r>
      <w:proofErr w:type="spellEnd"/>
    </w:p>
    <w:p w14:paraId="5CA9F3FB" w14:textId="3645628F" w:rsidR="00242B30" w:rsidRPr="00932BF5" w:rsidRDefault="00242B30" w:rsidP="00932BF5">
      <w:pPr>
        <w:pStyle w:val="Estilo6"/>
        <w:spacing w:after="0" w:line="240" w:lineRule="auto"/>
        <w:rPr>
          <w:sz w:val="24"/>
          <w:szCs w:val="24"/>
        </w:rPr>
      </w:pPr>
      <w:r w:rsidRPr="00932BF5">
        <w:rPr>
          <w:sz w:val="24"/>
          <w:szCs w:val="24"/>
        </w:rPr>
        <w:t xml:space="preserve">Durante las últimas décadas, la educación superior en América Latina ha atravesado transformaciones asociadas a la expansión de la matrícula, la diferenciación institucional, la reconfiguración del financiamiento y la creciente intervención estatal en la regulación del sector universitario. La literatura regional coincide en identificar que estos cambios </w:t>
      </w:r>
      <w:r w:rsidRPr="00932BF5">
        <w:rPr>
          <w:sz w:val="24"/>
          <w:szCs w:val="24"/>
        </w:rPr>
        <w:t>son el resultado</w:t>
      </w:r>
      <w:r w:rsidRPr="00932BF5">
        <w:rPr>
          <w:sz w:val="24"/>
          <w:szCs w:val="24"/>
        </w:rPr>
        <w:t xml:space="preserve"> de un proceso histórico de larga duración en el que se reordenan los vínculos entre universidad, Estado y sociedad, así como los modos de definir la </w:t>
      </w:r>
      <w:r w:rsidRPr="00932BF5">
        <w:rPr>
          <w:sz w:val="24"/>
          <w:szCs w:val="24"/>
        </w:rPr>
        <w:lastRenderedPageBreak/>
        <w:t>autonomía, el acceso y la calidad (Rama, 2006, 2011; García Guadilla, 2007; Brunner, 2009</w:t>
      </w:r>
      <w:r w:rsidR="00A328A3">
        <w:rPr>
          <w:sz w:val="24"/>
          <w:szCs w:val="24"/>
        </w:rPr>
        <w:t xml:space="preserve">, </w:t>
      </w:r>
      <w:r w:rsidRPr="00932BF5">
        <w:rPr>
          <w:sz w:val="24"/>
          <w:szCs w:val="24"/>
        </w:rPr>
        <w:t xml:space="preserve">2021; Brunner &amp; Ganga, 2016). En este contexto, la evaluación, la acreditación y el aseguramiento de la calidad se han consolidado como componentes centrales de los nuevos arreglos de gobernanza universitaria, en tanto articulan estándares, mecanismos de supervisión y formas de rendición de cuentas que reestructuran la relación entre las instituciones y los Estados (Fernández Lamarra, 2003, 2014; García de Fanelli, 2014; </w:t>
      </w:r>
      <w:proofErr w:type="spellStart"/>
      <w:r w:rsidRPr="00932BF5">
        <w:rPr>
          <w:sz w:val="24"/>
          <w:szCs w:val="24"/>
        </w:rPr>
        <w:t>Chiroleu</w:t>
      </w:r>
      <w:proofErr w:type="spellEnd"/>
      <w:r w:rsidRPr="00932BF5">
        <w:rPr>
          <w:sz w:val="24"/>
          <w:szCs w:val="24"/>
        </w:rPr>
        <w:t>, 2011, 2014).</w:t>
      </w:r>
    </w:p>
    <w:p w14:paraId="168BFC7F" w14:textId="4FF495B5" w:rsidR="00242B30" w:rsidRDefault="00242B30" w:rsidP="00932BF5">
      <w:pPr>
        <w:pStyle w:val="Estilo6"/>
        <w:spacing w:after="0" w:line="240" w:lineRule="auto"/>
        <w:rPr>
          <w:sz w:val="24"/>
          <w:szCs w:val="24"/>
          <w:lang w:val="es-419"/>
        </w:rPr>
      </w:pPr>
      <w:r w:rsidRPr="00932BF5">
        <w:rPr>
          <w:sz w:val="24"/>
          <w:szCs w:val="24"/>
          <w:lang w:val="es-419"/>
        </w:rPr>
        <w:t xml:space="preserve">La expansión de los sistemas de aseguramiento de la calidad convirtió a la evaluación externa, la acreditación y la medición del desempeño en componentes cada vez más relevantes de la relación entre el Estado y las instituciones de educación superior. La noción de </w:t>
      </w:r>
      <w:r w:rsidRPr="00932BF5">
        <w:rPr>
          <w:i/>
          <w:iCs/>
          <w:sz w:val="24"/>
          <w:szCs w:val="24"/>
          <w:lang w:val="es-419"/>
        </w:rPr>
        <w:t>Estado evaluador</w:t>
      </w:r>
      <w:r w:rsidRPr="00932BF5">
        <w:rPr>
          <w:sz w:val="24"/>
          <w:szCs w:val="24"/>
          <w:lang w:val="es-419"/>
        </w:rPr>
        <w:t xml:space="preserve"> permitió describir precisamente la consolidación de formas de conducción pública basadas en la evaluación del desempeño, la rendición de cuentas y la actuación de agencias especializadas, así como sus efectos sobre la autonomía institucional y sobre los vínculos entre gobierno, sociedad y universidad (Neave, 1998, 2012). Al mismo tiempo, la literatura sobre calidad ha mostrado que esta categoría carece de un significado único y que las formas de definirla incorporan distintas concepciones acerca de los propósitos, procesos y resultados de la educación superior (Harvey &amp; Green, 1993). A pesar de estos avances, se conoce menos acerca de las decisiones internas de diseño mediante las cuales los modelos de evaluación traducen esas concepciones en criterios, indicadores, estándares y reglas de cálculo capaces de sustentar la intervención estatal</w:t>
      </w:r>
      <w:r w:rsidRPr="00932BF5">
        <w:rPr>
          <w:sz w:val="24"/>
          <w:szCs w:val="24"/>
          <w:lang w:val="es-419"/>
        </w:rPr>
        <w:t xml:space="preserve">. Es decir, los </w:t>
      </w:r>
      <w:r w:rsidRPr="00932BF5">
        <w:rPr>
          <w:sz w:val="24"/>
          <w:szCs w:val="24"/>
          <w:lang w:val="es-419"/>
        </w:rPr>
        <w:t>instrumento</w:t>
      </w:r>
      <w:r w:rsidRPr="00932BF5">
        <w:rPr>
          <w:sz w:val="24"/>
          <w:szCs w:val="24"/>
          <w:lang w:val="es-419"/>
        </w:rPr>
        <w:t>s</w:t>
      </w:r>
      <w:r w:rsidRPr="00932BF5">
        <w:rPr>
          <w:sz w:val="24"/>
          <w:szCs w:val="24"/>
          <w:lang w:val="es-419"/>
        </w:rPr>
        <w:t xml:space="preserve"> de evaluación ha</w:t>
      </w:r>
      <w:r w:rsidRPr="00932BF5">
        <w:rPr>
          <w:sz w:val="24"/>
          <w:szCs w:val="24"/>
          <w:lang w:val="es-419"/>
        </w:rPr>
        <w:t>n</w:t>
      </w:r>
      <w:r w:rsidRPr="00932BF5">
        <w:rPr>
          <w:sz w:val="24"/>
          <w:szCs w:val="24"/>
          <w:lang w:val="es-419"/>
        </w:rPr>
        <w:t xml:space="preserve"> permanecido, en gran medida, como una caja negra analítica. Se conocen con relativa precisión sus resultados y sus efectos sobre las instituciones, pero se sabe mucho menos acerca de las decisiones de diseño mediante las cuales esos instrumentos adquieren capacidad para intervenir sobre los sistemas universitarios.</w:t>
      </w:r>
    </w:p>
    <w:p w14:paraId="5B5FABA9" w14:textId="77777777" w:rsidR="004D7929" w:rsidRPr="00932BF5" w:rsidRDefault="004D7929" w:rsidP="00932BF5">
      <w:pPr>
        <w:pStyle w:val="Estilo6"/>
        <w:spacing w:after="0" w:line="240" w:lineRule="auto"/>
        <w:rPr>
          <w:sz w:val="24"/>
          <w:szCs w:val="24"/>
          <w:lang w:val="es-419"/>
        </w:rPr>
      </w:pPr>
    </w:p>
    <w:p w14:paraId="5A3DA65F" w14:textId="6D9DB2E3" w:rsidR="00242B30" w:rsidRDefault="00242B30" w:rsidP="00932BF5">
      <w:pPr>
        <w:pStyle w:val="Estilo6"/>
        <w:spacing w:after="0" w:line="240" w:lineRule="auto"/>
        <w:rPr>
          <w:sz w:val="24"/>
          <w:szCs w:val="24"/>
        </w:rPr>
      </w:pPr>
      <w:r w:rsidRPr="00932BF5">
        <w:rPr>
          <w:sz w:val="24"/>
          <w:szCs w:val="24"/>
        </w:rPr>
        <w:t xml:space="preserve">Esta investigación parte de la premisa de que los instrumentos de política no constituyen dispositivos neutrales destinados únicamente a implementar decisiones previamente adoptadas. Como señalan </w:t>
      </w:r>
      <w:proofErr w:type="spellStart"/>
      <w:r w:rsidRPr="00932BF5">
        <w:rPr>
          <w:sz w:val="24"/>
          <w:szCs w:val="24"/>
        </w:rPr>
        <w:t>Lascoumes</w:t>
      </w:r>
      <w:proofErr w:type="spellEnd"/>
      <w:r w:rsidRPr="00932BF5">
        <w:rPr>
          <w:sz w:val="24"/>
          <w:szCs w:val="24"/>
        </w:rPr>
        <w:t xml:space="preserve"> y Le </w:t>
      </w:r>
      <w:proofErr w:type="spellStart"/>
      <w:r w:rsidRPr="00932BF5">
        <w:rPr>
          <w:sz w:val="24"/>
          <w:szCs w:val="24"/>
        </w:rPr>
        <w:t>Galès</w:t>
      </w:r>
      <w:proofErr w:type="spellEnd"/>
      <w:r w:rsidRPr="00932BF5">
        <w:rPr>
          <w:sz w:val="24"/>
          <w:szCs w:val="24"/>
        </w:rPr>
        <w:t xml:space="preserve"> (2007), los instrumentos incorporan una determinada representación de los problemas públicos y organizan relaciones específicas entre el Estado y los actores regulados. Desde esta perspectiva, el interés analítico se desplaza desde los efectos de la evaluación hacia la arquitectura del propio instrumento. Más recientemente, los estudios sobre </w:t>
      </w:r>
      <w:proofErr w:type="spellStart"/>
      <w:r w:rsidRPr="00932BF5">
        <w:rPr>
          <w:sz w:val="24"/>
          <w:szCs w:val="24"/>
        </w:rPr>
        <w:t>microdiseño</w:t>
      </w:r>
      <w:proofErr w:type="spellEnd"/>
      <w:r w:rsidRPr="00932BF5">
        <w:rPr>
          <w:sz w:val="24"/>
          <w:szCs w:val="24"/>
        </w:rPr>
        <w:t xml:space="preserve"> de políticas han mostrado que la capacidad de intervención de un instrumento depende de las especificaciones y calibraciones incorporadas durante su diseño, antes incluso de que este sea implementado (Capano &amp; Howlett, 2024; Capano &amp; </w:t>
      </w:r>
      <w:proofErr w:type="spellStart"/>
      <w:r w:rsidRPr="00932BF5">
        <w:rPr>
          <w:sz w:val="24"/>
          <w:szCs w:val="24"/>
        </w:rPr>
        <w:t>Pritoni</w:t>
      </w:r>
      <w:proofErr w:type="spellEnd"/>
      <w:r w:rsidRPr="00932BF5">
        <w:rPr>
          <w:sz w:val="24"/>
          <w:szCs w:val="24"/>
        </w:rPr>
        <w:t xml:space="preserve">, 2026). </w:t>
      </w:r>
    </w:p>
    <w:p w14:paraId="3F8C7933" w14:textId="77777777" w:rsidR="004D7929" w:rsidRPr="00932BF5" w:rsidRDefault="004D7929" w:rsidP="00932BF5">
      <w:pPr>
        <w:pStyle w:val="Estilo6"/>
        <w:spacing w:after="0" w:line="240" w:lineRule="auto"/>
        <w:rPr>
          <w:sz w:val="24"/>
          <w:szCs w:val="24"/>
        </w:rPr>
      </w:pPr>
    </w:p>
    <w:p w14:paraId="0A2483D3" w14:textId="2D78DE1F" w:rsidR="00242B30" w:rsidRDefault="00242B30" w:rsidP="00932BF5">
      <w:pPr>
        <w:pStyle w:val="Estilo6"/>
        <w:spacing w:after="0" w:line="240" w:lineRule="auto"/>
        <w:rPr>
          <w:sz w:val="24"/>
          <w:szCs w:val="24"/>
        </w:rPr>
      </w:pPr>
      <w:r w:rsidRPr="00932BF5">
        <w:rPr>
          <w:sz w:val="24"/>
          <w:szCs w:val="24"/>
        </w:rPr>
        <w:t xml:space="preserve">A partir de este diálogo teórico, el artículo analiza el Modelo de Evaluación Institucional de Universidades y Escuelas Politécnicas aplicado por el Consejo de Evaluación, Acreditación y Aseguramiento de la Calidad de la Educación Superior (CEAACES) en Ecuador durante </w:t>
      </w:r>
      <w:r w:rsidR="008D7258" w:rsidRPr="00932BF5">
        <w:rPr>
          <w:sz w:val="24"/>
          <w:szCs w:val="24"/>
        </w:rPr>
        <w:t>2012 -</w:t>
      </w:r>
      <w:r w:rsidRPr="00932BF5">
        <w:rPr>
          <w:sz w:val="24"/>
          <w:szCs w:val="24"/>
        </w:rPr>
        <w:t xml:space="preserve">2013. El caso resulta particularmente relevante porque formó parte de una reforma estructural de la educación superior desarrollada entre 2008 y 2013, caracterizada por la redefinición del papel del Estado, la reorganización del sistema universitario y la incorporación del aseguramiento de la calidad como uno de los principales mecanismos de regulación pública. La evaluación institucional </w:t>
      </w:r>
      <w:r w:rsidR="008D7258" w:rsidRPr="00932BF5">
        <w:rPr>
          <w:sz w:val="24"/>
          <w:szCs w:val="24"/>
        </w:rPr>
        <w:t xml:space="preserve">materializa </w:t>
      </w:r>
      <w:r w:rsidRPr="00932BF5">
        <w:rPr>
          <w:sz w:val="24"/>
          <w:szCs w:val="24"/>
        </w:rPr>
        <w:t xml:space="preserve">el </w:t>
      </w:r>
      <w:r w:rsidRPr="00932BF5">
        <w:rPr>
          <w:sz w:val="24"/>
          <w:szCs w:val="24"/>
        </w:rPr>
        <w:lastRenderedPageBreak/>
        <w:t>momento culminante de un proceso de transformación que incluyó la expedición del Mandato Constituyente No. 14, la aprobación de la Constitución de 2008, la promulgación de la Ley Orgánica de Educación Superior y la creación de una nueva institucionalidad para el aseguramiento de la calidad.</w:t>
      </w:r>
    </w:p>
    <w:p w14:paraId="16AB0F39" w14:textId="77777777" w:rsidR="004D7929" w:rsidRPr="00932BF5" w:rsidRDefault="004D7929" w:rsidP="00932BF5">
      <w:pPr>
        <w:pStyle w:val="Estilo6"/>
        <w:spacing w:after="0" w:line="240" w:lineRule="auto"/>
        <w:rPr>
          <w:sz w:val="24"/>
          <w:szCs w:val="24"/>
        </w:rPr>
      </w:pPr>
    </w:p>
    <w:p w14:paraId="35E1EC0D" w14:textId="1AB62C42" w:rsidR="00242B30" w:rsidRDefault="00242B30" w:rsidP="00932BF5">
      <w:pPr>
        <w:pStyle w:val="Estilo6"/>
        <w:spacing w:after="0" w:line="240" w:lineRule="auto"/>
        <w:rPr>
          <w:sz w:val="24"/>
          <w:szCs w:val="24"/>
        </w:rPr>
      </w:pPr>
      <w:r w:rsidRPr="00932BF5">
        <w:rPr>
          <w:sz w:val="24"/>
          <w:szCs w:val="24"/>
        </w:rPr>
        <w:t xml:space="preserve">La pregunta que orienta </w:t>
      </w:r>
      <w:r w:rsidR="008D7258" w:rsidRPr="00932BF5">
        <w:rPr>
          <w:sz w:val="24"/>
          <w:szCs w:val="24"/>
        </w:rPr>
        <w:t xml:space="preserve">el siguiente documento </w:t>
      </w:r>
      <w:r w:rsidRPr="00932BF5">
        <w:rPr>
          <w:sz w:val="24"/>
          <w:szCs w:val="24"/>
        </w:rPr>
        <w:t>es la siguiente: ¿</w:t>
      </w:r>
      <w:r w:rsidR="00932BF5">
        <w:rPr>
          <w:sz w:val="24"/>
          <w:szCs w:val="24"/>
        </w:rPr>
        <w:t>C</w:t>
      </w:r>
      <w:r w:rsidRPr="00932BF5">
        <w:rPr>
          <w:sz w:val="24"/>
          <w:szCs w:val="24"/>
        </w:rPr>
        <w:t xml:space="preserve">ómo el </w:t>
      </w:r>
      <w:proofErr w:type="spellStart"/>
      <w:r w:rsidRPr="00932BF5">
        <w:rPr>
          <w:sz w:val="24"/>
          <w:szCs w:val="24"/>
        </w:rPr>
        <w:t>microdiseño</w:t>
      </w:r>
      <w:proofErr w:type="spellEnd"/>
      <w:r w:rsidRPr="00932BF5">
        <w:rPr>
          <w:sz w:val="24"/>
          <w:szCs w:val="24"/>
        </w:rPr>
        <w:t xml:space="preserve"> del Modelo de Evaluación Institucional de 2013 incorporó lógicas de intervención que hicieron posible la gobernanza del sistema universitario ecuatoriano? </w:t>
      </w:r>
      <w:r w:rsidR="008D7258" w:rsidRPr="00932BF5">
        <w:rPr>
          <w:sz w:val="24"/>
          <w:szCs w:val="24"/>
        </w:rPr>
        <w:t>E</w:t>
      </w:r>
      <w:r w:rsidRPr="00932BF5">
        <w:rPr>
          <w:sz w:val="24"/>
          <w:szCs w:val="24"/>
        </w:rPr>
        <w:t>l trabajo reconstruye las decisiones de diseño mediante las cuales el instrumento adquirió capacidad de gobierno</w:t>
      </w:r>
      <w:r w:rsidR="008D7258" w:rsidRPr="00932BF5">
        <w:rPr>
          <w:sz w:val="24"/>
          <w:szCs w:val="24"/>
        </w:rPr>
        <w:t>, e</w:t>
      </w:r>
      <w:r w:rsidR="008D7258" w:rsidRPr="00932BF5">
        <w:rPr>
          <w:sz w:val="24"/>
          <w:szCs w:val="24"/>
        </w:rPr>
        <w:t>n lugar de analizar los efectos de la evaluación sobre las universidades</w:t>
      </w:r>
      <w:r w:rsidRPr="00932BF5">
        <w:rPr>
          <w:sz w:val="24"/>
          <w:szCs w:val="24"/>
        </w:rPr>
        <w:t xml:space="preserve">. El argumento central sostiene que dicha capacidad </w:t>
      </w:r>
      <w:r w:rsidR="008D7258" w:rsidRPr="00932BF5">
        <w:rPr>
          <w:sz w:val="24"/>
          <w:szCs w:val="24"/>
        </w:rPr>
        <w:t>si bien se sustenta en</w:t>
      </w:r>
      <w:r w:rsidRPr="00932BF5">
        <w:rPr>
          <w:sz w:val="24"/>
          <w:szCs w:val="24"/>
        </w:rPr>
        <w:t xml:space="preserve"> la autoridad jurídica del Estado</w:t>
      </w:r>
      <w:r w:rsidR="008D7258" w:rsidRPr="00932BF5">
        <w:rPr>
          <w:sz w:val="24"/>
          <w:szCs w:val="24"/>
        </w:rPr>
        <w:t>, se sostiene mediante</w:t>
      </w:r>
      <w:r w:rsidRPr="00932BF5">
        <w:rPr>
          <w:sz w:val="24"/>
          <w:szCs w:val="24"/>
        </w:rPr>
        <w:t xml:space="preserve"> una secuencia integrada de decisiones de </w:t>
      </w:r>
      <w:proofErr w:type="spellStart"/>
      <w:r w:rsidRPr="00932BF5">
        <w:rPr>
          <w:sz w:val="24"/>
          <w:szCs w:val="24"/>
        </w:rPr>
        <w:t>microdiseño</w:t>
      </w:r>
      <w:proofErr w:type="spellEnd"/>
      <w:r w:rsidRPr="00932BF5">
        <w:rPr>
          <w:sz w:val="24"/>
          <w:szCs w:val="24"/>
        </w:rPr>
        <w:t xml:space="preserve"> que delimita el objeto regulatorio, construye una representación operativa de la universidad, calibra esa representación mediante reglas de valoración y transforma la información producida por la evaluación en consecuencias regulatorias diferenciadas para las instituciones.</w:t>
      </w:r>
    </w:p>
    <w:p w14:paraId="60F99142" w14:textId="77777777" w:rsidR="004D7929" w:rsidRPr="00932BF5" w:rsidRDefault="004D7929" w:rsidP="00932BF5">
      <w:pPr>
        <w:pStyle w:val="Estilo6"/>
        <w:spacing w:after="0" w:line="240" w:lineRule="auto"/>
        <w:rPr>
          <w:sz w:val="24"/>
          <w:szCs w:val="24"/>
        </w:rPr>
      </w:pPr>
    </w:p>
    <w:p w14:paraId="4EAB1685" w14:textId="3823C35D" w:rsidR="00242B30" w:rsidRDefault="00242B30" w:rsidP="00932BF5">
      <w:pPr>
        <w:pStyle w:val="Estilo6"/>
        <w:spacing w:after="0" w:line="240" w:lineRule="auto"/>
        <w:rPr>
          <w:sz w:val="24"/>
          <w:szCs w:val="24"/>
        </w:rPr>
      </w:pPr>
      <w:r w:rsidRPr="00932BF5">
        <w:rPr>
          <w:sz w:val="24"/>
          <w:szCs w:val="24"/>
        </w:rPr>
        <w:t xml:space="preserve">Metodológicamente, el estudio desarrolla una reconstrucción analítica del diseño del instrumento a partir del análisis documental del proceso de reforma de la educación superior ecuatoriana y de los documentos técnicos que sustentaron el Modelo de Evaluación Institucional de 2013. El corpus incorpora el Mandato Constituyente No. 14, la Constitución de la República del Ecuador de 2008, la Ley Orgánica de Educación Superior de 2010, los documentos metodológicos elaborados por el CEAACES y la normativa asociada a la implementación del sistema de aseguramiento de la calidad. El análisis se organiza siguiendo la lógica del </w:t>
      </w:r>
      <w:proofErr w:type="spellStart"/>
      <w:r w:rsidRPr="00932BF5">
        <w:rPr>
          <w:sz w:val="24"/>
          <w:szCs w:val="24"/>
        </w:rPr>
        <w:t>microdiseño</w:t>
      </w:r>
      <w:proofErr w:type="spellEnd"/>
      <w:r w:rsidRPr="00932BF5">
        <w:rPr>
          <w:sz w:val="24"/>
          <w:szCs w:val="24"/>
        </w:rPr>
        <w:t xml:space="preserve"> </w:t>
      </w:r>
      <w:r w:rsidR="008D7258" w:rsidRPr="00932BF5">
        <w:rPr>
          <w:sz w:val="24"/>
          <w:szCs w:val="24"/>
        </w:rPr>
        <w:t>sistematizada en Capano &amp;</w:t>
      </w:r>
      <w:r w:rsidR="008D7258" w:rsidRPr="00932BF5">
        <w:rPr>
          <w:sz w:val="24"/>
          <w:szCs w:val="24"/>
        </w:rPr>
        <w:t xml:space="preserve"> </w:t>
      </w:r>
      <w:r w:rsidR="008D7258" w:rsidRPr="00932BF5">
        <w:rPr>
          <w:sz w:val="24"/>
          <w:szCs w:val="24"/>
        </w:rPr>
        <w:t>Howlett 2024 y reformulada en</w:t>
      </w:r>
      <w:r w:rsidR="008D7258" w:rsidRPr="00932BF5">
        <w:rPr>
          <w:sz w:val="24"/>
          <w:szCs w:val="24"/>
        </w:rPr>
        <w:t xml:space="preserve"> </w:t>
      </w:r>
      <w:r w:rsidR="008D7258" w:rsidRPr="00932BF5">
        <w:rPr>
          <w:sz w:val="24"/>
          <w:szCs w:val="24"/>
        </w:rPr>
        <w:t xml:space="preserve">Capano y </w:t>
      </w:r>
      <w:proofErr w:type="spellStart"/>
      <w:r w:rsidR="008D7258" w:rsidRPr="00932BF5">
        <w:rPr>
          <w:sz w:val="24"/>
          <w:szCs w:val="24"/>
        </w:rPr>
        <w:t>Pritoni</w:t>
      </w:r>
      <w:proofErr w:type="spellEnd"/>
      <w:r w:rsidR="008D7258" w:rsidRPr="00932BF5">
        <w:rPr>
          <w:sz w:val="24"/>
          <w:szCs w:val="24"/>
        </w:rPr>
        <w:t xml:space="preserve"> 2026</w:t>
      </w:r>
      <w:r w:rsidR="008D7258" w:rsidRPr="00932BF5">
        <w:rPr>
          <w:sz w:val="24"/>
          <w:szCs w:val="24"/>
        </w:rPr>
        <w:t>.</w:t>
      </w:r>
      <w:r w:rsidRPr="00932BF5">
        <w:rPr>
          <w:sz w:val="24"/>
          <w:szCs w:val="24"/>
        </w:rPr>
        <w:t xml:space="preserve"> </w:t>
      </w:r>
      <w:r w:rsidR="00EF7411">
        <w:rPr>
          <w:sz w:val="24"/>
          <w:szCs w:val="24"/>
        </w:rPr>
        <w:t xml:space="preserve"> </w:t>
      </w:r>
      <w:r w:rsidRPr="00932BF5">
        <w:rPr>
          <w:sz w:val="24"/>
          <w:szCs w:val="24"/>
        </w:rPr>
        <w:t xml:space="preserve">El principal aporte del trabajo consiste en mostrar que la gobernanza ejercida mediante instrumentos de evaluación comienza mucho antes de la producción de resultados. El Estado no gobierna directamente a las universidades, sino la representación que el propio instrumento construye de ellas. Al hacer visible la arquitectura del </w:t>
      </w:r>
      <w:proofErr w:type="spellStart"/>
      <w:r w:rsidRPr="00932BF5">
        <w:rPr>
          <w:sz w:val="24"/>
          <w:szCs w:val="24"/>
        </w:rPr>
        <w:t>microdiseño</w:t>
      </w:r>
      <w:proofErr w:type="spellEnd"/>
      <w:r w:rsidRPr="00932BF5">
        <w:rPr>
          <w:sz w:val="24"/>
          <w:szCs w:val="24"/>
        </w:rPr>
        <w:t>, la investigación contribuye tanto a los estudios sobre instrumentos de política como al campo del aseguramiento de la calidad en educación superior, proponiendo una lectura que desplaza la atención desde los efectos de la evaluación hacia las decisiones que hacen posible su capacidad de intervención.</w:t>
      </w:r>
    </w:p>
    <w:p w14:paraId="0F7FC09E" w14:textId="77777777" w:rsidR="004D7929" w:rsidRPr="00932BF5" w:rsidRDefault="004D7929" w:rsidP="00932BF5">
      <w:pPr>
        <w:pStyle w:val="Estilo6"/>
        <w:spacing w:after="0" w:line="240" w:lineRule="auto"/>
        <w:rPr>
          <w:sz w:val="24"/>
          <w:szCs w:val="24"/>
        </w:rPr>
      </w:pPr>
    </w:p>
    <w:p w14:paraId="6640BD45" w14:textId="00B8D4E6" w:rsidR="00242B30" w:rsidRDefault="00242B30" w:rsidP="00932BF5">
      <w:pPr>
        <w:pStyle w:val="Estilo6"/>
        <w:spacing w:after="0" w:line="240" w:lineRule="auto"/>
        <w:rPr>
          <w:sz w:val="24"/>
          <w:szCs w:val="24"/>
        </w:rPr>
      </w:pPr>
      <w:r w:rsidRPr="00932BF5">
        <w:rPr>
          <w:sz w:val="24"/>
          <w:szCs w:val="24"/>
        </w:rPr>
        <w:t>Finalmente, el artículo se organiza en cuatro apartados. El primero reconstruye la construcción del objeto regulatorio durante la reforma de la educación superior entre 2008 y 2013. El segundo analiza la forma en que el modelo traduce esa definición política en una representación operativa mediante criterios, subcriterios e indicadores. El tercero examina las decisiones de calibración que convierten esa representación en una estructura jerarquizada de valoración. El cuarto muestra cómo la clasificación institucional transforma la información producida por la evaluación en un mecanismo de gobernanza capaz de orientar, diferenciar y reorganizar el comportamiento de las universidades.</w:t>
      </w:r>
    </w:p>
    <w:p w14:paraId="1AB43E9F" w14:textId="77777777" w:rsidR="00932BF5" w:rsidRPr="00932BF5" w:rsidRDefault="00932BF5" w:rsidP="00932BF5">
      <w:pPr>
        <w:pStyle w:val="Estilo6"/>
        <w:spacing w:after="0" w:line="240" w:lineRule="auto"/>
        <w:rPr>
          <w:sz w:val="24"/>
          <w:szCs w:val="24"/>
        </w:rPr>
      </w:pPr>
    </w:p>
    <w:p w14:paraId="2FD138AD" w14:textId="65FB0755" w:rsidR="005F3B2E" w:rsidRPr="000E5601" w:rsidRDefault="005F3B2E" w:rsidP="007B5B5F">
      <w:pPr>
        <w:spacing w:line="240" w:lineRule="auto"/>
        <w:rPr>
          <w:rFonts w:ascii="Times New Roman" w:hAnsi="Times New Roman" w:cs="Times New Roman"/>
          <w:b/>
          <w:bCs/>
          <w:lang w:val="es-EC"/>
        </w:rPr>
      </w:pPr>
      <w:r w:rsidRPr="000E5601">
        <w:rPr>
          <w:rFonts w:ascii="Times New Roman" w:hAnsi="Times New Roman" w:cs="Times New Roman"/>
          <w:b/>
          <w:bCs/>
          <w:lang w:val="es-EC"/>
        </w:rPr>
        <w:t>Desarrollo</w:t>
      </w:r>
    </w:p>
    <w:p w14:paraId="4F48A914" w14:textId="25D42415" w:rsidR="00FB16AA" w:rsidRDefault="00FB16AA" w:rsidP="0045737B">
      <w:pPr>
        <w:spacing w:line="240" w:lineRule="auto"/>
        <w:jc w:val="both"/>
        <w:rPr>
          <w:rFonts w:ascii="Times New Roman" w:hAnsi="Times New Roman" w:cs="Times New Roman"/>
        </w:rPr>
      </w:pPr>
      <w:r w:rsidRPr="00FB16AA">
        <w:rPr>
          <w:rFonts w:ascii="Times New Roman" w:hAnsi="Times New Roman" w:cs="Times New Roman"/>
        </w:rPr>
        <w:lastRenderedPageBreak/>
        <w:t xml:space="preserve">La reforma de la educación superior impulsada en Ecuador entre 2008 y 2013 constituye un caso particularmente relevante para analizar cómo un instrumento de política adquiere capacidad de gobierno. En el marco del proceso constituyente iniciado en 2007, el país redefinió el papel del Estado en la educación superior mediante una profunda transformación </w:t>
      </w:r>
      <w:r>
        <w:rPr>
          <w:rFonts w:ascii="Times New Roman" w:hAnsi="Times New Roman" w:cs="Times New Roman"/>
        </w:rPr>
        <w:t xml:space="preserve">en su arquitectura </w:t>
      </w:r>
      <w:r w:rsidRPr="00FB16AA">
        <w:rPr>
          <w:rFonts w:ascii="Times New Roman" w:hAnsi="Times New Roman" w:cs="Times New Roman"/>
        </w:rPr>
        <w:t xml:space="preserve">normativa e institucional que incorporó el aseguramiento de la calidad como uno de los ejes de la regulación del sistema universitario. En este contexto, la universidad dejó de ocupar un lugar relativamente periférico dentro de la agenda pública para convertirse en un componente central del proyecto de transformación estatal impulsado por la Revolución Ciudadana. La construcción de una universidad de calidad pasó a formar parte del horizonte programático de la reforma y encontró en la evaluación institucional uno de sus principales instrumentos de materialización. Durante este período, la evaluación dejó de desempeñar una función complementaria dentro de las políticas universitarias para convertirse en un mecanismo de reorganización </w:t>
      </w:r>
      <w:r>
        <w:rPr>
          <w:rFonts w:ascii="Times New Roman" w:hAnsi="Times New Roman" w:cs="Times New Roman"/>
        </w:rPr>
        <w:t xml:space="preserve">y clasificación </w:t>
      </w:r>
      <w:r w:rsidRPr="00FB16AA">
        <w:rPr>
          <w:rFonts w:ascii="Times New Roman" w:hAnsi="Times New Roman" w:cs="Times New Roman"/>
        </w:rPr>
        <w:t xml:space="preserve">del sistema de educación superior. Uno de los efectos más visibles de este proceso fue el cierre definitivo de catorce instituciones de educación superior, justificadas por el Estado como parte de una política orientada a eliminar las denominadas </w:t>
      </w:r>
      <w:r w:rsidRPr="00FB16AA">
        <w:rPr>
          <w:rFonts w:ascii="Times New Roman" w:hAnsi="Times New Roman" w:cs="Times New Roman"/>
          <w:i/>
          <w:iCs/>
        </w:rPr>
        <w:t>"universidades de garaje"</w:t>
      </w:r>
      <w:r w:rsidRPr="00FB16AA">
        <w:rPr>
          <w:rFonts w:ascii="Times New Roman" w:hAnsi="Times New Roman" w:cs="Times New Roman"/>
        </w:rPr>
        <w:t xml:space="preserve"> y poner fin a lo que el discurso gubernamental caracterizó como una </w:t>
      </w:r>
      <w:r w:rsidRPr="00FB16AA">
        <w:rPr>
          <w:rFonts w:ascii="Times New Roman" w:hAnsi="Times New Roman" w:cs="Times New Roman"/>
          <w:i/>
          <w:iCs/>
        </w:rPr>
        <w:t>"estafa académica"</w:t>
      </w:r>
      <w:r w:rsidRPr="00FB16AA">
        <w:rPr>
          <w:rFonts w:ascii="Times New Roman" w:hAnsi="Times New Roman" w:cs="Times New Roman"/>
        </w:rPr>
        <w:t>. Con el fin de comprender cómo la evaluación adquirió esa capacidad de intervención, el siguiente apartado reconstruye las decisiones de diseño que hicieron posible convertirla en un mecanismo de gobernanza sobre el sistema universitario.</w:t>
      </w:r>
    </w:p>
    <w:p w14:paraId="10BFC5A1" w14:textId="77777777" w:rsidR="00FB16AA" w:rsidRDefault="00FB16AA" w:rsidP="0045737B">
      <w:pPr>
        <w:spacing w:line="240" w:lineRule="auto"/>
        <w:jc w:val="both"/>
        <w:rPr>
          <w:rFonts w:ascii="Times New Roman" w:hAnsi="Times New Roman" w:cs="Times New Roman"/>
        </w:rPr>
      </w:pPr>
      <w:r>
        <w:rPr>
          <w:rFonts w:ascii="Times New Roman" w:hAnsi="Times New Roman" w:cs="Times New Roman"/>
        </w:rPr>
        <w:t>L</w:t>
      </w:r>
      <w:r w:rsidRPr="00FB16AA">
        <w:rPr>
          <w:rFonts w:ascii="Times New Roman" w:hAnsi="Times New Roman" w:cs="Times New Roman"/>
        </w:rPr>
        <w:t>a reconstrucción de este proceso suele privilegiar la secuencia de las reformas normativas, la creación de la nueva institucionalidad del aseguramiento de la calidad o las decisiones adoptadas a partir de los resultados de la evaluación. Esa perspectiva permite comprender el desarrollo de la reforma y algunos de sus efectos más visibles, pero deja en un segundo plano un problema distinto: ¿</w:t>
      </w:r>
      <w:r>
        <w:rPr>
          <w:rFonts w:ascii="Times New Roman" w:hAnsi="Times New Roman" w:cs="Times New Roman"/>
        </w:rPr>
        <w:t>C</w:t>
      </w:r>
      <w:r w:rsidRPr="00FB16AA">
        <w:rPr>
          <w:rFonts w:ascii="Times New Roman" w:hAnsi="Times New Roman" w:cs="Times New Roman"/>
        </w:rPr>
        <w:t>ómo la evaluación adquirió la capacidad para producir esas consecuencias? Responder esta pregunta exige desplazar la mirada desde la cronología de la reforma hacia el propio instrumento de evaluación y reconstruir las decisiones de diseño mediante las cuales una determinada concepción de universidad fue traducida progresivamente en criterios de observación, reglas de valoración y mecanismos de intervención.</w:t>
      </w:r>
      <w:r>
        <w:rPr>
          <w:rFonts w:ascii="Times New Roman" w:hAnsi="Times New Roman" w:cs="Times New Roman"/>
        </w:rPr>
        <w:t xml:space="preserve"> </w:t>
      </w:r>
    </w:p>
    <w:p w14:paraId="744885A5" w14:textId="6E14397E" w:rsidR="002913D8" w:rsidRDefault="002913D8" w:rsidP="0045737B">
      <w:pPr>
        <w:spacing w:line="240" w:lineRule="auto"/>
        <w:jc w:val="both"/>
        <w:rPr>
          <w:rFonts w:ascii="Times New Roman" w:hAnsi="Times New Roman" w:cs="Times New Roman"/>
        </w:rPr>
      </w:pPr>
      <w:r w:rsidRPr="002913D8">
        <w:rPr>
          <w:rFonts w:ascii="Times New Roman" w:hAnsi="Times New Roman" w:cs="Times New Roman"/>
        </w:rPr>
        <w:t>Para comprender esa capacidad</w:t>
      </w:r>
      <w:r w:rsidR="00FB16AA">
        <w:rPr>
          <w:rFonts w:ascii="Times New Roman" w:hAnsi="Times New Roman" w:cs="Times New Roman"/>
        </w:rPr>
        <w:t xml:space="preserve"> que adquirió la evaluación,</w:t>
      </w:r>
      <w:r w:rsidRPr="002913D8">
        <w:rPr>
          <w:rFonts w:ascii="Times New Roman" w:hAnsi="Times New Roman" w:cs="Times New Roman"/>
        </w:rPr>
        <w:t xml:space="preserve"> resulta necesario reconstruir el instrumento desde otra lógica</w:t>
      </w:r>
      <w:r w:rsidR="00FB16AA">
        <w:rPr>
          <w:rFonts w:ascii="Times New Roman" w:hAnsi="Times New Roman" w:cs="Times New Roman"/>
        </w:rPr>
        <w:t>, en el que</w:t>
      </w:r>
      <w:r w:rsidRPr="002913D8">
        <w:rPr>
          <w:rFonts w:ascii="Times New Roman" w:hAnsi="Times New Roman" w:cs="Times New Roman"/>
        </w:rPr>
        <w:t xml:space="preserve"> la secuencia de operaciones mediante las cuales una determinada concepción de universidad es incorporada progresivamente al diseño de la política</w:t>
      </w:r>
      <w:r w:rsidR="00FB16AA">
        <w:rPr>
          <w:rFonts w:ascii="Times New Roman" w:hAnsi="Times New Roman" w:cs="Times New Roman"/>
        </w:rPr>
        <w:t xml:space="preserve"> de </w:t>
      </w:r>
      <w:r w:rsidR="00FB16AA" w:rsidRPr="00FB16AA">
        <w:rPr>
          <w:rFonts w:ascii="Times New Roman" w:hAnsi="Times New Roman" w:cs="Times New Roman"/>
        </w:rPr>
        <w:t>gobierno</w:t>
      </w:r>
      <w:r w:rsidRPr="002913D8">
        <w:rPr>
          <w:rFonts w:ascii="Times New Roman" w:hAnsi="Times New Roman" w:cs="Times New Roman"/>
        </w:rPr>
        <w:t xml:space="preserve">. Desde esta perspectiva, el análisis se desarrolla a partir de cuatro momentos estrechamente articulados: a) la construcción del objeto regulatorio; b) su representación operativa mediante el modelo de evaluación; c) la calibración de los mecanismos de valoración; y d) la activación de los dispositivos de intervención sobre las universidades. Esta reconstrucción permite mostrar que la capacidad de gobierno del instrumento no aparece únicamente al finalizar la evaluación, sino </w:t>
      </w:r>
      <w:proofErr w:type="gramStart"/>
      <w:r w:rsidRPr="002913D8">
        <w:rPr>
          <w:rFonts w:ascii="Times New Roman" w:hAnsi="Times New Roman" w:cs="Times New Roman"/>
        </w:rPr>
        <w:t>que</w:t>
      </w:r>
      <w:proofErr w:type="gramEnd"/>
      <w:r w:rsidRPr="002913D8">
        <w:rPr>
          <w:rFonts w:ascii="Times New Roman" w:hAnsi="Times New Roman" w:cs="Times New Roman"/>
        </w:rPr>
        <w:t xml:space="preserve"> </w:t>
      </w:r>
      <w:r w:rsidR="00DC5C56">
        <w:rPr>
          <w:rFonts w:ascii="Times New Roman" w:hAnsi="Times New Roman" w:cs="Times New Roman"/>
        </w:rPr>
        <w:t xml:space="preserve">además, </w:t>
      </w:r>
      <w:r w:rsidRPr="002913D8">
        <w:rPr>
          <w:rFonts w:ascii="Times New Roman" w:hAnsi="Times New Roman" w:cs="Times New Roman"/>
        </w:rPr>
        <w:t>se configura progresivamente en las decisiones que organizan su diseño.</w:t>
      </w:r>
    </w:p>
    <w:p w14:paraId="200D9292" w14:textId="681B93F3" w:rsidR="00951C88" w:rsidRPr="004D7929" w:rsidRDefault="00832721" w:rsidP="004D7929">
      <w:pPr>
        <w:pStyle w:val="Prrafodelista"/>
        <w:numPr>
          <w:ilvl w:val="0"/>
          <w:numId w:val="1"/>
        </w:numPr>
        <w:spacing w:line="240" w:lineRule="auto"/>
        <w:jc w:val="both"/>
        <w:rPr>
          <w:rFonts w:ascii="Times New Roman" w:hAnsi="Times New Roman" w:cs="Times New Roman"/>
          <w:b/>
          <w:bCs/>
          <w:lang w:val="es-EC"/>
        </w:rPr>
      </w:pPr>
      <w:r w:rsidRPr="004D7929">
        <w:rPr>
          <w:rFonts w:ascii="Times New Roman" w:hAnsi="Times New Roman" w:cs="Times New Roman"/>
          <w:b/>
          <w:bCs/>
          <w:lang w:val="es-EC"/>
        </w:rPr>
        <w:t>La construcción del objeto regulatorio</w:t>
      </w:r>
    </w:p>
    <w:p w14:paraId="6D4A91A3" w14:textId="4B14A6B3" w:rsidR="00951C88" w:rsidRPr="00331EFB" w:rsidRDefault="00951C88" w:rsidP="00951C88">
      <w:pPr>
        <w:spacing w:line="240" w:lineRule="auto"/>
        <w:jc w:val="both"/>
        <w:rPr>
          <w:rFonts w:ascii="Times New Roman" w:hAnsi="Times New Roman" w:cs="Times New Roman"/>
          <w:lang w:val="es-EC"/>
        </w:rPr>
      </w:pPr>
      <w:r w:rsidRPr="00331EFB">
        <w:rPr>
          <w:rFonts w:ascii="Times New Roman" w:hAnsi="Times New Roman" w:cs="Times New Roman"/>
          <w:lang w:val="es-EC"/>
        </w:rPr>
        <w:lastRenderedPageBreak/>
        <w:t xml:space="preserve">Como señalan </w:t>
      </w:r>
      <w:proofErr w:type="spellStart"/>
      <w:r w:rsidRPr="00331EFB">
        <w:rPr>
          <w:rFonts w:ascii="Times New Roman" w:hAnsi="Times New Roman" w:cs="Times New Roman"/>
          <w:lang w:val="es-EC"/>
        </w:rPr>
        <w:t>Lascoumes</w:t>
      </w:r>
      <w:proofErr w:type="spellEnd"/>
      <w:r w:rsidRPr="00331EFB">
        <w:rPr>
          <w:rFonts w:ascii="Times New Roman" w:hAnsi="Times New Roman" w:cs="Times New Roman"/>
          <w:lang w:val="es-EC"/>
        </w:rPr>
        <w:t xml:space="preserve"> y Le </w:t>
      </w:r>
      <w:proofErr w:type="spellStart"/>
      <w:r w:rsidRPr="00331EFB">
        <w:rPr>
          <w:rFonts w:ascii="Times New Roman" w:hAnsi="Times New Roman" w:cs="Times New Roman"/>
          <w:lang w:val="es-EC"/>
        </w:rPr>
        <w:t>Galès</w:t>
      </w:r>
      <w:proofErr w:type="spellEnd"/>
      <w:r w:rsidRPr="00331EFB">
        <w:rPr>
          <w:rFonts w:ascii="Times New Roman" w:hAnsi="Times New Roman" w:cs="Times New Roman"/>
          <w:lang w:val="es-EC"/>
        </w:rPr>
        <w:t xml:space="preserve"> (2007), </w:t>
      </w:r>
      <w:r w:rsidR="00824ACD" w:rsidRPr="00331EFB">
        <w:rPr>
          <w:rFonts w:ascii="Times New Roman" w:hAnsi="Times New Roman" w:cs="Times New Roman"/>
          <w:lang w:val="es-EC"/>
        </w:rPr>
        <w:t>los instrumentos de política pública incorporan</w:t>
      </w:r>
      <w:r w:rsidRPr="00331EFB">
        <w:rPr>
          <w:rFonts w:ascii="Times New Roman" w:hAnsi="Times New Roman" w:cs="Times New Roman"/>
          <w:lang w:val="es-EC"/>
        </w:rPr>
        <w:t xml:space="preserve"> una determinada representación del problema sobre el que interviene y organiza relaciones específicas entre el Estado y los actores a quienes se dirige. En palabras de los autores, </w:t>
      </w:r>
      <w:r w:rsidRPr="00824ACD">
        <w:rPr>
          <w:rFonts w:ascii="Times New Roman" w:hAnsi="Times New Roman" w:cs="Times New Roman"/>
          <w:lang w:val="es-EC"/>
        </w:rPr>
        <w:t>“</w:t>
      </w:r>
      <w:r w:rsidR="00824ACD">
        <w:rPr>
          <w:rFonts w:ascii="Times New Roman" w:hAnsi="Times New Roman" w:cs="Times New Roman"/>
          <w:lang w:val="es-EC"/>
        </w:rPr>
        <w:t xml:space="preserve">(…) </w:t>
      </w:r>
      <w:r w:rsidRPr="00824ACD">
        <w:rPr>
          <w:rFonts w:ascii="Times New Roman" w:hAnsi="Times New Roman" w:cs="Times New Roman"/>
          <w:lang w:val="es-EC"/>
        </w:rPr>
        <w:t>un instrumento de política pública constituye un dispositivo a la vez técnico y social que organiza relaciones específicas entre el Estado y los actores a los que se dirige, de acuerdo con las representaciones y significados que incorpora”</w:t>
      </w:r>
      <w:r w:rsidRPr="00331EFB">
        <w:rPr>
          <w:rFonts w:ascii="Times New Roman" w:hAnsi="Times New Roman" w:cs="Times New Roman"/>
          <w:lang w:val="es-EC"/>
        </w:rPr>
        <w:t xml:space="preserve"> (</w:t>
      </w:r>
      <w:proofErr w:type="spellStart"/>
      <w:r w:rsidRPr="00331EFB">
        <w:rPr>
          <w:rFonts w:ascii="Times New Roman" w:hAnsi="Times New Roman" w:cs="Times New Roman"/>
          <w:lang w:val="es-EC"/>
        </w:rPr>
        <w:t>Lascoumes</w:t>
      </w:r>
      <w:proofErr w:type="spellEnd"/>
      <w:r w:rsidRPr="00331EFB">
        <w:rPr>
          <w:rFonts w:ascii="Times New Roman" w:hAnsi="Times New Roman" w:cs="Times New Roman"/>
          <w:lang w:val="es-EC"/>
        </w:rPr>
        <w:t xml:space="preserve"> &amp; Le </w:t>
      </w:r>
      <w:proofErr w:type="spellStart"/>
      <w:r w:rsidRPr="00331EFB">
        <w:rPr>
          <w:rFonts w:ascii="Times New Roman" w:hAnsi="Times New Roman" w:cs="Times New Roman"/>
          <w:lang w:val="es-EC"/>
        </w:rPr>
        <w:t>Galès</w:t>
      </w:r>
      <w:proofErr w:type="spellEnd"/>
      <w:r w:rsidRPr="00331EFB">
        <w:rPr>
          <w:rFonts w:ascii="Times New Roman" w:hAnsi="Times New Roman" w:cs="Times New Roman"/>
          <w:lang w:val="es-EC"/>
        </w:rPr>
        <w:t>, 2007, p. 4, traducción propia). Desde esta perspectiva, el análisis de un instrumento supone reconstruir previamente la forma en que el objeto de regulación fue definido. Antes de preguntarse cómo el modelo de evaluación institucional representa a la universidad, resulta necesario comprender cómo la propia universidad llegó a convertirse en un objeto susceptible de intervención estatal.</w:t>
      </w:r>
    </w:p>
    <w:p w14:paraId="36D7B717" w14:textId="49B2B102" w:rsidR="00951C88" w:rsidRPr="00331EFB" w:rsidRDefault="00951C88" w:rsidP="00832721">
      <w:pPr>
        <w:spacing w:line="240" w:lineRule="auto"/>
        <w:jc w:val="both"/>
        <w:rPr>
          <w:rFonts w:ascii="Times New Roman" w:hAnsi="Times New Roman" w:cs="Times New Roman"/>
          <w:lang w:val="es-EC"/>
        </w:rPr>
      </w:pPr>
      <w:r w:rsidRPr="00331EFB">
        <w:rPr>
          <w:rFonts w:ascii="Times New Roman" w:hAnsi="Times New Roman" w:cs="Times New Roman"/>
          <w:lang w:val="es-EC"/>
        </w:rPr>
        <w:t>El análisis se concentra en tres instrumentos jurídicos que anteceden al modelo de evaluación institucional: el Mandato Constituyente No. 14, la Constitución de la República de 2008 y la Ley Orgánica de Educación Superior de 2010. Leídos de manera articulada, estos instrumentos incorporan progresivamente una determinada concepción de universidad, redefinen los atributos que pasan a ser relevantes para la acción pública y delimitan el objeto sobre el cual el Estado ejercerá posteriormente sus funciones de regulación. La reconstrucción de esta secuencia permite identificar cómo la universidad es configurada como un objeto susceptible de ser representado, evaluado y regulado mediante el modelo institucional desarrollado por el CEAACES en</w:t>
      </w:r>
      <w:r w:rsidR="00331EFB" w:rsidRPr="00331EFB">
        <w:rPr>
          <w:rFonts w:ascii="Times New Roman" w:hAnsi="Times New Roman" w:cs="Times New Roman"/>
          <w:lang w:val="es-EC"/>
        </w:rPr>
        <w:t>tre el 2012-</w:t>
      </w:r>
      <w:r w:rsidRPr="00331EFB">
        <w:rPr>
          <w:rFonts w:ascii="Times New Roman" w:hAnsi="Times New Roman" w:cs="Times New Roman"/>
          <w:lang w:val="es-EC"/>
        </w:rPr>
        <w:t>2013</w:t>
      </w:r>
      <w:r w:rsidR="00331EFB" w:rsidRPr="00331EFB">
        <w:rPr>
          <w:rFonts w:ascii="Times New Roman" w:hAnsi="Times New Roman" w:cs="Times New Roman"/>
          <w:lang w:val="es-EC"/>
        </w:rPr>
        <w:t>.</w:t>
      </w:r>
    </w:p>
    <w:p w14:paraId="76B8B924" w14:textId="51A088D1" w:rsidR="00832721" w:rsidRPr="00331EFB" w:rsidRDefault="00832721" w:rsidP="00832721">
      <w:pPr>
        <w:spacing w:line="240" w:lineRule="auto"/>
        <w:jc w:val="both"/>
        <w:rPr>
          <w:rFonts w:ascii="Times New Roman" w:hAnsi="Times New Roman" w:cs="Times New Roman"/>
          <w:lang w:val="es-EC"/>
        </w:rPr>
      </w:pPr>
      <w:r w:rsidRPr="00331EFB">
        <w:rPr>
          <w:rFonts w:ascii="Times New Roman" w:hAnsi="Times New Roman" w:cs="Times New Roman"/>
          <w:lang w:val="es-EC"/>
        </w:rPr>
        <w:t>El primer momento de esa construcción se encuentra en el Mandato Constituyente No. 14, expedido por la Asamblea Nacional Constituyente el 22 de julio de 2008, mientras avanzaba la elaboración del nuevo texto constitucional. La decisión de encomendar al CONEA</w:t>
      </w:r>
      <w:r w:rsidR="00932BF5">
        <w:rPr>
          <w:rFonts w:ascii="Times New Roman" w:hAnsi="Times New Roman" w:cs="Times New Roman"/>
          <w:lang w:val="es-EC"/>
        </w:rPr>
        <w:t xml:space="preserve"> (Consejo Nacional de Evaluación y </w:t>
      </w:r>
      <w:r w:rsidR="00534D5A">
        <w:rPr>
          <w:rFonts w:ascii="Times New Roman" w:hAnsi="Times New Roman" w:cs="Times New Roman"/>
          <w:lang w:val="es-EC"/>
        </w:rPr>
        <w:t>Aseguramiento que luego se transformará en el CEAACES Consejo de Evaluación Acreditación y Aseguramiento de la Calidad de la Educación Superior)</w:t>
      </w:r>
      <w:r w:rsidRPr="00331EFB">
        <w:rPr>
          <w:rFonts w:ascii="Times New Roman" w:hAnsi="Times New Roman" w:cs="Times New Roman"/>
          <w:lang w:val="es-EC"/>
        </w:rPr>
        <w:t xml:space="preserve"> la elaboración de un informe técnico sobre el desempeño institucional de todas las instituciones de educación superior tuvo un alcance mayor que la simple realización de un proceso evaluativo. El propio Mandato establecía que dicho informe debía contribuir a garantizar la calidad y propiciar la depuración y el mejoramiento del sistema. La evaluación adquiría así una función constitutiva dentro de la reforma: producir el conocimiento necesario para fundamentar una política pública </w:t>
      </w:r>
      <w:r w:rsidR="00951C88" w:rsidRPr="00331EFB">
        <w:rPr>
          <w:rFonts w:ascii="Times New Roman" w:hAnsi="Times New Roman" w:cs="Times New Roman"/>
          <w:lang w:val="es-EC"/>
        </w:rPr>
        <w:t xml:space="preserve">nacional </w:t>
      </w:r>
      <w:r w:rsidRPr="00331EFB">
        <w:rPr>
          <w:rFonts w:ascii="Times New Roman" w:hAnsi="Times New Roman" w:cs="Times New Roman"/>
          <w:lang w:val="es-EC"/>
        </w:rPr>
        <w:t xml:space="preserve">de educación superior. En </w:t>
      </w:r>
      <w:r w:rsidR="00951C88" w:rsidRPr="00331EFB">
        <w:rPr>
          <w:rFonts w:ascii="Times New Roman" w:hAnsi="Times New Roman" w:cs="Times New Roman"/>
          <w:lang w:val="es-EC"/>
        </w:rPr>
        <w:t>tal sentido</w:t>
      </w:r>
      <w:r w:rsidRPr="00331EFB">
        <w:rPr>
          <w:rFonts w:ascii="Times New Roman" w:hAnsi="Times New Roman" w:cs="Times New Roman"/>
          <w:lang w:val="es-EC"/>
        </w:rPr>
        <w:t xml:space="preserve">, el objeto de interés </w:t>
      </w:r>
      <w:r w:rsidR="00CD2D08" w:rsidRPr="00331EFB">
        <w:rPr>
          <w:rFonts w:ascii="Times New Roman" w:hAnsi="Times New Roman" w:cs="Times New Roman"/>
          <w:lang w:val="es-EC"/>
        </w:rPr>
        <w:t>desplaza la atención d</w:t>
      </w:r>
      <w:r w:rsidRPr="00331EFB">
        <w:rPr>
          <w:rFonts w:ascii="Times New Roman" w:hAnsi="Times New Roman" w:cs="Times New Roman"/>
          <w:lang w:val="es-EC"/>
        </w:rPr>
        <w:t xml:space="preserve">el desempeño de cada universidad considerada de forma aislada, </w:t>
      </w:r>
      <w:r w:rsidR="00CD2D08" w:rsidRPr="00331EFB">
        <w:rPr>
          <w:rFonts w:ascii="Times New Roman" w:hAnsi="Times New Roman" w:cs="Times New Roman"/>
          <w:lang w:val="es-EC"/>
        </w:rPr>
        <w:t>hacia</w:t>
      </w:r>
      <w:r w:rsidRPr="00331EFB">
        <w:rPr>
          <w:rFonts w:ascii="Times New Roman" w:hAnsi="Times New Roman" w:cs="Times New Roman"/>
          <w:lang w:val="es-EC"/>
        </w:rPr>
        <w:t xml:space="preserve"> la configuración del conjunto del sistema universitario y las condiciones bajo las cuales este debía reorganizarse.</w:t>
      </w:r>
    </w:p>
    <w:p w14:paraId="27A39FFA" w14:textId="45715633" w:rsidR="00832721" w:rsidRPr="00832721" w:rsidRDefault="00832721" w:rsidP="00832721">
      <w:pPr>
        <w:spacing w:line="240" w:lineRule="auto"/>
        <w:jc w:val="both"/>
        <w:rPr>
          <w:rFonts w:ascii="Times New Roman" w:hAnsi="Times New Roman" w:cs="Times New Roman"/>
          <w:lang w:val="es-EC"/>
        </w:rPr>
      </w:pPr>
      <w:r w:rsidRPr="00832721">
        <w:rPr>
          <w:rFonts w:ascii="Times New Roman" w:hAnsi="Times New Roman" w:cs="Times New Roman"/>
          <w:lang w:val="es-EC"/>
        </w:rPr>
        <w:t xml:space="preserve">El informe presentado por el CONEA en noviembre de 2009 profundizó esa operación al construir una interpretación sobre la universidad ecuatoriana que trascendía ampliamente la medición del desempeño institucional. El documento describía una universidad atravesada por brechas académicas, investigativas, tecnológicas y democráticas; un espacio donde coexistían instituciones organizadas bajo principios incompatibles acerca de la naturaleza de la educación superior. La oposición entre universidad entendida como institución pública o como empresa, entre educación concebida como derecho o como mercancía, y entre estudiantes considerados ciudadanos o clientes sintetizaba un </w:t>
      </w:r>
      <w:r w:rsidRPr="00832721">
        <w:rPr>
          <w:rFonts w:ascii="Times New Roman" w:hAnsi="Times New Roman" w:cs="Times New Roman"/>
          <w:lang w:val="es-EC"/>
        </w:rPr>
        <w:lastRenderedPageBreak/>
        <w:t xml:space="preserve">diagnóstico según el cual el país carecía todavía de un sistema universitario articulado alrededor de referentes comunes. La metáfora de la universidad como una "cabeza de Jano" condensaba esa lectura al representar un conjunto institucional orientado simultáneamente por proyectos divergentes y, en ocasiones, contradictorios. El problema que emergía de este diagnóstico </w:t>
      </w:r>
      <w:r w:rsidR="00652BFF">
        <w:rPr>
          <w:rFonts w:ascii="Times New Roman" w:hAnsi="Times New Roman" w:cs="Times New Roman"/>
          <w:lang w:val="es-EC"/>
        </w:rPr>
        <w:t xml:space="preserve">fue </w:t>
      </w:r>
      <w:r w:rsidR="00652BFF" w:rsidRPr="00832721">
        <w:rPr>
          <w:rFonts w:ascii="Times New Roman" w:hAnsi="Times New Roman" w:cs="Times New Roman"/>
          <w:lang w:val="es-EC"/>
        </w:rPr>
        <w:t>la ausencia de un horizonte compartido sobre aquello que debía ser una universidad dentro del proyecto nacional</w:t>
      </w:r>
      <w:r w:rsidR="00652BFF">
        <w:rPr>
          <w:rFonts w:ascii="Times New Roman" w:hAnsi="Times New Roman" w:cs="Times New Roman"/>
          <w:lang w:val="es-EC"/>
        </w:rPr>
        <w:t xml:space="preserve">. </w:t>
      </w:r>
    </w:p>
    <w:p w14:paraId="63CAD6AC" w14:textId="20C7E153" w:rsidR="00951C88" w:rsidRPr="00832721" w:rsidRDefault="00951C88" w:rsidP="00832721">
      <w:pPr>
        <w:spacing w:line="240" w:lineRule="auto"/>
        <w:jc w:val="both"/>
        <w:rPr>
          <w:rFonts w:ascii="Times New Roman" w:hAnsi="Times New Roman" w:cs="Times New Roman"/>
          <w:lang w:val="es-EC"/>
        </w:rPr>
      </w:pPr>
      <w:r w:rsidRPr="00951C88">
        <w:rPr>
          <w:rFonts w:ascii="Times New Roman" w:hAnsi="Times New Roman" w:cs="Times New Roman"/>
          <w:lang w:val="es-EC"/>
        </w:rPr>
        <w:t>La operación realizada por el CONEA resulta especialmente relevante porque modificó la naturaleza del problema público. La calidad dejó de aparecer como un atributo interno de cada institución para convertirse en una cuestión vinculada con la integración del sistema de educación superior. Desde la perspectiva de los instrumentos de política, esta transformación constituye una operación de construcción del objeto regulatorio</w:t>
      </w:r>
      <w:r>
        <w:rPr>
          <w:rFonts w:ascii="Times New Roman" w:hAnsi="Times New Roman" w:cs="Times New Roman"/>
          <w:lang w:val="es-EC"/>
        </w:rPr>
        <w:t xml:space="preserve">, </w:t>
      </w:r>
      <w:r w:rsidRPr="00951C88">
        <w:rPr>
          <w:rFonts w:ascii="Times New Roman" w:hAnsi="Times New Roman" w:cs="Times New Roman"/>
          <w:lang w:val="es-EC"/>
        </w:rPr>
        <w:t>aquello que será posteriormente evaluado comienza a ser definido mediante atributos que delimitan qué formas institucionales serán consideradas compatibles con el nuevo orden universitario (</w:t>
      </w:r>
      <w:proofErr w:type="spellStart"/>
      <w:r w:rsidRPr="00951C88">
        <w:rPr>
          <w:rFonts w:ascii="Times New Roman" w:hAnsi="Times New Roman" w:cs="Times New Roman"/>
          <w:lang w:val="es-EC"/>
        </w:rPr>
        <w:t>Lascoumes</w:t>
      </w:r>
      <w:proofErr w:type="spellEnd"/>
      <w:r w:rsidRPr="00951C88">
        <w:rPr>
          <w:rFonts w:ascii="Times New Roman" w:hAnsi="Times New Roman" w:cs="Times New Roman"/>
          <w:lang w:val="es-EC"/>
        </w:rPr>
        <w:t xml:space="preserve"> &amp; Le </w:t>
      </w:r>
      <w:proofErr w:type="spellStart"/>
      <w:r w:rsidRPr="00951C88">
        <w:rPr>
          <w:rFonts w:ascii="Times New Roman" w:hAnsi="Times New Roman" w:cs="Times New Roman"/>
          <w:lang w:val="es-EC"/>
        </w:rPr>
        <w:t>Galès</w:t>
      </w:r>
      <w:proofErr w:type="spellEnd"/>
      <w:r w:rsidRPr="00951C88">
        <w:rPr>
          <w:rFonts w:ascii="Times New Roman" w:hAnsi="Times New Roman" w:cs="Times New Roman"/>
          <w:lang w:val="es-EC"/>
        </w:rPr>
        <w:t xml:space="preserve">, 2007). La clasificación </w:t>
      </w:r>
      <w:r>
        <w:rPr>
          <w:rFonts w:ascii="Times New Roman" w:hAnsi="Times New Roman" w:cs="Times New Roman"/>
          <w:lang w:val="es-EC"/>
        </w:rPr>
        <w:t xml:space="preserve">de las universidades </w:t>
      </w:r>
      <w:r w:rsidRPr="00951C88">
        <w:rPr>
          <w:rFonts w:ascii="Times New Roman" w:hAnsi="Times New Roman" w:cs="Times New Roman"/>
          <w:lang w:val="es-EC"/>
        </w:rPr>
        <w:t>en categorías A, B, C, D y E respondió precisamente a ese proceso. Más que ordenar universidades según su desempeño, produjo una primera diferenciación del universo institucional e identificó un conjunto de instituciones cuyo funcionamiento aparecía incompatible con los principios que comenzaban a orientar la reforma. La categoría E representó, en este sentido, un umbral político de pertenencia al sistema antes que una simple posición dentro de una escala de rendimiento.</w:t>
      </w:r>
    </w:p>
    <w:p w14:paraId="5F1D28C6" w14:textId="16BE8360" w:rsidR="00951C88" w:rsidRDefault="00832721" w:rsidP="00832721">
      <w:pPr>
        <w:spacing w:line="240" w:lineRule="auto"/>
        <w:jc w:val="both"/>
        <w:rPr>
          <w:rFonts w:ascii="Times New Roman" w:hAnsi="Times New Roman" w:cs="Times New Roman"/>
          <w:lang w:val="es-EC"/>
        </w:rPr>
      </w:pPr>
      <w:r w:rsidRPr="00832721">
        <w:rPr>
          <w:rFonts w:ascii="Times New Roman" w:hAnsi="Times New Roman" w:cs="Times New Roman"/>
          <w:lang w:val="es-EC"/>
        </w:rPr>
        <w:t>La aprobación de la Constitución de 2008 otorgó fundamento jurídico a esa redefinición. La educación superior fue incorporada al régimen del Buen Vivir como un bien público social y un derecho, se garantizó la gratuidad en las instituciones públicas</w:t>
      </w:r>
      <w:r w:rsidR="005F551C">
        <w:rPr>
          <w:rFonts w:ascii="Times New Roman" w:hAnsi="Times New Roman" w:cs="Times New Roman"/>
          <w:lang w:val="es-EC"/>
        </w:rPr>
        <w:t xml:space="preserve"> </w:t>
      </w:r>
      <w:r w:rsidRPr="00832721">
        <w:rPr>
          <w:rFonts w:ascii="Times New Roman" w:hAnsi="Times New Roman" w:cs="Times New Roman"/>
          <w:lang w:val="es-EC"/>
        </w:rPr>
        <w:t>y se vinculó explícitamente la actividad universitaria con la producción de conocimiento científico, el desarrollo tecnológico y las necesidades estratégicas del país.</w:t>
      </w:r>
    </w:p>
    <w:p w14:paraId="7ED226F6" w14:textId="4B4CD2CE" w:rsidR="00832721" w:rsidRPr="00832721" w:rsidRDefault="005F551C" w:rsidP="00832721">
      <w:pPr>
        <w:spacing w:line="240" w:lineRule="auto"/>
        <w:jc w:val="both"/>
        <w:rPr>
          <w:rFonts w:ascii="Times New Roman" w:hAnsi="Times New Roman" w:cs="Times New Roman"/>
          <w:lang w:val="es-EC"/>
        </w:rPr>
      </w:pPr>
      <w:r>
        <w:rPr>
          <w:rFonts w:ascii="Times New Roman" w:hAnsi="Times New Roman" w:cs="Times New Roman"/>
          <w:lang w:val="es-EC"/>
        </w:rPr>
        <w:t>Así, la</w:t>
      </w:r>
      <w:r w:rsidR="00951C88" w:rsidRPr="00951C88">
        <w:rPr>
          <w:rFonts w:ascii="Times New Roman" w:hAnsi="Times New Roman" w:cs="Times New Roman"/>
        </w:rPr>
        <w:t xml:space="preserve"> universidad </w:t>
      </w:r>
      <w:r w:rsidR="00951C88">
        <w:rPr>
          <w:rFonts w:ascii="Times New Roman" w:hAnsi="Times New Roman" w:cs="Times New Roman"/>
        </w:rPr>
        <w:t>pasa de ser entendida</w:t>
      </w:r>
      <w:r w:rsidR="00951C88" w:rsidRPr="00951C88">
        <w:rPr>
          <w:rFonts w:ascii="Times New Roman" w:hAnsi="Times New Roman" w:cs="Times New Roman"/>
        </w:rPr>
        <w:t xml:space="preserve"> como una institución dedicada a la formación profesional </w:t>
      </w:r>
      <w:r w:rsidR="00951C88">
        <w:rPr>
          <w:rFonts w:ascii="Times New Roman" w:hAnsi="Times New Roman" w:cs="Times New Roman"/>
        </w:rPr>
        <w:t>hacia</w:t>
      </w:r>
      <w:r w:rsidR="00951C88" w:rsidRPr="00951C88">
        <w:rPr>
          <w:rFonts w:ascii="Times New Roman" w:hAnsi="Times New Roman" w:cs="Times New Roman"/>
        </w:rPr>
        <w:t xml:space="preserve"> integrar una arquitectura estatal orientada a la producción de conocimiento, el fortalecimiento de las capacidades científicas y la construcción de soluciones para los problemas estratégicos del país. Los artículos 350, 351 y 352 </w:t>
      </w:r>
      <w:r w:rsidR="00331EFB">
        <w:rPr>
          <w:rFonts w:ascii="Times New Roman" w:hAnsi="Times New Roman" w:cs="Times New Roman"/>
        </w:rPr>
        <w:t xml:space="preserve">de la Constitución del Ecuador, </w:t>
      </w:r>
      <w:r w:rsidR="00951C88" w:rsidRPr="00951C88">
        <w:rPr>
          <w:rFonts w:ascii="Times New Roman" w:hAnsi="Times New Roman" w:cs="Times New Roman"/>
        </w:rPr>
        <w:t>redefinieron las finalidades del sistema de educación superior, establecieron su articulación con el Plan Nacional de Desarrollo, reconocieron la autonomía universitaria bajo criterios de responsabilidad pública y dispusieron que todas las instituciones, públicas y particulares, estuvieran sujetas a procesos de evaluación y aseguramiento de la calidad. Asimismo, la prohibición constitucional del lucro modificó el fundamento mismo sobre el cual podía organizarse la educación superior, al reconocerla como un bien público social y un derecho antes que como una actividad sometida exclusivamente a lógicas de mercado.</w:t>
      </w:r>
      <w:r w:rsidR="00832721" w:rsidRPr="00832721">
        <w:rPr>
          <w:rFonts w:ascii="Times New Roman" w:hAnsi="Times New Roman" w:cs="Times New Roman"/>
          <w:lang w:val="es-EC"/>
        </w:rPr>
        <w:t xml:space="preserve"> La autonomía universitaria conservó rango constitucional, pero pasó a ejercerse dentro de un marco de responsabilidad pública sustentado en la evaluación, la rendición de cuentas y la garantía de la calidad. La universidad adquiría así una nueva posición dentro del orden constitucional</w:t>
      </w:r>
      <w:r w:rsidR="00951C88">
        <w:rPr>
          <w:rFonts w:ascii="Times New Roman" w:hAnsi="Times New Roman" w:cs="Times New Roman"/>
          <w:lang w:val="es-EC"/>
        </w:rPr>
        <w:t>,</w:t>
      </w:r>
      <w:r w:rsidR="00832721" w:rsidRPr="00832721">
        <w:rPr>
          <w:rFonts w:ascii="Times New Roman" w:hAnsi="Times New Roman" w:cs="Times New Roman"/>
          <w:lang w:val="es-EC"/>
        </w:rPr>
        <w:t xml:space="preserve"> su legitimidad comenzaba a depender de su capacidad para contribuir a fines públicos asociados al desarrollo nacional, la democratización del acceso, la generación de conocimiento y la formación de capacidades científicas.</w:t>
      </w:r>
    </w:p>
    <w:p w14:paraId="4BE712F7" w14:textId="0666B1C1" w:rsidR="005F551C" w:rsidRPr="00832721" w:rsidRDefault="00832721" w:rsidP="00832721">
      <w:pPr>
        <w:spacing w:line="240" w:lineRule="auto"/>
        <w:jc w:val="both"/>
        <w:rPr>
          <w:rFonts w:ascii="Times New Roman" w:hAnsi="Times New Roman" w:cs="Times New Roman"/>
          <w:lang w:val="es-EC"/>
        </w:rPr>
      </w:pPr>
      <w:r w:rsidRPr="00832721">
        <w:rPr>
          <w:rFonts w:ascii="Times New Roman" w:hAnsi="Times New Roman" w:cs="Times New Roman"/>
          <w:lang w:val="es-EC"/>
        </w:rPr>
        <w:lastRenderedPageBreak/>
        <w:t>La Ley Orgánica de Educación Superior de 2010</w:t>
      </w:r>
      <w:r w:rsidR="005F551C">
        <w:rPr>
          <w:rFonts w:ascii="Times New Roman" w:hAnsi="Times New Roman" w:cs="Times New Roman"/>
          <w:lang w:val="es-EC"/>
        </w:rPr>
        <w:t>, por su parte,</w:t>
      </w:r>
      <w:r w:rsidRPr="00832721">
        <w:rPr>
          <w:rFonts w:ascii="Times New Roman" w:hAnsi="Times New Roman" w:cs="Times New Roman"/>
          <w:lang w:val="es-EC"/>
        </w:rPr>
        <w:t xml:space="preserve"> trasladó esa definición constitucional al plano institucional y operativo. Los principios incorporados por la Constitución fueron desarrollados mediante un régimen jurídico que convirtió la calidad en una obligación permanente del sistema universitario. </w:t>
      </w:r>
      <w:r w:rsidR="005F551C">
        <w:rPr>
          <w:rFonts w:ascii="Times New Roman" w:hAnsi="Times New Roman" w:cs="Times New Roman"/>
          <w:lang w:val="es-EC"/>
        </w:rPr>
        <w:t xml:space="preserve">Desde sus primeros artículos </w:t>
      </w:r>
      <w:r w:rsidR="005F551C" w:rsidRPr="005F551C">
        <w:rPr>
          <w:rFonts w:ascii="Times New Roman" w:hAnsi="Times New Roman" w:cs="Times New Roman"/>
          <w:lang w:val="es-EC"/>
        </w:rPr>
        <w:t>la Ley estableció que el sistema de educación superior debía garantizar el derecho a una educación superior de calidad, responder al interés público y desarrollar mecanismos permanentes de aseguramiento, evaluación y acreditación</w:t>
      </w:r>
      <w:r w:rsidRPr="00832721">
        <w:rPr>
          <w:rFonts w:ascii="Times New Roman" w:hAnsi="Times New Roman" w:cs="Times New Roman"/>
          <w:lang w:val="es-EC"/>
        </w:rPr>
        <w:t>, estableció la categorización institucional como resultado del proceso evaluativo y creó el Consejo de Evaluación, Acreditación y Aseguramiento de la Calidad de la Educación Superior (CEAACES) como organismo responsable de conducir este nuevo régimen. En este punto, el objeto regulatorio adquirió atributos adicionales. La universidad que la reforma buscaba consolidar debía demostrar públicamente la calidad de sus procesos, sostener mecanismos permanentes de evaluación, producir investigación pertinente, garantizar condiciones académicas verificables y responder por los resultados de su desempeño ante el Estado y la sociedad. La calidad dejaba de operar como un principio orientador para convertirse en un criterio jurídicamente exigible de permanencia dentro del sistema.</w:t>
      </w:r>
    </w:p>
    <w:p w14:paraId="78047BCC" w14:textId="77777777" w:rsidR="00832721" w:rsidRPr="00832721" w:rsidRDefault="00832721" w:rsidP="00832721">
      <w:pPr>
        <w:spacing w:line="240" w:lineRule="auto"/>
        <w:jc w:val="both"/>
        <w:rPr>
          <w:rFonts w:ascii="Times New Roman" w:hAnsi="Times New Roman" w:cs="Times New Roman"/>
          <w:lang w:val="es-EC"/>
        </w:rPr>
      </w:pPr>
      <w:r w:rsidRPr="00832721">
        <w:rPr>
          <w:rFonts w:ascii="Times New Roman" w:hAnsi="Times New Roman" w:cs="Times New Roman"/>
          <w:lang w:val="es-EC"/>
        </w:rPr>
        <w:t>Las evaluaciones desarrolladas por el CEAACES entre 2011 y 2012 terminaron de completar esa construcción. La reevaluación de las veintiséis universidades ubicadas en la categoría E fue concebida bajo un modelo específico orientado a verificar condiciones mínimas de funcionamiento institucional mediante la evaluación del entorno de aprendizaje. La suspensión definitiva de catorce universidades y la permanencia condicionada de las restantes demostraron que la evaluación había adquirido capacidad para modificar la composición del sistema universitario. El cierre de instituciones dejó de constituir una hipótesis política para convertirse en una posibilidad regulatoria sustentada en procedimientos técnicos de evaluación. Al mismo tiempo, la delimitación de aquellas instituciones que podían continuar bajo planes obligatorios de fortalecimiento contribuyó a precisar los límites del nuevo objeto regulatorio: la universidad legítima debía satisfacer condiciones mínimas de organización académica, infraestructura, docencia y gestión que permitieran su incorporación al sistema nacional de educación superior.</w:t>
      </w:r>
    </w:p>
    <w:p w14:paraId="5F0E3DCA" w14:textId="3E0DF113" w:rsidR="00832721" w:rsidRDefault="00832721" w:rsidP="00832721">
      <w:pPr>
        <w:spacing w:line="240" w:lineRule="auto"/>
        <w:jc w:val="both"/>
        <w:rPr>
          <w:rFonts w:ascii="Times New Roman" w:hAnsi="Times New Roman" w:cs="Times New Roman"/>
          <w:lang w:val="es-EC"/>
        </w:rPr>
      </w:pPr>
      <w:r w:rsidRPr="00832721">
        <w:rPr>
          <w:rFonts w:ascii="Times New Roman" w:hAnsi="Times New Roman" w:cs="Times New Roman"/>
          <w:lang w:val="es-EC"/>
        </w:rPr>
        <w:t>Al comenzar el diseño del modelo de evaluación institucional de 2013, la universidad que sería objeto de evaluación ya había sido configurada por este proceso de reforma. El problema</w:t>
      </w:r>
      <w:r w:rsidR="00652BFF">
        <w:rPr>
          <w:rFonts w:ascii="Times New Roman" w:hAnsi="Times New Roman" w:cs="Times New Roman"/>
          <w:lang w:val="es-EC"/>
        </w:rPr>
        <w:t xml:space="preserve"> entonces fue que a más de</w:t>
      </w:r>
      <w:r w:rsidRPr="00832721">
        <w:rPr>
          <w:rFonts w:ascii="Times New Roman" w:hAnsi="Times New Roman" w:cs="Times New Roman"/>
          <w:lang w:val="es-EC"/>
        </w:rPr>
        <w:t xml:space="preserve"> definir cuáles debían ser las funciones de la universidad dentro del nuevo régimen de educación superior,</w:t>
      </w:r>
      <w:r w:rsidR="00652BFF">
        <w:rPr>
          <w:rFonts w:ascii="Times New Roman" w:hAnsi="Times New Roman" w:cs="Times New Roman"/>
          <w:lang w:val="es-EC"/>
        </w:rPr>
        <w:t xml:space="preserve"> se debía </w:t>
      </w:r>
      <w:r w:rsidRPr="00832721">
        <w:rPr>
          <w:rFonts w:ascii="Times New Roman" w:hAnsi="Times New Roman" w:cs="Times New Roman"/>
          <w:lang w:val="es-EC"/>
        </w:rPr>
        <w:t>desarrollar un instrumento capaz de traducir esa construcción normativa e institucional en una representación operativa susceptible de observación, medición, comparación y regulación. Esa operación de traducción constituye el núcleo del modelo de evaluación institucional y será analizada en el siguiente apartado.</w:t>
      </w:r>
    </w:p>
    <w:p w14:paraId="2E4FF409" w14:textId="2C80F4AC" w:rsidR="007A3252" w:rsidRPr="00824ACD" w:rsidRDefault="007A3252" w:rsidP="00824ACD">
      <w:pPr>
        <w:pStyle w:val="Prrafodelista"/>
        <w:numPr>
          <w:ilvl w:val="0"/>
          <w:numId w:val="1"/>
        </w:numPr>
        <w:spacing w:line="240" w:lineRule="auto"/>
        <w:jc w:val="both"/>
        <w:rPr>
          <w:rFonts w:ascii="Times New Roman" w:hAnsi="Times New Roman" w:cs="Times New Roman"/>
          <w:b/>
          <w:bCs/>
          <w:lang w:val="es-EC"/>
        </w:rPr>
      </w:pPr>
      <w:r w:rsidRPr="00824ACD">
        <w:rPr>
          <w:rFonts w:ascii="Times New Roman" w:hAnsi="Times New Roman" w:cs="Times New Roman"/>
          <w:b/>
          <w:bCs/>
          <w:lang w:val="es-EC"/>
        </w:rPr>
        <w:t>La construcción de la representación operativa de la universidad</w:t>
      </w:r>
    </w:p>
    <w:p w14:paraId="4C51BD2F" w14:textId="77777777" w:rsidR="007A3252" w:rsidRPr="007A3252" w:rsidRDefault="007A3252" w:rsidP="007A3252">
      <w:pPr>
        <w:spacing w:line="240" w:lineRule="auto"/>
        <w:jc w:val="both"/>
        <w:rPr>
          <w:rFonts w:ascii="Times New Roman" w:hAnsi="Times New Roman" w:cs="Times New Roman"/>
          <w:lang w:val="es-EC"/>
        </w:rPr>
      </w:pPr>
      <w:r w:rsidRPr="007A3252">
        <w:rPr>
          <w:rFonts w:ascii="Times New Roman" w:hAnsi="Times New Roman" w:cs="Times New Roman"/>
          <w:lang w:val="es-EC"/>
        </w:rPr>
        <w:t xml:space="preserve">La definición política del objeto regulatorio desarrollada durante la reforma de la educación superior no era suficiente para hacer posible la intervención estatal sobre las universidades. El nuevo marco constitucional y legal había establecido qué funciones debía cumplir la universidad, cuáles eran los principios que debían orientar su organización y qué responsabilidades asumía el Estado respecto de la calidad. Sin </w:t>
      </w:r>
      <w:r w:rsidRPr="007A3252">
        <w:rPr>
          <w:rFonts w:ascii="Times New Roman" w:hAnsi="Times New Roman" w:cs="Times New Roman"/>
          <w:lang w:val="es-EC"/>
        </w:rPr>
        <w:lastRenderedPageBreak/>
        <w:t>embargo, esa definición permanecía en un plano normativo cuya amplitud impedía utilizarla directamente como base de un proceso nacional de evaluación. El siguiente desafío consistía en traducir esa concepción de universidad a un lenguaje técnico que permitiera observarla de manera homogénea, comparar instituciones con trayectorias diversas y sustentar decisiones regulatorias sobre su desempeño.</w:t>
      </w:r>
    </w:p>
    <w:p w14:paraId="76D38B96" w14:textId="3D44B34D" w:rsidR="007A3252" w:rsidRPr="007A3252" w:rsidRDefault="007A3252" w:rsidP="007A3252">
      <w:pPr>
        <w:spacing w:line="240" w:lineRule="auto"/>
        <w:jc w:val="both"/>
        <w:rPr>
          <w:rFonts w:ascii="Times New Roman" w:hAnsi="Times New Roman" w:cs="Times New Roman"/>
          <w:lang w:val="es-EC"/>
        </w:rPr>
      </w:pPr>
      <w:r w:rsidRPr="007A3252">
        <w:rPr>
          <w:rFonts w:ascii="Times New Roman" w:hAnsi="Times New Roman" w:cs="Times New Roman"/>
          <w:lang w:val="es-EC"/>
        </w:rPr>
        <w:t xml:space="preserve">Desde la perspectiva del </w:t>
      </w:r>
      <w:proofErr w:type="spellStart"/>
      <w:r w:rsidRPr="007A3252">
        <w:rPr>
          <w:rFonts w:ascii="Times New Roman" w:hAnsi="Times New Roman" w:cs="Times New Roman"/>
          <w:lang w:val="es-EC"/>
        </w:rPr>
        <w:t>microdiseño</w:t>
      </w:r>
      <w:proofErr w:type="spellEnd"/>
      <w:r w:rsidRPr="007A3252">
        <w:rPr>
          <w:rFonts w:ascii="Times New Roman" w:hAnsi="Times New Roman" w:cs="Times New Roman"/>
          <w:lang w:val="es-EC"/>
        </w:rPr>
        <w:t>, esta operación constituye el momento en que el instrumento adquiere capacidad de intervención. Los estudios recientes sobre diseño de políticas han mostrado que los instrumentos no operan sobre la realidad empírica en toda su complejidad, sino sobre las representaciones que ellos mismos construyen mediante procesos de especificación y calibración (Capano &amp; Howlett, 202</w:t>
      </w:r>
      <w:r w:rsidR="002D1B71">
        <w:rPr>
          <w:rFonts w:ascii="Times New Roman" w:hAnsi="Times New Roman" w:cs="Times New Roman"/>
          <w:lang w:val="es-EC"/>
        </w:rPr>
        <w:t>3</w:t>
      </w:r>
      <w:r w:rsidRPr="007A3252">
        <w:rPr>
          <w:rFonts w:ascii="Times New Roman" w:hAnsi="Times New Roman" w:cs="Times New Roman"/>
          <w:lang w:val="es-EC"/>
        </w:rPr>
        <w:t xml:space="preserve">; Capano &amp; </w:t>
      </w:r>
      <w:proofErr w:type="spellStart"/>
      <w:r w:rsidRPr="007A3252">
        <w:rPr>
          <w:rFonts w:ascii="Times New Roman" w:hAnsi="Times New Roman" w:cs="Times New Roman"/>
          <w:lang w:val="es-EC"/>
        </w:rPr>
        <w:t>Pritoni</w:t>
      </w:r>
      <w:proofErr w:type="spellEnd"/>
      <w:r w:rsidRPr="007A3252">
        <w:rPr>
          <w:rFonts w:ascii="Times New Roman" w:hAnsi="Times New Roman" w:cs="Times New Roman"/>
          <w:lang w:val="es-EC"/>
        </w:rPr>
        <w:t>, 2026). La acción pública interactúa con un objeto previamente configurado por el propio instrumento. En el caso ecuatoriano, la universidad que posteriormente será valorada, comparada y clasificada no corresponde a la totalidad de la vida institucional, sino a la representación operativa producida por el Modelo de Evaluación Institucional. Esa representación constituye el resultado de una secuencia de decisiones de diseño mediante las cuales una concepción normativa de universidad es progresivamente transformada en un conjunto de atributos susceptibles de observación.</w:t>
      </w:r>
    </w:p>
    <w:p w14:paraId="2C9EFFB1" w14:textId="4B90A5BA" w:rsidR="007A3252" w:rsidRDefault="007A3252" w:rsidP="007A3252">
      <w:pPr>
        <w:spacing w:line="240" w:lineRule="auto"/>
        <w:jc w:val="both"/>
        <w:rPr>
          <w:rFonts w:ascii="Times New Roman" w:hAnsi="Times New Roman" w:cs="Times New Roman"/>
          <w:lang w:val="es-EC"/>
        </w:rPr>
      </w:pPr>
      <w:r w:rsidRPr="007A3252">
        <w:rPr>
          <w:rFonts w:ascii="Times New Roman" w:hAnsi="Times New Roman" w:cs="Times New Roman"/>
          <w:lang w:val="es-EC"/>
        </w:rPr>
        <w:t xml:space="preserve">El propio modelo hace explícito el punto de partida de esta operación. Su primera preocupación consiste en resolver el problema conceptual que supone evaluar la calidad universitaria. El documento reconoce que la calidad constituye uno de los conceptos más complejos y controvertidos dentro de las ciencias sociales y que su significado varía según los enfoques teóricos y los intereses desde los cuales es definida. Esta discusión inicial cumple una función metodológica precisa. Antes de construir indicadores o establecer procedimientos de evaluación, el instrumento necesita fijar el significado del concepto que organizará toda su arquitectura. El modelo adopta entonces la definición establecida en el artículo 93 de la Ley Orgánica de Educación Superior, según la cual la calidad expresa la búsqueda permanente de la excelencia, la pertinencia, la producción y transmisión del conocimiento y el mejoramiento continuo mediante procesos de autoevaluación, evaluación externa y crítica institucional. A esta definición incorpora aportes de la literatura especializada para entender la calidad institucional como el grado en que una universidad alcanza los objetivos derivados de su misión, en correspondencia con los fines del sistema ecuatoriano de educación superior. La primera especificación del instrumento consiste, por tanto, en transformar </w:t>
      </w:r>
      <w:r w:rsidR="002D1B71">
        <w:rPr>
          <w:rFonts w:ascii="Times New Roman" w:hAnsi="Times New Roman" w:cs="Times New Roman"/>
          <w:lang w:val="es-EC"/>
        </w:rPr>
        <w:t xml:space="preserve">a la calidad en </w:t>
      </w:r>
      <w:r w:rsidRPr="007A3252">
        <w:rPr>
          <w:rFonts w:ascii="Times New Roman" w:hAnsi="Times New Roman" w:cs="Times New Roman"/>
          <w:lang w:val="es-EC"/>
        </w:rPr>
        <w:t>un concepto abierto</w:t>
      </w:r>
      <w:r w:rsidR="002D1B71">
        <w:rPr>
          <w:rFonts w:ascii="Times New Roman" w:hAnsi="Times New Roman" w:cs="Times New Roman"/>
          <w:lang w:val="es-EC"/>
        </w:rPr>
        <w:t xml:space="preserve"> hacia</w:t>
      </w:r>
      <w:r w:rsidRPr="007A3252">
        <w:rPr>
          <w:rFonts w:ascii="Times New Roman" w:hAnsi="Times New Roman" w:cs="Times New Roman"/>
          <w:lang w:val="es-EC"/>
        </w:rPr>
        <w:t xml:space="preserve"> una definición institucional capaz de orientar el resto del proceso evaluativo.</w:t>
      </w:r>
    </w:p>
    <w:p w14:paraId="6AC3E910" w14:textId="7782A11C" w:rsidR="007A3252" w:rsidRPr="007A3252" w:rsidRDefault="0018474E" w:rsidP="007A3252">
      <w:pPr>
        <w:spacing w:line="240" w:lineRule="auto"/>
        <w:jc w:val="both"/>
        <w:rPr>
          <w:rFonts w:ascii="Times New Roman" w:hAnsi="Times New Roman" w:cs="Times New Roman"/>
          <w:lang w:val="es-EC"/>
        </w:rPr>
      </w:pPr>
      <w:r w:rsidRPr="0018474E">
        <w:rPr>
          <w:rFonts w:ascii="Times New Roman" w:hAnsi="Times New Roman" w:cs="Times New Roman"/>
        </w:rPr>
        <w:t xml:space="preserve">El modelo reconoce inmediatamente que esta definición continúa siendo demasiado amplia para sostener un proceso de evaluación nacional. Por ello afirma expresamente que, "siendo la calidad un concepto amplio y complejo, es necesario determinar aspectos más específicos que permitan concretizar la </w:t>
      </w:r>
      <w:r w:rsidRPr="00A328A3">
        <w:rPr>
          <w:rFonts w:ascii="Times New Roman" w:hAnsi="Times New Roman" w:cs="Times New Roman"/>
        </w:rPr>
        <w:t>definición"</w:t>
      </w:r>
      <w:r w:rsidR="00F66C43" w:rsidRPr="00A328A3">
        <w:rPr>
          <w:rFonts w:ascii="Times New Roman" w:hAnsi="Times New Roman" w:cs="Times New Roman"/>
        </w:rPr>
        <w:t xml:space="preserve"> </w:t>
      </w:r>
      <w:r w:rsidR="00F66C43" w:rsidRPr="00A328A3">
        <w:rPr>
          <w:rFonts w:ascii="Times New Roman" w:hAnsi="Times New Roman" w:cs="Times New Roman"/>
        </w:rPr>
        <w:t>(CEAACES, 2012</w:t>
      </w:r>
      <w:r w:rsidR="00F66C43" w:rsidRPr="00A328A3">
        <w:rPr>
          <w:rFonts w:ascii="Times New Roman" w:hAnsi="Times New Roman" w:cs="Times New Roman"/>
        </w:rPr>
        <w:t xml:space="preserve">, </w:t>
      </w:r>
      <w:r w:rsidR="00F66C43" w:rsidRPr="00A328A3">
        <w:rPr>
          <w:rFonts w:ascii="Times New Roman" w:hAnsi="Times New Roman" w:cs="Times New Roman"/>
        </w:rPr>
        <w:t>p. 4)</w:t>
      </w:r>
      <w:r w:rsidRPr="00A328A3">
        <w:rPr>
          <w:rFonts w:ascii="Times New Roman" w:hAnsi="Times New Roman" w:cs="Times New Roman"/>
        </w:rPr>
        <w:t>.</w:t>
      </w:r>
      <w:r w:rsidRPr="0018474E">
        <w:rPr>
          <w:rFonts w:ascii="Times New Roman" w:hAnsi="Times New Roman" w:cs="Times New Roman"/>
        </w:rPr>
        <w:t xml:space="preserve"> Añade que "estos aspectos son atributos de la calidad que están relacionados principalmente con las funciones, procesos y recursos de la institución (criterios)" y que dichos atributos deberán descomponerse posteriormente en subcriterios e indicadores. Esta </w:t>
      </w:r>
      <w:r>
        <w:rPr>
          <w:rFonts w:ascii="Times New Roman" w:hAnsi="Times New Roman" w:cs="Times New Roman"/>
        </w:rPr>
        <w:t>estructura</w:t>
      </w:r>
      <w:r w:rsidRPr="0018474E">
        <w:rPr>
          <w:rFonts w:ascii="Times New Roman" w:hAnsi="Times New Roman" w:cs="Times New Roman"/>
        </w:rPr>
        <w:t xml:space="preserve"> constituye uno de los hallazgos empíricos más relevantes para esta investigación, porque el propio documento describe la operación de especificación mediante la cual una noción </w:t>
      </w:r>
      <w:r w:rsidRPr="0018474E">
        <w:rPr>
          <w:rFonts w:ascii="Times New Roman" w:hAnsi="Times New Roman" w:cs="Times New Roman"/>
        </w:rPr>
        <w:lastRenderedPageBreak/>
        <w:t>amplia y normativa de universidad comienza a transformarse en un conjunto de atributos susceptibles de observación sistemática. Lo que el modelo denomina "concretizar la definición" corresponde analíticamente al proceso mediante el cual el instrumento construye la representación operativa sobre la que ejercerá posteriormente la regulación</w:t>
      </w:r>
      <w:r w:rsidR="007A3252" w:rsidRPr="007A3252">
        <w:rPr>
          <w:rFonts w:ascii="Times New Roman" w:hAnsi="Times New Roman" w:cs="Times New Roman"/>
          <w:lang w:val="es-EC"/>
        </w:rPr>
        <w:t>.</w:t>
      </w:r>
    </w:p>
    <w:p w14:paraId="78D0FAC1" w14:textId="5C2A1C51" w:rsidR="007A3252" w:rsidRPr="00534D5A" w:rsidRDefault="0018474E" w:rsidP="007A3252">
      <w:pPr>
        <w:spacing w:line="240" w:lineRule="auto"/>
        <w:jc w:val="both"/>
        <w:rPr>
          <w:rFonts w:ascii="Times New Roman" w:hAnsi="Times New Roman" w:cs="Times New Roman"/>
          <w:lang w:val="es-EC"/>
        </w:rPr>
      </w:pPr>
      <w:r w:rsidRPr="00534D5A">
        <w:rPr>
          <w:rFonts w:ascii="Times New Roman" w:hAnsi="Times New Roman" w:cs="Times New Roman"/>
          <w:lang w:val="es-EC"/>
        </w:rPr>
        <w:t>En tal sentido, la</w:t>
      </w:r>
      <w:r w:rsidR="007A3252" w:rsidRPr="00534D5A">
        <w:rPr>
          <w:rFonts w:ascii="Times New Roman" w:hAnsi="Times New Roman" w:cs="Times New Roman"/>
          <w:lang w:val="es-EC"/>
        </w:rPr>
        <w:t xml:space="preserve"> estructura </w:t>
      </w:r>
      <w:r w:rsidRPr="00534D5A">
        <w:rPr>
          <w:rFonts w:ascii="Times New Roman" w:hAnsi="Times New Roman" w:cs="Times New Roman"/>
          <w:lang w:val="es-EC"/>
        </w:rPr>
        <w:t xml:space="preserve">resultante, </w:t>
      </w:r>
      <w:r w:rsidR="007A3252" w:rsidRPr="00534D5A">
        <w:rPr>
          <w:rFonts w:ascii="Times New Roman" w:hAnsi="Times New Roman" w:cs="Times New Roman"/>
          <w:lang w:val="es-EC"/>
        </w:rPr>
        <w:t xml:space="preserve">organiza </w:t>
      </w:r>
      <w:r w:rsidRPr="00534D5A">
        <w:rPr>
          <w:rFonts w:ascii="Times New Roman" w:hAnsi="Times New Roman" w:cs="Times New Roman"/>
          <w:lang w:val="es-EC"/>
        </w:rPr>
        <w:t xml:space="preserve">un segundo nivel de </w:t>
      </w:r>
      <w:r w:rsidR="007A3252" w:rsidRPr="00534D5A">
        <w:rPr>
          <w:rFonts w:ascii="Times New Roman" w:hAnsi="Times New Roman" w:cs="Times New Roman"/>
          <w:lang w:val="es-EC"/>
        </w:rPr>
        <w:t xml:space="preserve">esa representación alrededor de seis criterios: Organización, Academia, Investigación, Vinculación con la sociedad, Recursos e infraestructura y Estudiantes. </w:t>
      </w:r>
      <w:r w:rsidRPr="00534D5A">
        <w:rPr>
          <w:rFonts w:ascii="Times New Roman" w:hAnsi="Times New Roman" w:cs="Times New Roman"/>
        </w:rPr>
        <w:t>El documento explica que estos criterios "consideran aspectos amplios de la calidad" relacionados con "las funciones sustantivas de las universidades y escuelas politécnicas, así como los procesos, las condiciones y los recursos que permiten la ejecución adecuada de las mismas"</w:t>
      </w:r>
      <w:r w:rsidRPr="00534D5A">
        <w:rPr>
          <w:rFonts w:ascii="Times New Roman" w:hAnsi="Times New Roman" w:cs="Times New Roman"/>
        </w:rPr>
        <w:t xml:space="preserve"> (CEAACES, 2012</w:t>
      </w:r>
      <w:r w:rsidR="00F66C43" w:rsidRPr="00534D5A">
        <w:rPr>
          <w:rFonts w:ascii="Times New Roman" w:hAnsi="Times New Roman" w:cs="Times New Roman"/>
        </w:rPr>
        <w:t>, p.6</w:t>
      </w:r>
      <w:r w:rsidRPr="00534D5A">
        <w:rPr>
          <w:rFonts w:ascii="Times New Roman" w:hAnsi="Times New Roman" w:cs="Times New Roman"/>
        </w:rPr>
        <w:t xml:space="preserve">). </w:t>
      </w:r>
      <w:r w:rsidR="007A3252" w:rsidRPr="00534D5A">
        <w:rPr>
          <w:rFonts w:ascii="Times New Roman" w:hAnsi="Times New Roman" w:cs="Times New Roman"/>
          <w:lang w:val="es-EC"/>
        </w:rPr>
        <w:t xml:space="preserve">La selección de estos componentes constituye una decisión central del </w:t>
      </w:r>
      <w:r w:rsidRPr="00534D5A">
        <w:rPr>
          <w:rFonts w:ascii="Times New Roman" w:hAnsi="Times New Roman" w:cs="Times New Roman"/>
          <w:lang w:val="es-EC"/>
        </w:rPr>
        <w:t xml:space="preserve">instrumento </w:t>
      </w:r>
      <w:r w:rsidR="007A3252" w:rsidRPr="00534D5A">
        <w:rPr>
          <w:rFonts w:ascii="Times New Roman" w:hAnsi="Times New Roman" w:cs="Times New Roman"/>
          <w:lang w:val="es-EC"/>
        </w:rPr>
        <w:t xml:space="preserve">porque define cuáles aspectos de la universidad serán incorporados al proceso de evaluación y cuáles permanecerán fuera de él. La universidad que entra al instrumento aparece representada mediante un conjunto limitado de funciones, procesos y condiciones institucionales </w:t>
      </w:r>
      <w:r w:rsidRPr="00534D5A">
        <w:rPr>
          <w:rFonts w:ascii="Times New Roman" w:hAnsi="Times New Roman" w:cs="Times New Roman"/>
          <w:lang w:val="es-EC"/>
        </w:rPr>
        <w:t xml:space="preserve">observables </w:t>
      </w:r>
      <w:r w:rsidR="007A3252" w:rsidRPr="00534D5A">
        <w:rPr>
          <w:rFonts w:ascii="Times New Roman" w:hAnsi="Times New Roman" w:cs="Times New Roman"/>
          <w:lang w:val="es-EC"/>
        </w:rPr>
        <w:t>considerados suficientes para expresar la calidad. Esta selección</w:t>
      </w:r>
      <w:r w:rsidRPr="00534D5A">
        <w:rPr>
          <w:rFonts w:ascii="Times New Roman" w:hAnsi="Times New Roman" w:cs="Times New Roman"/>
          <w:lang w:val="es-EC"/>
        </w:rPr>
        <w:t xml:space="preserve"> de criterios</w:t>
      </w:r>
      <w:r w:rsidR="007A3252" w:rsidRPr="00534D5A">
        <w:rPr>
          <w:rFonts w:ascii="Times New Roman" w:hAnsi="Times New Roman" w:cs="Times New Roman"/>
          <w:lang w:val="es-EC"/>
        </w:rPr>
        <w:t xml:space="preserve"> no reproduce la complejidad de la universidad empírica; construye una representación analítica de ella, organizada de acuerdo con los atributos que el propio modelo considera relevantes para producir información comparable entre instituciones.</w:t>
      </w:r>
    </w:p>
    <w:p w14:paraId="0430A631" w14:textId="6EC40EB1" w:rsidR="007A3252" w:rsidRPr="00534D5A" w:rsidRDefault="007A3252" w:rsidP="007A3252">
      <w:pPr>
        <w:spacing w:line="240" w:lineRule="auto"/>
        <w:jc w:val="both"/>
        <w:rPr>
          <w:rFonts w:ascii="Times New Roman" w:hAnsi="Times New Roman" w:cs="Times New Roman"/>
          <w:lang w:val="es-EC"/>
        </w:rPr>
      </w:pPr>
      <w:r w:rsidRPr="00534D5A">
        <w:rPr>
          <w:rFonts w:ascii="Times New Roman" w:hAnsi="Times New Roman" w:cs="Times New Roman"/>
          <w:lang w:val="es-EC"/>
        </w:rPr>
        <w:t>La operación de especificación continúa con un tercer nivel</w:t>
      </w:r>
      <w:r w:rsidR="0018474E" w:rsidRPr="00534D5A">
        <w:rPr>
          <w:rFonts w:ascii="Times New Roman" w:hAnsi="Times New Roman" w:cs="Times New Roman"/>
          <w:lang w:val="es-EC"/>
        </w:rPr>
        <w:t>, e</w:t>
      </w:r>
      <w:r w:rsidR="0018474E" w:rsidRPr="00534D5A">
        <w:rPr>
          <w:rFonts w:ascii="Times New Roman" w:hAnsi="Times New Roman" w:cs="Times New Roman"/>
        </w:rPr>
        <w:t>l modelo señala que los criterios "pueden y deben ser descompuestos en conceptos menos complejos (subcriterios)"</w:t>
      </w:r>
      <w:r w:rsidR="0018474E" w:rsidRPr="00534D5A">
        <w:rPr>
          <w:rFonts w:ascii="Times New Roman" w:hAnsi="Times New Roman" w:cs="Times New Roman"/>
        </w:rPr>
        <w:t xml:space="preserve"> (CEAACES, 201</w:t>
      </w:r>
      <w:r w:rsidR="00824ACD">
        <w:rPr>
          <w:rFonts w:ascii="Times New Roman" w:hAnsi="Times New Roman" w:cs="Times New Roman"/>
        </w:rPr>
        <w:t>2</w:t>
      </w:r>
      <w:r w:rsidR="0018474E" w:rsidRPr="00534D5A">
        <w:rPr>
          <w:rFonts w:ascii="Times New Roman" w:hAnsi="Times New Roman" w:cs="Times New Roman"/>
        </w:rPr>
        <w:t>)</w:t>
      </w:r>
      <w:r w:rsidRPr="00534D5A">
        <w:rPr>
          <w:rFonts w:ascii="Times New Roman" w:hAnsi="Times New Roman" w:cs="Times New Roman"/>
          <w:lang w:val="es-EC"/>
        </w:rPr>
        <w:t>. El modelo explica que los criterios siguen siendo conceptos relativamente amplios y que, por ello, requieren ser descompuestos en aspectos más específicos asociados con atributos particulares de los procesos institucionales o con los resultados derivados de su ejecución. Esta nueva desagregación reduce nuevamente el nivel de abstracción de la representación y aproxima el instrumento a unidades cada vez más precisas de observación. Cada subcriterio delimita propiedades institucionales concretas cuya evaluación permitirá valorar el comportamiento de la universidad dentro de cada criterio general.</w:t>
      </w:r>
    </w:p>
    <w:p w14:paraId="5563E295" w14:textId="4680215E" w:rsidR="00534D5A" w:rsidRDefault="00F66C43" w:rsidP="007A3252">
      <w:pPr>
        <w:spacing w:line="240" w:lineRule="auto"/>
        <w:jc w:val="both"/>
        <w:rPr>
          <w:rFonts w:ascii="Times New Roman" w:hAnsi="Times New Roman" w:cs="Times New Roman"/>
          <w:lang w:val="es-EC"/>
        </w:rPr>
      </w:pPr>
      <w:r w:rsidRPr="00F66C43">
        <w:rPr>
          <w:rFonts w:ascii="Times New Roman" w:hAnsi="Times New Roman" w:cs="Times New Roman"/>
        </w:rPr>
        <w:t>El último nivel de especificación corresponde a los indicadores. El modelo establece que "los indicadores de evaluación están concebidos de manera que representan atributos específicos que son susceptibles de ser evaluados en términos de los estándares de evaluación"</w:t>
      </w:r>
      <w:r>
        <w:rPr>
          <w:rFonts w:ascii="Times New Roman" w:hAnsi="Times New Roman" w:cs="Times New Roman"/>
        </w:rPr>
        <w:t xml:space="preserve"> (CEAACES, 201</w:t>
      </w:r>
      <w:r w:rsidR="00824ACD">
        <w:rPr>
          <w:rFonts w:ascii="Times New Roman" w:hAnsi="Times New Roman" w:cs="Times New Roman"/>
        </w:rPr>
        <w:t>2</w:t>
      </w:r>
      <w:r>
        <w:rPr>
          <w:rFonts w:ascii="Times New Roman" w:hAnsi="Times New Roman" w:cs="Times New Roman"/>
        </w:rPr>
        <w:t>)</w:t>
      </w:r>
      <w:r w:rsidRPr="00F66C43">
        <w:rPr>
          <w:rFonts w:ascii="Times New Roman" w:hAnsi="Times New Roman" w:cs="Times New Roman"/>
        </w:rPr>
        <w:t>. Añade que estos indicadores pueden ser cualitativos o cuantitativos; en el primer caso, los estándares consisten en proposiciones que describen las cualidades esperadas de los procesos institucionales, mientras que en el segundo "los estándares están constituidos por funciones matemáticas que determinan el desempeño de la institución en una escala de 0 a 1"</w:t>
      </w:r>
      <w:r>
        <w:rPr>
          <w:rFonts w:ascii="Times New Roman" w:hAnsi="Times New Roman" w:cs="Times New Roman"/>
        </w:rPr>
        <w:t xml:space="preserve"> </w:t>
      </w:r>
      <w:r>
        <w:rPr>
          <w:rFonts w:ascii="Times New Roman" w:hAnsi="Times New Roman" w:cs="Times New Roman"/>
        </w:rPr>
        <w:t>(CEAACES, 201</w:t>
      </w:r>
      <w:r w:rsidR="00824ACD">
        <w:rPr>
          <w:rFonts w:ascii="Times New Roman" w:hAnsi="Times New Roman" w:cs="Times New Roman"/>
        </w:rPr>
        <w:t>2</w:t>
      </w:r>
      <w:r>
        <w:rPr>
          <w:rFonts w:ascii="Times New Roman" w:hAnsi="Times New Roman" w:cs="Times New Roman"/>
        </w:rPr>
        <w:t>)</w:t>
      </w:r>
      <w:r w:rsidRPr="00F66C43">
        <w:rPr>
          <w:rFonts w:ascii="Times New Roman" w:hAnsi="Times New Roman" w:cs="Times New Roman"/>
        </w:rPr>
        <w:t>.</w:t>
      </w:r>
      <w:r>
        <w:rPr>
          <w:rFonts w:ascii="Times New Roman" w:hAnsi="Times New Roman" w:cs="Times New Roman"/>
        </w:rPr>
        <w:t xml:space="preserve"> </w:t>
      </w:r>
      <w:r w:rsidRPr="00F66C43">
        <w:rPr>
          <w:rFonts w:ascii="Times New Roman" w:hAnsi="Times New Roman" w:cs="Times New Roman"/>
        </w:rPr>
        <w:t>La representación operativa alcanza aquí su máximo nivel de concreción. La universidad queda expresada mediante atributos verificables, asociados a evidencias y sometidos a reglas explícitas de valoración, creando las condiciones para que esa representación pueda ingresar posteriormente a los procedimientos de cálculo y clasificación.</w:t>
      </w:r>
      <w:r w:rsidR="00534D5A">
        <w:rPr>
          <w:rFonts w:ascii="Times New Roman" w:hAnsi="Times New Roman" w:cs="Times New Roman"/>
          <w:lang w:val="es-EC"/>
        </w:rPr>
        <w:t xml:space="preserve"> </w:t>
      </w:r>
    </w:p>
    <w:p w14:paraId="7B7C768C" w14:textId="74CF7261" w:rsidR="007A3252" w:rsidRPr="00534D5A" w:rsidRDefault="007A3252" w:rsidP="007A3252">
      <w:pPr>
        <w:spacing w:line="240" w:lineRule="auto"/>
        <w:jc w:val="both"/>
        <w:rPr>
          <w:rFonts w:ascii="Times New Roman" w:hAnsi="Times New Roman" w:cs="Times New Roman"/>
          <w:lang w:val="es-EC"/>
        </w:rPr>
      </w:pPr>
      <w:r w:rsidRPr="00534D5A">
        <w:rPr>
          <w:rFonts w:ascii="Times New Roman" w:hAnsi="Times New Roman" w:cs="Times New Roman"/>
          <w:lang w:val="es-EC"/>
        </w:rPr>
        <w:t>La</w:t>
      </w:r>
      <w:r w:rsidR="00534D5A">
        <w:rPr>
          <w:rFonts w:ascii="Times New Roman" w:hAnsi="Times New Roman" w:cs="Times New Roman"/>
          <w:lang w:val="es-EC"/>
        </w:rPr>
        <w:t xml:space="preserve"> s</w:t>
      </w:r>
      <w:r w:rsidRPr="00534D5A">
        <w:rPr>
          <w:rFonts w:ascii="Times New Roman" w:hAnsi="Times New Roman" w:cs="Times New Roman"/>
          <w:lang w:val="es-EC"/>
        </w:rPr>
        <w:t>ecuenci</w:t>
      </w:r>
      <w:r w:rsidR="00534D5A">
        <w:rPr>
          <w:rFonts w:ascii="Times New Roman" w:hAnsi="Times New Roman" w:cs="Times New Roman"/>
          <w:lang w:val="es-EC"/>
        </w:rPr>
        <w:t xml:space="preserve">a </w:t>
      </w:r>
      <w:r w:rsidRPr="00534D5A">
        <w:rPr>
          <w:rFonts w:ascii="Times New Roman" w:hAnsi="Times New Roman" w:cs="Times New Roman"/>
          <w:lang w:val="es-EC"/>
        </w:rPr>
        <w:t>calidad–criterios–subcriterios–indicadores–estándares–evidencias constituye, en consecuencia,</w:t>
      </w:r>
      <w:r w:rsidR="002D1B71" w:rsidRPr="00534D5A">
        <w:rPr>
          <w:rFonts w:ascii="Times New Roman" w:hAnsi="Times New Roman" w:cs="Times New Roman"/>
          <w:lang w:val="es-EC"/>
        </w:rPr>
        <w:t xml:space="preserve"> </w:t>
      </w:r>
      <w:r w:rsidRPr="00534D5A">
        <w:rPr>
          <w:rFonts w:ascii="Times New Roman" w:hAnsi="Times New Roman" w:cs="Times New Roman"/>
          <w:lang w:val="es-EC"/>
        </w:rPr>
        <w:t xml:space="preserve">la organización interna del documento técnico. Representa </w:t>
      </w:r>
      <w:r w:rsidRPr="00534D5A">
        <w:rPr>
          <w:rFonts w:ascii="Times New Roman" w:hAnsi="Times New Roman" w:cs="Times New Roman"/>
          <w:lang w:val="es-EC"/>
        </w:rPr>
        <w:lastRenderedPageBreak/>
        <w:t xml:space="preserve">la cadena de especificaciones mediante la cual el instrumento construye el objeto sobre el que posteriormente ejercerá la regulación. Cada nivel reduce el grado de abstracción del anterior y reemplaza progresivamente una definición normativa de universidad por una representación integrada por atributos observables y verificables. Esa representación operativa constituye el verdadero objeto que ingresa al proceso de evaluación. Sobre ella actuarán posteriormente las funciones de utilidad, las ponderaciones y las reglas de agregación que producirán la clasificación institucional y harán posible la intervención regulatoria del Estado </w:t>
      </w:r>
      <w:r w:rsidR="00F66C43" w:rsidRPr="00534D5A">
        <w:rPr>
          <w:rFonts w:ascii="Times New Roman" w:hAnsi="Times New Roman" w:cs="Times New Roman"/>
        </w:rPr>
        <w:t xml:space="preserve">(Capano &amp; Howlett, 2023; Capano &amp; </w:t>
      </w:r>
      <w:proofErr w:type="spellStart"/>
      <w:r w:rsidR="00F66C43" w:rsidRPr="00534D5A">
        <w:rPr>
          <w:rFonts w:ascii="Times New Roman" w:hAnsi="Times New Roman" w:cs="Times New Roman"/>
        </w:rPr>
        <w:t>Pritoni</w:t>
      </w:r>
      <w:proofErr w:type="spellEnd"/>
      <w:r w:rsidR="00F66C43" w:rsidRPr="00534D5A">
        <w:rPr>
          <w:rFonts w:ascii="Times New Roman" w:hAnsi="Times New Roman" w:cs="Times New Roman"/>
        </w:rPr>
        <w:t>, 2026)</w:t>
      </w:r>
      <w:r w:rsidR="00F66C43" w:rsidRPr="00534D5A">
        <w:rPr>
          <w:rFonts w:ascii="Times New Roman" w:hAnsi="Times New Roman" w:cs="Times New Roman"/>
        </w:rPr>
        <w:t>.</w:t>
      </w:r>
    </w:p>
    <w:p w14:paraId="2E5FA428" w14:textId="18AF1C1C" w:rsidR="007A3252" w:rsidRDefault="007A3252" w:rsidP="007A3252">
      <w:pPr>
        <w:spacing w:line="240" w:lineRule="auto"/>
        <w:jc w:val="both"/>
        <w:rPr>
          <w:rFonts w:ascii="Times New Roman" w:hAnsi="Times New Roman" w:cs="Times New Roman"/>
        </w:rPr>
      </w:pPr>
      <w:r w:rsidRPr="007A3252">
        <w:rPr>
          <w:rFonts w:ascii="Times New Roman" w:hAnsi="Times New Roman" w:cs="Times New Roman"/>
        </w:rPr>
        <w:t>La arquitectura reconstruida permite observar que el modelo</w:t>
      </w:r>
      <w:r w:rsidR="002D1B71">
        <w:rPr>
          <w:rFonts w:ascii="Times New Roman" w:hAnsi="Times New Roman" w:cs="Times New Roman"/>
        </w:rPr>
        <w:t xml:space="preserve"> m</w:t>
      </w:r>
      <w:r w:rsidRPr="007A3252">
        <w:rPr>
          <w:rFonts w:ascii="Times New Roman" w:hAnsi="Times New Roman" w:cs="Times New Roman"/>
        </w:rPr>
        <w:t>ediante sucesivas operaciones de especificación transforma una noción amplia de calidad en un objeto susceptible de observación sistemática. La definición institucional de calidad es desagregada en seis criterios, desarrollada mediante sus respectivos subcriterios y finalmente expresada en un conjunto de indicadores asociados a estándares y evidencias verificables. Al concluir este proceso, la universidad concebida por la reforma aparece como una representación operativa integrada por un número finito de atributos cuya observación puede ser estandarizada y reproducida en todas las instituciones evaluadas. Es esta representación y no la universidad empírica en toda la diversidad de sus prácticas, relaciones y trayectorias</w:t>
      </w:r>
      <w:r w:rsidR="002D1B71">
        <w:rPr>
          <w:rFonts w:ascii="Times New Roman" w:hAnsi="Times New Roman" w:cs="Times New Roman"/>
        </w:rPr>
        <w:t xml:space="preserve">, </w:t>
      </w:r>
      <w:r w:rsidRPr="007A3252">
        <w:rPr>
          <w:rFonts w:ascii="Times New Roman" w:hAnsi="Times New Roman" w:cs="Times New Roman"/>
        </w:rPr>
        <w:t xml:space="preserve">la que ingresa posteriormente a los procedimientos de valoración, ponderación y clasificación previstos por el instrumento. Desde la perspectiva del </w:t>
      </w:r>
      <w:proofErr w:type="spellStart"/>
      <w:r w:rsidRPr="007A3252">
        <w:rPr>
          <w:rFonts w:ascii="Times New Roman" w:hAnsi="Times New Roman" w:cs="Times New Roman"/>
        </w:rPr>
        <w:t>microdiseño</w:t>
      </w:r>
      <w:proofErr w:type="spellEnd"/>
      <w:r w:rsidRPr="007A3252">
        <w:rPr>
          <w:rFonts w:ascii="Times New Roman" w:hAnsi="Times New Roman" w:cs="Times New Roman"/>
        </w:rPr>
        <w:t>, esta constituye una decisión fundamental, porque delimita el objeto efectivo sobre el que podrá ejercerse la acción regulatoria del Estado</w:t>
      </w:r>
      <w:r w:rsidR="00E474F0">
        <w:rPr>
          <w:rFonts w:ascii="Times New Roman" w:hAnsi="Times New Roman" w:cs="Times New Roman"/>
        </w:rPr>
        <w:t>.</w:t>
      </w:r>
    </w:p>
    <w:p w14:paraId="13987F35" w14:textId="593961BD" w:rsidR="00E474F0" w:rsidRPr="00824ACD" w:rsidRDefault="00E474F0" w:rsidP="00824ACD">
      <w:pPr>
        <w:pStyle w:val="Prrafodelista"/>
        <w:numPr>
          <w:ilvl w:val="0"/>
          <w:numId w:val="1"/>
        </w:numPr>
        <w:spacing w:line="240" w:lineRule="auto"/>
        <w:jc w:val="both"/>
        <w:rPr>
          <w:rFonts w:ascii="Times New Roman" w:hAnsi="Times New Roman" w:cs="Times New Roman"/>
          <w:b/>
          <w:bCs/>
          <w:lang w:val="es-EC"/>
        </w:rPr>
      </w:pPr>
      <w:r w:rsidRPr="00824ACD">
        <w:rPr>
          <w:rFonts w:ascii="Times New Roman" w:hAnsi="Times New Roman" w:cs="Times New Roman"/>
          <w:b/>
          <w:bCs/>
          <w:lang w:val="es-EC"/>
        </w:rPr>
        <w:t>La calibración de la representación operativa: de la observación a la capacidad de gobierno</w:t>
      </w:r>
    </w:p>
    <w:p w14:paraId="3B59C44A" w14:textId="09649356" w:rsidR="00E474F0" w:rsidRPr="00534D5A" w:rsidRDefault="00E474F0" w:rsidP="00E474F0">
      <w:pPr>
        <w:spacing w:line="240" w:lineRule="auto"/>
        <w:jc w:val="both"/>
        <w:rPr>
          <w:rFonts w:ascii="Times New Roman" w:hAnsi="Times New Roman" w:cs="Times New Roman"/>
          <w:lang w:val="es-EC"/>
        </w:rPr>
      </w:pPr>
      <w:r w:rsidRPr="00534D5A">
        <w:rPr>
          <w:rFonts w:ascii="Times New Roman" w:hAnsi="Times New Roman" w:cs="Times New Roman"/>
          <w:lang w:val="es-EC"/>
        </w:rPr>
        <w:t>La construcción de una representación operativa de la universidad constituye una condición necesaria para la evaluación institucional</w:t>
      </w:r>
      <w:r w:rsidR="00F66C43" w:rsidRPr="00534D5A">
        <w:rPr>
          <w:rFonts w:ascii="Times New Roman" w:hAnsi="Times New Roman" w:cs="Times New Roman"/>
          <w:lang w:val="es-EC"/>
        </w:rPr>
        <w:t xml:space="preserve">. </w:t>
      </w:r>
      <w:r w:rsidRPr="00534D5A">
        <w:rPr>
          <w:rFonts w:ascii="Times New Roman" w:hAnsi="Times New Roman" w:cs="Times New Roman"/>
          <w:lang w:val="es-EC"/>
        </w:rPr>
        <w:t xml:space="preserve">Una vez definidos los atributos mediante los cuales será observada la universidad, el problema de diseño cambia de naturaleza. La pregunta deja de ser qué debe observarse y pasa a ser cómo esa representación será valorada para producir consecuencias sobre las instituciones. En términos de gobernanza, este constituye un momento decisivo, porque la </w:t>
      </w:r>
      <w:proofErr w:type="gramStart"/>
      <w:r w:rsidRPr="00534D5A">
        <w:rPr>
          <w:rFonts w:ascii="Times New Roman" w:hAnsi="Times New Roman" w:cs="Times New Roman"/>
          <w:lang w:val="es-EC"/>
        </w:rPr>
        <w:t>regulación  depende</w:t>
      </w:r>
      <w:proofErr w:type="gramEnd"/>
      <w:r w:rsidR="00652BFF">
        <w:rPr>
          <w:rFonts w:ascii="Times New Roman" w:hAnsi="Times New Roman" w:cs="Times New Roman"/>
          <w:lang w:val="es-EC"/>
        </w:rPr>
        <w:t xml:space="preserve"> </w:t>
      </w:r>
      <w:r w:rsidRPr="00534D5A">
        <w:rPr>
          <w:rFonts w:ascii="Times New Roman" w:hAnsi="Times New Roman" w:cs="Times New Roman"/>
          <w:lang w:val="es-EC"/>
        </w:rPr>
        <w:t xml:space="preserve">de aquello que el instrumento hace visible, </w:t>
      </w:r>
      <w:r w:rsidR="00652BFF">
        <w:rPr>
          <w:rFonts w:ascii="Times New Roman" w:hAnsi="Times New Roman" w:cs="Times New Roman"/>
          <w:lang w:val="es-EC"/>
        </w:rPr>
        <w:t>a la v</w:t>
      </w:r>
      <w:r w:rsidRPr="00534D5A">
        <w:rPr>
          <w:rFonts w:ascii="Times New Roman" w:hAnsi="Times New Roman" w:cs="Times New Roman"/>
          <w:lang w:val="es-EC"/>
        </w:rPr>
        <w:t>e</w:t>
      </w:r>
      <w:r w:rsidR="00652BFF">
        <w:rPr>
          <w:rFonts w:ascii="Times New Roman" w:hAnsi="Times New Roman" w:cs="Times New Roman"/>
          <w:lang w:val="es-EC"/>
        </w:rPr>
        <w:t>z que define</w:t>
      </w:r>
      <w:r w:rsidRPr="00534D5A">
        <w:rPr>
          <w:rFonts w:ascii="Times New Roman" w:hAnsi="Times New Roman" w:cs="Times New Roman"/>
          <w:lang w:val="es-EC"/>
        </w:rPr>
        <w:t xml:space="preserve"> las reglas mediante las cuales transforma esa información en criterios de decisión. Desde la perspectiva del </w:t>
      </w:r>
      <w:proofErr w:type="spellStart"/>
      <w:r w:rsidRPr="00534D5A">
        <w:rPr>
          <w:rFonts w:ascii="Times New Roman" w:hAnsi="Times New Roman" w:cs="Times New Roman"/>
          <w:lang w:val="es-EC"/>
        </w:rPr>
        <w:t>microdiseño</w:t>
      </w:r>
      <w:proofErr w:type="spellEnd"/>
      <w:r w:rsidR="00E60FCB" w:rsidRPr="00534D5A">
        <w:rPr>
          <w:rFonts w:ascii="Times New Roman" w:hAnsi="Times New Roman" w:cs="Times New Roman"/>
          <w:lang w:val="es-EC"/>
        </w:rPr>
        <w:t xml:space="preserve"> de políticas</w:t>
      </w:r>
      <w:r w:rsidRPr="00534D5A">
        <w:rPr>
          <w:rFonts w:ascii="Times New Roman" w:hAnsi="Times New Roman" w:cs="Times New Roman"/>
          <w:lang w:val="es-EC"/>
        </w:rPr>
        <w:t xml:space="preserve">, esta operación corresponde a la calibración del instrumento, entendida como el conjunto de decisiones que establecen la intensidad, la forma y las condiciones bajo las cuales cada uno de los atributos previamente definidos participará en la producción del resultado final (Capano &amp; Howlett, 2024; Capano &amp; </w:t>
      </w:r>
      <w:proofErr w:type="spellStart"/>
      <w:r w:rsidRPr="00534D5A">
        <w:rPr>
          <w:rFonts w:ascii="Times New Roman" w:hAnsi="Times New Roman" w:cs="Times New Roman"/>
          <w:lang w:val="es-EC"/>
        </w:rPr>
        <w:t>Pritoni</w:t>
      </w:r>
      <w:proofErr w:type="spellEnd"/>
      <w:r w:rsidRPr="00534D5A">
        <w:rPr>
          <w:rFonts w:ascii="Times New Roman" w:hAnsi="Times New Roman" w:cs="Times New Roman"/>
          <w:lang w:val="es-EC"/>
        </w:rPr>
        <w:t>, 2026).</w:t>
      </w:r>
    </w:p>
    <w:p w14:paraId="3C480F67" w14:textId="1ACBB98C" w:rsidR="00421A8E" w:rsidRPr="00534D5A" w:rsidRDefault="00421A8E" w:rsidP="00E474F0">
      <w:pPr>
        <w:spacing w:line="240" w:lineRule="auto"/>
        <w:jc w:val="both"/>
        <w:rPr>
          <w:rFonts w:ascii="Times New Roman" w:hAnsi="Times New Roman" w:cs="Times New Roman"/>
        </w:rPr>
      </w:pPr>
      <w:r w:rsidRPr="00534D5A">
        <w:rPr>
          <w:rFonts w:ascii="Times New Roman" w:hAnsi="Times New Roman" w:cs="Times New Roman"/>
        </w:rPr>
        <w:t xml:space="preserve">La calibración se materializa en un conjunto de decisiones de diseño incorporadas explícitamente al modelo de evaluación. </w:t>
      </w:r>
      <w:r w:rsidR="00E60FCB" w:rsidRPr="00534D5A">
        <w:rPr>
          <w:rFonts w:ascii="Times New Roman" w:hAnsi="Times New Roman" w:cs="Times New Roman"/>
        </w:rPr>
        <w:t>Cada un cumple</w:t>
      </w:r>
      <w:r w:rsidRPr="00534D5A">
        <w:rPr>
          <w:rFonts w:ascii="Times New Roman" w:hAnsi="Times New Roman" w:cs="Times New Roman"/>
        </w:rPr>
        <w:t xml:space="preserve"> simultáneamente una función técnica</w:t>
      </w:r>
      <w:r w:rsidRPr="00534D5A">
        <w:rPr>
          <w:rFonts w:ascii="Times New Roman" w:hAnsi="Times New Roman" w:cs="Times New Roman"/>
        </w:rPr>
        <w:t xml:space="preserve">, </w:t>
      </w:r>
      <w:r w:rsidRPr="00534D5A">
        <w:rPr>
          <w:rFonts w:ascii="Times New Roman" w:hAnsi="Times New Roman" w:cs="Times New Roman"/>
        </w:rPr>
        <w:t>necesaria para producir resultados comparable</w:t>
      </w:r>
      <w:r w:rsidRPr="00534D5A">
        <w:rPr>
          <w:rFonts w:ascii="Times New Roman" w:hAnsi="Times New Roman" w:cs="Times New Roman"/>
        </w:rPr>
        <w:t>s</w:t>
      </w:r>
      <w:r w:rsidRPr="00534D5A">
        <w:rPr>
          <w:rFonts w:ascii="Times New Roman" w:hAnsi="Times New Roman" w:cs="Times New Roman"/>
        </w:rPr>
        <w:t xml:space="preserve"> y una función de gobernanza, en la medida en que distribuye prioridades, establece umbrales y organiza las condiciones bajo las cuales el Estado valorará el desempeño institucional.</w:t>
      </w:r>
    </w:p>
    <w:p w14:paraId="61E24A3D" w14:textId="16B22B75" w:rsidR="00421A8E" w:rsidRPr="00A328A3" w:rsidRDefault="00421A8E" w:rsidP="00E474F0">
      <w:pPr>
        <w:spacing w:line="240" w:lineRule="auto"/>
        <w:jc w:val="both"/>
        <w:rPr>
          <w:rFonts w:ascii="Times New Roman" w:hAnsi="Times New Roman" w:cs="Times New Roman"/>
          <w:b/>
          <w:bCs/>
        </w:rPr>
      </w:pPr>
      <w:r w:rsidRPr="00A328A3">
        <w:rPr>
          <w:rFonts w:ascii="Times New Roman" w:hAnsi="Times New Roman" w:cs="Times New Roman"/>
          <w:b/>
          <w:bCs/>
        </w:rPr>
        <w:t xml:space="preserve">Tabla </w:t>
      </w:r>
      <w:r w:rsidRPr="00A328A3">
        <w:rPr>
          <w:rFonts w:ascii="Times New Roman" w:hAnsi="Times New Roman" w:cs="Times New Roman"/>
          <w:b/>
          <w:bCs/>
        </w:rPr>
        <w:t>1</w:t>
      </w:r>
      <w:r w:rsidRPr="00A328A3">
        <w:rPr>
          <w:rFonts w:ascii="Times New Roman" w:hAnsi="Times New Roman" w:cs="Times New Roman"/>
          <w:b/>
          <w:bCs/>
        </w:rPr>
        <w:t>. Decisiones de calibración incorporadas al Modelo de Evaluación Institucional</w:t>
      </w:r>
    </w:p>
    <w:tbl>
      <w:tblPr>
        <w:tblStyle w:val="Tablaconcuadrcula"/>
        <w:tblW w:w="0" w:type="auto"/>
        <w:tblLook w:val="04A0" w:firstRow="1" w:lastRow="0" w:firstColumn="1" w:lastColumn="0" w:noHBand="0" w:noVBand="1"/>
      </w:tblPr>
      <w:tblGrid>
        <w:gridCol w:w="1894"/>
        <w:gridCol w:w="2295"/>
        <w:gridCol w:w="2044"/>
        <w:gridCol w:w="2261"/>
      </w:tblGrid>
      <w:tr w:rsidR="00E60FCB" w:rsidRPr="00534D5A" w14:paraId="600F93E7" w14:textId="77777777" w:rsidTr="00E60FCB">
        <w:tc>
          <w:tcPr>
            <w:tcW w:w="0" w:type="auto"/>
            <w:hideMark/>
          </w:tcPr>
          <w:p w14:paraId="45D89BBA" w14:textId="77777777" w:rsidR="00E60FCB" w:rsidRPr="00534D5A" w:rsidRDefault="00E60FCB" w:rsidP="00E60FCB">
            <w:pPr>
              <w:jc w:val="both"/>
              <w:rPr>
                <w:rFonts w:ascii="Times New Roman" w:hAnsi="Times New Roman" w:cs="Times New Roman"/>
                <w:lang w:val="es-EC"/>
              </w:rPr>
            </w:pPr>
            <w:r w:rsidRPr="00534D5A">
              <w:rPr>
                <w:rFonts w:ascii="Times New Roman" w:hAnsi="Times New Roman" w:cs="Times New Roman"/>
                <w:lang w:val="es-EC"/>
              </w:rPr>
              <w:lastRenderedPageBreak/>
              <w:t>Decisión de calibración</w:t>
            </w:r>
          </w:p>
        </w:tc>
        <w:tc>
          <w:tcPr>
            <w:tcW w:w="0" w:type="auto"/>
            <w:hideMark/>
          </w:tcPr>
          <w:p w14:paraId="21DB1094" w14:textId="77777777" w:rsidR="00E60FCB" w:rsidRPr="00534D5A" w:rsidRDefault="00E60FCB" w:rsidP="00E60FCB">
            <w:pPr>
              <w:jc w:val="both"/>
              <w:rPr>
                <w:rFonts w:ascii="Times New Roman" w:hAnsi="Times New Roman" w:cs="Times New Roman"/>
                <w:lang w:val="es-EC"/>
              </w:rPr>
            </w:pPr>
            <w:r w:rsidRPr="00534D5A">
              <w:rPr>
                <w:rFonts w:ascii="Times New Roman" w:hAnsi="Times New Roman" w:cs="Times New Roman"/>
                <w:lang w:val="es-EC"/>
              </w:rPr>
              <w:t>Función técnica</w:t>
            </w:r>
          </w:p>
        </w:tc>
        <w:tc>
          <w:tcPr>
            <w:tcW w:w="0" w:type="auto"/>
            <w:hideMark/>
          </w:tcPr>
          <w:p w14:paraId="6C17C7B8" w14:textId="77777777" w:rsidR="00E60FCB" w:rsidRPr="00534D5A" w:rsidRDefault="00E60FCB" w:rsidP="00E60FCB">
            <w:pPr>
              <w:jc w:val="both"/>
              <w:rPr>
                <w:rFonts w:ascii="Times New Roman" w:hAnsi="Times New Roman" w:cs="Times New Roman"/>
                <w:lang w:val="es-EC"/>
              </w:rPr>
            </w:pPr>
            <w:r w:rsidRPr="00534D5A">
              <w:rPr>
                <w:rFonts w:ascii="Times New Roman" w:hAnsi="Times New Roman" w:cs="Times New Roman"/>
                <w:lang w:val="es-EC"/>
              </w:rPr>
              <w:t>Función de gobernanza</w:t>
            </w:r>
          </w:p>
        </w:tc>
        <w:tc>
          <w:tcPr>
            <w:tcW w:w="0" w:type="auto"/>
            <w:hideMark/>
          </w:tcPr>
          <w:p w14:paraId="6755C265" w14:textId="77777777" w:rsidR="00E60FCB" w:rsidRPr="00534D5A" w:rsidRDefault="00E60FCB" w:rsidP="00E60FCB">
            <w:pPr>
              <w:jc w:val="both"/>
              <w:rPr>
                <w:rFonts w:ascii="Times New Roman" w:hAnsi="Times New Roman" w:cs="Times New Roman"/>
                <w:lang w:val="es-EC"/>
              </w:rPr>
            </w:pPr>
            <w:r w:rsidRPr="00534D5A">
              <w:rPr>
                <w:rFonts w:ascii="Times New Roman" w:hAnsi="Times New Roman" w:cs="Times New Roman"/>
                <w:lang w:val="es-EC"/>
              </w:rPr>
              <w:t>Resultado sobre la representación</w:t>
            </w:r>
          </w:p>
        </w:tc>
      </w:tr>
      <w:tr w:rsidR="00E60FCB" w:rsidRPr="00534D5A" w14:paraId="1BBF043D" w14:textId="77777777" w:rsidTr="00E60FCB">
        <w:tc>
          <w:tcPr>
            <w:tcW w:w="0" w:type="auto"/>
            <w:hideMark/>
          </w:tcPr>
          <w:p w14:paraId="50A9DE62"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Ponderaciones</w:t>
            </w:r>
          </w:p>
        </w:tc>
        <w:tc>
          <w:tcPr>
            <w:tcW w:w="0" w:type="auto"/>
            <w:hideMark/>
          </w:tcPr>
          <w:p w14:paraId="1FC52ACC"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Distribuir pesos relativos</w:t>
            </w:r>
          </w:p>
        </w:tc>
        <w:tc>
          <w:tcPr>
            <w:tcW w:w="0" w:type="auto"/>
            <w:hideMark/>
          </w:tcPr>
          <w:p w14:paraId="6A079BBD"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Definir prioridades regulatorias</w:t>
            </w:r>
          </w:p>
        </w:tc>
        <w:tc>
          <w:tcPr>
            <w:tcW w:w="0" w:type="auto"/>
            <w:hideMark/>
          </w:tcPr>
          <w:p w14:paraId="40EE9460"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Representación jerarquizada</w:t>
            </w:r>
          </w:p>
        </w:tc>
      </w:tr>
      <w:tr w:rsidR="00E60FCB" w:rsidRPr="00534D5A" w14:paraId="0FE12AE6" w14:textId="77777777" w:rsidTr="00E60FCB">
        <w:tc>
          <w:tcPr>
            <w:tcW w:w="0" w:type="auto"/>
            <w:hideMark/>
          </w:tcPr>
          <w:p w14:paraId="0A125814"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Estándares</w:t>
            </w:r>
          </w:p>
        </w:tc>
        <w:tc>
          <w:tcPr>
            <w:tcW w:w="0" w:type="auto"/>
            <w:hideMark/>
          </w:tcPr>
          <w:p w14:paraId="7CC9A86A"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Precisar el desempeño esperado</w:t>
            </w:r>
          </w:p>
        </w:tc>
        <w:tc>
          <w:tcPr>
            <w:tcW w:w="0" w:type="auto"/>
            <w:hideMark/>
          </w:tcPr>
          <w:p w14:paraId="5F4EF0B4"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Delimitar lo aceptable</w:t>
            </w:r>
          </w:p>
        </w:tc>
        <w:tc>
          <w:tcPr>
            <w:tcW w:w="0" w:type="auto"/>
            <w:hideMark/>
          </w:tcPr>
          <w:p w14:paraId="72750F84"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Horizonte normativo común</w:t>
            </w:r>
          </w:p>
        </w:tc>
      </w:tr>
      <w:tr w:rsidR="00E60FCB" w:rsidRPr="00534D5A" w14:paraId="04141115" w14:textId="77777777" w:rsidTr="00E60FCB">
        <w:tc>
          <w:tcPr>
            <w:tcW w:w="0" w:type="auto"/>
            <w:hideMark/>
          </w:tcPr>
          <w:p w14:paraId="4C377B6B"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Funciones de utilidad</w:t>
            </w:r>
          </w:p>
        </w:tc>
        <w:tc>
          <w:tcPr>
            <w:tcW w:w="0" w:type="auto"/>
            <w:hideMark/>
          </w:tcPr>
          <w:p w14:paraId="078684C0"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Traducir desempeños a una escala común</w:t>
            </w:r>
          </w:p>
        </w:tc>
        <w:tc>
          <w:tcPr>
            <w:tcW w:w="0" w:type="auto"/>
            <w:hideMark/>
          </w:tcPr>
          <w:p w14:paraId="4E9F7B29"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Hacer comparables instituciones</w:t>
            </w:r>
          </w:p>
        </w:tc>
        <w:tc>
          <w:tcPr>
            <w:tcW w:w="0" w:type="auto"/>
            <w:hideMark/>
          </w:tcPr>
          <w:p w14:paraId="5744C3B0"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Escala común de valoración</w:t>
            </w:r>
          </w:p>
        </w:tc>
      </w:tr>
      <w:tr w:rsidR="00E60FCB" w:rsidRPr="00534D5A" w14:paraId="701CACDC" w14:textId="77777777" w:rsidTr="00E60FCB">
        <w:tc>
          <w:tcPr>
            <w:tcW w:w="0" w:type="auto"/>
            <w:hideMark/>
          </w:tcPr>
          <w:p w14:paraId="10DFF373"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Reglas de agregación</w:t>
            </w:r>
          </w:p>
        </w:tc>
        <w:tc>
          <w:tcPr>
            <w:tcW w:w="0" w:type="auto"/>
            <w:hideMark/>
          </w:tcPr>
          <w:p w14:paraId="7A8B4BAE"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Integrar puntajes parciales</w:t>
            </w:r>
          </w:p>
        </w:tc>
        <w:tc>
          <w:tcPr>
            <w:tcW w:w="0" w:type="auto"/>
            <w:hideMark/>
          </w:tcPr>
          <w:p w14:paraId="4CE3484C"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Hacer posible la clasificación</w:t>
            </w:r>
          </w:p>
        </w:tc>
        <w:tc>
          <w:tcPr>
            <w:tcW w:w="0" w:type="auto"/>
            <w:hideMark/>
          </w:tcPr>
          <w:p w14:paraId="46596FA3" w14:textId="77777777" w:rsidR="00E60FCB" w:rsidRPr="00534D5A" w:rsidRDefault="00E60FCB" w:rsidP="00E60FCB">
            <w:pPr>
              <w:rPr>
                <w:rFonts w:ascii="Times New Roman" w:hAnsi="Times New Roman" w:cs="Times New Roman"/>
                <w:lang w:val="es-EC"/>
              </w:rPr>
            </w:pPr>
            <w:r w:rsidRPr="00534D5A">
              <w:rPr>
                <w:rFonts w:ascii="Times New Roman" w:hAnsi="Times New Roman" w:cs="Times New Roman"/>
                <w:lang w:val="es-EC"/>
              </w:rPr>
              <w:t>Resultado institucional único</w:t>
            </w:r>
          </w:p>
        </w:tc>
      </w:tr>
    </w:tbl>
    <w:p w14:paraId="61C68A09" w14:textId="6A20647C" w:rsidR="00421A8E" w:rsidRPr="00E474F0" w:rsidRDefault="00421A8E" w:rsidP="00E474F0">
      <w:pPr>
        <w:spacing w:line="240" w:lineRule="auto"/>
        <w:jc w:val="both"/>
        <w:rPr>
          <w:rFonts w:ascii="Times New Roman" w:hAnsi="Times New Roman" w:cs="Times New Roman"/>
          <w:lang w:val="es-EC"/>
        </w:rPr>
      </w:pPr>
      <w:r w:rsidRPr="00421A8E">
        <w:rPr>
          <w:rFonts w:ascii="Times New Roman" w:hAnsi="Times New Roman" w:cs="Times New Roman"/>
        </w:rPr>
        <w:t>Elaboración propia a partir del Modelo de Evaluación Institucional (CEAACES, 2013).</w:t>
      </w:r>
    </w:p>
    <w:p w14:paraId="7DCC0D1E" w14:textId="04106DDA" w:rsidR="00E474F0" w:rsidRPr="00E60FCB" w:rsidRDefault="00E474F0" w:rsidP="00E474F0">
      <w:pPr>
        <w:spacing w:line="240" w:lineRule="auto"/>
        <w:jc w:val="both"/>
        <w:rPr>
          <w:rFonts w:ascii="Times New Roman" w:hAnsi="Times New Roman" w:cs="Times New Roman"/>
          <w:lang w:val="es-EC"/>
        </w:rPr>
      </w:pPr>
      <w:r w:rsidRPr="00E474F0">
        <w:rPr>
          <w:rFonts w:ascii="Times New Roman" w:hAnsi="Times New Roman" w:cs="Times New Roman"/>
          <w:lang w:val="es-EC"/>
        </w:rPr>
        <w:t xml:space="preserve">La primera </w:t>
      </w:r>
      <w:r w:rsidR="00421A8E">
        <w:rPr>
          <w:rFonts w:ascii="Times New Roman" w:hAnsi="Times New Roman" w:cs="Times New Roman"/>
          <w:lang w:val="es-EC"/>
        </w:rPr>
        <w:t xml:space="preserve">decisión </w:t>
      </w:r>
      <w:r w:rsidRPr="00E474F0">
        <w:rPr>
          <w:rFonts w:ascii="Times New Roman" w:hAnsi="Times New Roman" w:cs="Times New Roman"/>
          <w:lang w:val="es-EC"/>
        </w:rPr>
        <w:t xml:space="preserve">consiste en asignar ponderaciones diferenciadas a los criterios y a los indicadores que los integran. La evaluación institucional deja de funcionar como una agregación lineal de información y se convierte en un procedimiento donde determinados atributos contribuyen con mayor intensidad que otros al resultado final. Esta distribución de pesos expresa una jerarquización explícita de prioridades institucionales. La </w:t>
      </w:r>
      <w:r w:rsidRPr="00E60FCB">
        <w:rPr>
          <w:rFonts w:ascii="Times New Roman" w:hAnsi="Times New Roman" w:cs="Times New Roman"/>
          <w:lang w:val="es-EC"/>
        </w:rPr>
        <w:t>producción científica, la organización académica, la planta docente, las condiciones del aprendizaje, la vinculación con la sociedad o la infraestructura participan en la evaluación con intensidades distintas, configurando una determinada visión acerca de cuáles capacidades institucionales resultan estratégicas para el desarrollo del sistema universitario. Las ponderaciones constituyen, por tanto, una decisión de gobernanza incorporada al diseño técnico del instrumento, porque distribuyen la relevancia relativa de los distintos componentes que integran la representación de la universidad.</w:t>
      </w:r>
    </w:p>
    <w:p w14:paraId="52C758B5" w14:textId="7F127992" w:rsidR="00F06012" w:rsidRDefault="00F06012" w:rsidP="00E474F0">
      <w:pPr>
        <w:spacing w:line="240" w:lineRule="auto"/>
        <w:jc w:val="both"/>
        <w:rPr>
          <w:rFonts w:ascii="Times New Roman" w:hAnsi="Times New Roman" w:cs="Times New Roman"/>
        </w:rPr>
      </w:pPr>
      <w:r w:rsidRPr="00E60FCB">
        <w:rPr>
          <w:rFonts w:ascii="Times New Roman" w:hAnsi="Times New Roman" w:cs="Times New Roman"/>
        </w:rPr>
        <w:t>La segunda decisión de calibración consiste en establecer los estándares mediante los cuales serán valorados los atributos previamente representados. El modelo señala que los indicadores "representan atributos específicos que son susceptibles de ser</w:t>
      </w:r>
      <w:r w:rsidRPr="00F06012">
        <w:rPr>
          <w:rFonts w:ascii="Times New Roman" w:hAnsi="Times New Roman" w:cs="Times New Roman"/>
        </w:rPr>
        <w:t xml:space="preserve"> evaluados en términos de los estándares de evaluación", entendiendo por estos las cualidades deseables que deben alcanzar los procesos, la organización, los recursos y los resultados institucionales (CEAACES, 201</w:t>
      </w:r>
      <w:r w:rsidR="00824ACD">
        <w:rPr>
          <w:rFonts w:ascii="Times New Roman" w:hAnsi="Times New Roman" w:cs="Times New Roman"/>
        </w:rPr>
        <w:t>2</w:t>
      </w:r>
      <w:r w:rsidRPr="00F06012">
        <w:rPr>
          <w:rFonts w:ascii="Times New Roman" w:hAnsi="Times New Roman" w:cs="Times New Roman"/>
        </w:rPr>
        <w:t>). Para los indicadores cualitativos, "los estándares son proposiciones que definen las cualidades deseables que permitirán contrastar las características observadas en la institución de educación superior"; mientras que, para los indicadores cuantitativos, "</w:t>
      </w:r>
      <w:r w:rsidR="00DF5AD5">
        <w:rPr>
          <w:rFonts w:ascii="Times New Roman" w:hAnsi="Times New Roman" w:cs="Times New Roman"/>
        </w:rPr>
        <w:t xml:space="preserve">(…) </w:t>
      </w:r>
      <w:r w:rsidR="00DF5AD5" w:rsidRPr="00DF5AD5">
        <w:rPr>
          <w:rFonts w:ascii="Times New Roman" w:hAnsi="Times New Roman" w:cs="Times New Roman"/>
        </w:rPr>
        <w:t>los est</w:t>
      </w:r>
      <w:r w:rsidR="00DF5AD5">
        <w:rPr>
          <w:rFonts w:ascii="Times New Roman" w:hAnsi="Times New Roman" w:cs="Times New Roman"/>
        </w:rPr>
        <w:t>á</w:t>
      </w:r>
      <w:r w:rsidR="00DF5AD5" w:rsidRPr="00DF5AD5">
        <w:rPr>
          <w:rFonts w:ascii="Times New Roman" w:hAnsi="Times New Roman" w:cs="Times New Roman"/>
        </w:rPr>
        <w:t>ndares est</w:t>
      </w:r>
      <w:r w:rsidR="00DF5AD5">
        <w:rPr>
          <w:rFonts w:ascii="Times New Roman" w:hAnsi="Times New Roman" w:cs="Times New Roman"/>
        </w:rPr>
        <w:t>án</w:t>
      </w:r>
      <w:r w:rsidR="00DF5AD5" w:rsidRPr="00DF5AD5">
        <w:rPr>
          <w:rFonts w:ascii="Times New Roman" w:hAnsi="Times New Roman" w:cs="Times New Roman"/>
        </w:rPr>
        <w:t xml:space="preserve"> constituidos por funciones matem</w:t>
      </w:r>
      <w:r w:rsidR="00DF5AD5">
        <w:rPr>
          <w:rFonts w:ascii="Times New Roman" w:hAnsi="Times New Roman" w:cs="Times New Roman"/>
        </w:rPr>
        <w:t>á</w:t>
      </w:r>
      <w:r w:rsidR="00DF5AD5" w:rsidRPr="00DF5AD5">
        <w:rPr>
          <w:rFonts w:ascii="Times New Roman" w:hAnsi="Times New Roman" w:cs="Times New Roman"/>
        </w:rPr>
        <w:t>ticas que determinan el desempe</w:t>
      </w:r>
      <w:r w:rsidR="00DF5AD5">
        <w:rPr>
          <w:rFonts w:ascii="Times New Roman" w:hAnsi="Times New Roman" w:cs="Times New Roman"/>
        </w:rPr>
        <w:t>ñ</w:t>
      </w:r>
      <w:r w:rsidR="00DF5AD5" w:rsidRPr="00DF5AD5">
        <w:rPr>
          <w:rFonts w:ascii="Times New Roman" w:hAnsi="Times New Roman" w:cs="Times New Roman"/>
        </w:rPr>
        <w:t>o de la instituci</w:t>
      </w:r>
      <w:r w:rsidR="00DF5AD5">
        <w:rPr>
          <w:rFonts w:ascii="Times New Roman" w:hAnsi="Times New Roman" w:cs="Times New Roman"/>
        </w:rPr>
        <w:t>ón</w:t>
      </w:r>
      <w:r w:rsidR="00DF5AD5" w:rsidRPr="00DF5AD5">
        <w:rPr>
          <w:rFonts w:ascii="Times New Roman" w:hAnsi="Times New Roman" w:cs="Times New Roman"/>
        </w:rPr>
        <w:t xml:space="preserve"> en una escala de 0 a 1, donde 0 representa un cumplimiento nulo del </w:t>
      </w:r>
      <w:r w:rsidR="00DF5AD5" w:rsidRPr="00DF5AD5">
        <w:rPr>
          <w:rFonts w:ascii="Times New Roman" w:hAnsi="Times New Roman" w:cs="Times New Roman"/>
        </w:rPr>
        <w:t>estándar</w:t>
      </w:r>
      <w:r w:rsidR="00DF5AD5" w:rsidRPr="00DF5AD5">
        <w:rPr>
          <w:rFonts w:ascii="Times New Roman" w:hAnsi="Times New Roman" w:cs="Times New Roman"/>
        </w:rPr>
        <w:t xml:space="preserve"> y 1 corresponde al cumplimiento totalmente satisfactorio del est</w:t>
      </w:r>
      <w:r w:rsidR="00DF5AD5">
        <w:rPr>
          <w:rFonts w:ascii="Times New Roman" w:hAnsi="Times New Roman" w:cs="Times New Roman"/>
        </w:rPr>
        <w:t>ándar”</w:t>
      </w:r>
      <w:r w:rsidRPr="00F06012">
        <w:rPr>
          <w:rFonts w:ascii="Times New Roman" w:hAnsi="Times New Roman" w:cs="Times New Roman"/>
        </w:rPr>
        <w:t xml:space="preserve"> (CEAACES, 201</w:t>
      </w:r>
      <w:r w:rsidR="00824ACD">
        <w:rPr>
          <w:rFonts w:ascii="Times New Roman" w:hAnsi="Times New Roman" w:cs="Times New Roman"/>
        </w:rPr>
        <w:t>2</w:t>
      </w:r>
      <w:r w:rsidR="00DF5AD5">
        <w:rPr>
          <w:rFonts w:ascii="Times New Roman" w:hAnsi="Times New Roman" w:cs="Times New Roman"/>
        </w:rPr>
        <w:t>, p.6</w:t>
      </w:r>
      <w:r w:rsidRPr="00F06012">
        <w:rPr>
          <w:rFonts w:ascii="Times New Roman" w:hAnsi="Times New Roman" w:cs="Times New Roman"/>
        </w:rPr>
        <w:t xml:space="preserve">). Estas decisiones muestran que la evaluación previamente </w:t>
      </w:r>
      <w:r w:rsidR="00824ACD">
        <w:rPr>
          <w:rFonts w:ascii="Times New Roman" w:hAnsi="Times New Roman" w:cs="Times New Roman"/>
        </w:rPr>
        <w:t xml:space="preserve">define </w:t>
      </w:r>
      <w:r w:rsidRPr="00F06012">
        <w:rPr>
          <w:rFonts w:ascii="Times New Roman" w:hAnsi="Times New Roman" w:cs="Times New Roman"/>
        </w:rPr>
        <w:t>el nivel de desempeño que el Estado considera aceptable para cada uno</w:t>
      </w:r>
      <w:r w:rsidR="00824ACD">
        <w:rPr>
          <w:rFonts w:ascii="Times New Roman" w:hAnsi="Times New Roman" w:cs="Times New Roman"/>
        </w:rPr>
        <w:t xml:space="preserve"> de los</w:t>
      </w:r>
      <w:r w:rsidR="00824ACD">
        <w:rPr>
          <w:rFonts w:ascii="Times New Roman" w:hAnsi="Times New Roman" w:cs="Times New Roman"/>
        </w:rPr>
        <w:t xml:space="preserve"> </w:t>
      </w:r>
      <w:r w:rsidR="00824ACD" w:rsidRPr="00F06012">
        <w:rPr>
          <w:rFonts w:ascii="Times New Roman" w:hAnsi="Times New Roman" w:cs="Times New Roman"/>
        </w:rPr>
        <w:t>atributos institucionales</w:t>
      </w:r>
      <w:r w:rsidR="00824ACD">
        <w:rPr>
          <w:rFonts w:ascii="Times New Roman" w:hAnsi="Times New Roman" w:cs="Times New Roman"/>
        </w:rPr>
        <w:t xml:space="preserve"> en la universidad</w:t>
      </w:r>
      <w:r w:rsidRPr="00F06012">
        <w:rPr>
          <w:rFonts w:ascii="Times New Roman" w:hAnsi="Times New Roman" w:cs="Times New Roman"/>
        </w:rPr>
        <w:t>. En términos de gobernanza, los estándares definen el horizonte normativo frente al cual serán valoradas todas las universidades y delimitan las condiciones bajo las cuales determinadas diferencias institucionales adquirirán relevancia para la regulación.</w:t>
      </w:r>
      <w:r>
        <w:rPr>
          <w:rFonts w:ascii="Times New Roman" w:hAnsi="Times New Roman" w:cs="Times New Roman"/>
        </w:rPr>
        <w:t xml:space="preserve"> </w:t>
      </w:r>
    </w:p>
    <w:p w14:paraId="249CABA5" w14:textId="19F95203" w:rsidR="00E474F0" w:rsidRDefault="00F06012" w:rsidP="00E474F0">
      <w:pPr>
        <w:spacing w:line="240" w:lineRule="auto"/>
        <w:jc w:val="both"/>
        <w:rPr>
          <w:rFonts w:ascii="Times New Roman" w:hAnsi="Times New Roman" w:cs="Times New Roman"/>
          <w:lang w:val="es-EC"/>
        </w:rPr>
      </w:pPr>
      <w:r>
        <w:rPr>
          <w:rFonts w:ascii="Times New Roman" w:hAnsi="Times New Roman" w:cs="Times New Roman"/>
        </w:rPr>
        <w:lastRenderedPageBreak/>
        <w:t xml:space="preserve">La tercera decisión de la calibración corresponde al </w:t>
      </w:r>
      <w:r w:rsidR="00725A46" w:rsidRPr="00725A46">
        <w:rPr>
          <w:rFonts w:ascii="Times New Roman" w:hAnsi="Times New Roman" w:cs="Times New Roman"/>
        </w:rPr>
        <w:t>funcionamiento de las funciones de utilidad. En lugar de limitarse a registrar el valor alcanzado por un indicador, el modelo transforma dicho valor mediante una función matemática que expresa la distancia entre el desempeño observado y el estándar considerado deseable. La evaluación deja de depender de la existencia de profesores con doctorado, publicaciones científicas o infraestructura disponible; depende de la forma en que esos atributos son convertidos en puntajes mediante reglas previamente definidas por el instrumento. La comparación entre universidades comienza, por tanto, mucho antes de la clasificación institucional</w:t>
      </w:r>
      <w:r w:rsidR="00725A46">
        <w:rPr>
          <w:rFonts w:ascii="Times New Roman" w:hAnsi="Times New Roman" w:cs="Times New Roman"/>
        </w:rPr>
        <w:t>,</w:t>
      </w:r>
      <w:r w:rsidR="00725A46" w:rsidRPr="00725A46">
        <w:rPr>
          <w:rFonts w:ascii="Times New Roman" w:hAnsi="Times New Roman" w:cs="Times New Roman"/>
        </w:rPr>
        <w:t xml:space="preserve"> se produce en el momento mismo en que cada atributo es traducido en un valor numérico comparabl</w:t>
      </w:r>
      <w:r w:rsidR="00725A46">
        <w:rPr>
          <w:rFonts w:ascii="Times New Roman" w:hAnsi="Times New Roman" w:cs="Times New Roman"/>
        </w:rPr>
        <w:t>e, es decir,</w:t>
      </w:r>
      <w:r w:rsidR="00E474F0" w:rsidRPr="00E474F0">
        <w:rPr>
          <w:rFonts w:ascii="Times New Roman" w:hAnsi="Times New Roman" w:cs="Times New Roman"/>
          <w:lang w:val="es-EC"/>
        </w:rPr>
        <w:t xml:space="preserve"> mediante el cual desempeños institucionales construidos sobre escalas, unidades de medida y comportamientos distintos son traducidos a un lenguaje común de valoración. </w:t>
      </w:r>
    </w:p>
    <w:p w14:paraId="03C6CB2A" w14:textId="3279BDC8" w:rsidR="00DF5AD5" w:rsidRPr="00E60FCB" w:rsidRDefault="00E60FCB" w:rsidP="00E474F0">
      <w:pPr>
        <w:spacing w:line="240" w:lineRule="auto"/>
        <w:jc w:val="both"/>
        <w:rPr>
          <w:rFonts w:ascii="Times New Roman" w:hAnsi="Times New Roman" w:cs="Times New Roman"/>
        </w:rPr>
      </w:pPr>
      <w:r w:rsidRPr="00DF5AD5">
        <w:rPr>
          <w:rFonts w:ascii="Times New Roman" w:hAnsi="Times New Roman" w:cs="Times New Roman"/>
        </w:rPr>
        <w:t xml:space="preserve">Las decisiones de calibración modifican la forma en que el Estado evalúa a las universidades; </w:t>
      </w:r>
      <w:r>
        <w:rPr>
          <w:rFonts w:ascii="Times New Roman" w:hAnsi="Times New Roman" w:cs="Times New Roman"/>
        </w:rPr>
        <w:t xml:space="preserve">a la vez también </w:t>
      </w:r>
      <w:r w:rsidRPr="00DF5AD5">
        <w:rPr>
          <w:rFonts w:ascii="Times New Roman" w:hAnsi="Times New Roman" w:cs="Times New Roman"/>
        </w:rPr>
        <w:t xml:space="preserve">modifican la manera en que las propias universidades organizan sus prioridades. Cuando determinados atributos reciben mayor ponderación o cuando los estándares elevan el nivel esperado de desempeño, las instituciones comienzan a reorganizar sus estrategias académicas, sus inversiones y sus mecanismos internos de planificación para responder a esas reglas de valoración. </w:t>
      </w:r>
    </w:p>
    <w:p w14:paraId="30B2699B" w14:textId="33D3A383" w:rsidR="00F06012" w:rsidRDefault="00F06012" w:rsidP="00E474F0">
      <w:pPr>
        <w:spacing w:line="240" w:lineRule="auto"/>
        <w:jc w:val="both"/>
        <w:rPr>
          <w:rFonts w:ascii="Times New Roman" w:hAnsi="Times New Roman" w:cs="Times New Roman"/>
          <w:lang w:val="es-EC"/>
        </w:rPr>
      </w:pPr>
      <w:r w:rsidRPr="00F06012">
        <w:rPr>
          <w:rFonts w:ascii="Times New Roman" w:hAnsi="Times New Roman" w:cs="Times New Roman"/>
        </w:rPr>
        <w:t>La cuarta decisión de calibración corresponde a las reglas de agregación mediante las cuales los distintos puntajes parciales son integrados en un único resultado institucional. La representación de la universidad deja de estar compuesta por indicadores independientes para convertirse en una valoración sintética del desempeño institucional. Esta operación constituye una condición indispensable para la gobernanza, porque permite transformar múltiples observaciones parciales en un resultado único susceptible de comparación, clasificación y utilización regulatoria. La agregación no representa únicamente una operación matemática; expresa la decisión de considerar que desempeños diversos pueden sintetizarse en una única valoración institucional, haciendo posible la clasificación de universidades dentro de un mismo sistema de evaluación.</w:t>
      </w:r>
    </w:p>
    <w:p w14:paraId="2971AB37" w14:textId="3A5040D3" w:rsidR="00E474F0" w:rsidRDefault="00F06012" w:rsidP="00E474F0">
      <w:pPr>
        <w:spacing w:line="240" w:lineRule="auto"/>
        <w:jc w:val="both"/>
        <w:rPr>
          <w:rFonts w:ascii="Times New Roman" w:hAnsi="Times New Roman" w:cs="Times New Roman"/>
        </w:rPr>
      </w:pPr>
      <w:r w:rsidRPr="00F06012">
        <w:rPr>
          <w:rFonts w:ascii="Times New Roman" w:hAnsi="Times New Roman" w:cs="Times New Roman"/>
        </w:rPr>
        <w:t>La calibración incorpora además decisiones sobre los umbrales de cumplimiento que determinan cuándo una diferencia institucional resulta significativa para la evaluación. Al establecer niveles satisfactorio, medianamente satisfactorio y deficiente, el instrumento transforma diferencias continuas de desempeño en categorías discretas de valoración. Estas decisiones delimitan los márgenes de aceptación definidos por el regulador y determinan la intensidad con la que pequeñas variaciones institucionales producirán efectos sobre la evaluación.</w:t>
      </w:r>
    </w:p>
    <w:p w14:paraId="59409116" w14:textId="467EBFCA" w:rsidR="00E60FCB" w:rsidRPr="00E474F0" w:rsidRDefault="00E60FCB" w:rsidP="00E474F0">
      <w:pPr>
        <w:spacing w:line="240" w:lineRule="auto"/>
        <w:jc w:val="both"/>
        <w:rPr>
          <w:rFonts w:ascii="Times New Roman" w:hAnsi="Times New Roman" w:cs="Times New Roman"/>
          <w:lang w:val="es-EC"/>
        </w:rPr>
      </w:pPr>
      <w:r w:rsidRPr="00E60FCB">
        <w:rPr>
          <w:rFonts w:ascii="Times New Roman" w:hAnsi="Times New Roman" w:cs="Times New Roman"/>
        </w:rPr>
        <w:t xml:space="preserve">Consideradas en conjunto, estas decisiones muestran que la calibración constituye el punto en que la representación operativa comienza a adquirir capacidad de gobierno. Las ponderaciones distribuyen prioridades entre los atributos observados; los estándares definen el desempeño esperado; las funciones de utilidad traducen desempeños heterogéneos a una escala común y las reglas de agregación sintetizan esa información en un único resultado institucional. La comparación entre universidades deja entonces de depender de la diversidad de sus trayectorias para apoyarse en una arquitectura común de valoración definida por el instrumento. Es precisamente esa comparabilidad la que </w:t>
      </w:r>
      <w:r w:rsidRPr="00E60FCB">
        <w:rPr>
          <w:rFonts w:ascii="Times New Roman" w:hAnsi="Times New Roman" w:cs="Times New Roman"/>
        </w:rPr>
        <w:lastRenderedPageBreak/>
        <w:t>permitirá, en el siguiente apartado, transformar la evaluación en un mecanismo de intervención sobre el sistema universitario.</w:t>
      </w:r>
    </w:p>
    <w:p w14:paraId="26A7E497" w14:textId="3181C6F0" w:rsidR="00AE1268" w:rsidRPr="00FB16AA" w:rsidRDefault="00AE1268" w:rsidP="00FB16AA">
      <w:pPr>
        <w:pStyle w:val="Prrafodelista"/>
        <w:numPr>
          <w:ilvl w:val="0"/>
          <w:numId w:val="1"/>
        </w:numPr>
        <w:spacing w:line="240" w:lineRule="auto"/>
        <w:jc w:val="both"/>
        <w:rPr>
          <w:rFonts w:ascii="Times New Roman" w:hAnsi="Times New Roman" w:cs="Times New Roman"/>
          <w:b/>
          <w:bCs/>
          <w:lang w:val="es-EC"/>
        </w:rPr>
      </w:pPr>
      <w:r w:rsidRPr="00FB16AA">
        <w:rPr>
          <w:rFonts w:ascii="Times New Roman" w:hAnsi="Times New Roman" w:cs="Times New Roman"/>
          <w:b/>
          <w:bCs/>
          <w:lang w:val="es-EC"/>
        </w:rPr>
        <w:t>La activación regulatoria: de la evaluación a la intervención sobre las universidades</w:t>
      </w:r>
    </w:p>
    <w:p w14:paraId="11F92A5B" w14:textId="6AA44909" w:rsidR="00AE1268" w:rsidRPr="00534D5A" w:rsidRDefault="00AE1268" w:rsidP="00AE1268">
      <w:pPr>
        <w:spacing w:line="240" w:lineRule="auto"/>
        <w:jc w:val="both"/>
        <w:rPr>
          <w:rFonts w:ascii="Times New Roman" w:hAnsi="Times New Roman" w:cs="Times New Roman"/>
          <w:lang w:val="es-EC"/>
        </w:rPr>
      </w:pPr>
      <w:r w:rsidRPr="00534D5A">
        <w:rPr>
          <w:rFonts w:ascii="Times New Roman" w:hAnsi="Times New Roman" w:cs="Times New Roman"/>
          <w:lang w:val="es-EC"/>
        </w:rPr>
        <w:t>Las operaciones analizadas hasta este punto permiten comprender cómo el instrumento delimita el objeto de regulación, construye una representación operativa de la universidad y calibra esa representación mediante reglas de valoración. Sin embargo, estas decisiones todavía no explican por sí mismas la capacidad de intervención del Estado sobre las instituciones de educación superior. La cuestión que organiza este último nivel del análisis es otra: ¿cómo la información producida por la evaluación se transforma en decisiones capaces de modificar el comportamiento de las universidades? Esta pregunta desplaza la atención desde la arquitectura interna del instrumento hacia el vínculo entre evaluación y gobernanza.</w:t>
      </w:r>
      <w:r w:rsidR="00F13633" w:rsidRPr="00534D5A">
        <w:rPr>
          <w:rFonts w:ascii="Times New Roman" w:hAnsi="Times New Roman" w:cs="Times New Roman"/>
          <w:lang w:val="es-EC"/>
        </w:rPr>
        <w:t xml:space="preserve"> </w:t>
      </w:r>
      <w:r w:rsidR="00F13633" w:rsidRPr="00534D5A">
        <w:rPr>
          <w:rFonts w:ascii="Times New Roman" w:hAnsi="Times New Roman" w:cs="Times New Roman"/>
        </w:rPr>
        <w:t>La intervención estatal comienza cuando la información producida por el instrumento deja de constituir un resultado evaluativo y adquiere capacidad para producir decisiones diferenciadas sobre las instituciones.</w:t>
      </w:r>
      <w:r w:rsidRPr="00534D5A">
        <w:rPr>
          <w:rFonts w:ascii="Times New Roman" w:hAnsi="Times New Roman" w:cs="Times New Roman"/>
          <w:lang w:val="es-EC"/>
        </w:rPr>
        <w:t xml:space="preserve"> </w:t>
      </w:r>
    </w:p>
    <w:p w14:paraId="1EDAB310" w14:textId="77777777" w:rsidR="00AE1268" w:rsidRPr="00AE1268" w:rsidRDefault="00AE1268" w:rsidP="00AE1268">
      <w:pPr>
        <w:spacing w:line="240" w:lineRule="auto"/>
        <w:jc w:val="both"/>
        <w:rPr>
          <w:rFonts w:ascii="Times New Roman" w:hAnsi="Times New Roman" w:cs="Times New Roman"/>
          <w:lang w:val="es-EC"/>
        </w:rPr>
      </w:pPr>
      <w:r w:rsidRPr="00534D5A">
        <w:rPr>
          <w:rFonts w:ascii="Times New Roman" w:hAnsi="Times New Roman" w:cs="Times New Roman"/>
          <w:lang w:val="es-EC"/>
        </w:rPr>
        <w:t>La literatura sobre instrumentos de política ha mostrado que estos</w:t>
      </w:r>
      <w:r w:rsidRPr="00AE1268">
        <w:rPr>
          <w:rFonts w:ascii="Times New Roman" w:hAnsi="Times New Roman" w:cs="Times New Roman"/>
          <w:lang w:val="es-EC"/>
        </w:rPr>
        <w:t xml:space="preserve"> no constituyen únicamente mecanismos para implementar decisiones previamente adoptadas. Su diseño organiza relaciones entre el Estado y los actores regulados, distribuye capacidades de intervención y estructura las formas concretas mediante las cuales se ejerce la acción pública (</w:t>
      </w:r>
      <w:proofErr w:type="spellStart"/>
      <w:r w:rsidRPr="00AE1268">
        <w:rPr>
          <w:rFonts w:ascii="Times New Roman" w:hAnsi="Times New Roman" w:cs="Times New Roman"/>
          <w:lang w:val="es-EC"/>
        </w:rPr>
        <w:t>Lascoumes</w:t>
      </w:r>
      <w:proofErr w:type="spellEnd"/>
      <w:r w:rsidRPr="00AE1268">
        <w:rPr>
          <w:rFonts w:ascii="Times New Roman" w:hAnsi="Times New Roman" w:cs="Times New Roman"/>
          <w:lang w:val="es-EC"/>
        </w:rPr>
        <w:t xml:space="preserve"> &amp; Le </w:t>
      </w:r>
      <w:proofErr w:type="spellStart"/>
      <w:r w:rsidRPr="00AE1268">
        <w:rPr>
          <w:rFonts w:ascii="Times New Roman" w:hAnsi="Times New Roman" w:cs="Times New Roman"/>
          <w:lang w:val="es-EC"/>
        </w:rPr>
        <w:t>Galès</w:t>
      </w:r>
      <w:proofErr w:type="spellEnd"/>
      <w:r w:rsidRPr="00AE1268">
        <w:rPr>
          <w:rFonts w:ascii="Times New Roman" w:hAnsi="Times New Roman" w:cs="Times New Roman"/>
          <w:lang w:val="es-EC"/>
        </w:rPr>
        <w:t>, 2007). Desde esta perspectiva, la evaluación institucional no puede entenderse exclusivamente como una técnica destinada a producir información sobre las universidades. Su importancia reside en que establece las condiciones bajo las cuales esa información adquiere efectos regulatorios. El problema central deja de ser cuánto conoce el Estado sobre las instituciones y pasa a ser cómo ese conocimiento se convierte en un criterio legítimo para orientar decisiones públicas.</w:t>
      </w:r>
    </w:p>
    <w:p w14:paraId="471423A9" w14:textId="198AE198" w:rsidR="00AE1268" w:rsidRDefault="00AE1268" w:rsidP="00AE1268">
      <w:pPr>
        <w:spacing w:line="240" w:lineRule="auto"/>
        <w:jc w:val="both"/>
        <w:rPr>
          <w:rFonts w:ascii="Times New Roman" w:hAnsi="Times New Roman" w:cs="Times New Roman"/>
          <w:lang w:val="es-EC"/>
        </w:rPr>
      </w:pPr>
      <w:r w:rsidRPr="00AE1268">
        <w:rPr>
          <w:rFonts w:ascii="Times New Roman" w:hAnsi="Times New Roman" w:cs="Times New Roman"/>
          <w:lang w:val="es-EC"/>
        </w:rPr>
        <w:t xml:space="preserve">En el modelo ecuatoriano, esta transformación ocurre mediante la clasificación institucional. Las operaciones de especificación y calibración desarrolladas en los apartados anteriores producen una representación comparable del desempeño universitario; la clasificación sintetiza esa representación en un resultado institucional único, susceptible de ser incorporado a procesos de decisión. La agregación de criterios, subcriterios, indicadores, estándares, funciones de utilidad y ponderaciones culmina en una categoría institucional que condensa la evaluación realizada sobre cada universidad. Esta síntesis constituye una operación decisiva del </w:t>
      </w:r>
      <w:proofErr w:type="spellStart"/>
      <w:r w:rsidRPr="00AE1268">
        <w:rPr>
          <w:rFonts w:ascii="Times New Roman" w:hAnsi="Times New Roman" w:cs="Times New Roman"/>
          <w:lang w:val="es-EC"/>
        </w:rPr>
        <w:t>microdiseño</w:t>
      </w:r>
      <w:proofErr w:type="spellEnd"/>
      <w:r w:rsidRPr="00AE1268">
        <w:rPr>
          <w:rFonts w:ascii="Times New Roman" w:hAnsi="Times New Roman" w:cs="Times New Roman"/>
          <w:lang w:val="es-EC"/>
        </w:rPr>
        <w:t xml:space="preserve"> porque convierte una arquitectura compleja de información en un dispositivo utilizable para la regulación del sistema</w:t>
      </w:r>
      <w:r w:rsidR="00577F42">
        <w:rPr>
          <w:rFonts w:ascii="Times New Roman" w:hAnsi="Times New Roman" w:cs="Times New Roman"/>
          <w:lang w:val="es-EC"/>
        </w:rPr>
        <w:t xml:space="preserve"> a través de una clasificación.</w:t>
      </w:r>
    </w:p>
    <w:p w14:paraId="0B8A83D9" w14:textId="315570CF" w:rsidR="00F13633" w:rsidRPr="00AE1268" w:rsidRDefault="00AE1268" w:rsidP="00AE1268">
      <w:pPr>
        <w:spacing w:line="240" w:lineRule="auto"/>
        <w:jc w:val="both"/>
        <w:rPr>
          <w:rFonts w:ascii="Times New Roman" w:hAnsi="Times New Roman" w:cs="Times New Roman"/>
          <w:lang w:val="es-EC"/>
        </w:rPr>
      </w:pPr>
      <w:r w:rsidRPr="00AE1268">
        <w:rPr>
          <w:rFonts w:ascii="Times New Roman" w:hAnsi="Times New Roman" w:cs="Times New Roman"/>
          <w:lang w:val="es-EC"/>
        </w:rPr>
        <w:t>El efecto más importante de la clasificación consist</w:t>
      </w:r>
      <w:r w:rsidR="00811E2D">
        <w:rPr>
          <w:rFonts w:ascii="Times New Roman" w:hAnsi="Times New Roman" w:cs="Times New Roman"/>
          <w:lang w:val="es-EC"/>
        </w:rPr>
        <w:t>ió</w:t>
      </w:r>
      <w:r w:rsidRPr="00AE1268">
        <w:rPr>
          <w:rFonts w:ascii="Times New Roman" w:hAnsi="Times New Roman" w:cs="Times New Roman"/>
          <w:lang w:val="es-EC"/>
        </w:rPr>
        <w:t xml:space="preserve"> en modificar el estatuto de la información producida por la evaluación. Mientras los indicadores describen atributos particulares del desempeño institucional, la categoría obtenida reorganiza esa información dentro de una jerarquía pública del sistema universitario. Cada universidad deja de relacionarse con el Estado únicamente a partir de sus características individuales y pasa a hacerlo desde una posición relativa respecto del conjunto de instituciones evaluadas. La clasificación establece diferencias institucionales visibles, comparables y </w:t>
      </w:r>
      <w:r w:rsidRPr="00AE1268">
        <w:rPr>
          <w:rFonts w:ascii="Times New Roman" w:hAnsi="Times New Roman" w:cs="Times New Roman"/>
          <w:lang w:val="es-EC"/>
        </w:rPr>
        <w:lastRenderedPageBreak/>
        <w:t>públicamente reconocidas, creando un lenguaje común que permite distinguir universidades sujetas a condiciones regulatorias diferentes.</w:t>
      </w:r>
    </w:p>
    <w:p w14:paraId="6C0F260E" w14:textId="5A9627E1" w:rsidR="00AE1268" w:rsidRDefault="00AE1268" w:rsidP="00AE1268">
      <w:pPr>
        <w:spacing w:line="240" w:lineRule="auto"/>
        <w:jc w:val="both"/>
        <w:rPr>
          <w:rFonts w:ascii="Times New Roman" w:hAnsi="Times New Roman" w:cs="Times New Roman"/>
          <w:lang w:val="es-EC"/>
        </w:rPr>
      </w:pPr>
      <w:r w:rsidRPr="00AE1268">
        <w:rPr>
          <w:rFonts w:ascii="Times New Roman" w:hAnsi="Times New Roman" w:cs="Times New Roman"/>
          <w:lang w:val="es-EC"/>
        </w:rPr>
        <w:t xml:space="preserve">La intervención estatal comienza precisamente en este punto. La categoría </w:t>
      </w:r>
      <w:proofErr w:type="gramStart"/>
      <w:r w:rsidRPr="00AE1268">
        <w:rPr>
          <w:rFonts w:ascii="Times New Roman" w:hAnsi="Times New Roman" w:cs="Times New Roman"/>
          <w:lang w:val="es-EC"/>
        </w:rPr>
        <w:t xml:space="preserve">institucional </w:t>
      </w:r>
      <w:r w:rsidR="00811E2D">
        <w:rPr>
          <w:rFonts w:ascii="Times New Roman" w:hAnsi="Times New Roman" w:cs="Times New Roman"/>
          <w:lang w:val="es-EC"/>
        </w:rPr>
        <w:t xml:space="preserve"> a</w:t>
      </w:r>
      <w:proofErr w:type="gramEnd"/>
      <w:r w:rsidR="00811E2D">
        <w:rPr>
          <w:rFonts w:ascii="Times New Roman" w:hAnsi="Times New Roman" w:cs="Times New Roman"/>
          <w:lang w:val="es-EC"/>
        </w:rPr>
        <w:t xml:space="preserve"> través de la clasificación de las universidades en </w:t>
      </w:r>
      <w:r w:rsidR="00534D5A">
        <w:rPr>
          <w:rFonts w:ascii="Times New Roman" w:hAnsi="Times New Roman" w:cs="Times New Roman"/>
          <w:lang w:val="es-EC"/>
        </w:rPr>
        <w:t>A, B</w:t>
      </w:r>
      <w:r w:rsidR="00811E2D">
        <w:rPr>
          <w:rFonts w:ascii="Times New Roman" w:hAnsi="Times New Roman" w:cs="Times New Roman"/>
          <w:lang w:val="es-EC"/>
        </w:rPr>
        <w:t>,</w:t>
      </w:r>
      <w:r w:rsidR="00534D5A">
        <w:rPr>
          <w:rFonts w:ascii="Times New Roman" w:hAnsi="Times New Roman" w:cs="Times New Roman"/>
          <w:lang w:val="es-EC"/>
        </w:rPr>
        <w:t xml:space="preserve"> </w:t>
      </w:r>
      <w:r w:rsidR="00811E2D">
        <w:rPr>
          <w:rFonts w:ascii="Times New Roman" w:hAnsi="Times New Roman" w:cs="Times New Roman"/>
          <w:lang w:val="es-EC"/>
        </w:rPr>
        <w:t>C,</w:t>
      </w:r>
      <w:r w:rsidR="00534D5A">
        <w:rPr>
          <w:rFonts w:ascii="Times New Roman" w:hAnsi="Times New Roman" w:cs="Times New Roman"/>
          <w:lang w:val="es-EC"/>
        </w:rPr>
        <w:t xml:space="preserve"> </w:t>
      </w:r>
      <w:r w:rsidR="00811E2D">
        <w:rPr>
          <w:rFonts w:ascii="Times New Roman" w:hAnsi="Times New Roman" w:cs="Times New Roman"/>
          <w:lang w:val="es-EC"/>
        </w:rPr>
        <w:t xml:space="preserve">D </w:t>
      </w:r>
      <w:r w:rsidRPr="00AE1268">
        <w:rPr>
          <w:rFonts w:ascii="Times New Roman" w:hAnsi="Times New Roman" w:cs="Times New Roman"/>
          <w:lang w:val="es-EC"/>
        </w:rPr>
        <w:t>deja de representar únicamente un resultado técnico y pasa a constituirse en un criterio para la adopción de decisiones públicas. Durante el proceso de reforma de la educación superior ecuatoriana, los resultados de la evaluación se vincularon con medidas de cierre institucional, planes obligatorios de fortalecimiento, procesos de seguimiento, acreditación y reconocimiento dentro del sistema nacional de educación superior. La evaluación adquirió así una dimensión performativa</w:t>
      </w:r>
      <w:r w:rsidR="00577F42">
        <w:rPr>
          <w:rFonts w:ascii="Times New Roman" w:hAnsi="Times New Roman" w:cs="Times New Roman"/>
          <w:lang w:val="es-EC"/>
        </w:rPr>
        <w:t>,</w:t>
      </w:r>
      <w:r w:rsidRPr="00AE1268">
        <w:rPr>
          <w:rFonts w:ascii="Times New Roman" w:hAnsi="Times New Roman" w:cs="Times New Roman"/>
          <w:lang w:val="es-EC"/>
        </w:rPr>
        <w:t xml:space="preserve"> la información generada por el instrumento dejó de describir exclusivamente la situación de las universidades para participar activamente en la definición de las condiciones bajo las cuales cada institución podía permanecer, transformarse o desarrollar su actividad dentro del sistema regulado.</w:t>
      </w:r>
    </w:p>
    <w:p w14:paraId="78FDC580" w14:textId="77777777" w:rsidR="00577F42" w:rsidRPr="00AE1268" w:rsidRDefault="00577F42" w:rsidP="00577F42">
      <w:pPr>
        <w:spacing w:line="240" w:lineRule="auto"/>
        <w:jc w:val="both"/>
        <w:rPr>
          <w:rFonts w:ascii="Times New Roman" w:hAnsi="Times New Roman" w:cs="Times New Roman"/>
          <w:lang w:val="es-EC"/>
        </w:rPr>
      </w:pPr>
      <w:r w:rsidRPr="00F13633">
        <w:rPr>
          <w:rFonts w:ascii="Times New Roman" w:hAnsi="Times New Roman" w:cs="Times New Roman"/>
        </w:rPr>
        <w:t xml:space="preserve">La capacidad regulatoria de la clasificación puede observarse en las consecuencias diferenciadas que el propio instrumento habilita sobre las instituciones evaluadas. La activación de la gobernanza </w:t>
      </w:r>
      <w:r>
        <w:rPr>
          <w:rFonts w:ascii="Times New Roman" w:hAnsi="Times New Roman" w:cs="Times New Roman"/>
        </w:rPr>
        <w:t xml:space="preserve">se manifiesta en un </w:t>
      </w:r>
      <w:r w:rsidRPr="00F13633">
        <w:rPr>
          <w:rFonts w:ascii="Times New Roman" w:hAnsi="Times New Roman" w:cs="Times New Roman"/>
        </w:rPr>
        <w:t>conjunto de mecanismos mediante los cuales la categoría institucional comienza a producir efectos distintos sobre las universidades. La Tabla 2 sintetiza estas modalidades de activación regulatoria identificadas durante el proceso de reforma.</w:t>
      </w:r>
    </w:p>
    <w:p w14:paraId="2FB62031" w14:textId="77777777" w:rsidR="00577F42" w:rsidRDefault="00577F42" w:rsidP="00AE1268">
      <w:pPr>
        <w:spacing w:line="240" w:lineRule="auto"/>
        <w:jc w:val="both"/>
        <w:rPr>
          <w:rFonts w:ascii="Times New Roman" w:hAnsi="Times New Roman" w:cs="Times New Roman"/>
          <w:lang w:val="es-EC"/>
        </w:rPr>
      </w:pPr>
    </w:p>
    <w:p w14:paraId="4ECF245D" w14:textId="77777777" w:rsidR="00577F42" w:rsidRPr="00F13633" w:rsidRDefault="00577F42" w:rsidP="00577F42">
      <w:pPr>
        <w:spacing w:line="240" w:lineRule="auto"/>
        <w:jc w:val="both"/>
        <w:rPr>
          <w:rFonts w:ascii="Times New Roman" w:hAnsi="Times New Roman" w:cs="Times New Roman"/>
          <w:b/>
          <w:bCs/>
          <w:lang w:val="es-EC"/>
        </w:rPr>
      </w:pPr>
      <w:r>
        <w:rPr>
          <w:rFonts w:ascii="Times New Roman" w:hAnsi="Times New Roman" w:cs="Times New Roman"/>
          <w:b/>
          <w:bCs/>
          <w:lang w:val="es-EC"/>
        </w:rPr>
        <w:t xml:space="preserve">Tabla 2.- </w:t>
      </w:r>
      <w:r w:rsidRPr="00F13633">
        <w:rPr>
          <w:rFonts w:ascii="Times New Roman" w:hAnsi="Times New Roman" w:cs="Times New Roman"/>
          <w:b/>
          <w:bCs/>
          <w:lang w:val="es-EC"/>
        </w:rPr>
        <w:t>La clasificación como mecanismo de activación regulatoria</w:t>
      </w:r>
    </w:p>
    <w:tbl>
      <w:tblPr>
        <w:tblStyle w:val="Tablaconcuadrcula"/>
        <w:tblW w:w="0" w:type="auto"/>
        <w:tblLook w:val="04A0" w:firstRow="1" w:lastRow="0" w:firstColumn="1" w:lastColumn="0" w:noHBand="0" w:noVBand="1"/>
      </w:tblPr>
      <w:tblGrid>
        <w:gridCol w:w="2440"/>
        <w:gridCol w:w="3072"/>
        <w:gridCol w:w="2982"/>
      </w:tblGrid>
      <w:tr w:rsidR="00577F42" w:rsidRPr="00F13633" w14:paraId="4F03E258" w14:textId="77777777" w:rsidTr="00DF3D4D">
        <w:tc>
          <w:tcPr>
            <w:tcW w:w="0" w:type="auto"/>
            <w:hideMark/>
          </w:tcPr>
          <w:p w14:paraId="7BB2D8AD" w14:textId="77777777" w:rsidR="00577F42" w:rsidRPr="00F13633" w:rsidRDefault="00577F42" w:rsidP="00DF3D4D">
            <w:pPr>
              <w:spacing w:after="160"/>
              <w:jc w:val="both"/>
              <w:rPr>
                <w:rFonts w:ascii="Times New Roman" w:hAnsi="Times New Roman" w:cs="Times New Roman"/>
                <w:lang w:val="es-EC"/>
              </w:rPr>
            </w:pPr>
            <w:r w:rsidRPr="00F13633">
              <w:rPr>
                <w:rFonts w:ascii="Times New Roman" w:hAnsi="Times New Roman" w:cs="Times New Roman"/>
                <w:lang w:val="es-EC"/>
              </w:rPr>
              <w:t>Resultado de la evaluación</w:t>
            </w:r>
          </w:p>
        </w:tc>
        <w:tc>
          <w:tcPr>
            <w:tcW w:w="0" w:type="auto"/>
            <w:hideMark/>
          </w:tcPr>
          <w:p w14:paraId="172F5D56" w14:textId="77777777" w:rsidR="00577F42" w:rsidRPr="00F13633" w:rsidRDefault="00577F42" w:rsidP="00DF3D4D">
            <w:pPr>
              <w:spacing w:after="160"/>
              <w:jc w:val="both"/>
              <w:rPr>
                <w:rFonts w:ascii="Times New Roman" w:hAnsi="Times New Roman" w:cs="Times New Roman"/>
                <w:lang w:val="es-EC"/>
              </w:rPr>
            </w:pPr>
            <w:r w:rsidRPr="00F13633">
              <w:rPr>
                <w:rFonts w:ascii="Times New Roman" w:hAnsi="Times New Roman" w:cs="Times New Roman"/>
                <w:lang w:val="es-EC"/>
              </w:rPr>
              <w:t>Consecuencia regulatoria</w:t>
            </w:r>
          </w:p>
        </w:tc>
        <w:tc>
          <w:tcPr>
            <w:tcW w:w="0" w:type="auto"/>
            <w:hideMark/>
          </w:tcPr>
          <w:p w14:paraId="0F1C62B8" w14:textId="77777777" w:rsidR="00577F42" w:rsidRPr="00F13633" w:rsidRDefault="00577F42" w:rsidP="00DF3D4D">
            <w:pPr>
              <w:spacing w:after="160"/>
              <w:jc w:val="both"/>
              <w:rPr>
                <w:rFonts w:ascii="Times New Roman" w:hAnsi="Times New Roman" w:cs="Times New Roman"/>
                <w:lang w:val="es-EC"/>
              </w:rPr>
            </w:pPr>
            <w:r w:rsidRPr="00F13633">
              <w:rPr>
                <w:rFonts w:ascii="Times New Roman" w:hAnsi="Times New Roman" w:cs="Times New Roman"/>
                <w:lang w:val="es-EC"/>
              </w:rPr>
              <w:t>Efecto de gobernanza</w:t>
            </w:r>
          </w:p>
        </w:tc>
      </w:tr>
      <w:tr w:rsidR="00577F42" w:rsidRPr="00F13633" w14:paraId="47F6269B" w14:textId="77777777" w:rsidTr="00DF3D4D">
        <w:tc>
          <w:tcPr>
            <w:tcW w:w="0" w:type="auto"/>
            <w:hideMark/>
          </w:tcPr>
          <w:p w14:paraId="630F17F8" w14:textId="77777777" w:rsidR="00577F42" w:rsidRPr="00F13633" w:rsidRDefault="00577F42" w:rsidP="00DF3D4D">
            <w:pPr>
              <w:spacing w:after="160"/>
              <w:jc w:val="both"/>
              <w:rPr>
                <w:rFonts w:ascii="Times New Roman" w:hAnsi="Times New Roman" w:cs="Times New Roman"/>
                <w:lang w:val="es-EC"/>
              </w:rPr>
            </w:pPr>
            <w:r w:rsidRPr="00F13633">
              <w:rPr>
                <w:rFonts w:ascii="Times New Roman" w:hAnsi="Times New Roman" w:cs="Times New Roman"/>
                <w:lang w:val="es-EC"/>
              </w:rPr>
              <w:t>Categoría E (2012)</w:t>
            </w:r>
          </w:p>
        </w:tc>
        <w:tc>
          <w:tcPr>
            <w:tcW w:w="0" w:type="auto"/>
            <w:hideMark/>
          </w:tcPr>
          <w:p w14:paraId="5517624E" w14:textId="77777777" w:rsidR="00577F42" w:rsidRPr="00F13633" w:rsidRDefault="00577F42" w:rsidP="00DF3D4D">
            <w:pPr>
              <w:spacing w:after="160"/>
              <w:jc w:val="both"/>
              <w:rPr>
                <w:rFonts w:ascii="Times New Roman" w:hAnsi="Times New Roman" w:cs="Times New Roman"/>
                <w:lang w:val="es-EC"/>
              </w:rPr>
            </w:pPr>
            <w:r w:rsidRPr="00F13633">
              <w:rPr>
                <w:rFonts w:ascii="Times New Roman" w:hAnsi="Times New Roman" w:cs="Times New Roman"/>
                <w:lang w:val="es-EC"/>
              </w:rPr>
              <w:t>Clausura de 14 universidades</w:t>
            </w:r>
          </w:p>
        </w:tc>
        <w:tc>
          <w:tcPr>
            <w:tcW w:w="0" w:type="auto"/>
            <w:hideMark/>
          </w:tcPr>
          <w:p w14:paraId="7D2322AC" w14:textId="77777777" w:rsidR="00577F42" w:rsidRPr="00F13633" w:rsidRDefault="00577F42" w:rsidP="00DF3D4D">
            <w:pPr>
              <w:spacing w:after="160"/>
              <w:jc w:val="both"/>
              <w:rPr>
                <w:rFonts w:ascii="Times New Roman" w:hAnsi="Times New Roman" w:cs="Times New Roman"/>
                <w:lang w:val="es-EC"/>
              </w:rPr>
            </w:pPr>
            <w:r w:rsidRPr="00F13633">
              <w:rPr>
                <w:rFonts w:ascii="Times New Roman" w:hAnsi="Times New Roman" w:cs="Times New Roman"/>
                <w:lang w:val="es-EC"/>
              </w:rPr>
              <w:t>Exclusión del sistema</w:t>
            </w:r>
          </w:p>
        </w:tc>
      </w:tr>
      <w:tr w:rsidR="00534D5A" w:rsidRPr="00F13633" w14:paraId="539E40AF" w14:textId="77777777" w:rsidTr="00DF3D4D">
        <w:tc>
          <w:tcPr>
            <w:tcW w:w="0" w:type="auto"/>
          </w:tcPr>
          <w:p w14:paraId="1251DBAD" w14:textId="750DEB90" w:rsidR="00534D5A" w:rsidRPr="00F13633" w:rsidRDefault="00534D5A" w:rsidP="00534D5A">
            <w:pPr>
              <w:jc w:val="both"/>
              <w:rPr>
                <w:rFonts w:ascii="Times New Roman" w:hAnsi="Times New Roman" w:cs="Times New Roman"/>
                <w:lang w:val="es-EC"/>
              </w:rPr>
            </w:pPr>
            <w:r w:rsidRPr="00F13633">
              <w:rPr>
                <w:rFonts w:ascii="Times New Roman" w:hAnsi="Times New Roman" w:cs="Times New Roman"/>
                <w:lang w:val="es-EC"/>
              </w:rPr>
              <w:t>Categoría D (2013)</w:t>
            </w:r>
          </w:p>
        </w:tc>
        <w:tc>
          <w:tcPr>
            <w:tcW w:w="0" w:type="auto"/>
          </w:tcPr>
          <w:p w14:paraId="696532FE" w14:textId="3212EECC" w:rsidR="00534D5A" w:rsidRPr="00F13633" w:rsidRDefault="00534D5A" w:rsidP="00534D5A">
            <w:pPr>
              <w:jc w:val="both"/>
              <w:rPr>
                <w:rFonts w:ascii="Times New Roman" w:hAnsi="Times New Roman" w:cs="Times New Roman"/>
                <w:lang w:val="es-EC"/>
              </w:rPr>
            </w:pPr>
            <w:r w:rsidRPr="00F13633">
              <w:rPr>
                <w:rFonts w:ascii="Times New Roman" w:hAnsi="Times New Roman" w:cs="Times New Roman"/>
                <w:lang w:val="es-EC"/>
              </w:rPr>
              <w:t>Planes obligatorios de fortalecimiento</w:t>
            </w:r>
          </w:p>
        </w:tc>
        <w:tc>
          <w:tcPr>
            <w:tcW w:w="0" w:type="auto"/>
          </w:tcPr>
          <w:p w14:paraId="6A622E7C" w14:textId="1B5FC8C6" w:rsidR="00534D5A" w:rsidRPr="00F13633" w:rsidRDefault="00534D5A" w:rsidP="00534D5A">
            <w:pPr>
              <w:jc w:val="both"/>
              <w:rPr>
                <w:rFonts w:ascii="Times New Roman" w:hAnsi="Times New Roman" w:cs="Times New Roman"/>
                <w:lang w:val="es-EC"/>
              </w:rPr>
            </w:pPr>
            <w:r w:rsidRPr="00F13633">
              <w:rPr>
                <w:rFonts w:ascii="Times New Roman" w:hAnsi="Times New Roman" w:cs="Times New Roman"/>
                <w:lang w:val="es-EC"/>
              </w:rPr>
              <w:t>Intervención correctiva</w:t>
            </w:r>
          </w:p>
        </w:tc>
      </w:tr>
      <w:tr w:rsidR="00534D5A" w:rsidRPr="00F13633" w14:paraId="67A6E4F0" w14:textId="77777777" w:rsidTr="00534D5A">
        <w:tc>
          <w:tcPr>
            <w:tcW w:w="0" w:type="auto"/>
          </w:tcPr>
          <w:p w14:paraId="4933E78B" w14:textId="02B2EC0F" w:rsidR="00534D5A" w:rsidRPr="00F13633" w:rsidRDefault="00534D5A" w:rsidP="00534D5A">
            <w:pPr>
              <w:spacing w:after="160"/>
              <w:jc w:val="both"/>
              <w:rPr>
                <w:rFonts w:ascii="Times New Roman" w:hAnsi="Times New Roman" w:cs="Times New Roman"/>
                <w:lang w:val="es-EC"/>
              </w:rPr>
            </w:pPr>
            <w:r>
              <w:rPr>
                <w:rFonts w:ascii="Times New Roman" w:hAnsi="Times New Roman" w:cs="Times New Roman"/>
                <w:lang w:val="es-EC"/>
              </w:rPr>
              <w:t>Categoría B y C</w:t>
            </w:r>
          </w:p>
        </w:tc>
        <w:tc>
          <w:tcPr>
            <w:tcW w:w="0" w:type="auto"/>
          </w:tcPr>
          <w:p w14:paraId="6746942A" w14:textId="303AD24E" w:rsidR="00534D5A" w:rsidRPr="00F13633" w:rsidRDefault="00534D5A" w:rsidP="00534D5A">
            <w:pPr>
              <w:spacing w:after="160"/>
              <w:jc w:val="both"/>
              <w:rPr>
                <w:rFonts w:ascii="Times New Roman" w:hAnsi="Times New Roman" w:cs="Times New Roman"/>
                <w:lang w:val="es-EC"/>
              </w:rPr>
            </w:pPr>
            <w:r>
              <w:rPr>
                <w:rFonts w:ascii="Times New Roman" w:hAnsi="Times New Roman" w:cs="Times New Roman"/>
                <w:lang w:val="es-EC"/>
              </w:rPr>
              <w:t xml:space="preserve">Planes de mejora </w:t>
            </w:r>
          </w:p>
        </w:tc>
        <w:tc>
          <w:tcPr>
            <w:tcW w:w="0" w:type="auto"/>
          </w:tcPr>
          <w:p w14:paraId="19AEF2D7" w14:textId="14A1EFC3" w:rsidR="00534D5A" w:rsidRPr="00F13633" w:rsidRDefault="00534D5A" w:rsidP="00534D5A">
            <w:pPr>
              <w:spacing w:after="160"/>
              <w:jc w:val="both"/>
              <w:rPr>
                <w:rFonts w:ascii="Times New Roman" w:hAnsi="Times New Roman" w:cs="Times New Roman"/>
                <w:lang w:val="es-EC"/>
              </w:rPr>
            </w:pPr>
            <w:r>
              <w:rPr>
                <w:rFonts w:ascii="Times New Roman" w:hAnsi="Times New Roman" w:cs="Times New Roman"/>
                <w:lang w:val="es-EC"/>
              </w:rPr>
              <w:t>Intervención correctiva</w:t>
            </w:r>
          </w:p>
        </w:tc>
      </w:tr>
      <w:tr w:rsidR="00534D5A" w:rsidRPr="00F13633" w14:paraId="23641710" w14:textId="77777777" w:rsidTr="00DF3D4D">
        <w:tc>
          <w:tcPr>
            <w:tcW w:w="0" w:type="auto"/>
            <w:hideMark/>
          </w:tcPr>
          <w:p w14:paraId="08A9CC4B" w14:textId="77777777" w:rsidR="00534D5A" w:rsidRPr="00F13633" w:rsidRDefault="00534D5A" w:rsidP="00534D5A">
            <w:pPr>
              <w:spacing w:after="160"/>
              <w:jc w:val="both"/>
              <w:rPr>
                <w:rFonts w:ascii="Times New Roman" w:hAnsi="Times New Roman" w:cs="Times New Roman"/>
                <w:lang w:val="es-EC"/>
              </w:rPr>
            </w:pPr>
            <w:r w:rsidRPr="00F13633">
              <w:rPr>
                <w:rFonts w:ascii="Times New Roman" w:hAnsi="Times New Roman" w:cs="Times New Roman"/>
                <w:lang w:val="es-EC"/>
              </w:rPr>
              <w:t>Categoría</w:t>
            </w:r>
            <w:r>
              <w:rPr>
                <w:rFonts w:ascii="Times New Roman" w:hAnsi="Times New Roman" w:cs="Times New Roman"/>
                <w:lang w:val="es-EC"/>
              </w:rPr>
              <w:t xml:space="preserve"> A</w:t>
            </w:r>
          </w:p>
        </w:tc>
        <w:tc>
          <w:tcPr>
            <w:tcW w:w="0" w:type="auto"/>
            <w:hideMark/>
          </w:tcPr>
          <w:p w14:paraId="750F0B72" w14:textId="77777777" w:rsidR="00534D5A" w:rsidRPr="00F13633" w:rsidRDefault="00534D5A" w:rsidP="00534D5A">
            <w:pPr>
              <w:spacing w:after="160"/>
              <w:jc w:val="both"/>
              <w:rPr>
                <w:rFonts w:ascii="Times New Roman" w:hAnsi="Times New Roman" w:cs="Times New Roman"/>
                <w:lang w:val="es-EC"/>
              </w:rPr>
            </w:pPr>
            <w:r w:rsidRPr="00F13633">
              <w:rPr>
                <w:rFonts w:ascii="Times New Roman" w:hAnsi="Times New Roman" w:cs="Times New Roman"/>
                <w:lang w:val="es-EC"/>
              </w:rPr>
              <w:t>Mayor autonomía y reconocimiento</w:t>
            </w:r>
          </w:p>
        </w:tc>
        <w:tc>
          <w:tcPr>
            <w:tcW w:w="0" w:type="auto"/>
            <w:hideMark/>
          </w:tcPr>
          <w:p w14:paraId="5D370913" w14:textId="77777777" w:rsidR="00534D5A" w:rsidRPr="00F13633" w:rsidRDefault="00534D5A" w:rsidP="00534D5A">
            <w:pPr>
              <w:spacing w:after="160"/>
              <w:jc w:val="both"/>
              <w:rPr>
                <w:rFonts w:ascii="Times New Roman" w:hAnsi="Times New Roman" w:cs="Times New Roman"/>
                <w:lang w:val="es-EC"/>
              </w:rPr>
            </w:pPr>
            <w:r w:rsidRPr="00F13633">
              <w:rPr>
                <w:rFonts w:ascii="Times New Roman" w:hAnsi="Times New Roman" w:cs="Times New Roman"/>
                <w:lang w:val="es-EC"/>
              </w:rPr>
              <w:t>Incentivos diferenciados</w:t>
            </w:r>
          </w:p>
        </w:tc>
      </w:tr>
      <w:tr w:rsidR="00534D5A" w:rsidRPr="00F13633" w14:paraId="36FEAB0E" w14:textId="77777777" w:rsidTr="00DF3D4D">
        <w:tc>
          <w:tcPr>
            <w:tcW w:w="0" w:type="auto"/>
            <w:hideMark/>
          </w:tcPr>
          <w:p w14:paraId="51D58FA3" w14:textId="39CF8E5D" w:rsidR="00534D5A" w:rsidRPr="00F13633" w:rsidRDefault="00534D5A" w:rsidP="00534D5A">
            <w:pPr>
              <w:spacing w:after="160"/>
              <w:jc w:val="both"/>
              <w:rPr>
                <w:rFonts w:ascii="Times New Roman" w:hAnsi="Times New Roman" w:cs="Times New Roman"/>
                <w:lang w:val="es-EC"/>
              </w:rPr>
            </w:pPr>
            <w:r w:rsidRPr="00F13633">
              <w:rPr>
                <w:rFonts w:ascii="Times New Roman" w:hAnsi="Times New Roman" w:cs="Times New Roman"/>
                <w:lang w:val="es-EC"/>
              </w:rPr>
              <w:t>Clasificación institucional</w:t>
            </w:r>
            <w:r>
              <w:rPr>
                <w:rFonts w:ascii="Times New Roman" w:hAnsi="Times New Roman" w:cs="Times New Roman"/>
                <w:lang w:val="es-EC"/>
              </w:rPr>
              <w:t xml:space="preserve"> del sistema </w:t>
            </w:r>
          </w:p>
        </w:tc>
        <w:tc>
          <w:tcPr>
            <w:tcW w:w="0" w:type="auto"/>
            <w:hideMark/>
          </w:tcPr>
          <w:p w14:paraId="08F43D5B" w14:textId="77777777" w:rsidR="00534D5A" w:rsidRPr="00F13633" w:rsidRDefault="00534D5A" w:rsidP="00534D5A">
            <w:pPr>
              <w:spacing w:after="160"/>
              <w:jc w:val="both"/>
              <w:rPr>
                <w:rFonts w:ascii="Times New Roman" w:hAnsi="Times New Roman" w:cs="Times New Roman"/>
                <w:lang w:val="es-EC"/>
              </w:rPr>
            </w:pPr>
            <w:r w:rsidRPr="00F13633">
              <w:rPr>
                <w:rFonts w:ascii="Times New Roman" w:hAnsi="Times New Roman" w:cs="Times New Roman"/>
                <w:lang w:val="es-EC"/>
              </w:rPr>
              <w:t>Referencia para financiamiento y oferta académica</w:t>
            </w:r>
          </w:p>
        </w:tc>
        <w:tc>
          <w:tcPr>
            <w:tcW w:w="0" w:type="auto"/>
            <w:hideMark/>
          </w:tcPr>
          <w:p w14:paraId="1CE27712" w14:textId="77777777" w:rsidR="00534D5A" w:rsidRPr="00F13633" w:rsidRDefault="00534D5A" w:rsidP="00534D5A">
            <w:pPr>
              <w:spacing w:after="160"/>
              <w:jc w:val="both"/>
              <w:rPr>
                <w:rFonts w:ascii="Times New Roman" w:hAnsi="Times New Roman" w:cs="Times New Roman"/>
                <w:lang w:val="es-EC"/>
              </w:rPr>
            </w:pPr>
            <w:r w:rsidRPr="00F13633">
              <w:rPr>
                <w:rFonts w:ascii="Times New Roman" w:hAnsi="Times New Roman" w:cs="Times New Roman"/>
                <w:lang w:val="es-EC"/>
              </w:rPr>
              <w:t>Coordinación del comportamiento institucional</w:t>
            </w:r>
          </w:p>
        </w:tc>
      </w:tr>
    </w:tbl>
    <w:p w14:paraId="5762C5DC" w14:textId="6785D24F" w:rsidR="00F13633" w:rsidRDefault="00577F42" w:rsidP="00FB16AA">
      <w:pPr>
        <w:spacing w:line="240" w:lineRule="auto"/>
        <w:jc w:val="both"/>
        <w:rPr>
          <w:rFonts w:ascii="Times New Roman" w:hAnsi="Times New Roman" w:cs="Times New Roman"/>
          <w:lang w:val="es-EC"/>
        </w:rPr>
      </w:pPr>
      <w:r w:rsidRPr="00F13633">
        <w:rPr>
          <w:rFonts w:ascii="Times New Roman" w:hAnsi="Times New Roman" w:cs="Times New Roman"/>
          <w:lang w:val="es-EC"/>
        </w:rPr>
        <w:t>Elaboración propia a partir de resoluciones del CEAACES (2012-2013), LOES y documentación del proceso.</w:t>
      </w:r>
    </w:p>
    <w:p w14:paraId="42A40552" w14:textId="77777777" w:rsidR="00811E2D" w:rsidRDefault="00811E2D" w:rsidP="00811E2D">
      <w:pPr>
        <w:spacing w:after="0" w:line="240" w:lineRule="auto"/>
        <w:jc w:val="both"/>
        <w:rPr>
          <w:rFonts w:ascii="Times New Roman" w:hAnsi="Times New Roman" w:cs="Times New Roman"/>
        </w:rPr>
      </w:pPr>
      <w:r w:rsidRPr="00D311EA">
        <w:rPr>
          <w:rFonts w:ascii="Times New Roman" w:hAnsi="Times New Roman" w:cs="Times New Roman"/>
        </w:rPr>
        <w:t xml:space="preserve">El primer efecto de la capacidad regulatoria consiste en que la clasificación institucional sustentó decisiones de distinta intensidad según la posición alcanzada por cada universidad dentro del sistema. La reevaluación de las instituciones ubicadas inicialmente en la categoría E culminó con la clausura definitiva de catorce universidades que no </w:t>
      </w:r>
      <w:r w:rsidRPr="00D311EA">
        <w:rPr>
          <w:rFonts w:ascii="Times New Roman" w:hAnsi="Times New Roman" w:cs="Times New Roman"/>
        </w:rPr>
        <w:lastRenderedPageBreak/>
        <w:t>alcanzaron los estándares mínimos establecidos por el CEAACES. Paralelamente, las instituciones con desempeños insuficientes en la evaluación general de 2013 fueron incorporadas a regímenes obligatorios de fortalecimiento institucional, sujetos a seguimiento y a nuevas evaluaciones. La clasificación dejó así de constituir un mecanismo de ordenamiento estadístico para convertirse en el fundamento técnico de decisiones regulatorias diferenciadas, mediante las cuales el Estado definió qué instituciones debían ser excluidas del sistema, cuáles podían permanecer bajo condiciones especiales y cuáles reunían las condiciones para continuar desarrollando sus actividades dentro del régimen de aseguramiento de la calidad.</w:t>
      </w:r>
    </w:p>
    <w:p w14:paraId="66208216" w14:textId="77777777" w:rsidR="00811E2D" w:rsidRPr="00D311EA" w:rsidRDefault="00811E2D" w:rsidP="00811E2D">
      <w:pPr>
        <w:spacing w:after="0" w:line="240" w:lineRule="auto"/>
        <w:jc w:val="both"/>
        <w:rPr>
          <w:rFonts w:ascii="Times New Roman" w:hAnsi="Times New Roman" w:cs="Times New Roman"/>
        </w:rPr>
      </w:pPr>
    </w:p>
    <w:p w14:paraId="296D032A" w14:textId="77777777" w:rsidR="00811E2D" w:rsidRDefault="00811E2D" w:rsidP="00811E2D">
      <w:pPr>
        <w:spacing w:after="0" w:line="240" w:lineRule="auto"/>
        <w:jc w:val="both"/>
        <w:rPr>
          <w:rFonts w:ascii="Times New Roman" w:hAnsi="Times New Roman" w:cs="Times New Roman"/>
        </w:rPr>
      </w:pPr>
      <w:r w:rsidRPr="00D311EA">
        <w:rPr>
          <w:rFonts w:ascii="Times New Roman" w:hAnsi="Times New Roman" w:cs="Times New Roman"/>
        </w:rPr>
        <w:t>Una segunda modalidad de activación regulatoria correspondió al uso de la clasificación como criterio para orientar otras decisiones públicas relacionadas con el funcionamiento del sistema universitario. La categoría obtenida comenzó a utilizarse como referencia para la asignación de recursos públicos, la autorización para ampliar la oferta académica y el reconocimiento institucional dentro del sistema de educación superior. La información producida por la evaluación adquirió así una capacidad de intervención que trascendía el propio proceso evaluativo: un único resultado institucional comenzó a articular decisiones de naturaleza presupuestaria, académica y administrativa, ampliando el alcance de la regulación más allá de la acreditación o del control de calidad en sentido estricto.</w:t>
      </w:r>
    </w:p>
    <w:p w14:paraId="084C7A67" w14:textId="77777777" w:rsidR="00811E2D" w:rsidRPr="00D311EA" w:rsidRDefault="00811E2D" w:rsidP="00811E2D">
      <w:pPr>
        <w:spacing w:after="0" w:line="240" w:lineRule="auto"/>
        <w:jc w:val="both"/>
        <w:rPr>
          <w:rFonts w:ascii="Times New Roman" w:hAnsi="Times New Roman" w:cs="Times New Roman"/>
        </w:rPr>
      </w:pPr>
    </w:p>
    <w:p w14:paraId="561F3D12" w14:textId="4DDD306F" w:rsidR="00811E2D" w:rsidRDefault="00811E2D" w:rsidP="00811E2D">
      <w:pPr>
        <w:spacing w:after="0" w:line="240" w:lineRule="auto"/>
        <w:jc w:val="both"/>
        <w:rPr>
          <w:rFonts w:ascii="Times New Roman" w:hAnsi="Times New Roman" w:cs="Times New Roman"/>
        </w:rPr>
      </w:pPr>
      <w:r w:rsidRPr="00D311EA">
        <w:rPr>
          <w:rFonts w:ascii="Times New Roman" w:hAnsi="Times New Roman" w:cs="Times New Roman"/>
        </w:rPr>
        <w:t xml:space="preserve">Esta relación entre evaluación y consecuencias institucionales permite comprender con mayor precisión el lugar que ocupa el </w:t>
      </w:r>
      <w:proofErr w:type="spellStart"/>
      <w:r w:rsidRPr="00D311EA">
        <w:rPr>
          <w:rFonts w:ascii="Times New Roman" w:hAnsi="Times New Roman" w:cs="Times New Roman"/>
        </w:rPr>
        <w:t>microdiseño</w:t>
      </w:r>
      <w:proofErr w:type="spellEnd"/>
      <w:r w:rsidRPr="00D311EA">
        <w:rPr>
          <w:rFonts w:ascii="Times New Roman" w:hAnsi="Times New Roman" w:cs="Times New Roman"/>
        </w:rPr>
        <w:t xml:space="preserve"> dentro de la gobernanza. La capacidad de intervención no surge únicamente cuando la autoridad administrativa adopta una decisión posterior a la evaluación. Comienza cuando el propio instrumento establece las reglas que vinculan determinadas características institucionales con consecuencias regulatorias específicas. Las decisiones incorporadas al diseño —qué atributos serán observados, cómo serán representados, qué importancia relativa tendrán y bajo qué reglas producirán una clasificación</w:t>
      </w:r>
      <w:r w:rsidR="00534D5A">
        <w:rPr>
          <w:rFonts w:ascii="Times New Roman" w:hAnsi="Times New Roman" w:cs="Times New Roman"/>
        </w:rPr>
        <w:t xml:space="preserve">, </w:t>
      </w:r>
      <w:r w:rsidRPr="00D311EA">
        <w:rPr>
          <w:rFonts w:ascii="Times New Roman" w:hAnsi="Times New Roman" w:cs="Times New Roman"/>
        </w:rPr>
        <w:t>delimitan anticipadamente el espacio dentro del cual podrán actuar tanto el regulador como las propias universidades.</w:t>
      </w:r>
    </w:p>
    <w:p w14:paraId="0B3BB8C4" w14:textId="77777777" w:rsidR="00811E2D" w:rsidRPr="00D311EA" w:rsidRDefault="00811E2D" w:rsidP="00811E2D">
      <w:pPr>
        <w:spacing w:after="0" w:line="240" w:lineRule="auto"/>
        <w:jc w:val="both"/>
        <w:rPr>
          <w:rFonts w:ascii="Times New Roman" w:hAnsi="Times New Roman" w:cs="Times New Roman"/>
        </w:rPr>
      </w:pPr>
    </w:p>
    <w:p w14:paraId="0776BB14" w14:textId="5586FA83" w:rsidR="00811E2D" w:rsidRDefault="00811E2D" w:rsidP="00811E2D">
      <w:pPr>
        <w:spacing w:after="0" w:line="240" w:lineRule="auto"/>
        <w:jc w:val="both"/>
        <w:rPr>
          <w:rFonts w:ascii="Times New Roman" w:hAnsi="Times New Roman" w:cs="Times New Roman"/>
        </w:rPr>
      </w:pPr>
      <w:r w:rsidRPr="00D311EA">
        <w:rPr>
          <w:rFonts w:ascii="Times New Roman" w:hAnsi="Times New Roman" w:cs="Times New Roman"/>
        </w:rPr>
        <w:t>Una tercera modalidad de activación regulatoria se expresa en la capacidad del instrumento para orientar el comportamiento organizacional antes de la adopción de cualquier medida administrativa. Cuando una universidad conoce los atributos que serán observados, las ponderaciones asignadas a cada componente, los estándares exigidos y las consecuencias asociadas a los distintos niveles de desempeño, dispone igualmente de un marco que orienta sus decisiones institucionales. La planificación académica, la contratación de profesores, la inversión en investigación, la reorganización de procesos internos o la asignación de recursos comienzan a desarrollarse bajo los parámetros definidos por el propio instrumento de evaluación. La intervención deja de depender exclusivamente del ejercicio directo de la autoridad estatal y comienza a producirse mediante la incorporación de las reglas del instrumento como referencia para la acción organizacional. En este sentido, el modelo</w:t>
      </w:r>
      <w:r w:rsidR="00DC5C56">
        <w:rPr>
          <w:rFonts w:ascii="Times New Roman" w:hAnsi="Times New Roman" w:cs="Times New Roman"/>
        </w:rPr>
        <w:t xml:space="preserve"> a más de</w:t>
      </w:r>
      <w:r w:rsidRPr="00D311EA">
        <w:rPr>
          <w:rFonts w:ascii="Times New Roman" w:hAnsi="Times New Roman" w:cs="Times New Roman"/>
        </w:rPr>
        <w:t xml:space="preserve"> regula</w:t>
      </w:r>
      <w:r w:rsidR="00DC5C56">
        <w:rPr>
          <w:rFonts w:ascii="Times New Roman" w:hAnsi="Times New Roman" w:cs="Times New Roman"/>
        </w:rPr>
        <w:t>r mediante la evaluación al sistema</w:t>
      </w:r>
      <w:r w:rsidRPr="00D311EA">
        <w:rPr>
          <w:rFonts w:ascii="Times New Roman" w:hAnsi="Times New Roman" w:cs="Times New Roman"/>
        </w:rPr>
        <w:t xml:space="preserve"> univers</w:t>
      </w:r>
      <w:r w:rsidR="00DC5C56">
        <w:rPr>
          <w:rFonts w:ascii="Times New Roman" w:hAnsi="Times New Roman" w:cs="Times New Roman"/>
        </w:rPr>
        <w:t xml:space="preserve">itario </w:t>
      </w:r>
      <w:r w:rsidRPr="00D311EA">
        <w:rPr>
          <w:rFonts w:ascii="Times New Roman" w:hAnsi="Times New Roman" w:cs="Times New Roman"/>
        </w:rPr>
        <w:t>contribuye a orientar las estrategias mediante las cuales las instituciones buscan responder al régimen de aseguramiento de la calidad.</w:t>
      </w:r>
    </w:p>
    <w:p w14:paraId="6C381FF4" w14:textId="77777777" w:rsidR="00811E2D" w:rsidRPr="00D311EA" w:rsidRDefault="00811E2D" w:rsidP="00811E2D">
      <w:pPr>
        <w:spacing w:after="0" w:line="240" w:lineRule="auto"/>
        <w:jc w:val="both"/>
        <w:rPr>
          <w:rFonts w:ascii="Times New Roman" w:hAnsi="Times New Roman" w:cs="Times New Roman"/>
        </w:rPr>
      </w:pPr>
    </w:p>
    <w:p w14:paraId="70F39214" w14:textId="77777777" w:rsidR="00811E2D" w:rsidRDefault="00811E2D" w:rsidP="00811E2D">
      <w:pPr>
        <w:spacing w:after="0" w:line="240" w:lineRule="auto"/>
        <w:jc w:val="both"/>
        <w:rPr>
          <w:rFonts w:ascii="Times New Roman" w:hAnsi="Times New Roman" w:cs="Times New Roman"/>
        </w:rPr>
      </w:pPr>
      <w:r w:rsidRPr="00D311EA">
        <w:rPr>
          <w:rFonts w:ascii="Times New Roman" w:hAnsi="Times New Roman" w:cs="Times New Roman"/>
        </w:rPr>
        <w:lastRenderedPageBreak/>
        <w:t>La evidencia del período posterior a la evaluación muestra un cuarto efecto de la capacidad regulatoria del instrumento: la generación de procesos de anticipación regulatoria al interior de las propias universidades. Las instituciones comenzaron a reorganizar sus estrategias en función de los parámetros establecidos por el modelo. La contratación de docentes con grado doctoral, el incremento de la producción científica indexada, la reorganización de las estructuras académicas, la adecuación de infraestructura y la reasignación de recursos hacia los componentes con mayor ponderación dentro del instrumento se convirtieron en respuestas recurrentes frente al régimen de evaluación. La clasificación dejó así de operar únicamente como un mecanismo de valoración ex post y pasó a orientar decisiones adoptadas antes de cada nuevo proceso evaluativo. Las universidades incorporaron progresivamente los criterios definidos por el instrumento como referentes permanentes para su planificación institucional, ajustando su comportamiento con el propósito de mejorar su posición dentro del sistema de evaluación.</w:t>
      </w:r>
    </w:p>
    <w:p w14:paraId="5D850E2E" w14:textId="77777777" w:rsidR="00811E2D" w:rsidRPr="00D311EA" w:rsidRDefault="00811E2D" w:rsidP="00811E2D">
      <w:pPr>
        <w:spacing w:after="0" w:line="240" w:lineRule="auto"/>
        <w:jc w:val="both"/>
        <w:rPr>
          <w:rFonts w:ascii="Times New Roman" w:hAnsi="Times New Roman" w:cs="Times New Roman"/>
        </w:rPr>
      </w:pPr>
    </w:p>
    <w:p w14:paraId="68FCD42C" w14:textId="77777777" w:rsidR="00AE1268" w:rsidRPr="00AE1268" w:rsidRDefault="00AE1268" w:rsidP="00AE1268">
      <w:pPr>
        <w:spacing w:line="240" w:lineRule="auto"/>
        <w:jc w:val="both"/>
        <w:rPr>
          <w:rFonts w:ascii="Times New Roman" w:hAnsi="Times New Roman" w:cs="Times New Roman"/>
          <w:lang w:val="es-EC"/>
        </w:rPr>
      </w:pPr>
      <w:r w:rsidRPr="00AE1268">
        <w:rPr>
          <w:rFonts w:ascii="Times New Roman" w:hAnsi="Times New Roman" w:cs="Times New Roman"/>
          <w:lang w:val="es-EC"/>
        </w:rPr>
        <w:t>La reconstrucción desarrollada en este trabajo permite comprender esta secuencia como una cadena de traducción del ejercicio de gobierno. La reforma define políticamente la universidad que debe integrar el sistema de educación superior; el modelo transforma esa definición en una representación operativa organizada mediante especificaciones sucesivas; las reglas de calibración convierten esa representación en una estructura comparable y, finalmente, la clasificación vincula esa información con consecuencias institucionales diferenciadas. La intervención estatal emerge de la articulación entre estas operaciones y no de una decisión aislada contenida en el tramo final del proceso evaluativo.</w:t>
      </w:r>
    </w:p>
    <w:p w14:paraId="35D30C45" w14:textId="63EA3FBC" w:rsidR="0051782F" w:rsidRPr="00AE1268" w:rsidRDefault="0051782F" w:rsidP="00AE1268">
      <w:pPr>
        <w:spacing w:line="240" w:lineRule="auto"/>
        <w:jc w:val="both"/>
        <w:rPr>
          <w:rFonts w:ascii="Times New Roman" w:hAnsi="Times New Roman" w:cs="Times New Roman"/>
          <w:lang w:val="es-EC"/>
        </w:rPr>
      </w:pPr>
      <w:r w:rsidRPr="0051782F">
        <w:rPr>
          <w:rFonts w:ascii="Times New Roman" w:hAnsi="Times New Roman" w:cs="Times New Roman"/>
        </w:rPr>
        <w:t xml:space="preserve">En este sentido, el Modelo de Evaluación Institucional </w:t>
      </w:r>
      <w:r w:rsidR="00FB16AA">
        <w:rPr>
          <w:rFonts w:ascii="Times New Roman" w:hAnsi="Times New Roman" w:cs="Times New Roman"/>
        </w:rPr>
        <w:t>2012-</w:t>
      </w:r>
      <w:r w:rsidRPr="0051782F">
        <w:rPr>
          <w:rFonts w:ascii="Times New Roman" w:hAnsi="Times New Roman" w:cs="Times New Roman"/>
        </w:rPr>
        <w:t xml:space="preserve">2013 puede comprenderse como un instrumento de gobernanza porque articula de manera sistemática conocimiento y acción pública. La evaluación no concluye con la producción de información sobre el desempeño universitario; esa información es transformada mediante reglas de clasificación en un criterio capaz de habilitar decisiones regulatorias diferenciadas y de orientar el comportamiento de las propias instituciones. La capacidad de intervención del Estado </w:t>
      </w:r>
      <w:r w:rsidR="00652BFF">
        <w:rPr>
          <w:rFonts w:ascii="Times New Roman" w:hAnsi="Times New Roman" w:cs="Times New Roman"/>
        </w:rPr>
        <w:t>se concentra en la</w:t>
      </w:r>
      <w:r w:rsidRPr="0051782F">
        <w:rPr>
          <w:rFonts w:ascii="Times New Roman" w:hAnsi="Times New Roman" w:cs="Times New Roman"/>
        </w:rPr>
        <w:t xml:space="preserve"> facultad jurídica de sancionar, acreditar o intervenir universidades,</w:t>
      </w:r>
      <w:r w:rsidR="00652BFF">
        <w:rPr>
          <w:rFonts w:ascii="Times New Roman" w:hAnsi="Times New Roman" w:cs="Times New Roman"/>
        </w:rPr>
        <w:t xml:space="preserve"> a la vez que </w:t>
      </w:r>
      <w:r w:rsidR="00652BFF" w:rsidRPr="0051782F">
        <w:rPr>
          <w:rFonts w:ascii="Times New Roman" w:hAnsi="Times New Roman" w:cs="Times New Roman"/>
        </w:rPr>
        <w:t>hace posible vincular atributos institucionales, reglas de valoración y consecuencias organizacionales dentro de un mismo dispositivo</w:t>
      </w:r>
      <w:r w:rsidR="00652BFF">
        <w:rPr>
          <w:rFonts w:ascii="Times New Roman" w:hAnsi="Times New Roman" w:cs="Times New Roman"/>
        </w:rPr>
        <w:t xml:space="preserve"> y</w:t>
      </w:r>
      <w:r w:rsidRPr="0051782F">
        <w:rPr>
          <w:rFonts w:ascii="Times New Roman" w:hAnsi="Times New Roman" w:cs="Times New Roman"/>
        </w:rPr>
        <w:t xml:space="preserve"> arquitectura del instrumento. </w:t>
      </w:r>
      <w:r w:rsidRPr="00534D5A">
        <w:rPr>
          <w:rFonts w:ascii="Times New Roman" w:hAnsi="Times New Roman" w:cs="Times New Roman"/>
        </w:rPr>
        <w:t xml:space="preserve">Desde esta perspectiva, el </w:t>
      </w:r>
      <w:proofErr w:type="spellStart"/>
      <w:r w:rsidRPr="00534D5A">
        <w:rPr>
          <w:rFonts w:ascii="Times New Roman" w:hAnsi="Times New Roman" w:cs="Times New Roman"/>
        </w:rPr>
        <w:t>microdiseño</w:t>
      </w:r>
      <w:proofErr w:type="spellEnd"/>
      <w:r w:rsidRPr="00534D5A">
        <w:rPr>
          <w:rFonts w:ascii="Times New Roman" w:hAnsi="Times New Roman" w:cs="Times New Roman"/>
        </w:rPr>
        <w:t xml:space="preserve"> </w:t>
      </w:r>
      <w:r w:rsidR="00534D5A">
        <w:rPr>
          <w:rFonts w:ascii="Times New Roman" w:hAnsi="Times New Roman" w:cs="Times New Roman"/>
        </w:rPr>
        <w:t xml:space="preserve">se convierte en </w:t>
      </w:r>
      <w:r w:rsidRPr="00534D5A">
        <w:rPr>
          <w:rFonts w:ascii="Times New Roman" w:hAnsi="Times New Roman" w:cs="Times New Roman"/>
        </w:rPr>
        <w:t>el espacio donde se configuran las condiciones concretas mediante las cuales una política pública adquiere capacidad de gobierno sobre el sistema universitario.</w:t>
      </w:r>
    </w:p>
    <w:p w14:paraId="64DE1263" w14:textId="77777777" w:rsidR="0045737B" w:rsidRPr="0045737B" w:rsidRDefault="0045737B" w:rsidP="007B5B5F">
      <w:pPr>
        <w:spacing w:line="240" w:lineRule="auto"/>
        <w:rPr>
          <w:rFonts w:ascii="Times New Roman" w:hAnsi="Times New Roman" w:cs="Times New Roman"/>
          <w:b/>
          <w:bCs/>
          <w:lang w:val="es-EC"/>
        </w:rPr>
      </w:pPr>
    </w:p>
    <w:p w14:paraId="12CE0BCB" w14:textId="6A82741F" w:rsidR="005F3B2E" w:rsidRPr="00331EFB" w:rsidRDefault="005F3B2E" w:rsidP="007B5B5F">
      <w:pPr>
        <w:spacing w:line="240" w:lineRule="auto"/>
        <w:rPr>
          <w:rFonts w:ascii="Times New Roman" w:hAnsi="Times New Roman" w:cs="Times New Roman"/>
          <w:b/>
          <w:bCs/>
          <w:lang w:val="es-EC"/>
        </w:rPr>
      </w:pPr>
      <w:r w:rsidRPr="00331EFB">
        <w:rPr>
          <w:rFonts w:ascii="Times New Roman" w:hAnsi="Times New Roman" w:cs="Times New Roman"/>
          <w:b/>
          <w:bCs/>
          <w:lang w:val="es-EC"/>
        </w:rPr>
        <w:t>Conclusiones</w:t>
      </w:r>
    </w:p>
    <w:p w14:paraId="228AE268" w14:textId="17820000" w:rsidR="00331EFB" w:rsidRPr="00331EFB" w:rsidRDefault="00331EFB" w:rsidP="00331EFB">
      <w:pPr>
        <w:spacing w:line="240" w:lineRule="auto"/>
        <w:jc w:val="both"/>
        <w:rPr>
          <w:rFonts w:ascii="Times New Roman" w:hAnsi="Times New Roman" w:cs="Times New Roman"/>
          <w:lang w:val="es-EC"/>
        </w:rPr>
      </w:pPr>
      <w:r w:rsidRPr="00331EFB">
        <w:rPr>
          <w:rFonts w:ascii="Times New Roman" w:hAnsi="Times New Roman" w:cs="Times New Roman"/>
          <w:lang w:val="es-EC"/>
        </w:rPr>
        <w:t>El análisis del Modelo de Evaluación Institucional aplicado por el CEAACES en</w:t>
      </w:r>
      <w:r w:rsidR="00A328A3">
        <w:rPr>
          <w:rFonts w:ascii="Times New Roman" w:hAnsi="Times New Roman" w:cs="Times New Roman"/>
          <w:lang w:val="es-EC"/>
        </w:rPr>
        <w:t xml:space="preserve"> 2012-</w:t>
      </w:r>
      <w:r w:rsidRPr="00331EFB">
        <w:rPr>
          <w:rFonts w:ascii="Times New Roman" w:hAnsi="Times New Roman" w:cs="Times New Roman"/>
          <w:lang w:val="es-EC"/>
        </w:rPr>
        <w:t xml:space="preserve"> 2013 permitió demostrar que la capacidad de gobierno del instrumento se origina en la evaluación considerada como un procedimiento técnico de medición, </w:t>
      </w:r>
      <w:r w:rsidR="00652BFF">
        <w:rPr>
          <w:rFonts w:ascii="Times New Roman" w:hAnsi="Times New Roman" w:cs="Times New Roman"/>
          <w:lang w:val="es-EC"/>
        </w:rPr>
        <w:t xml:space="preserve">que además </w:t>
      </w:r>
      <w:proofErr w:type="gramStart"/>
      <w:r w:rsidR="00652BFF">
        <w:rPr>
          <w:rFonts w:ascii="Times New Roman" w:hAnsi="Times New Roman" w:cs="Times New Roman"/>
          <w:lang w:val="es-EC"/>
        </w:rPr>
        <w:t>incluye</w:t>
      </w:r>
      <w:r w:rsidRPr="00331EFB">
        <w:rPr>
          <w:rFonts w:ascii="Times New Roman" w:hAnsi="Times New Roman" w:cs="Times New Roman"/>
          <w:lang w:val="es-EC"/>
        </w:rPr>
        <w:t xml:space="preserve">  decisiones</w:t>
      </w:r>
      <w:proofErr w:type="gramEnd"/>
      <w:r w:rsidRPr="00331EFB">
        <w:rPr>
          <w:rFonts w:ascii="Times New Roman" w:hAnsi="Times New Roman" w:cs="Times New Roman"/>
          <w:lang w:val="es-EC"/>
        </w:rPr>
        <w:t xml:space="preserve"> de diseño incorporadas progresivamente durante su construcción. Desde la perspectiva del </w:t>
      </w:r>
      <w:proofErr w:type="spellStart"/>
      <w:r w:rsidRPr="00331EFB">
        <w:rPr>
          <w:rFonts w:ascii="Times New Roman" w:hAnsi="Times New Roman" w:cs="Times New Roman"/>
          <w:lang w:val="es-EC"/>
        </w:rPr>
        <w:t>microdiseño</w:t>
      </w:r>
      <w:proofErr w:type="spellEnd"/>
      <w:r w:rsidRPr="00331EFB">
        <w:rPr>
          <w:rFonts w:ascii="Times New Roman" w:hAnsi="Times New Roman" w:cs="Times New Roman"/>
          <w:lang w:val="es-EC"/>
        </w:rPr>
        <w:t xml:space="preserve"> de políticas, la gobernanza comienza antes de la producción </w:t>
      </w:r>
      <w:r w:rsidRPr="00331EFB">
        <w:rPr>
          <w:rFonts w:ascii="Times New Roman" w:hAnsi="Times New Roman" w:cs="Times New Roman"/>
          <w:lang w:val="es-EC"/>
        </w:rPr>
        <w:lastRenderedPageBreak/>
        <w:t>de resultados, en la definición del objeto que será regulado, en la forma en que dicho objeto es representado, en las reglas mediante las cuales esa representación es calibrada y, finalmente, en los mecanismos que traducen la información producida por la evaluación en consecuencias regulatorias sobre las universidades.</w:t>
      </w:r>
    </w:p>
    <w:p w14:paraId="451C7FF4" w14:textId="77777777" w:rsidR="00331EFB" w:rsidRPr="00331EFB" w:rsidRDefault="00331EFB" w:rsidP="00331EFB">
      <w:pPr>
        <w:spacing w:line="240" w:lineRule="auto"/>
        <w:jc w:val="both"/>
        <w:rPr>
          <w:rFonts w:ascii="Times New Roman" w:hAnsi="Times New Roman" w:cs="Times New Roman"/>
          <w:lang w:val="es-EC"/>
        </w:rPr>
      </w:pPr>
      <w:r w:rsidRPr="00331EFB">
        <w:rPr>
          <w:rFonts w:ascii="Times New Roman" w:hAnsi="Times New Roman" w:cs="Times New Roman"/>
          <w:lang w:val="es-EC"/>
        </w:rPr>
        <w:t>La reconstrucción del proceso de reforma desarrollado entre 2008 y 2013 permitió identificar que el primer momento de esa arquitectura corresponde a la construcción del objeto regulatorio. El Mandato Constituyente No. 14, la Constitución de 2008 y la Ley Orgánica de Educación Superior no constituyeron únicamente antecedentes normativos de la evaluación institucional; configuraron progresivamente una determinada concepción de universidad como bien público, espacio de producción de conocimiento y actor estratégico para el desarrollo nacional. Antes del diseño del instrumento, la reforma delimitó aquello que el Estado reconocería como universidad y estableció los atributos que posteriormente serían objeto de regulación.</w:t>
      </w:r>
    </w:p>
    <w:p w14:paraId="71659B1D" w14:textId="03DF0226" w:rsidR="00331EFB" w:rsidRPr="00331EFB" w:rsidRDefault="00331EFB" w:rsidP="00331EFB">
      <w:pPr>
        <w:spacing w:line="240" w:lineRule="auto"/>
        <w:jc w:val="both"/>
        <w:rPr>
          <w:rFonts w:ascii="Times New Roman" w:hAnsi="Times New Roman" w:cs="Times New Roman"/>
          <w:lang w:val="es-EC"/>
        </w:rPr>
      </w:pPr>
      <w:r w:rsidRPr="00331EFB">
        <w:rPr>
          <w:rFonts w:ascii="Times New Roman" w:hAnsi="Times New Roman" w:cs="Times New Roman"/>
          <w:lang w:val="es-EC"/>
        </w:rPr>
        <w:t>El segundo hallazgo muestra que el Modelo de Evaluación Institucional opera directamente sobre</w:t>
      </w:r>
      <w:r w:rsidR="00652BFF">
        <w:rPr>
          <w:rFonts w:ascii="Times New Roman" w:hAnsi="Times New Roman" w:cs="Times New Roman"/>
          <w:lang w:val="es-EC"/>
        </w:rPr>
        <w:t xml:space="preserve"> </w:t>
      </w:r>
      <w:r w:rsidRPr="00331EFB">
        <w:rPr>
          <w:rFonts w:ascii="Times New Roman" w:hAnsi="Times New Roman" w:cs="Times New Roman"/>
          <w:lang w:val="es-EC"/>
        </w:rPr>
        <w:t xml:space="preserve">una representación construida </w:t>
      </w:r>
      <w:r w:rsidR="00652BFF">
        <w:rPr>
          <w:rFonts w:ascii="Times New Roman" w:hAnsi="Times New Roman" w:cs="Times New Roman"/>
          <w:lang w:val="es-EC"/>
        </w:rPr>
        <w:t xml:space="preserve">sobre esa universidad que se operacionaliza </w:t>
      </w:r>
      <w:r w:rsidRPr="00331EFB">
        <w:rPr>
          <w:rFonts w:ascii="Times New Roman" w:hAnsi="Times New Roman" w:cs="Times New Roman"/>
          <w:lang w:val="es-EC"/>
        </w:rPr>
        <w:t>mediante decisiones sucesivas de especificación</w:t>
      </w:r>
      <w:r w:rsidR="00652BFF">
        <w:rPr>
          <w:rFonts w:ascii="Times New Roman" w:hAnsi="Times New Roman" w:cs="Times New Roman"/>
          <w:lang w:val="es-EC"/>
        </w:rPr>
        <w:t xml:space="preserve"> en el instrumento.</w:t>
      </w:r>
      <w:r w:rsidRPr="00331EFB">
        <w:rPr>
          <w:rFonts w:ascii="Times New Roman" w:hAnsi="Times New Roman" w:cs="Times New Roman"/>
          <w:lang w:val="es-EC"/>
        </w:rPr>
        <w:t xml:space="preserve"> La desagregación de la calidad en criterios, subcriterios, indicadores, estándares y evidencias constituye el procedimiento mediante el cual un objeto complejo es traducido a atributos observables susceptibles de evaluación. El instrumento gobierna, por tanto, una representación producida por su propio diseño y no la complejidad empírica de las instituciones universitarias.</w:t>
      </w:r>
    </w:p>
    <w:p w14:paraId="61FCA1D1" w14:textId="77777777" w:rsidR="00331EFB" w:rsidRPr="00331EFB" w:rsidRDefault="00331EFB" w:rsidP="00331EFB">
      <w:pPr>
        <w:spacing w:line="240" w:lineRule="auto"/>
        <w:jc w:val="both"/>
        <w:rPr>
          <w:rFonts w:ascii="Times New Roman" w:hAnsi="Times New Roman" w:cs="Times New Roman"/>
          <w:lang w:val="es-EC"/>
        </w:rPr>
      </w:pPr>
      <w:r w:rsidRPr="00331EFB">
        <w:rPr>
          <w:rFonts w:ascii="Times New Roman" w:hAnsi="Times New Roman" w:cs="Times New Roman"/>
          <w:lang w:val="es-EC"/>
        </w:rPr>
        <w:t>El análisis permitió demostrar además que esa representación adquiere capacidad regulatoria únicamente después de ser sometida a decisiones de calibración. Las ponderaciones, los estándares, las funciones de utilidad y las reglas de agregación organizan una jerarquía explícita entre los atributos institucionales y hacen posible comparar universidades construidas sobre trayectorias, tamaños y condiciones profundamente heterogéneas. La comparabilidad no constituye una propiedad inherente del sistema universitario; es el resultado de un conjunto de decisiones de diseño que producen una arquitectura común de valoración.</w:t>
      </w:r>
    </w:p>
    <w:p w14:paraId="33D8B98D" w14:textId="77777777" w:rsidR="00331EFB" w:rsidRPr="00331EFB" w:rsidRDefault="00331EFB" w:rsidP="00331EFB">
      <w:pPr>
        <w:spacing w:line="240" w:lineRule="auto"/>
        <w:jc w:val="both"/>
        <w:rPr>
          <w:rFonts w:ascii="Times New Roman" w:hAnsi="Times New Roman" w:cs="Times New Roman"/>
          <w:lang w:val="es-EC"/>
        </w:rPr>
      </w:pPr>
      <w:r w:rsidRPr="00331EFB">
        <w:rPr>
          <w:rFonts w:ascii="Times New Roman" w:hAnsi="Times New Roman" w:cs="Times New Roman"/>
          <w:lang w:val="es-EC"/>
        </w:rPr>
        <w:t>Finalmente, la investigación mostró que la clasificación institucional representa el punto en que la información producida por el instrumento se transforma en intervención sobre el sistema universitario. La evaluación adquirió capacidad performativa al vincular las categorías institucionales con decisiones de clausura, fortalecimiento, asignación diferenciada de recursos, ampliación de la oferta académica y procesos permanentes de reorganización institucional. La gobernanza dejó de depender exclusivamente del ejercicio directo de la autoridad estatal para operar también mediante la anticipación de las respuestas organizacionales frente a las reglas incorporadas en el instrumento.</w:t>
      </w:r>
    </w:p>
    <w:p w14:paraId="2724DDF8" w14:textId="3F1EBAAB" w:rsidR="005F3B2E" w:rsidRPr="00331EFB" w:rsidRDefault="00331EFB" w:rsidP="007B5B5F">
      <w:pPr>
        <w:spacing w:line="240" w:lineRule="auto"/>
        <w:jc w:val="both"/>
        <w:rPr>
          <w:rFonts w:ascii="Times New Roman" w:hAnsi="Times New Roman" w:cs="Times New Roman"/>
          <w:lang w:val="es-EC"/>
        </w:rPr>
      </w:pPr>
      <w:r w:rsidRPr="00331EFB">
        <w:rPr>
          <w:rFonts w:ascii="Times New Roman" w:hAnsi="Times New Roman" w:cs="Times New Roman"/>
          <w:lang w:val="es-EC"/>
        </w:rPr>
        <w:t xml:space="preserve">El aporte del enfoque del </w:t>
      </w:r>
      <w:proofErr w:type="spellStart"/>
      <w:r w:rsidRPr="00331EFB">
        <w:rPr>
          <w:rFonts w:ascii="Times New Roman" w:hAnsi="Times New Roman" w:cs="Times New Roman"/>
          <w:lang w:val="es-EC"/>
        </w:rPr>
        <w:t>microdiseño</w:t>
      </w:r>
      <w:proofErr w:type="spellEnd"/>
      <w:r w:rsidRPr="00331EFB">
        <w:rPr>
          <w:rFonts w:ascii="Times New Roman" w:hAnsi="Times New Roman" w:cs="Times New Roman"/>
          <w:lang w:val="es-EC"/>
        </w:rPr>
        <w:t xml:space="preserve"> consiste en desplazar el análisis desde los resultados de la evaluación hacia las decisiones que hicieron posible su capacidad de intervención. La investigación muestra que los instrumentos de política </w:t>
      </w:r>
      <w:r>
        <w:rPr>
          <w:rFonts w:ascii="Times New Roman" w:hAnsi="Times New Roman" w:cs="Times New Roman"/>
          <w:lang w:val="es-EC"/>
        </w:rPr>
        <w:t xml:space="preserve">por un lado son </w:t>
      </w:r>
      <w:r w:rsidRPr="00331EFB">
        <w:rPr>
          <w:rFonts w:ascii="Times New Roman" w:hAnsi="Times New Roman" w:cs="Times New Roman"/>
          <w:lang w:val="es-EC"/>
        </w:rPr>
        <w:t xml:space="preserve">mecanismos para implementar decisiones públicas previamente adoptadas; </w:t>
      </w:r>
      <w:r>
        <w:rPr>
          <w:rFonts w:ascii="Times New Roman" w:hAnsi="Times New Roman" w:cs="Times New Roman"/>
          <w:lang w:val="es-EC"/>
        </w:rPr>
        <w:t xml:space="preserve">pero por otro también </w:t>
      </w:r>
      <w:r w:rsidRPr="00331EFB">
        <w:rPr>
          <w:rFonts w:ascii="Times New Roman" w:hAnsi="Times New Roman" w:cs="Times New Roman"/>
          <w:lang w:val="es-EC"/>
        </w:rPr>
        <w:t xml:space="preserve">producen representaciones, organizan jerarquías de valoración y estructuran </w:t>
      </w:r>
      <w:r w:rsidRPr="00331EFB">
        <w:rPr>
          <w:rFonts w:ascii="Times New Roman" w:hAnsi="Times New Roman" w:cs="Times New Roman"/>
          <w:lang w:val="es-EC"/>
        </w:rPr>
        <w:lastRenderedPageBreak/>
        <w:t xml:space="preserve">relaciones entre el Estado y los actores regulados. En el caso ecuatoriano, el Modelo de Evaluación Institucional de </w:t>
      </w:r>
      <w:r>
        <w:rPr>
          <w:rFonts w:ascii="Times New Roman" w:hAnsi="Times New Roman" w:cs="Times New Roman"/>
          <w:lang w:val="es-EC"/>
        </w:rPr>
        <w:t>2012-</w:t>
      </w:r>
      <w:r w:rsidRPr="00331EFB">
        <w:rPr>
          <w:rFonts w:ascii="Times New Roman" w:hAnsi="Times New Roman" w:cs="Times New Roman"/>
          <w:lang w:val="es-EC"/>
        </w:rPr>
        <w:t xml:space="preserve">2013 </w:t>
      </w:r>
      <w:r>
        <w:rPr>
          <w:rFonts w:ascii="Times New Roman" w:hAnsi="Times New Roman" w:cs="Times New Roman"/>
          <w:lang w:val="es-EC"/>
        </w:rPr>
        <w:t>fue</w:t>
      </w:r>
      <w:r w:rsidRPr="00331EFB">
        <w:rPr>
          <w:rFonts w:ascii="Times New Roman" w:hAnsi="Times New Roman" w:cs="Times New Roman"/>
          <w:lang w:val="es-EC"/>
        </w:rPr>
        <w:t xml:space="preserve"> un instrumento de gobernanza porque convirtió una definición política de la universidad en un dispositivo capaz de orientar, diferenciar y reorganizar el comportamiento del sistema universitario mediante decisiones incorporadas en su propio diseño.</w:t>
      </w:r>
    </w:p>
    <w:p w14:paraId="544B704F" w14:textId="77777777" w:rsidR="00BC236F" w:rsidRPr="00331EFB" w:rsidRDefault="00BC236F" w:rsidP="007B5B5F">
      <w:pPr>
        <w:spacing w:line="240" w:lineRule="auto"/>
        <w:jc w:val="both"/>
        <w:rPr>
          <w:rFonts w:ascii="Times New Roman" w:hAnsi="Times New Roman" w:cs="Times New Roman"/>
          <w:lang w:val="es-EC"/>
        </w:rPr>
      </w:pPr>
    </w:p>
    <w:p w14:paraId="39B57161" w14:textId="2574A553"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w:t>
      </w:r>
      <w:r w:rsidR="00FB16AA">
        <w:rPr>
          <w:rFonts w:ascii="Times New Roman" w:hAnsi="Times New Roman" w:cs="Times New Roman"/>
          <w:b/>
          <w:bCs/>
        </w:rPr>
        <w:t>s</w:t>
      </w:r>
    </w:p>
    <w:p w14:paraId="35616795"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Brunner, J. J. (2009). </w:t>
      </w:r>
      <w:r w:rsidRPr="00A328A3">
        <w:rPr>
          <w:rFonts w:ascii="Times New Roman" w:hAnsi="Times New Roman" w:cs="Times New Roman"/>
          <w:i/>
          <w:iCs/>
          <w:lang w:val="es-EC"/>
        </w:rPr>
        <w:t>Educación superior en Iberoamérica. Informe 2009</w:t>
      </w:r>
      <w:r w:rsidRPr="00A328A3">
        <w:rPr>
          <w:rFonts w:ascii="Times New Roman" w:hAnsi="Times New Roman" w:cs="Times New Roman"/>
          <w:lang w:val="es-EC"/>
        </w:rPr>
        <w:t>. CINDA.</w:t>
      </w:r>
    </w:p>
    <w:p w14:paraId="5A39032C"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Brunner, J. J. (2021). </w:t>
      </w:r>
      <w:r w:rsidRPr="00A328A3">
        <w:rPr>
          <w:rFonts w:ascii="Times New Roman" w:hAnsi="Times New Roman" w:cs="Times New Roman"/>
          <w:i/>
          <w:iCs/>
          <w:lang w:val="es-EC"/>
        </w:rPr>
        <w:t>Universidad y democracia en América Latina</w:t>
      </w:r>
      <w:r w:rsidRPr="00A328A3">
        <w:rPr>
          <w:rFonts w:ascii="Times New Roman" w:hAnsi="Times New Roman" w:cs="Times New Roman"/>
          <w:lang w:val="es-EC"/>
        </w:rPr>
        <w:t>. Fondo de Cultura Económica.</w:t>
      </w:r>
    </w:p>
    <w:p w14:paraId="583B8F0B" w14:textId="77777777" w:rsidR="00A328A3" w:rsidRPr="00A328A3" w:rsidRDefault="00A328A3" w:rsidP="00A328A3">
      <w:pPr>
        <w:spacing w:line="240" w:lineRule="auto"/>
        <w:rPr>
          <w:rFonts w:ascii="Times New Roman" w:hAnsi="Times New Roman" w:cs="Times New Roman"/>
          <w:lang w:val="en-US"/>
        </w:rPr>
      </w:pPr>
      <w:r w:rsidRPr="00A328A3">
        <w:rPr>
          <w:rFonts w:ascii="Times New Roman" w:hAnsi="Times New Roman" w:cs="Times New Roman"/>
          <w:lang w:val="es-EC"/>
        </w:rPr>
        <w:t xml:space="preserve">Brunner, J. J., &amp; Ganga, F. (2016). </w:t>
      </w:r>
      <w:r w:rsidRPr="00A328A3">
        <w:rPr>
          <w:rFonts w:ascii="Times New Roman" w:hAnsi="Times New Roman" w:cs="Times New Roman"/>
          <w:i/>
          <w:iCs/>
          <w:lang w:val="es-EC"/>
        </w:rPr>
        <w:t>Gobernanza de la educación superior: una mirada crítica y propositiva al caso de Chile</w:t>
      </w:r>
      <w:r w:rsidRPr="00A328A3">
        <w:rPr>
          <w:rFonts w:ascii="Times New Roman" w:hAnsi="Times New Roman" w:cs="Times New Roman"/>
          <w:lang w:val="es-EC"/>
        </w:rPr>
        <w:t xml:space="preserve">. </w:t>
      </w:r>
      <w:r w:rsidRPr="00A328A3">
        <w:rPr>
          <w:rFonts w:ascii="Times New Roman" w:hAnsi="Times New Roman" w:cs="Times New Roman"/>
          <w:lang w:val="en-US"/>
        </w:rPr>
        <w:t>OEA.</w:t>
      </w:r>
    </w:p>
    <w:p w14:paraId="7FEB6D96" w14:textId="77777777" w:rsidR="00A328A3" w:rsidRPr="00A328A3" w:rsidRDefault="00A328A3" w:rsidP="00A328A3">
      <w:pPr>
        <w:spacing w:line="240" w:lineRule="auto"/>
        <w:rPr>
          <w:rFonts w:ascii="Times New Roman" w:hAnsi="Times New Roman" w:cs="Times New Roman"/>
          <w:lang w:val="en-US"/>
        </w:rPr>
      </w:pPr>
      <w:r w:rsidRPr="00A328A3">
        <w:rPr>
          <w:rFonts w:ascii="Times New Roman" w:hAnsi="Times New Roman" w:cs="Times New Roman"/>
          <w:lang w:val="en-US"/>
        </w:rPr>
        <w:t xml:space="preserve">Capano, G., &amp; Howlett, M. (2024). </w:t>
      </w:r>
      <w:r w:rsidRPr="00A328A3">
        <w:rPr>
          <w:rFonts w:ascii="Times New Roman" w:hAnsi="Times New Roman" w:cs="Times New Roman"/>
          <w:i/>
          <w:iCs/>
          <w:lang w:val="en-US"/>
        </w:rPr>
        <w:t>Policy Design and Non-Design</w:t>
      </w:r>
      <w:r w:rsidRPr="00A328A3">
        <w:rPr>
          <w:rFonts w:ascii="Times New Roman" w:hAnsi="Times New Roman" w:cs="Times New Roman"/>
          <w:lang w:val="en-US"/>
        </w:rPr>
        <w:t>. Routledge.</w:t>
      </w:r>
    </w:p>
    <w:p w14:paraId="05D81679"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n-US"/>
        </w:rPr>
        <w:t xml:space="preserve">Capano, G., &amp; </w:t>
      </w:r>
      <w:proofErr w:type="spellStart"/>
      <w:r w:rsidRPr="00A328A3">
        <w:rPr>
          <w:rFonts w:ascii="Times New Roman" w:hAnsi="Times New Roman" w:cs="Times New Roman"/>
          <w:lang w:val="en-US"/>
        </w:rPr>
        <w:t>Pritoni</w:t>
      </w:r>
      <w:proofErr w:type="spellEnd"/>
      <w:r w:rsidRPr="00A328A3">
        <w:rPr>
          <w:rFonts w:ascii="Times New Roman" w:hAnsi="Times New Roman" w:cs="Times New Roman"/>
          <w:lang w:val="en-US"/>
        </w:rPr>
        <w:t xml:space="preserve">, A. (2026). </w:t>
      </w:r>
      <w:proofErr w:type="spellStart"/>
      <w:r w:rsidRPr="00A328A3">
        <w:rPr>
          <w:rFonts w:ascii="Times New Roman" w:hAnsi="Times New Roman" w:cs="Times New Roman"/>
          <w:i/>
          <w:iCs/>
          <w:lang w:val="es-EC"/>
        </w:rPr>
        <w:t>Microdesign</w:t>
      </w:r>
      <w:proofErr w:type="spellEnd"/>
      <w:r w:rsidRPr="00A328A3">
        <w:rPr>
          <w:rFonts w:ascii="Times New Roman" w:hAnsi="Times New Roman" w:cs="Times New Roman"/>
          <w:i/>
          <w:iCs/>
          <w:lang w:val="es-EC"/>
        </w:rPr>
        <w:t xml:space="preserve"> and Policy Instruments</w:t>
      </w:r>
      <w:r w:rsidRPr="00A328A3">
        <w:rPr>
          <w:rFonts w:ascii="Times New Roman" w:hAnsi="Times New Roman" w:cs="Times New Roman"/>
          <w:lang w:val="es-EC"/>
        </w:rPr>
        <w:t>. (Manuscrito de trabajo citado en la investigación).</w:t>
      </w:r>
    </w:p>
    <w:p w14:paraId="4DE2C08D"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CEAACES. (2013). </w:t>
      </w:r>
      <w:r w:rsidRPr="00A328A3">
        <w:rPr>
          <w:rFonts w:ascii="Times New Roman" w:hAnsi="Times New Roman" w:cs="Times New Roman"/>
          <w:i/>
          <w:iCs/>
          <w:lang w:val="es-EC"/>
        </w:rPr>
        <w:t>Modelo de evaluación institucional de universidades y escuelas politécnicas 2013</w:t>
      </w:r>
      <w:r w:rsidRPr="00A328A3">
        <w:rPr>
          <w:rFonts w:ascii="Times New Roman" w:hAnsi="Times New Roman" w:cs="Times New Roman"/>
          <w:lang w:val="es-EC"/>
        </w:rPr>
        <w:t>. Consejo de Evaluación, Acreditación y Aseguramiento de la Calidad de la Educación Superior.</w:t>
      </w:r>
    </w:p>
    <w:p w14:paraId="0F01BB97" w14:textId="77777777" w:rsidR="00A328A3" w:rsidRPr="00A328A3" w:rsidRDefault="00A328A3" w:rsidP="00A328A3">
      <w:pPr>
        <w:spacing w:line="240" w:lineRule="auto"/>
        <w:rPr>
          <w:rFonts w:ascii="Times New Roman" w:hAnsi="Times New Roman" w:cs="Times New Roman"/>
          <w:lang w:val="es-EC"/>
        </w:rPr>
      </w:pPr>
      <w:proofErr w:type="spellStart"/>
      <w:r w:rsidRPr="00A328A3">
        <w:rPr>
          <w:rFonts w:ascii="Times New Roman" w:hAnsi="Times New Roman" w:cs="Times New Roman"/>
          <w:lang w:val="es-EC"/>
        </w:rPr>
        <w:t>Chiroleu</w:t>
      </w:r>
      <w:proofErr w:type="spellEnd"/>
      <w:r w:rsidRPr="00A328A3">
        <w:rPr>
          <w:rFonts w:ascii="Times New Roman" w:hAnsi="Times New Roman" w:cs="Times New Roman"/>
          <w:lang w:val="es-EC"/>
        </w:rPr>
        <w:t xml:space="preserve">, A. (2011). </w:t>
      </w:r>
      <w:r w:rsidRPr="00A328A3">
        <w:rPr>
          <w:rFonts w:ascii="Times New Roman" w:hAnsi="Times New Roman" w:cs="Times New Roman"/>
          <w:i/>
          <w:iCs/>
          <w:lang w:val="es-EC"/>
        </w:rPr>
        <w:t>La educación superior en América Latina: ¿problemas insolubles o recetas inadecuadas?</w:t>
      </w:r>
      <w:r w:rsidRPr="00A328A3">
        <w:rPr>
          <w:rFonts w:ascii="Times New Roman" w:hAnsi="Times New Roman" w:cs="Times New Roman"/>
          <w:lang w:val="es-EC"/>
        </w:rPr>
        <w:t xml:space="preserve"> Universidad Nacional de Rosario.</w:t>
      </w:r>
    </w:p>
    <w:p w14:paraId="4A2821AC"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Consejo Nacional de Evaluación y Acreditación (CONEA). (2009). </w:t>
      </w:r>
      <w:r w:rsidRPr="00A328A3">
        <w:rPr>
          <w:rFonts w:ascii="Times New Roman" w:hAnsi="Times New Roman" w:cs="Times New Roman"/>
          <w:i/>
          <w:iCs/>
          <w:lang w:val="es-EC"/>
        </w:rPr>
        <w:t>Evaluación de desempeño institucional de las universidades y escuelas politécnicas del Ecuador</w:t>
      </w:r>
      <w:r w:rsidRPr="00A328A3">
        <w:rPr>
          <w:rFonts w:ascii="Times New Roman" w:hAnsi="Times New Roman" w:cs="Times New Roman"/>
          <w:lang w:val="es-EC"/>
        </w:rPr>
        <w:t>. CONEA.</w:t>
      </w:r>
    </w:p>
    <w:p w14:paraId="00A09456"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Constitución de la República del Ecuador. Registro Oficial No. 449 de 20 de octubre de 2008.</w:t>
      </w:r>
    </w:p>
    <w:p w14:paraId="2B675A58"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Fernández Lamarra, N. (2003). </w:t>
      </w:r>
      <w:r w:rsidRPr="00A328A3">
        <w:rPr>
          <w:rFonts w:ascii="Times New Roman" w:hAnsi="Times New Roman" w:cs="Times New Roman"/>
          <w:i/>
          <w:iCs/>
          <w:lang w:val="es-EC"/>
        </w:rPr>
        <w:t>La educación superior argentina en debate</w:t>
      </w:r>
      <w:r w:rsidRPr="00A328A3">
        <w:rPr>
          <w:rFonts w:ascii="Times New Roman" w:hAnsi="Times New Roman" w:cs="Times New Roman"/>
          <w:lang w:val="es-EC"/>
        </w:rPr>
        <w:t>. IESALC-UNESCO.</w:t>
      </w:r>
    </w:p>
    <w:p w14:paraId="3701B72A"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Fernández Lamarra, N. (2007). </w:t>
      </w:r>
      <w:r w:rsidRPr="00A328A3">
        <w:rPr>
          <w:rFonts w:ascii="Times New Roman" w:hAnsi="Times New Roman" w:cs="Times New Roman"/>
          <w:i/>
          <w:iCs/>
          <w:lang w:val="es-EC"/>
        </w:rPr>
        <w:t>Educación superior y calidad en América Latina y Argentina</w:t>
      </w:r>
      <w:r w:rsidRPr="00A328A3">
        <w:rPr>
          <w:rFonts w:ascii="Times New Roman" w:hAnsi="Times New Roman" w:cs="Times New Roman"/>
          <w:lang w:val="es-EC"/>
        </w:rPr>
        <w:t>. EDUNTREF.</w:t>
      </w:r>
    </w:p>
    <w:p w14:paraId="44F56C4B"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García de Fanelli, A. M. (2014). </w:t>
      </w:r>
      <w:r w:rsidRPr="00A328A3">
        <w:rPr>
          <w:rFonts w:ascii="Times New Roman" w:hAnsi="Times New Roman" w:cs="Times New Roman"/>
          <w:i/>
          <w:iCs/>
          <w:lang w:val="es-EC"/>
        </w:rPr>
        <w:t>Rendición de cuentas y desempeño en la educación superior</w:t>
      </w:r>
      <w:r w:rsidRPr="00A328A3">
        <w:rPr>
          <w:rFonts w:ascii="Times New Roman" w:hAnsi="Times New Roman" w:cs="Times New Roman"/>
          <w:lang w:val="es-EC"/>
        </w:rPr>
        <w:t>. CEDES.</w:t>
      </w:r>
    </w:p>
    <w:p w14:paraId="1648405B"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García Guadilla, C. (2007). </w:t>
      </w:r>
      <w:r w:rsidRPr="00A328A3">
        <w:rPr>
          <w:rFonts w:ascii="Times New Roman" w:hAnsi="Times New Roman" w:cs="Times New Roman"/>
          <w:i/>
          <w:iCs/>
          <w:lang w:val="es-EC"/>
        </w:rPr>
        <w:t>Pensamiento universitario latinoamericano</w:t>
      </w:r>
      <w:r w:rsidRPr="00A328A3">
        <w:rPr>
          <w:rFonts w:ascii="Times New Roman" w:hAnsi="Times New Roman" w:cs="Times New Roman"/>
          <w:lang w:val="es-EC"/>
        </w:rPr>
        <w:t>. IESALC-UNESCO.</w:t>
      </w:r>
    </w:p>
    <w:p w14:paraId="6CD9A4FE" w14:textId="77777777" w:rsidR="00A328A3" w:rsidRPr="00A328A3" w:rsidRDefault="00A328A3" w:rsidP="00A328A3">
      <w:pPr>
        <w:spacing w:line="240" w:lineRule="auto"/>
        <w:rPr>
          <w:rFonts w:ascii="Times New Roman" w:hAnsi="Times New Roman" w:cs="Times New Roman"/>
          <w:lang w:val="en-US"/>
        </w:rPr>
      </w:pPr>
      <w:r w:rsidRPr="00A328A3">
        <w:rPr>
          <w:rFonts w:ascii="Times New Roman" w:hAnsi="Times New Roman" w:cs="Times New Roman"/>
          <w:lang w:val="es-EC"/>
        </w:rPr>
        <w:t xml:space="preserve">Harvey, L., &amp; Green, D. (1993). </w:t>
      </w:r>
      <w:r w:rsidRPr="00A328A3">
        <w:rPr>
          <w:rFonts w:ascii="Times New Roman" w:hAnsi="Times New Roman" w:cs="Times New Roman"/>
          <w:lang w:val="en-US"/>
        </w:rPr>
        <w:t xml:space="preserve">Defining quality. </w:t>
      </w:r>
      <w:r w:rsidRPr="00A328A3">
        <w:rPr>
          <w:rFonts w:ascii="Times New Roman" w:hAnsi="Times New Roman" w:cs="Times New Roman"/>
          <w:i/>
          <w:iCs/>
          <w:lang w:val="en-US"/>
        </w:rPr>
        <w:t>Assessment &amp; Evaluation in Higher Education, 18</w:t>
      </w:r>
      <w:r w:rsidRPr="00A328A3">
        <w:rPr>
          <w:rFonts w:ascii="Times New Roman" w:hAnsi="Times New Roman" w:cs="Times New Roman"/>
          <w:lang w:val="en-US"/>
        </w:rPr>
        <w:t>(1), 9–34.</w:t>
      </w:r>
    </w:p>
    <w:p w14:paraId="749B9E7B" w14:textId="77777777" w:rsidR="00A328A3" w:rsidRPr="00A328A3" w:rsidRDefault="00A328A3" w:rsidP="00A328A3">
      <w:pPr>
        <w:spacing w:line="240" w:lineRule="auto"/>
        <w:rPr>
          <w:rFonts w:ascii="Times New Roman" w:hAnsi="Times New Roman" w:cs="Times New Roman"/>
          <w:lang w:val="es-EC"/>
        </w:rPr>
      </w:pPr>
      <w:proofErr w:type="spellStart"/>
      <w:r w:rsidRPr="00A328A3">
        <w:rPr>
          <w:rFonts w:ascii="Times New Roman" w:hAnsi="Times New Roman" w:cs="Times New Roman"/>
          <w:lang w:val="es-EC"/>
        </w:rPr>
        <w:lastRenderedPageBreak/>
        <w:t>Lascoumes</w:t>
      </w:r>
      <w:proofErr w:type="spellEnd"/>
      <w:r w:rsidRPr="00A328A3">
        <w:rPr>
          <w:rFonts w:ascii="Times New Roman" w:hAnsi="Times New Roman" w:cs="Times New Roman"/>
          <w:lang w:val="es-EC"/>
        </w:rPr>
        <w:t xml:space="preserve">, P., &amp; Le </w:t>
      </w:r>
      <w:proofErr w:type="spellStart"/>
      <w:r w:rsidRPr="00A328A3">
        <w:rPr>
          <w:rFonts w:ascii="Times New Roman" w:hAnsi="Times New Roman" w:cs="Times New Roman"/>
          <w:lang w:val="es-EC"/>
        </w:rPr>
        <w:t>Galès</w:t>
      </w:r>
      <w:proofErr w:type="spellEnd"/>
      <w:r w:rsidRPr="00A328A3">
        <w:rPr>
          <w:rFonts w:ascii="Times New Roman" w:hAnsi="Times New Roman" w:cs="Times New Roman"/>
          <w:lang w:val="es-EC"/>
        </w:rPr>
        <w:t xml:space="preserve">, P. (2007). </w:t>
      </w:r>
      <w:r w:rsidRPr="00A328A3">
        <w:rPr>
          <w:rFonts w:ascii="Times New Roman" w:hAnsi="Times New Roman" w:cs="Times New Roman"/>
          <w:lang w:val="en-US"/>
        </w:rPr>
        <w:t xml:space="preserve">Introduction: Understanding public policy through its instruments—From the nature of instruments to the sociology of public policy instrumentation. </w:t>
      </w:r>
      <w:proofErr w:type="spellStart"/>
      <w:r w:rsidRPr="00A328A3">
        <w:rPr>
          <w:rFonts w:ascii="Times New Roman" w:hAnsi="Times New Roman" w:cs="Times New Roman"/>
          <w:i/>
          <w:iCs/>
          <w:lang w:val="es-EC"/>
        </w:rPr>
        <w:t>Governance</w:t>
      </w:r>
      <w:proofErr w:type="spellEnd"/>
      <w:r w:rsidRPr="00A328A3">
        <w:rPr>
          <w:rFonts w:ascii="Times New Roman" w:hAnsi="Times New Roman" w:cs="Times New Roman"/>
          <w:i/>
          <w:iCs/>
          <w:lang w:val="es-EC"/>
        </w:rPr>
        <w:t>, 20</w:t>
      </w:r>
      <w:r w:rsidRPr="00A328A3">
        <w:rPr>
          <w:rFonts w:ascii="Times New Roman" w:hAnsi="Times New Roman" w:cs="Times New Roman"/>
          <w:lang w:val="es-EC"/>
        </w:rPr>
        <w:t>(1), 1–21.</w:t>
      </w:r>
    </w:p>
    <w:p w14:paraId="111BB86B"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Ley Orgánica de Educación Superior. Registro Oficial Suplemento 298 de 12 de octubre de 2010.</w:t>
      </w:r>
    </w:p>
    <w:p w14:paraId="6F7E8B5A" w14:textId="77777777" w:rsidR="00A328A3" w:rsidRPr="00A328A3" w:rsidRDefault="00A328A3" w:rsidP="00A328A3">
      <w:pPr>
        <w:spacing w:line="240" w:lineRule="auto"/>
        <w:rPr>
          <w:rFonts w:ascii="Times New Roman" w:hAnsi="Times New Roman" w:cs="Times New Roman"/>
          <w:lang w:val="en-US"/>
        </w:rPr>
      </w:pPr>
      <w:r w:rsidRPr="00A328A3">
        <w:rPr>
          <w:rFonts w:ascii="Times New Roman" w:hAnsi="Times New Roman" w:cs="Times New Roman"/>
          <w:lang w:val="es-EC"/>
        </w:rPr>
        <w:t xml:space="preserve">Mandato Constituyente No. 14. Asamblea Constituyente del Ecuador. </w:t>
      </w:r>
      <w:r w:rsidRPr="00A328A3">
        <w:rPr>
          <w:rFonts w:ascii="Times New Roman" w:hAnsi="Times New Roman" w:cs="Times New Roman"/>
          <w:lang w:val="en-US"/>
        </w:rPr>
        <w:t xml:space="preserve">22 de </w:t>
      </w:r>
      <w:proofErr w:type="spellStart"/>
      <w:r w:rsidRPr="00A328A3">
        <w:rPr>
          <w:rFonts w:ascii="Times New Roman" w:hAnsi="Times New Roman" w:cs="Times New Roman"/>
          <w:lang w:val="en-US"/>
        </w:rPr>
        <w:t>julio</w:t>
      </w:r>
      <w:proofErr w:type="spellEnd"/>
      <w:r w:rsidRPr="00A328A3">
        <w:rPr>
          <w:rFonts w:ascii="Times New Roman" w:hAnsi="Times New Roman" w:cs="Times New Roman"/>
          <w:lang w:val="en-US"/>
        </w:rPr>
        <w:t xml:space="preserve"> de 2008.</w:t>
      </w:r>
    </w:p>
    <w:p w14:paraId="64B4FB85" w14:textId="77777777" w:rsidR="00A328A3" w:rsidRPr="00A328A3" w:rsidRDefault="00A328A3" w:rsidP="00A328A3">
      <w:pPr>
        <w:spacing w:line="240" w:lineRule="auto"/>
        <w:rPr>
          <w:rFonts w:ascii="Times New Roman" w:hAnsi="Times New Roman" w:cs="Times New Roman"/>
          <w:lang w:val="en-US"/>
        </w:rPr>
      </w:pPr>
      <w:r w:rsidRPr="00A328A3">
        <w:rPr>
          <w:rFonts w:ascii="Times New Roman" w:hAnsi="Times New Roman" w:cs="Times New Roman"/>
          <w:lang w:val="en-US"/>
        </w:rPr>
        <w:t xml:space="preserve">Neave, G. (1998). The evaluative state reconsidered. </w:t>
      </w:r>
      <w:r w:rsidRPr="00A328A3">
        <w:rPr>
          <w:rFonts w:ascii="Times New Roman" w:hAnsi="Times New Roman" w:cs="Times New Roman"/>
          <w:i/>
          <w:iCs/>
          <w:lang w:val="en-US"/>
        </w:rPr>
        <w:t>European Journal of Education, 33</w:t>
      </w:r>
      <w:r w:rsidRPr="00A328A3">
        <w:rPr>
          <w:rFonts w:ascii="Times New Roman" w:hAnsi="Times New Roman" w:cs="Times New Roman"/>
          <w:lang w:val="en-US"/>
        </w:rPr>
        <w:t>(3), 265–284.</w:t>
      </w:r>
    </w:p>
    <w:p w14:paraId="0E221907"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n-US"/>
        </w:rPr>
        <w:t xml:space="preserve">Neave, G. (2012). </w:t>
      </w:r>
      <w:r w:rsidRPr="00A328A3">
        <w:rPr>
          <w:rFonts w:ascii="Times New Roman" w:hAnsi="Times New Roman" w:cs="Times New Roman"/>
          <w:i/>
          <w:iCs/>
          <w:lang w:val="en-US"/>
        </w:rPr>
        <w:t>The Evaluative State, Institutional Autonomy and Re-engineering Higher Education in Western Europe</w:t>
      </w:r>
      <w:r w:rsidRPr="00A328A3">
        <w:rPr>
          <w:rFonts w:ascii="Times New Roman" w:hAnsi="Times New Roman" w:cs="Times New Roman"/>
          <w:lang w:val="en-US"/>
        </w:rPr>
        <w:t xml:space="preserve">. </w:t>
      </w:r>
      <w:proofErr w:type="spellStart"/>
      <w:r w:rsidRPr="00A328A3">
        <w:rPr>
          <w:rFonts w:ascii="Times New Roman" w:hAnsi="Times New Roman" w:cs="Times New Roman"/>
          <w:lang w:val="es-EC"/>
        </w:rPr>
        <w:t>Palgrave</w:t>
      </w:r>
      <w:proofErr w:type="spellEnd"/>
      <w:r w:rsidRPr="00A328A3">
        <w:rPr>
          <w:rFonts w:ascii="Times New Roman" w:hAnsi="Times New Roman" w:cs="Times New Roman"/>
          <w:lang w:val="es-EC"/>
        </w:rPr>
        <w:t xml:space="preserve"> Macmillan.</w:t>
      </w:r>
    </w:p>
    <w:p w14:paraId="4D26D0BF"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Rama, C. (2006). </w:t>
      </w:r>
      <w:r w:rsidRPr="00A328A3">
        <w:rPr>
          <w:rFonts w:ascii="Times New Roman" w:hAnsi="Times New Roman" w:cs="Times New Roman"/>
          <w:i/>
          <w:iCs/>
          <w:lang w:val="es-EC"/>
        </w:rPr>
        <w:t>La tercera reforma de la educación superior en América Latina</w:t>
      </w:r>
      <w:r w:rsidRPr="00A328A3">
        <w:rPr>
          <w:rFonts w:ascii="Times New Roman" w:hAnsi="Times New Roman" w:cs="Times New Roman"/>
          <w:lang w:val="es-EC"/>
        </w:rPr>
        <w:t>. Fondo de Cultura Económica.</w:t>
      </w:r>
    </w:p>
    <w:p w14:paraId="652319DC" w14:textId="77777777" w:rsidR="00A328A3" w:rsidRPr="00A328A3" w:rsidRDefault="00A328A3" w:rsidP="00A328A3">
      <w:pPr>
        <w:spacing w:line="240" w:lineRule="auto"/>
        <w:rPr>
          <w:rFonts w:ascii="Times New Roman" w:hAnsi="Times New Roman" w:cs="Times New Roman"/>
          <w:lang w:val="es-EC"/>
        </w:rPr>
      </w:pPr>
      <w:r w:rsidRPr="00A328A3">
        <w:rPr>
          <w:rFonts w:ascii="Times New Roman" w:hAnsi="Times New Roman" w:cs="Times New Roman"/>
          <w:lang w:val="es-EC"/>
        </w:rPr>
        <w:t xml:space="preserve">Rama, C. (2011). </w:t>
      </w:r>
      <w:r w:rsidRPr="00A328A3">
        <w:rPr>
          <w:rFonts w:ascii="Times New Roman" w:hAnsi="Times New Roman" w:cs="Times New Roman"/>
          <w:i/>
          <w:iCs/>
          <w:lang w:val="es-EC"/>
        </w:rPr>
        <w:t>La universidad latinoamericana en la encrucijada</w:t>
      </w:r>
      <w:r w:rsidRPr="00A328A3">
        <w:rPr>
          <w:rFonts w:ascii="Times New Roman" w:hAnsi="Times New Roman" w:cs="Times New Roman"/>
          <w:lang w:val="es-EC"/>
        </w:rPr>
        <w:t>. IESALC-UNESCO.</w:t>
      </w:r>
    </w:p>
    <w:p w14:paraId="7E83515B" w14:textId="18EBF6AF"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8E414" w14:textId="77777777" w:rsidR="00E00325" w:rsidRPr="00BA642E" w:rsidRDefault="00E00325" w:rsidP="00C802F5">
      <w:pPr>
        <w:spacing w:after="0" w:line="240" w:lineRule="auto"/>
      </w:pPr>
      <w:r w:rsidRPr="00BA642E">
        <w:separator/>
      </w:r>
    </w:p>
  </w:endnote>
  <w:endnote w:type="continuationSeparator" w:id="0">
    <w:p w14:paraId="0C5EC000" w14:textId="77777777" w:rsidR="00E00325" w:rsidRPr="00BA642E" w:rsidRDefault="00E0032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1AF11" w14:textId="77777777" w:rsidR="00E00325" w:rsidRPr="00BA642E" w:rsidRDefault="00E00325" w:rsidP="00C802F5">
      <w:pPr>
        <w:spacing w:after="0" w:line="240" w:lineRule="auto"/>
      </w:pPr>
      <w:r w:rsidRPr="00BA642E">
        <w:separator/>
      </w:r>
    </w:p>
  </w:footnote>
  <w:footnote w:type="continuationSeparator" w:id="0">
    <w:p w14:paraId="7ACD81FD" w14:textId="77777777" w:rsidR="00E00325" w:rsidRPr="00BA642E" w:rsidRDefault="00E0032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6F9"/>
    <w:multiLevelType w:val="hybridMultilevel"/>
    <w:tmpl w:val="E7E2819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22244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C7903"/>
    <w:rsid w:val="000E5601"/>
    <w:rsid w:val="00180394"/>
    <w:rsid w:val="001816D6"/>
    <w:rsid w:val="0018474E"/>
    <w:rsid w:val="00185F5E"/>
    <w:rsid w:val="001923DC"/>
    <w:rsid w:val="002327C3"/>
    <w:rsid w:val="00242B30"/>
    <w:rsid w:val="00275B23"/>
    <w:rsid w:val="002913D8"/>
    <w:rsid w:val="002D1B71"/>
    <w:rsid w:val="00312392"/>
    <w:rsid w:val="00331EFB"/>
    <w:rsid w:val="004040C0"/>
    <w:rsid w:val="00421A8E"/>
    <w:rsid w:val="00430320"/>
    <w:rsid w:val="00437E9C"/>
    <w:rsid w:val="0045737B"/>
    <w:rsid w:val="004D7929"/>
    <w:rsid w:val="00501602"/>
    <w:rsid w:val="0051782F"/>
    <w:rsid w:val="00534D5A"/>
    <w:rsid w:val="00550766"/>
    <w:rsid w:val="00577F42"/>
    <w:rsid w:val="005F3B2E"/>
    <w:rsid w:val="005F551C"/>
    <w:rsid w:val="00652BFF"/>
    <w:rsid w:val="00701F64"/>
    <w:rsid w:val="00725A46"/>
    <w:rsid w:val="00764066"/>
    <w:rsid w:val="00775797"/>
    <w:rsid w:val="007A3252"/>
    <w:rsid w:val="007B5B5F"/>
    <w:rsid w:val="007D233B"/>
    <w:rsid w:val="00811E2D"/>
    <w:rsid w:val="00824ACD"/>
    <w:rsid w:val="00832721"/>
    <w:rsid w:val="0085070B"/>
    <w:rsid w:val="008D7258"/>
    <w:rsid w:val="00932BF5"/>
    <w:rsid w:val="00951C88"/>
    <w:rsid w:val="00A140C7"/>
    <w:rsid w:val="00A17247"/>
    <w:rsid w:val="00A328A3"/>
    <w:rsid w:val="00AE1268"/>
    <w:rsid w:val="00BA642E"/>
    <w:rsid w:val="00BC236F"/>
    <w:rsid w:val="00C30C23"/>
    <w:rsid w:val="00C32E51"/>
    <w:rsid w:val="00C802F5"/>
    <w:rsid w:val="00C96B2C"/>
    <w:rsid w:val="00CB0380"/>
    <w:rsid w:val="00CC04C1"/>
    <w:rsid w:val="00CC44E8"/>
    <w:rsid w:val="00CD2D08"/>
    <w:rsid w:val="00D843EC"/>
    <w:rsid w:val="00DC5C56"/>
    <w:rsid w:val="00DF5AD5"/>
    <w:rsid w:val="00E00325"/>
    <w:rsid w:val="00E474F0"/>
    <w:rsid w:val="00E57C03"/>
    <w:rsid w:val="00E60FCB"/>
    <w:rsid w:val="00EF7411"/>
    <w:rsid w:val="00F06012"/>
    <w:rsid w:val="00F13633"/>
    <w:rsid w:val="00F66C43"/>
    <w:rsid w:val="00F71C65"/>
    <w:rsid w:val="00FB16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421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6">
    <w:name w:val="Estilo6"/>
    <w:basedOn w:val="Normal"/>
    <w:autoRedefine/>
    <w:qFormat/>
    <w:rsid w:val="00242B30"/>
    <w:pPr>
      <w:spacing w:line="259" w:lineRule="auto"/>
      <w:jc w:val="both"/>
    </w:pPr>
    <w:rPr>
      <w:rFonts w:ascii="Times New Roman" w:eastAsia="Calibri" w:hAnsi="Times New Roman" w:cs="Calibri"/>
      <w:kern w:val="0"/>
      <w:sz w:val="22"/>
      <w:szCs w:val="22"/>
      <w:lang w:val="es-EC" w:eastAsia="es-EC"/>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19</Pages>
  <Words>9175</Words>
  <Characters>50465</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ARAUJO SILVA LORENA ELIZABETH</cp:lastModifiedBy>
  <cp:revision>3</cp:revision>
  <dcterms:created xsi:type="dcterms:W3CDTF">2026-07-13T00:24:00Z</dcterms:created>
  <dcterms:modified xsi:type="dcterms:W3CDTF">2026-07-13T00:32:00Z</dcterms:modified>
</cp:coreProperties>
</file>