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_rels/footer2.xml.rels" ContentType="application/vnd.openxmlformats-package.relationships+xml"/>
  <Override PartName="/word/_rels/header2.xml.rels" ContentType="application/vnd.openxmlformats-package.relationships+xml"/>
  <Override PartName="/word/_rels/footer3.xml.rels" ContentType="application/vnd.openxmlformats-package.relationships+xml"/>
  <Override PartName="/word/_rels/header3.xml.rels" ContentType="application/vnd.openxmlformats-package.relationships+xml"/>
  <Override PartName="/word/_rels/fontTable.xml.rels" ContentType="application/vnd.openxmlformats-package.relationships+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media/image1.png" ContentType="image/png"/>
  <Override PartName="/word/media/image2.png" ContentType="image/png"/>
  <Override PartName="/word/fonts/font9.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10.odttf" ContentType="application/vnd.openxmlformats-officedocument.obfuscatedFont"/>
  <Override PartName="/word/fonts/font4.odttf" ContentType="application/vnd.openxmlformats-officedocument.obfuscatedFont"/>
  <Override PartName="/word/fonts/font7.odttf" ContentType="application/vnd.openxmlformats-officedocument.obfuscatedFont"/>
  <Override PartName="/word/fonts/font13.odttf" ContentType="application/vnd.openxmlformats-officedocument.obfuscatedFont"/>
  <Override PartName="/word/fonts/font11.odttf" ContentType="application/vnd.openxmlformats-officedocument.obfuscatedFont"/>
  <Override PartName="/word/fonts/font5.odttf" ContentType="application/vnd.openxmlformats-officedocument.obfuscatedFont"/>
  <Override PartName="/word/fonts/font8.odttf" ContentType="application/vnd.openxmlformats-officedocument.obfuscatedFont"/>
  <Override PartName="/word/fonts/font14.odttf" ContentType="application/vnd.openxmlformats-officedocument.obfuscatedFont"/>
  <Override PartName="/word/fonts/font12.odttf" ContentType="application/vnd.openxmlformats-officedocument.obfuscatedFont"/>
  <Override PartName="/word/fonts/font6.odttf" ContentType="application/vnd.openxmlformats-officedocument.obfuscatedFont"/>
  <Override PartName="/word/header3.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jc w:val="center"/>
        <w:rPr>
          <w:rFonts w:ascii="Times New Roman" w:hAnsi="Times New Roman" w:eastAsia="Times New Roman" w:cs="Times New Roman"/>
        </w:rPr>
      </w:pPr>
      <w:r>
        <w:rPr>
          <w:rFonts w:eastAsia="Times New Roman" w:cs="Times New Roman"/>
          <w:b/>
          <w:bCs/>
          <w:sz w:val="24"/>
          <w:szCs w:val="24"/>
        </w:rPr>
        <w:t>Valoración institucional de la vinculación con el medio en proyectos sociales en universidades científico-tecnológicas</w:t>
      </w:r>
    </w:p>
    <w:p>
      <w:pPr>
        <w:pStyle w:val="normal1"/>
        <w:spacing w:lineRule="auto" w:line="240" w:before="0" w:after="0"/>
        <w:jc w:val="right"/>
        <w:rPr>
          <w:rFonts w:ascii="Times New Roman" w:hAnsi="Times New Roman" w:eastAsia="Times New Roman" w:cs="Times New Roman"/>
        </w:rPr>
      </w:pPr>
      <w:r>
        <w:rPr>
          <w:rFonts w:eastAsia="Times New Roman" w:cs="Times New Roman"/>
          <w:sz w:val="24"/>
          <w:szCs w:val="24"/>
        </w:rPr>
        <w:t>Aguilera Daniela</w:t>
      </w:r>
    </w:p>
    <w:p>
      <w:pPr>
        <w:pStyle w:val="normal1"/>
        <w:spacing w:lineRule="auto" w:line="240" w:before="0" w:after="0"/>
        <w:jc w:val="right"/>
        <w:rPr>
          <w:rFonts w:ascii="Times New Roman" w:hAnsi="Times New Roman" w:eastAsia="Times New Roman" w:cs="Times New Roman"/>
        </w:rPr>
      </w:pPr>
      <w:r>
        <w:rPr>
          <w:rFonts w:eastAsia="Times New Roman" w:cs="Times New Roman"/>
          <w:sz w:val="24"/>
          <w:szCs w:val="24"/>
        </w:rPr>
        <w:t>Universidad Técnica Federico Santa María</w:t>
      </w:r>
    </w:p>
    <w:p>
      <w:pPr>
        <w:pStyle w:val="normal1"/>
        <w:spacing w:lineRule="auto" w:line="240" w:before="0" w:after="0"/>
        <w:jc w:val="right"/>
        <w:rPr>
          <w:rFonts w:ascii="Times New Roman" w:hAnsi="Times New Roman" w:eastAsia="Times New Roman" w:cs="Times New Roman"/>
        </w:rPr>
      </w:pPr>
      <w:r>
        <w:rPr>
          <w:rFonts w:eastAsia="Times New Roman" w:cs="Times New Roman"/>
          <w:sz w:val="24"/>
          <w:szCs w:val="24"/>
        </w:rPr>
        <w:t>daniela.aguilera@usm.cl</w:t>
      </w:r>
    </w:p>
    <w:p>
      <w:pPr>
        <w:pStyle w:val="normal1"/>
        <w:rPr>
          <w:rFonts w:ascii="Times New Roman" w:hAnsi="Times New Roman" w:eastAsia="Times New Roman" w:cs="Times New Roman"/>
        </w:rPr>
      </w:pPr>
      <w:r>
        <w:rPr>
          <w:rFonts w:eastAsia="Times New Roman" w:cs="Times New Roman"/>
        </w:rPr>
      </w:r>
    </w:p>
    <w:p>
      <w:pPr>
        <w:pStyle w:val="normal1"/>
        <w:spacing w:lineRule="auto" w:line="240" w:before="0" w:after="0"/>
        <w:jc w:val="right"/>
        <w:rPr>
          <w:rFonts w:ascii="Times New Roman" w:hAnsi="Times New Roman" w:eastAsia="Times New Roman" w:cs="Times New Roman"/>
        </w:rPr>
      </w:pPr>
      <w:r>
        <w:rPr>
          <w:rFonts w:eastAsia="Times New Roman" w:cs="Times New Roman"/>
          <w:sz w:val="24"/>
          <w:szCs w:val="24"/>
        </w:rPr>
        <w:t xml:space="preserve">Améstica </w:t>
      </w:r>
      <w:r>
        <w:rPr>
          <w:rFonts w:eastAsia="Times New Roman" w:cs="Times New Roman"/>
          <w:sz w:val="24"/>
          <w:szCs w:val="24"/>
        </w:rPr>
        <w:t xml:space="preserve">Hernández </w:t>
      </w:r>
      <w:r>
        <w:rPr>
          <w:rFonts w:eastAsia="Times New Roman" w:cs="Times New Roman"/>
          <w:sz w:val="24"/>
          <w:szCs w:val="24"/>
        </w:rPr>
        <w:t>Gonzalo</w:t>
      </w:r>
    </w:p>
    <w:p>
      <w:pPr>
        <w:pStyle w:val="normal1"/>
        <w:spacing w:lineRule="auto" w:line="240" w:before="0" w:after="0"/>
        <w:jc w:val="right"/>
        <w:rPr>
          <w:rFonts w:ascii="Times New Roman" w:hAnsi="Times New Roman" w:eastAsia="Times New Roman" w:cs="Times New Roman"/>
        </w:rPr>
      </w:pPr>
      <w:r>
        <w:rPr>
          <w:rFonts w:eastAsia="Times New Roman" w:cs="Times New Roman"/>
          <w:sz w:val="24"/>
          <w:szCs w:val="24"/>
        </w:rPr>
        <w:t>Universidad Técnica Federico Santa María</w:t>
      </w:r>
    </w:p>
    <w:p>
      <w:pPr>
        <w:pStyle w:val="normal1"/>
        <w:spacing w:lineRule="auto" w:line="240" w:before="0" w:after="0"/>
        <w:jc w:val="right"/>
        <w:rPr>
          <w:rFonts w:ascii="Times New Roman" w:hAnsi="Times New Roman" w:eastAsia="Times New Roman" w:cs="Times New Roman"/>
        </w:rPr>
      </w:pPr>
      <w:r>
        <w:rPr>
          <w:rFonts w:eastAsia="Times New Roman" w:cs="Times New Roman"/>
          <w:sz w:val="24"/>
          <w:szCs w:val="24"/>
        </w:rPr>
        <w:t>gonzalo.amestica@usm.cl</w:t>
      </w:r>
    </w:p>
    <w:p>
      <w:pPr>
        <w:pStyle w:val="normal1"/>
        <w:spacing w:lineRule="auto" w:line="240" w:before="0" w:after="0"/>
        <w:jc w:val="right"/>
        <w:rPr>
          <w:rFonts w:ascii="Times New Roman" w:hAnsi="Times New Roman" w:eastAsia="Times New Roman" w:cs="Times New Roman"/>
        </w:rPr>
      </w:pPr>
      <w:r>
        <w:rPr>
          <w:rFonts w:eastAsia="Times New Roman" w:cs="Times New Roman"/>
        </w:rPr>
      </w:r>
    </w:p>
    <w:p>
      <w:pPr>
        <w:pStyle w:val="normal1"/>
        <w:tabs>
          <w:tab w:val="clear" w:pos="720"/>
          <w:tab w:val="center" w:pos="4252" w:leader="none"/>
          <w:tab w:val="right" w:pos="8504" w:leader="none"/>
        </w:tabs>
        <w:spacing w:lineRule="auto" w:line="240" w:before="0" w:after="0"/>
        <w:rPr>
          <w:rFonts w:ascii="Times New Roman" w:hAnsi="Times New Roman" w:eastAsia="Times New Roman" w:cs="Times New Roman"/>
        </w:rPr>
      </w:pPr>
      <w:r>
        <w:rPr>
          <w:rFonts w:eastAsia="Times New Roman" w:cs="Times New Roman"/>
          <w:sz w:val="24"/>
          <w:szCs w:val="24"/>
        </w:rPr>
        <w:tab/>
        <w:tab/>
      </w:r>
    </w:p>
    <w:p>
      <w:pPr>
        <w:pStyle w:val="normal1"/>
        <w:spacing w:lineRule="auto" w:line="240"/>
        <w:jc w:val="both"/>
        <w:rPr>
          <w:rFonts w:ascii="Times New Roman" w:hAnsi="Times New Roman" w:eastAsia="Times New Roman" w:cs="Times New Roman"/>
          <w:b/>
          <w:bCs/>
        </w:rPr>
      </w:pPr>
      <w:r>
        <w:rPr>
          <w:rFonts w:eastAsia="Times New Roman" w:cs="Times New Roman"/>
          <w:b/>
          <w:bCs/>
          <w:sz w:val="24"/>
          <w:szCs w:val="24"/>
        </w:rPr>
        <w:t xml:space="preserve">Resumen: </w:t>
      </w:r>
      <w:r>
        <w:rPr>
          <w:rFonts w:eastAsia="Times New Roman" w:cs="Times New Roman"/>
          <w:sz w:val="24"/>
          <w:szCs w:val="24"/>
        </w:rPr>
        <w:t>En las últimas décadas, la educación superior ha experimentado transformaciones orientadas a fortalecer su relación con el entorno social, configurando lo que la literatura ha denominado la “tercera misión” universitaria. En este contexto, la vinculación con el medio ha adquirido relevancia como función institucional, particularmente en sistemas de aseguramiento de la calidad que, como el chileno, han incorporado criterios asociados a la bidireccionalidad, el impacto y la integración con las funciones académicas. No obstante, la consolidación de esta función presenta tensiones, como en el caso de las universidades científico-tecnológicas chilenas, donde las lógicas tradicionales de producción de conocimiento tienden a privilegiar la investigación por sobre otras formas de contribución a la sociedad. La presente investigación analiza las barreras que enfrentan las iniciativas de vinculación con el medio de carácter social para ser valor</w:t>
      </w:r>
      <w:r>
        <w:rPr/>
        <w:t>a</w:t>
      </w:r>
      <w:r>
        <w:rPr>
          <w:rFonts w:eastAsia="Times New Roman" w:cs="Times New Roman"/>
          <w:sz w:val="24"/>
          <w:szCs w:val="24"/>
        </w:rPr>
        <w:t>das internamente en la universidad, considerando su relación con los criterios establecidos por la Comisión Nacional de Acreditación en Chile. Para ello, se desarrolla un estudio de caso centrado en el programa Escuela Mujer Emprende 2024, implementado en colaboración con una institución pública y orientado al fortalecimiento de capacidades emprendedoras en mujeres en distintas regiones del país. La metodología utilizada es de enfoque cualitativo, mediante un análisis documental y entrevistas semiestructuradas a distintos actores involucrados en el programa, incluyendo académicos ejecutores, profesionales de unidades de vinculación con el medio, estudiantes participantes y actores externos. El análisis se realiza a partir de una matriz que articula distintos niveles, macro, meso, micro y del proyecto, permitiendo identificar patrones en torno a la valoración institucional, la bidireccionalidad y las barreras de implementación. Se evidencia una paradoja central. Por una parte, el programa presenta altos niveles de impacto social y valor formativo, tanto en el fortalecimiento de capacidades de las beneficiarias como en el desarrollo de aprendizajes significativos en estudiantes y docentes. Aún esto, estas iniciativas enfrentan una baja valoración institucional, expresada en la ausencia de reconocimiento en la carrera académica, escasa integración con la docencia y la investigación, y una limitada visibilidad universitaria. Se observa que la bidireccionalidad se manifiesta de manera parcial, con limitaciones para avanzar hacia formas de co-construcción. A ello se suman barreras de carácter operativo, administrativo e institucional, tales como restricciones de recursos, procesos burocráticos y debilidades en la medición del impacto. Se concluye que la valoración de la vinculación con el medio en este tipo de iniciativas no depende exclusivamente de su impacto social, sino de su alineación con los sistemas de incentivos y las lógicas académicas dominantes. En este sentido, el estudio aporta a la comprensión de las tensiones entre universidad y territorio, evidenciando la necesidad de repensar los modelos que integran la vinculación con el medio con impacto social en el quehacer universitario.</w:t>
      </w:r>
    </w:p>
    <w:p>
      <w:pPr>
        <w:pStyle w:val="normal1"/>
        <w:spacing w:lineRule="auto" w:line="240"/>
        <w:jc w:val="both"/>
        <w:rPr>
          <w:rFonts w:ascii="Times New Roman" w:hAnsi="Times New Roman" w:eastAsia="Times New Roman" w:cs="Times New Roman"/>
          <w:b/>
          <w:bCs/>
        </w:rPr>
      </w:pPr>
      <w:r>
        <w:rPr>
          <w:rFonts w:eastAsia="Times New Roman" w:cs="Times New Roman"/>
          <w:b/>
          <w:bCs/>
          <w:sz w:val="24"/>
          <w:szCs w:val="24"/>
        </w:rPr>
        <w:t xml:space="preserve">Palabras clave: </w:t>
      </w:r>
      <w:r>
        <w:rPr>
          <w:rFonts w:eastAsia="Times New Roman" w:cs="Times New Roman"/>
          <w:sz w:val="24"/>
          <w:szCs w:val="24"/>
        </w:rPr>
        <w:t>vinculación con el medio, valoración institucional, impacto social.</w:t>
      </w:r>
    </w:p>
    <w:p>
      <w:pPr>
        <w:pStyle w:val="normal1"/>
        <w:spacing w:lineRule="auto" w:line="240"/>
        <w:rPr>
          <w:rFonts w:ascii="Times New Roman" w:hAnsi="Times New Roman" w:eastAsia="Times New Roman" w:cs="Times New Roman"/>
          <w:b/>
          <w:bCs/>
        </w:rPr>
      </w:pPr>
      <w:r>
        <w:rPr>
          <w:rFonts w:eastAsia="Times New Roman" w:cs="Times New Roman"/>
          <w:b/>
          <w:bCs/>
        </w:rPr>
      </w:r>
    </w:p>
    <w:p>
      <w:pPr>
        <w:pStyle w:val="normal1"/>
        <w:rPr/>
      </w:pPr>
      <w:r>
        <w:rPr>
          <w:rFonts w:eastAsia="Times New Roman" w:cs="Times New Roman"/>
          <w:b/>
          <w:bCs/>
          <w:sz w:val="24"/>
          <w:szCs w:val="24"/>
        </w:rPr>
        <w:t>1. Introducción</w:t>
      </w:r>
    </w:p>
    <w:p>
      <w:pPr>
        <w:pStyle w:val="normal1"/>
        <w:spacing w:lineRule="auto" w:line="240" w:before="0" w:after="120"/>
        <w:jc w:val="both"/>
        <w:rPr/>
      </w:pPr>
      <w:r>
        <w:rPr>
          <w:rFonts w:eastAsia="Times New Roman" w:cs="Times New Roman"/>
          <w:sz w:val="24"/>
          <w:szCs w:val="24"/>
        </w:rPr>
        <w:t>En las últimas décadas, la educación superior ha experimentado transformaciones orientadas a fortalecer su relación con el entorno social, productivo y territorial (Brunner, 2011). Este desplazamiento ha sido interpretado, en distintos marcos conceptuales, como extensión universitaria, compromiso público, responsabilidad social universitaria, tercera misión o vinculación con el medio (VcM). Aunque estas nociones no son equivalentes, comparten una preocupación común: interrogar la forma en que la universidad produce valor público más allá de la docencia y la investigación entendidas en sentido estricto. En el caso chileno, la vinculación con el medio ha adquirido especial relevancia debido a su incorporación como dimensión de acreditación institucional, lo que ha contribuido a formalizar políticas, indicadores, unidades de gestión y mecanismos de evaluación asociados a esta función (Comisión Nacional de Acreditación [CNA], 2025; Irarrázaval, 2020).</w:t>
      </w:r>
    </w:p>
    <w:p>
      <w:pPr>
        <w:pStyle w:val="normal1"/>
        <w:spacing w:lineRule="auto" w:line="240" w:before="0" w:after="120"/>
        <w:jc w:val="both"/>
        <w:rPr/>
      </w:pPr>
      <w:r>
        <w:rPr>
          <w:rFonts w:eastAsia="Times New Roman" w:cs="Times New Roman"/>
          <w:sz w:val="24"/>
          <w:szCs w:val="24"/>
        </w:rPr>
        <w:t>Esta formalización, sin embargo, no resuelve por sí misma las tensiones que atraviesan la relación entre universidad y sociedad. La literatura ha mostrado que las universidades son organizaciones complejas, en las que coexisten unidades académicas con altos grados de autonomía, culturas disciplinares diferenciadas y sistemas de incentivos que tienden a privilegiar ciertos productos por sobre otros. Clark (1998) permite comprender esta complejidad al mostrar que la transformación universitaria requiere modificar estructuras, fuentes de financiamiento, unidades de gestión y culturas académicas. Brunner (2011), por su parte, subraya que la gobernanza universitaria debe responder a entornos cambiantes, pero dicha adaptación no ocurre de manera automática, pues se encuentra mediada por arreglos internos de poder, legitimidad y efectividad.</w:t>
      </w:r>
    </w:p>
    <w:p>
      <w:pPr>
        <w:pStyle w:val="normal1"/>
        <w:spacing w:lineRule="auto" w:line="240" w:before="0" w:after="120"/>
        <w:jc w:val="both"/>
        <w:rPr/>
      </w:pPr>
      <w:r>
        <w:rPr>
          <w:rFonts w:eastAsia="Times New Roman" w:cs="Times New Roman"/>
          <w:sz w:val="24"/>
          <w:szCs w:val="24"/>
        </w:rPr>
        <w:t>En este escenario, la vinculación con el medio se instala como una función institucionalmente reconocida, pero su valoración interna permanece disputada (Irarrázaval, 2020).</w:t>
      </w:r>
    </w:p>
    <w:p>
      <w:pPr>
        <w:pStyle w:val="normal1"/>
        <w:spacing w:lineRule="auto" w:line="240" w:before="0" w:after="120"/>
        <w:jc w:val="both"/>
        <w:rPr/>
      </w:pPr>
      <w:r>
        <w:rPr>
          <w:rFonts w:eastAsia="Times New Roman" w:cs="Times New Roman"/>
          <w:sz w:val="24"/>
          <w:szCs w:val="24"/>
        </w:rPr>
        <w:t>El caso de la Escuela Mujer Emprende 2024 permite analizar esta problemática. Se trata de una iniciativa orientada al fortalecimiento de capacidades emprendedoras de mujeres, implementada en articulación con el Servicio Nacional de la Mujer y la Equidad de Género (SernamEG), entidad p</w:t>
      </w:r>
      <w:r>
        <w:rPr/>
        <w:t>ública del Ministerio de la Mujer y Equidad de Género,</w:t>
      </w:r>
      <w:r>
        <w:rPr>
          <w:rFonts w:eastAsia="Times New Roman" w:cs="Times New Roman"/>
          <w:sz w:val="24"/>
          <w:szCs w:val="24"/>
        </w:rPr>
        <w:t xml:space="preserve"> y ejecutada por una universidad con foco p</w:t>
      </w:r>
      <w:r>
        <w:rPr/>
        <w:t>redominante hacia la ingeniería</w:t>
      </w:r>
      <w:r>
        <w:rPr>
          <w:rFonts w:eastAsia="Times New Roman" w:cs="Times New Roman"/>
          <w:sz w:val="24"/>
          <w:szCs w:val="24"/>
        </w:rPr>
        <w:t xml:space="preserve"> en </w:t>
      </w:r>
      <w:r>
        <w:rPr/>
        <w:t>Chile</w:t>
      </w:r>
      <w:r>
        <w:rPr>
          <w:rFonts w:eastAsia="Times New Roman" w:cs="Times New Roman"/>
          <w:sz w:val="24"/>
          <w:szCs w:val="24"/>
        </w:rPr>
        <w:t>. El programa presenta una contribución social reconocible, vinculada al apoyo a mujeres emprendedoras, la disminución de brechas digitales, el fortalecimiento de capacidades de gestión y la articulación con objetivos de política pública. Sin embargo, su carácter operativo, su diseño parcialmente definido por lineamientos externos y su débil incorporación formal a la docencia o a la investigación generan dificultades para su valoración dentro de la universidad.</w:t>
      </w:r>
    </w:p>
    <w:p>
      <w:pPr>
        <w:pStyle w:val="normal1"/>
        <w:spacing w:lineRule="auto" w:line="240" w:before="0" w:after="120"/>
        <w:jc w:val="both"/>
        <w:rPr>
          <w:rFonts w:ascii="Times New Roman" w:hAnsi="Times New Roman" w:eastAsia="Times New Roman" w:cs="Times New Roman"/>
          <w:sz w:val="24"/>
          <w:szCs w:val="24"/>
        </w:rPr>
      </w:pPr>
      <w:r>
        <w:rPr>
          <w:rFonts w:eastAsia="Times New Roman" w:cs="Times New Roman"/>
          <w:sz w:val="24"/>
          <w:szCs w:val="24"/>
        </w:rPr>
        <w:t xml:space="preserve">A partir de lo anterior, este artículo analiza las barreras que enfrentan las iniciativas de vinculación con el medio de carácter social y operativo para ser reconocidas dentro de los sistemas institucionales de </w:t>
      </w:r>
      <w:r>
        <w:rPr/>
        <w:t>valoración</w:t>
      </w:r>
      <w:r>
        <w:rPr>
          <w:rFonts w:eastAsia="Times New Roman" w:cs="Times New Roman"/>
          <w:sz w:val="24"/>
          <w:szCs w:val="24"/>
        </w:rPr>
        <w:t xml:space="preserve"> académica. El argumento central sostiene que la brecha entre impacto social y reconocimiento institucional no corresponde solo a un problema de registro o difusión, sino a una tensión estructural entre las lógicas de acreditación, los sistemas de incentivos académicos, las culturas disciplinares y las condiciones concretas de ejecución de los proyectos. Esta tensión se examina mediante un estudio de caso cualitativo basado en entrevistas semiestructuradas a actores externos, docentes, estudiantes ejecutores y profesionales de vinculación con el medio.</w:t>
      </w:r>
    </w:p>
    <w:p>
      <w:pPr>
        <w:pStyle w:val="normal1"/>
        <w:spacing w:lineRule="auto" w:line="240" w:before="0" w:after="120"/>
        <w:jc w:val="both"/>
        <w:rPr/>
      </w:pPr>
      <w:r>
        <w:rPr/>
      </w:r>
    </w:p>
    <w:p>
      <w:pPr>
        <w:pStyle w:val="normal1"/>
        <w:rPr/>
      </w:pPr>
      <w:r>
        <w:rPr>
          <w:rFonts w:eastAsia="Times New Roman" w:cs="Times New Roman"/>
          <w:b/>
          <w:bCs/>
          <w:sz w:val="24"/>
          <w:szCs w:val="24"/>
        </w:rPr>
        <w:t>2. Institucionalización y valoración de la Vinculación con el Medio en la educación superior</w:t>
      </w:r>
    </w:p>
    <w:p>
      <w:pPr>
        <w:pStyle w:val="normal1"/>
        <w:rPr/>
      </w:pPr>
      <w:r>
        <w:rPr>
          <w:rFonts w:eastAsia="Times New Roman" w:cs="Times New Roman"/>
          <w:b/>
          <w:bCs/>
          <w:sz w:val="24"/>
          <w:szCs w:val="24"/>
        </w:rPr>
        <w:t>2.1 Universidad, tercera misión y tensiones organizacionales</w:t>
      </w:r>
    </w:p>
    <w:p>
      <w:pPr>
        <w:pStyle w:val="normal1"/>
        <w:spacing w:lineRule="auto" w:line="240" w:before="0" w:after="120"/>
        <w:jc w:val="both"/>
        <w:rPr/>
      </w:pPr>
      <w:r>
        <w:rPr/>
        <w:t>La incorporación de la vinculación con el medio como función sustantiva de las universidades debe comprenderse en el contexto de las profundas transformaciones experimentadas por la educación superior durante las últimas décadas. Tradicionalmente, la universidad organizó su quehacer en torno a la docencia y la investigación; sin embargo, el incremento de las demandas sociales, económicas y territoriales ha impulsado una redefinición de su misión, orientándola hacia una participación más activa en los procesos de desarrollo y en la resolución de problemas públicos (Brunner, 2011; UNESCO IESALC, 2021). En América Latina, esta transformación también responde a una larga tradición de extensión universitaria, que históricamente buscó superar la imagen de la universidad como una "torre de marfil", aislada de las necesidades de la sociedad (Irarrázaval, 2020; Tünnermann Bernheim, 2000).</w:t>
      </w:r>
    </w:p>
    <w:p>
      <w:pPr>
        <w:pStyle w:val="normal1"/>
        <w:spacing w:lineRule="auto" w:line="240" w:before="0" w:after="120"/>
        <w:jc w:val="both"/>
        <w:rPr/>
      </w:pPr>
      <w:r>
        <w:rPr/>
        <w:t>En este escenario surge la denominada tercera misión, entendida como el conjunto de actividades mediante las cuales las instituciones de educación superior interactúan con actores externos para generar valor social, económico, cultural o tecnológico (Compagnucci &amp; Spigarelli, 2020; Dassoler et al., 2023). Aunque inicialmente el concepto estuvo estrechamente asociado a la transferencia tecnológica y a la innovación derivada de la investigación científica (Etzkowitz &amp; Leydesdorff, 2000), posteriormente amplió su alcance para incorporar formas diversas de interacción con la sociedad, tales como la extensión universitaria, el aprendizaje-servicio, la responsabilidad social universitaria, la educación continua y la colaboración con instituciones públicas y organizaciones sociales (Compagnucci &amp; Spigarelli, 2020; Vallaeys, 2014). Esta evolución explica que la vinculación con el medio constituya actualmente un campo conceptual amplio y polisémico, donde convergen distintas tradiciones institucionales, finalidades y formas de relación con el entorno (Salazar, 2022).</w:t>
      </w:r>
    </w:p>
    <w:p>
      <w:pPr>
        <w:pStyle w:val="normal1"/>
        <w:spacing w:lineRule="auto" w:line="240" w:before="0" w:after="120"/>
        <w:jc w:val="both"/>
        <w:rPr/>
      </w:pPr>
      <w:r>
        <w:rPr/>
        <w:t>Desde una perspectiva organizacional, el principal desafío no consiste únicamente en incorporar nuevas funciones, sino en lograr su integración efectiva dentro de las estructuras universitarias. Clark (1998) sostiene que las universidades que logran transformarse fortalecen simultáneamente su conducción estratégica, desarrollan unidades especializadas de interacción con el entorno, diversifican sus fuentes de financiamiento y promueven cambios en la cultura académica. De lo contrario, las nuevas funciones tienden a institucionalizarse solo a nivel declarativo, sin modificar sustancialmente los mecanismos de evaluación, los incentivos académicos ni las prácticas cotidianas de las unidades. En la misma línea, Brunner (2011) advierte que la gobernanza universitaria contemporánea se caracteriza por la coexistencia de múltiples demandas, donde las instituciones deben equilibrar autonomía, legitimidad, rendición de cuentas y capacidad de respuesta frente a un entorno cada vez más complejo.</w:t>
      </w:r>
    </w:p>
    <w:p>
      <w:pPr>
        <w:pStyle w:val="normal1"/>
        <w:spacing w:lineRule="auto" w:line="240" w:before="0" w:after="120"/>
        <w:jc w:val="both"/>
        <w:rPr/>
      </w:pPr>
      <w:r>
        <w:rPr/>
        <w:t>Estas tensiones adquieren características particulares en las universidades científico-tecnológicas. En este tipo de instituciones, la vinculación con el medio suele alcanzar mayor legitimidad cuando se materializa mediante transferencia tecnológica, innovación, emprendimiento de base científica o colaboración con el sector productivo, actividades que tradicionalmente generan indicadores valorados por los sistemas de evaluación institucional y la carrera académica (Etzkowitz, 2003; Compagnucci &amp; Spigarelli, 2020). En contraste, los proyectos de carácter social desarrollados en colaboración con organismos públicos, comunidades u organizaciones de la sociedad civil suelen producir resultados menos visibles para dichos sistemas de reconocimiento, pese a su contribución al desarrollo territorial y al cumplimiento de la misión pública de la universidad. Esta situación genera una tensión entre las políticas institucionales que promueven la vinculación con el medio y los mecanismos efectivos mediante los cuales las universidades reconocen y valorizan el trabajo académico asociado a estas iniciativas, constituyendo precisamente el problema que orienta la presente investigación.</w:t>
      </w:r>
    </w:p>
    <w:p>
      <w:pPr>
        <w:pStyle w:val="normal1"/>
        <w:rPr/>
      </w:pPr>
      <w:r>
        <w:rPr>
          <w:rFonts w:eastAsia="Times New Roman" w:cs="Times New Roman"/>
          <w:b/>
          <w:bCs/>
          <w:sz w:val="24"/>
          <w:szCs w:val="24"/>
        </w:rPr>
        <w:t>2.2 Vinculación con el medio, extensión y responsabilidad social universitaria</w:t>
      </w:r>
    </w:p>
    <w:p>
      <w:pPr>
        <w:pStyle w:val="normal1"/>
        <w:spacing w:lineRule="auto" w:line="240" w:before="0" w:after="120"/>
        <w:jc w:val="both"/>
        <w:rPr/>
      </w:pPr>
      <w:r>
        <w:rPr>
          <w:rFonts w:eastAsia="Times New Roman" w:cs="Times New Roman"/>
          <w:sz w:val="24"/>
          <w:szCs w:val="24"/>
        </w:rPr>
        <w:t>La evolución conceptual de la vinculación con el medio en América Latina no puede separarse de la tradición de la extensión universitaria. Tünnermann (2000) sitúa la extensión como una función asociada a la misión social de la universidad latinoamericana y a la necesidad de proyectar el quehacer universitario hacia la sociedad. No obstante, buena parte de la literatura crítica ha cuestionado los modelos unidireccionales de extensión, centrados en la transferencia de saberes desde la universidad hacia comunidades receptoras, por reproducir relaciones jerárquicas entre conocimiento académico y saber social (</w:t>
      </w:r>
      <w:r>
        <w:rPr/>
        <w:t>Torres, Saba y Adán, 2025; Dassoler et al., 2023)</w:t>
      </w:r>
      <w:r>
        <w:rPr>
          <w:rFonts w:eastAsia="Times New Roman" w:cs="Times New Roman"/>
          <w:sz w:val="24"/>
          <w:szCs w:val="24"/>
        </w:rPr>
        <w:t>.</w:t>
      </w:r>
    </w:p>
    <w:p>
      <w:pPr>
        <w:pStyle w:val="normal1"/>
        <w:spacing w:lineRule="auto" w:line="240" w:before="0" w:after="120"/>
        <w:jc w:val="both"/>
        <w:rPr/>
      </w:pPr>
      <w:r>
        <w:rPr>
          <w:rFonts w:eastAsia="Times New Roman" w:cs="Times New Roman"/>
          <w:sz w:val="24"/>
          <w:szCs w:val="24"/>
        </w:rPr>
        <w:t>La responsabilidad social universitaria ofrece un marco alternativo para comprender esta relación. Vallaeys (2014) define la RSU como una política de gestión universitaria orientada a responder por los impactos organizacionales y académicos de la institución. Desde esta perspectiva, la relación con el entorno no puede reducirse a actividades solidarias o voluntarias, sino que debe interrogar los efectos que la universidad produce mediante su gestión, docencia, investigación y vínculos sociales. En trabajos posteriores, Vallaeys (2016) enfatiza la transversalidad, integralidad, sinergia y rendición de cuentas como condiciones para que la responsabilidad social no opere como una actividad periférica.</w:t>
      </w:r>
    </w:p>
    <w:p>
      <w:pPr>
        <w:pStyle w:val="normal1"/>
        <w:spacing w:lineRule="auto" w:line="240" w:before="0" w:after="120"/>
        <w:jc w:val="both"/>
        <w:rPr/>
      </w:pPr>
      <w:r>
        <w:rPr>
          <w:rFonts w:eastAsia="Times New Roman" w:cs="Times New Roman"/>
          <w:sz w:val="24"/>
          <w:szCs w:val="24"/>
        </w:rPr>
        <w:t>Este enfoque es pertinente para el presente estudio porque permite desplazar la pregunta desde la existencia de actividades sociales hacia la forma en que estas son institucionalmente procesadas. Una universidad puede ejecutar programas con alto valor social y, al mismo tiempo, mantenerlos en una posición marginal si no los integra a sus estructuras académicas, a sus mecanismos de evaluación o a sus estrategias de aprendizaje organizacional. En consecuencia, la valoración institucional no depende solo del impacto externo, sino también de la capacidad de la universidad para reconocer, aprender y transformarse a partir de esas experiencias.</w:t>
      </w:r>
    </w:p>
    <w:p>
      <w:pPr>
        <w:pStyle w:val="normal1"/>
        <w:rPr/>
      </w:pPr>
      <w:r>
        <w:rPr>
          <w:rFonts w:eastAsia="Times New Roman" w:cs="Times New Roman"/>
          <w:b/>
          <w:bCs/>
          <w:sz w:val="24"/>
          <w:szCs w:val="24"/>
        </w:rPr>
        <w:t>2.3 Bidireccionalidad: entre retroalimentación, co-diseño y co-construcción</w:t>
      </w:r>
    </w:p>
    <w:p>
      <w:pPr>
        <w:pStyle w:val="normal1"/>
        <w:spacing w:lineRule="auto" w:line="240" w:before="0" w:after="120"/>
        <w:jc w:val="both"/>
        <w:rPr/>
      </w:pPr>
      <w:r>
        <w:rPr>
          <w:rFonts w:eastAsia="Times New Roman" w:cs="Times New Roman"/>
          <w:sz w:val="24"/>
          <w:szCs w:val="24"/>
        </w:rPr>
        <w:t>La bidireccionalidad se ha instalado como uno de los conceptos centrales de la vinculación con el medio en Chile. En términos generales, alude a una relación en la que universidad y entorno participan de un intercambio que genera beneficios, aprendizajes o transformaciones en ambas direcciones. Sin embargo, su operacionalización no es evidente. La bidireccionalidad puede manifestarse en un nivel básico, como retroalimentación sobre una actividad ya diseñada; en un nivel intermedio, como adaptación metodológica a necesidades del territorio; o en un nivel más robusto, como co-diseño y co-construcción de conocimiento junto a actores externos.</w:t>
      </w:r>
    </w:p>
    <w:p>
      <w:pPr>
        <w:pStyle w:val="normal1"/>
        <w:spacing w:lineRule="auto" w:line="240" w:before="0" w:after="120"/>
        <w:jc w:val="both"/>
        <w:rPr/>
      </w:pPr>
      <w:r>
        <w:rPr>
          <w:rFonts w:eastAsia="Times New Roman" w:cs="Times New Roman"/>
          <w:sz w:val="24"/>
          <w:szCs w:val="24"/>
        </w:rPr>
        <w:t>Esta distinción es decisiva para analizar proyectos ejecutados en articulación con organismos públicos. En tales casos, la universidad no siempre participa en la definición inicial del problema, los contenidos o los criterios de selección de beneficiarias, sino que asume funciones de implementación, gestión, formación y seguimiento. La bidireccionalidad, por tanto, puede existir, pero de manera limitada: se expresa en ajustes operativos, aprendizajes de docentes y estudiantes, identificación de brechas territoriales y generación de insumos para experiencias futuras, más que en la co-producción integral del programa.</w:t>
      </w:r>
    </w:p>
    <w:p>
      <w:pPr>
        <w:pStyle w:val="normal1"/>
        <w:spacing w:lineRule="auto" w:line="240" w:before="0" w:after="120"/>
        <w:jc w:val="both"/>
        <w:rPr/>
      </w:pPr>
      <w:r>
        <w:rPr>
          <w:rFonts w:eastAsia="Times New Roman" w:cs="Times New Roman"/>
          <w:sz w:val="24"/>
          <w:szCs w:val="24"/>
        </w:rPr>
        <w:t>El riesgo analítico consiste en evaluar estos proyectos con una visión dicotómica: bidireccionales o no bidireccionales. Una lectura más fina permite comprender la bidireccionalidad como un continuo. Esta aproximación resulta más adecuada para programas sociales ejecutados bajo marcos externos, donde las posibilidades de co-diseño dependen de condiciones de gobernanza, tiempos institucionales, contratos, financiamiento y atribuciones de las contrapartes.</w:t>
      </w:r>
    </w:p>
    <w:p>
      <w:pPr>
        <w:pStyle w:val="normal1"/>
        <w:rPr/>
      </w:pPr>
      <w:r>
        <w:rPr>
          <w:rFonts w:eastAsia="Times New Roman" w:cs="Times New Roman"/>
          <w:b/>
          <w:bCs/>
          <w:sz w:val="24"/>
          <w:szCs w:val="24"/>
        </w:rPr>
        <w:t>2.4 Reconocimiento académico, incentivos y valoración institucional</w:t>
      </w:r>
    </w:p>
    <w:p>
      <w:pPr>
        <w:pStyle w:val="normal1"/>
        <w:spacing w:lineRule="auto" w:line="240" w:before="0" w:after="120"/>
        <w:jc w:val="both"/>
        <w:rPr/>
      </w:pPr>
      <w:r>
        <w:rPr/>
        <w:t>El problema central de esta investigación se sitúa en la valoración institucional de la vinculación con el medio. Aunque esta función ha adquirido una presencia creciente en las declaraciones misionales, los planes estratégicos y los procesos de aseguramiento de la calidad, su institucionalización formal no garantiza que las actividades asociadas reciban un reconocimiento equivalente al otorgado a la docencia y la investigación. Irarrázaval (2020) sostiene que el desarrollo del compromiso público universitario enfrenta una dificultad estructural, derivada de la prioridad que las universidades y sus académicos asignan a las funciones tradicionales, especialmente cuando estas se encuentran directamente vinculadas con la promoción académica, el financiamiento y el posicionamiento institucional. En este escenario, las actividades de vinculación pueden ser consideradas complementarias o incluso distractoras respecto de las tareas académicas que concentran mayor prestigio y capacidad de recompensa.</w:t>
      </w:r>
    </w:p>
    <w:p>
      <w:pPr>
        <w:pStyle w:val="normal1"/>
        <w:spacing w:lineRule="auto" w:line="240" w:before="0" w:after="120"/>
        <w:jc w:val="both"/>
        <w:rPr/>
      </w:pPr>
      <w:r>
        <w:rPr/>
        <w:t>Irarrázaval (2020) distingue entre mecanismos de reconocimiento académico y mecanismos de apoyo y fomento. Entre los primeros se encuentran la incorporación de la vinculación en los criterios de promoción y evaluación académica, la valoración de sus productos y resultados, y su consideración en las trayectorias profesionales. Los segundos comprenden el liderazgo institucional, la asignación de recursos, el acompañamiento técnico, la disponibilidad de estructuras especializadas y la existencia de fondos o tiempos destinados a estas actividades. Esta distinción resulta relevante porque una universidad puede disponer de unidades administrativas, convocatorias o declaraciones favorables a la vinculación sin modificar los criterios mediante los cuales evalúa y jerarquiza el trabajo académico. En consecuencia, el apoyo operativo puede facilitar la ejecución de iniciativas, pero no necesariamente altera su posición dentro de la estructura institucional de prestigio. Irarrázaval advierte, además, que el liderazgo directivo y la correspondencia entre misión, políticas y prácticas constituyen condiciones centrales para que el compromiso público trascienda el plano declarativo.</w:t>
      </w:r>
    </w:p>
    <w:p>
      <w:pPr>
        <w:pStyle w:val="normal1"/>
        <w:spacing w:lineRule="auto" w:line="240" w:before="0" w:after="120"/>
        <w:jc w:val="both"/>
        <w:rPr/>
      </w:pPr>
      <w:r>
        <w:rPr/>
        <w:t>Desde esta perspectiva, la valoración institucional puede analizarse en tres dimensiones interrelacionadas. La primera corresponde al reconocimiento formal, expresado en normas de carrera académica, evaluación docente, promoción, asignación de carga y reconocimiento curricular. La segunda se refiere al apoyo organizacional, que comprende recursos financieros, capacidades técnicas, tiempo institucional, sistemas de información y dispositivos de evaluación. La tercera es de carácter simbólico y cultural, y se manifiesta en el prestigio atribuido a determinadas actividades, productos, disciplinas y formas de contribución. Una iniciativa puede, por tanto, contar con respaldo administrativo y producir resultados sociales relevantes, pero continuar ocupando una posición secundaria si sus productos no son reconocidos por las comunidades disciplinares o por los sistemas de evaluación académica.</w:t>
      </w:r>
    </w:p>
    <w:p>
      <w:pPr>
        <w:pStyle w:val="normal1"/>
        <w:spacing w:lineRule="auto" w:line="240" w:before="0" w:after="120"/>
        <w:jc w:val="both"/>
        <w:rPr/>
      </w:pPr>
      <w:r>
        <w:rPr/>
        <w:t>Estas dimensiones también pueden operar de manera acumulativa sobre el desempeño de las iniciativas. Cuando la vinculación recibe un bajo reconocimiento formal y un apoyo organizacional limitado, disminuyen la disponibilidad de tiempo, recursos, capacidades técnicas y mecanismos de seguimiento necesarios para su ejecución. La falta de integración con la estrategia institucional también restringe las posibilidades de refuerzo mutuo con la docencia y la investigación, y aumenta el riesgo de que las iniciativas permanezcan aisladas (Pinheiro et al., 2015; Compagnucci &amp; Spigarelli, 2020). En estas condiciones, los resultados pueden ser más débiles, discontinuos o difíciles de demostrar, no necesariamente por una baja pertinencia social, sino por las restricciones institucionales bajo las cuales se desarrollan. A su vez, cuando los sistemas de evaluación y financiamiento privilegian actividades con resultados fácilmente cuantificables o con retornos económicos, estos desempeños condicionados pueden contribuir a justificar una asignación reducida de apoyo futuro, reforzando la posición secundaria de los proyectos sociales (Rosli &amp; Rossi, 2016). En el contexto chileno, esta dinámica resulta consistente con la evidencia que asocia mayores niveles de integración institucional con recursos explícitos, continuidad y capacidad de seguimiento, mientras que la dispersión se relaciona con iniciativas aisladas y una menor capacidad evaluativa (Torres et al., 2025). Se configura así un mecanismo de retroalimentación negativa entre valoración institucional, condiciones de ejecución, resultados y reconocimiento posterior.</w:t>
      </w:r>
    </w:p>
    <w:p>
      <w:pPr>
        <w:pStyle w:val="normal1"/>
        <w:spacing w:lineRule="auto" w:line="240" w:before="0" w:after="120"/>
        <w:jc w:val="both"/>
        <w:rPr/>
      </w:pPr>
      <w:r>
        <w:rPr/>
        <w:t>Adicionalmente, la evidencia reciente del sistema chileno confirma que estas dimensiones no siempre avanzan de manera articulada. El estudio de Torres, Saba y Adán (2025), publicado por la Comisión Nacional de Acreditación, identifica diferencias significativas entre instituciones que integran transversalmente la vinculación con la docencia, la investigación y la planificación estratégica, y aquellas en que la responsabilidad permanece dispersa entre unidades. En los modelos más integrados se observa mayor curricularización, asignación explícita de recursos, continuidad y capacidad de seguimiento. En cambio, cuando predomina la dispersión, las actividades tienden a organizarse como iniciativas aisladas, con menor estabilidad y débil capacidad evaluativa. El mismo estudio señala la necesidad de generar mecanismos sustantivos de reconocimiento académico y de participación de estudiantes y académicos, junto con sistemas que permitan incorporar los resultados de la vinculación en la toma de decisiones institucionales (Torres et al., 2025).</w:t>
      </w:r>
    </w:p>
    <w:p>
      <w:pPr>
        <w:pStyle w:val="normal1"/>
        <w:spacing w:lineRule="auto" w:line="240" w:before="0" w:after="120"/>
        <w:jc w:val="both"/>
        <w:rPr/>
      </w:pPr>
      <w:r>
        <w:rPr/>
        <w:t>Desde una perspectiva organizacional, esta dificultad se relaciona con la configuración particular de las universidades. Mintzberg (1983) caracteriza la burocracia profesional como una estructura en la cual el núcleo operativo está compuesto por especialistas con elevados grados de autonomía, cuya actuación se encuentra regulada más por la formación disciplinar y los estándares profesionales que por la supervisión jerárquica directa. Muchas universidades presentan rasgos de esta configuración. En ellas, la aprobación de una política central no produce necesariamente una transformación inmediata de las prácticas académicas, porque su implementación depende de que los departamentos, carreras y comunidades disciplinares incorporen la vinculación en sus propios criterios de legitimidad. Cuando ello no ocurre, pueden coexistir discursos institucionales que promueven la relación con el entorno con prácticas fragmentadas, episódicas o sostenidas por determinados equipos y personas.</w:t>
      </w:r>
    </w:p>
    <w:p>
      <w:pPr>
        <w:pStyle w:val="normal1"/>
        <w:spacing w:lineRule="auto" w:line="240" w:before="0" w:after="120"/>
        <w:jc w:val="both"/>
        <w:rPr/>
      </w:pPr>
      <w:r>
        <w:rPr/>
        <w:t>Esta estructura ayuda a explicar por qué la vinculación con el medio puede quedar sustentada principalmente por motivaciones personales, compromisos éticos, oportunidades de financiamiento o demandas externas. En ausencia de mecanismos de reconocimiento, carga académica, continuidad presupuestaria y evaluación pertinente, la participación depende en gran medida de la disposición individual de quienes ejecutan las iniciativas. El problema no se reduce, por tanto, a la falta de incentivos económicos. También involucra la distribución del tiempo académico, el reconocimiento de productos distintos de las publicaciones científicas, la legitimidad disciplinar de los resultados sociales y la capacidad institucional para convertir experiencias territoriales en aprendizaje organizacional.</w:t>
      </w:r>
    </w:p>
    <w:p>
      <w:pPr>
        <w:pStyle w:val="normal1"/>
        <w:spacing w:lineRule="auto" w:line="240" w:before="0" w:after="120"/>
        <w:jc w:val="both"/>
        <w:rPr/>
      </w:pPr>
      <w:r>
        <w:rPr/>
        <w:t>La medición constituye otra dimensión crítica de la valorización. La generación de evidencia permite visibilizar resultados y justificar decisiones institucionales, pero también puede producir efectos reductivos cuando se limita a indicadores de cobertura, número de actividades o participación. Torres et al. (2025) advierten que la acumulación de métricas sin análisis puede aumentar la burocratización y distanciar la evaluación de los propósitos sustantivos de la vinculación. Por ello, evaluar esta función requiere considerar no solo productos verificables, sino también transformaciones formativas, aprendizajes compartidos, cambios organizacionales, continuidad de las relaciones y contribuciones al entorno.</w:t>
      </w:r>
    </w:p>
    <w:p>
      <w:pPr>
        <w:pStyle w:val="normal1"/>
        <w:spacing w:lineRule="auto" w:line="240" w:before="0" w:after="120"/>
        <w:jc w:val="both"/>
        <w:rPr/>
      </w:pPr>
      <w:r>
        <w:rPr/>
        <w:t>La dimensión estudiantil también forma parte de esta problemática. La participación en proyectos territoriales puede generar aprendizajes profesionales y sociales relevantes, pero su contribución formativa depende de una articulación intencionada con el currículo, de procesos de reflexión y de mecanismos de evaluación. El aprendizaje-servicio se diferencia de otras actividades solidarias precisamente porque integra objetivos de aprendizaje, servicio efectivo, protagonismo estudiantil y participación de la comunidad. Cuando estas condiciones no están presentes, los aprendizajes pueden existir, pero permanecen implícitos, no sistematizados y al margen del reconocimiento académico (Centro Latinoamericano de Aprendizaje y Servicio Solidario [CLAYSS], 2016).</w:t>
      </w:r>
    </w:p>
    <w:p>
      <w:pPr>
        <w:pStyle w:val="normal1"/>
        <w:spacing w:lineRule="auto" w:line="240" w:before="0" w:after="120"/>
        <w:jc w:val="both"/>
        <w:rPr/>
      </w:pPr>
      <w:r>
        <w:rPr/>
        <w:t>En el marco de esta investigación, la valorización institucional se entiende, por tanto, como el grado en que una actividad de vinculación es reconocida, apoyada, integrada y legitimada dentro del funcionamiento universitario. Esta definición permite examinar la eventual distancia entre la contribución social y formativa de una iniciativa y su traducción en carga académica, evaluación, recursos, integración curricular, producción de conocimiento y prestigio institucional. Desde esta perspectiva, la baja valorización no constituye únicamente una percepción de los actores, sino el resultado de una configuración organizacional en la que los sistemas formales de reconocimiento, las condiciones operativas y las jerarquías simbólicas pueden evolucionar a ritmos diferentes.</w:t>
      </w:r>
    </w:p>
    <w:p>
      <w:pPr>
        <w:pStyle w:val="normal1"/>
        <w:rPr/>
      </w:pPr>
      <w:r>
        <w:rPr>
          <w:rFonts w:eastAsia="Times New Roman" w:cs="Times New Roman"/>
          <w:b/>
          <w:bCs/>
          <w:sz w:val="24"/>
          <w:szCs w:val="24"/>
        </w:rPr>
        <w:t>2.5 Formación estudiantil y aprendizaje en contexto</w:t>
      </w:r>
    </w:p>
    <w:p>
      <w:pPr>
        <w:pStyle w:val="normal1"/>
        <w:spacing w:lineRule="auto" w:line="240" w:before="0" w:after="120"/>
        <w:jc w:val="both"/>
        <w:rPr/>
      </w:pPr>
      <w:r>
        <w:rPr>
          <w:rFonts w:eastAsia="Times New Roman" w:cs="Times New Roman"/>
          <w:sz w:val="24"/>
          <w:szCs w:val="24"/>
        </w:rPr>
        <w:t xml:space="preserve">La participación estudiantil en proyectos de vinculación con el medio permite abordar una dimensión que suele quedar subordinada en los análisis institucionales: el </w:t>
      </w:r>
      <w:r>
        <w:rPr/>
        <w:t>aprendizaje experiencial en contextos reales</w:t>
      </w:r>
      <w:r>
        <w:rPr>
          <w:rFonts w:eastAsia="Times New Roman" w:cs="Times New Roman"/>
          <w:sz w:val="24"/>
          <w:szCs w:val="24"/>
        </w:rPr>
        <w:t>. Eyler y Giles (1999) sostienen que el aprendizaje-servicio adquiere valor cuando la experiencia comunitaria se integra con objetivos académicos, reflexión y aplicación de conocimientos. De manera convergente, CLAYSS (2016) define el aprendizaje-servicio a partir de tres rasgos: servicio solidario orientado a necesidades reales de la comunidad, protagonismo estudiantil e integración intencionada con contenidos curriculares e investigación.</w:t>
      </w:r>
    </w:p>
    <w:p>
      <w:pPr>
        <w:pStyle w:val="normal1"/>
        <w:spacing w:lineRule="auto" w:line="240" w:before="0" w:after="120"/>
        <w:jc w:val="both"/>
        <w:rPr/>
      </w:pPr>
      <w:r>
        <w:rPr>
          <w:rFonts w:eastAsia="Times New Roman" w:cs="Times New Roman"/>
          <w:sz w:val="24"/>
          <w:szCs w:val="24"/>
        </w:rPr>
        <w:t>Esta distinción permite evaluar críticamente el caso. Los estudiantes que participaron en la Escuela Mujer Emprende desarrollaron aprendizajes profesionales relevantes, tales como coordinación de actividades, comunicación efectiva, gestión administrativa, resolución de problemas, contacto con participantes y comprensión de brechas territoriales. Sin embargo, al no estar formalmente vinculada a una asignatura ni evaluada académicamente, la experiencia se aproxima más a una práctica extracurricular de alto valor formativo que a una experiencia de aprendizaje-servicio plenamente curricularizada.</w:t>
      </w:r>
    </w:p>
    <w:p>
      <w:pPr>
        <w:pStyle w:val="normal1"/>
        <w:spacing w:lineRule="auto" w:line="240" w:before="0" w:after="120"/>
        <w:jc w:val="both"/>
        <w:rPr>
          <w:rFonts w:ascii="Times New Roman" w:hAnsi="Times New Roman" w:eastAsia="Times New Roman" w:cs="Times New Roman"/>
          <w:sz w:val="24"/>
          <w:szCs w:val="24"/>
        </w:rPr>
      </w:pPr>
      <w:r>
        <w:rPr>
          <w:rFonts w:eastAsia="Times New Roman" w:cs="Times New Roman"/>
          <w:sz w:val="24"/>
          <w:szCs w:val="24"/>
        </w:rPr>
        <w:t>La diferencia no es menor. Cuando la participación estudiantil no se integra a planes de estudio, resultados de aprendizaje, sistemas de evaluación o procesos reflexivos, la universidad pierde una oportunidad de transformar una experiencia operativa en evidencia formativa. En consecuencia, el aprendizaje ocurre, pero queda débilmente institucionalizado.</w:t>
      </w:r>
    </w:p>
    <w:p>
      <w:pPr>
        <w:pStyle w:val="normal1"/>
        <w:spacing w:lineRule="auto" w:line="240" w:before="0" w:after="120"/>
        <w:jc w:val="both"/>
        <w:rPr/>
      </w:pPr>
      <w:r>
        <w:rPr/>
      </w:r>
    </w:p>
    <w:p>
      <w:pPr>
        <w:pStyle w:val="normal1"/>
        <w:rPr/>
      </w:pPr>
      <w:r>
        <w:rPr>
          <w:rFonts w:eastAsia="Times New Roman" w:cs="Times New Roman"/>
          <w:b/>
          <w:bCs/>
          <w:sz w:val="24"/>
          <w:szCs w:val="24"/>
        </w:rPr>
        <w:t>3. Metodología</w:t>
      </w:r>
    </w:p>
    <w:p>
      <w:pPr>
        <w:pStyle w:val="normal1"/>
        <w:rPr/>
      </w:pPr>
      <w:r>
        <w:rPr>
          <w:rFonts w:eastAsia="Times New Roman" w:cs="Times New Roman"/>
          <w:b/>
          <w:bCs/>
          <w:sz w:val="24"/>
          <w:szCs w:val="24"/>
        </w:rPr>
        <w:t>3.1 Diseño de investigación y caso de estudio</w:t>
      </w:r>
    </w:p>
    <w:p>
      <w:pPr>
        <w:pStyle w:val="normal1"/>
        <w:spacing w:lineRule="auto" w:line="240" w:before="0" w:after="120"/>
        <w:jc w:val="both"/>
        <w:rPr/>
      </w:pPr>
      <w:r>
        <w:rPr>
          <w:rFonts w:eastAsia="Times New Roman" w:cs="Times New Roman"/>
          <w:sz w:val="24"/>
          <w:szCs w:val="24"/>
        </w:rPr>
        <w:t>El estudio adopta un enfoque cualitativo de carácter interpretativo, orientado a comprender las barreras asociadas a la valoración interna de la vinculación con el medio en iniciativas sociales de carácter operativo. Este enfoque resulta pertinente porque permite analizar significados, percepciones y tensiones institucionales desde la perspectiva de los actores involucrados. Se trabaja mediante un estudio de caso, entendido como una estrategia adecuada para examinar fenómenos complejos en su contexto real y para comprender relaciones entre prácticas, estructuras y sentidos (Flick, 2015).</w:t>
      </w:r>
    </w:p>
    <w:p>
      <w:pPr>
        <w:pStyle w:val="normal1"/>
        <w:spacing w:lineRule="auto" w:line="240" w:before="0" w:after="120"/>
        <w:jc w:val="both"/>
        <w:rPr/>
      </w:pPr>
      <w:r>
        <w:rPr>
          <w:rFonts w:eastAsia="Times New Roman" w:cs="Times New Roman"/>
          <w:sz w:val="24"/>
          <w:szCs w:val="24"/>
        </w:rPr>
        <w:t xml:space="preserve">El caso seleccionado corresponde a la Escuela Mujer Emprende 2024, iniciativa implementada en ocho regiones de Chile y orientada al fortalecimiento de capacidades emprendedoras de mujeres. Su selección responde a tres criterios. Primero, se trata de un programa con alta orientación social y territorial. Segundo, es una iniciativa ejecutada en colaboración con una institución pública, lo que permite analizar tensiones entre universidad y política pública. Tercero, su ejecución en una </w:t>
      </w:r>
      <w:r>
        <w:rPr/>
        <w:t>universidad con foco en ingeniería</w:t>
      </w:r>
      <w:r>
        <w:rPr>
          <w:rFonts w:eastAsia="Times New Roman" w:cs="Times New Roman"/>
          <w:sz w:val="24"/>
          <w:szCs w:val="24"/>
        </w:rPr>
        <w:t xml:space="preserve"> permite observar barreras de valoración asociadas a culturas disciplinares, incentivos académicos y criterios institucionales de reconocimiento.</w:t>
      </w:r>
    </w:p>
    <w:p>
      <w:pPr>
        <w:pStyle w:val="normal1"/>
        <w:rPr/>
      </w:pPr>
      <w:r>
        <w:rPr>
          <w:rFonts w:eastAsia="Times New Roman" w:cs="Times New Roman"/>
          <w:b/>
          <w:bCs/>
          <w:sz w:val="24"/>
          <w:szCs w:val="24"/>
        </w:rPr>
        <w:t>3.2 Técnicas de producción de información y participantes</w:t>
      </w:r>
    </w:p>
    <w:p>
      <w:pPr>
        <w:pStyle w:val="normal1"/>
        <w:spacing w:lineRule="auto" w:line="240" w:before="0" w:after="120"/>
        <w:jc w:val="both"/>
        <w:rPr/>
      </w:pPr>
      <w:r>
        <w:rPr/>
        <w:t>El levantamiento</w:t>
      </w:r>
      <w:r>
        <w:rPr>
          <w:rFonts w:eastAsia="Times New Roman" w:cs="Times New Roman"/>
          <w:sz w:val="24"/>
          <w:szCs w:val="24"/>
        </w:rPr>
        <w:t xml:space="preserve"> de información se realizó mediante entrevistas semiestructuradas y análisis documental. Las entrevistas permitieron recoger percepciones diferenciadas sobre el valor social del programa, su aporte formativo, la bidireccionalidad, las barreras de implementación y el reconocimiento institucional. El análisis documental permitió contrastar los discursos con antecedentes institucionales, informes del programa y literatura especializada.</w:t>
      </w:r>
    </w:p>
    <w:p>
      <w:pPr>
        <w:pStyle w:val="normal1"/>
        <w:spacing w:lineRule="auto" w:line="240" w:before="0" w:after="120"/>
        <w:jc w:val="both"/>
        <w:rPr/>
      </w:pPr>
      <w:r>
        <w:rPr>
          <w:rFonts w:eastAsia="Times New Roman" w:cs="Times New Roman"/>
          <w:sz w:val="24"/>
          <w:szCs w:val="24"/>
        </w:rPr>
        <w:t>Se aplicaron cinco entrevistas semiestructuradas a actores directamente vinculados con el programa. La muestra fue intencional y buscó capturar diversidad de posiciones respecto del caso: una representante de la institución pública contraparte, una docente ejecutora, dos estudiantes ejecutores y una profesional de la unidad de vinculación con el medio. La inclusión de estudiantes responde a la necesidad de observar la dimensión formativa del proyecto, mientras que la incorporación de la unidad de vinculación permite contrastar la experiencia operativa con los criterios institucionales de validación.</w:t>
      </w:r>
    </w:p>
    <w:p>
      <w:pPr>
        <w:pStyle w:val="normal1"/>
        <w:spacing w:lineRule="auto" w:line="240" w:before="0" w:after="120"/>
        <w:jc w:val="both"/>
        <w:rPr/>
      </w:pPr>
      <w:r>
        <w:rPr/>
      </w:r>
    </w:p>
    <w:p>
      <w:pPr>
        <w:pStyle w:val="normal1"/>
        <w:spacing w:lineRule="auto" w:line="240" w:before="0" w:after="120"/>
        <w:jc w:val="both"/>
        <w:rPr/>
      </w:pPr>
      <w:r>
        <w:rPr>
          <w:rFonts w:eastAsia="Times New Roman" w:cs="Times New Roman"/>
          <w:sz w:val="24"/>
          <w:szCs w:val="24"/>
        </w:rPr>
        <w:t>Tabla 1. Participantes del estudio</w:t>
      </w:r>
    </w:p>
    <w:tbl>
      <w:tblPr>
        <w:tblStyle w:val="Table1"/>
        <w:tblW w:w="8520" w:type="dxa"/>
        <w:jc w:val="center"/>
        <w:tblInd w:w="0" w:type="dxa"/>
        <w:tblLayout w:type="fixed"/>
        <w:tblCellMar>
          <w:top w:w="80" w:type="dxa"/>
          <w:left w:w="108" w:type="dxa"/>
          <w:bottom w:w="80" w:type="dxa"/>
          <w:right w:w="108" w:type="dxa"/>
        </w:tblCellMar>
        <w:tblLook w:val="0400"/>
      </w:tblPr>
      <w:tblGrid>
        <w:gridCol w:w="1080"/>
        <w:gridCol w:w="2055"/>
        <w:gridCol w:w="1825"/>
        <w:gridCol w:w="3559"/>
      </w:tblGrid>
      <w:tr>
        <w:trPr/>
        <w:tc>
          <w:tcPr>
            <w:tcW w:w="1080" w:type="dxa"/>
            <w:tcBorders>
              <w:top w:val="single" w:sz="4" w:space="0" w:color="000000"/>
              <w:left w:val="single" w:sz="4" w:space="0" w:color="000000"/>
              <w:bottom w:val="single" w:sz="4" w:space="0" w:color="000000"/>
              <w:right w:val="single" w:sz="4" w:space="0" w:color="000000"/>
            </w:tcBorders>
          </w:tcPr>
          <w:p>
            <w:pPr>
              <w:pStyle w:val="normal1"/>
              <w:spacing w:lineRule="auto" w:line="240" w:before="0" w:after="0"/>
              <w:jc w:val="left"/>
              <w:rPr/>
            </w:pPr>
            <w:r>
              <w:rPr>
                <w:rFonts w:eastAsia="Times New Roman" w:cs="Times New Roman"/>
                <w:b/>
                <w:bCs/>
              </w:rPr>
              <w:t>Código</w:t>
            </w:r>
          </w:p>
        </w:tc>
        <w:tc>
          <w:tcPr>
            <w:tcW w:w="2055" w:type="dxa"/>
            <w:tcBorders>
              <w:top w:val="single" w:sz="4" w:space="0" w:color="000000"/>
              <w:left w:val="single" w:sz="4" w:space="0" w:color="000000"/>
              <w:bottom w:val="single" w:sz="4" w:space="0" w:color="000000"/>
              <w:right w:val="single" w:sz="4" w:space="0" w:color="000000"/>
            </w:tcBorders>
          </w:tcPr>
          <w:p>
            <w:pPr>
              <w:pStyle w:val="normal1"/>
              <w:spacing w:lineRule="auto" w:line="240" w:before="0" w:after="0"/>
              <w:jc w:val="left"/>
              <w:rPr/>
            </w:pPr>
            <w:r>
              <w:rPr>
                <w:rFonts w:eastAsia="Times New Roman" w:cs="Times New Roman"/>
                <w:b/>
                <w:bCs/>
              </w:rPr>
              <w:t>Perfil</w:t>
            </w:r>
          </w:p>
        </w:tc>
        <w:tc>
          <w:tcPr>
            <w:tcW w:w="1825" w:type="dxa"/>
            <w:tcBorders>
              <w:top w:val="single" w:sz="4" w:space="0" w:color="000000"/>
              <w:left w:val="single" w:sz="4" w:space="0" w:color="000000"/>
              <w:bottom w:val="single" w:sz="4" w:space="0" w:color="000000"/>
              <w:right w:val="single" w:sz="4" w:space="0" w:color="000000"/>
            </w:tcBorders>
          </w:tcPr>
          <w:p>
            <w:pPr>
              <w:pStyle w:val="normal1"/>
              <w:spacing w:lineRule="auto" w:line="240" w:before="0" w:after="0"/>
              <w:jc w:val="left"/>
              <w:rPr/>
            </w:pPr>
            <w:r>
              <w:rPr>
                <w:rFonts w:eastAsia="Times New Roman" w:cs="Times New Roman"/>
                <w:b/>
                <w:bCs/>
              </w:rPr>
              <w:t>Tipo de actor</w:t>
            </w:r>
          </w:p>
        </w:tc>
        <w:tc>
          <w:tcPr>
            <w:tcW w:w="3559" w:type="dxa"/>
            <w:tcBorders>
              <w:top w:val="single" w:sz="4" w:space="0" w:color="000000"/>
              <w:left w:val="single" w:sz="4" w:space="0" w:color="000000"/>
              <w:bottom w:val="single" w:sz="4" w:space="0" w:color="000000"/>
              <w:right w:val="single" w:sz="4" w:space="0" w:color="000000"/>
            </w:tcBorders>
          </w:tcPr>
          <w:p>
            <w:pPr>
              <w:pStyle w:val="normal1"/>
              <w:spacing w:lineRule="auto" w:line="240" w:before="0" w:after="0"/>
              <w:jc w:val="left"/>
              <w:rPr/>
            </w:pPr>
            <w:r>
              <w:rPr>
                <w:rFonts w:eastAsia="Times New Roman" w:cs="Times New Roman"/>
                <w:b/>
                <w:bCs/>
              </w:rPr>
              <w:t>Aporte principal al análisis</w:t>
            </w:r>
          </w:p>
        </w:tc>
      </w:tr>
      <w:tr>
        <w:trPr/>
        <w:tc>
          <w:tcPr>
            <w:tcW w:w="1080" w:type="dxa"/>
            <w:tcBorders>
              <w:top w:val="single" w:sz="4" w:space="0" w:color="000000"/>
              <w:left w:val="single" w:sz="4" w:space="0" w:color="000000"/>
              <w:bottom w:val="single" w:sz="4" w:space="0" w:color="000000"/>
              <w:right w:val="single" w:sz="4" w:space="0" w:color="000000"/>
            </w:tcBorders>
          </w:tcPr>
          <w:p>
            <w:pPr>
              <w:pStyle w:val="normal1"/>
              <w:spacing w:lineRule="auto" w:line="240" w:before="0" w:after="0"/>
              <w:jc w:val="left"/>
              <w:rPr/>
            </w:pPr>
            <w:r>
              <w:rPr>
                <w:rFonts w:eastAsia="Times New Roman" w:cs="Times New Roman"/>
              </w:rPr>
              <w:t>AE1</w:t>
            </w:r>
          </w:p>
        </w:tc>
        <w:tc>
          <w:tcPr>
            <w:tcW w:w="2055" w:type="dxa"/>
            <w:tcBorders>
              <w:top w:val="single" w:sz="4" w:space="0" w:color="000000"/>
              <w:left w:val="single" w:sz="4" w:space="0" w:color="000000"/>
              <w:bottom w:val="single" w:sz="4" w:space="0" w:color="000000"/>
              <w:right w:val="single" w:sz="4" w:space="0" w:color="000000"/>
            </w:tcBorders>
          </w:tcPr>
          <w:p>
            <w:pPr>
              <w:pStyle w:val="normal1"/>
              <w:spacing w:lineRule="auto" w:line="240" w:before="0" w:after="0"/>
              <w:jc w:val="left"/>
              <w:rPr/>
            </w:pPr>
            <w:r>
              <w:rPr>
                <w:rFonts w:eastAsia="Times New Roman" w:cs="Times New Roman"/>
              </w:rPr>
              <w:t>Representante de SernamEG</w:t>
            </w:r>
          </w:p>
        </w:tc>
        <w:tc>
          <w:tcPr>
            <w:tcW w:w="1825" w:type="dxa"/>
            <w:tcBorders>
              <w:top w:val="single" w:sz="4" w:space="0" w:color="000000"/>
              <w:left w:val="single" w:sz="4" w:space="0" w:color="000000"/>
              <w:bottom w:val="single" w:sz="4" w:space="0" w:color="000000"/>
              <w:right w:val="single" w:sz="4" w:space="0" w:color="000000"/>
            </w:tcBorders>
          </w:tcPr>
          <w:p>
            <w:pPr>
              <w:pStyle w:val="normal1"/>
              <w:spacing w:lineRule="auto" w:line="240" w:before="0" w:after="0"/>
              <w:jc w:val="left"/>
              <w:rPr/>
            </w:pPr>
            <w:r>
              <w:rPr>
                <w:rFonts w:eastAsia="Times New Roman" w:cs="Times New Roman"/>
              </w:rPr>
              <w:t>Actor externo institucional</w:t>
            </w:r>
          </w:p>
        </w:tc>
        <w:tc>
          <w:tcPr>
            <w:tcW w:w="3559" w:type="dxa"/>
            <w:tcBorders>
              <w:top w:val="single" w:sz="4" w:space="0" w:color="000000"/>
              <w:left w:val="single" w:sz="4" w:space="0" w:color="000000"/>
              <w:bottom w:val="single" w:sz="4" w:space="0" w:color="000000"/>
              <w:right w:val="single" w:sz="4" w:space="0" w:color="000000"/>
            </w:tcBorders>
          </w:tcPr>
          <w:p>
            <w:pPr>
              <w:pStyle w:val="normal1"/>
              <w:spacing w:lineRule="auto" w:line="240" w:before="0" w:after="0"/>
              <w:jc w:val="left"/>
              <w:rPr/>
            </w:pPr>
            <w:r>
              <w:rPr>
                <w:rFonts w:eastAsia="Times New Roman" w:cs="Times New Roman"/>
              </w:rPr>
              <w:t>Evaluación del programa, relación universidad-Estado, bidireccionalidad y barreras administrativas.</w:t>
            </w:r>
          </w:p>
        </w:tc>
      </w:tr>
      <w:tr>
        <w:trPr/>
        <w:tc>
          <w:tcPr>
            <w:tcW w:w="1080" w:type="dxa"/>
            <w:tcBorders>
              <w:top w:val="single" w:sz="4" w:space="0" w:color="000000"/>
              <w:left w:val="single" w:sz="4" w:space="0" w:color="000000"/>
              <w:bottom w:val="single" w:sz="4" w:space="0" w:color="000000"/>
              <w:right w:val="single" w:sz="4" w:space="0" w:color="000000"/>
            </w:tcBorders>
          </w:tcPr>
          <w:p>
            <w:pPr>
              <w:pStyle w:val="normal1"/>
              <w:spacing w:lineRule="auto" w:line="240" w:before="0" w:after="0"/>
              <w:jc w:val="left"/>
              <w:rPr/>
            </w:pPr>
            <w:r>
              <w:rPr>
                <w:rFonts w:eastAsia="Times New Roman" w:cs="Times New Roman"/>
              </w:rPr>
              <w:t>DOC1</w:t>
            </w:r>
          </w:p>
        </w:tc>
        <w:tc>
          <w:tcPr>
            <w:tcW w:w="2055" w:type="dxa"/>
            <w:tcBorders>
              <w:top w:val="single" w:sz="4" w:space="0" w:color="000000"/>
              <w:left w:val="single" w:sz="4" w:space="0" w:color="000000"/>
              <w:bottom w:val="single" w:sz="4" w:space="0" w:color="000000"/>
              <w:right w:val="single" w:sz="4" w:space="0" w:color="000000"/>
            </w:tcBorders>
          </w:tcPr>
          <w:p>
            <w:pPr>
              <w:pStyle w:val="normal1"/>
              <w:spacing w:lineRule="auto" w:line="240" w:before="0" w:after="0"/>
              <w:jc w:val="left"/>
              <w:rPr/>
            </w:pPr>
            <w:r>
              <w:rPr>
                <w:rFonts w:eastAsia="Times New Roman" w:cs="Times New Roman"/>
              </w:rPr>
              <w:t>Docente del equipo ejecutor</w:t>
            </w:r>
          </w:p>
        </w:tc>
        <w:tc>
          <w:tcPr>
            <w:tcW w:w="1825" w:type="dxa"/>
            <w:tcBorders>
              <w:top w:val="single" w:sz="4" w:space="0" w:color="000000"/>
              <w:left w:val="single" w:sz="4" w:space="0" w:color="000000"/>
              <w:bottom w:val="single" w:sz="4" w:space="0" w:color="000000"/>
              <w:right w:val="single" w:sz="4" w:space="0" w:color="000000"/>
            </w:tcBorders>
          </w:tcPr>
          <w:p>
            <w:pPr>
              <w:pStyle w:val="normal1"/>
              <w:spacing w:lineRule="auto" w:line="240" w:before="0" w:after="0"/>
              <w:jc w:val="left"/>
              <w:rPr/>
            </w:pPr>
            <w:r>
              <w:rPr>
                <w:rFonts w:eastAsia="Times New Roman" w:cs="Times New Roman"/>
              </w:rPr>
              <w:t>Actor académico interno</w:t>
            </w:r>
          </w:p>
        </w:tc>
        <w:tc>
          <w:tcPr>
            <w:tcW w:w="3559" w:type="dxa"/>
            <w:tcBorders>
              <w:top w:val="single" w:sz="4" w:space="0" w:color="000000"/>
              <w:left w:val="single" w:sz="4" w:space="0" w:color="000000"/>
              <w:bottom w:val="single" w:sz="4" w:space="0" w:color="000000"/>
              <w:right w:val="single" w:sz="4" w:space="0" w:color="000000"/>
            </w:tcBorders>
          </w:tcPr>
          <w:p>
            <w:pPr>
              <w:pStyle w:val="normal1"/>
              <w:spacing w:lineRule="auto" w:line="240" w:before="0" w:after="0"/>
              <w:jc w:val="left"/>
              <w:rPr/>
            </w:pPr>
            <w:r>
              <w:rPr>
                <w:rFonts w:eastAsia="Times New Roman" w:cs="Times New Roman"/>
              </w:rPr>
              <w:t>Experiencia pedagógica, metodología, barreras de conectividad y percepción de valoración.</w:t>
            </w:r>
          </w:p>
        </w:tc>
      </w:tr>
      <w:tr>
        <w:trPr/>
        <w:tc>
          <w:tcPr>
            <w:tcW w:w="1080" w:type="dxa"/>
            <w:tcBorders>
              <w:top w:val="single" w:sz="4" w:space="0" w:color="000000"/>
              <w:left w:val="single" w:sz="4" w:space="0" w:color="000000"/>
              <w:bottom w:val="single" w:sz="4" w:space="0" w:color="000000"/>
              <w:right w:val="single" w:sz="4" w:space="0" w:color="000000"/>
            </w:tcBorders>
          </w:tcPr>
          <w:p>
            <w:pPr>
              <w:pStyle w:val="normal1"/>
              <w:spacing w:lineRule="auto" w:line="240" w:before="0" w:after="0"/>
              <w:jc w:val="left"/>
              <w:rPr/>
            </w:pPr>
            <w:r>
              <w:rPr>
                <w:rFonts w:eastAsia="Times New Roman" w:cs="Times New Roman"/>
              </w:rPr>
              <w:t>EST1</w:t>
            </w:r>
          </w:p>
        </w:tc>
        <w:tc>
          <w:tcPr>
            <w:tcW w:w="2055" w:type="dxa"/>
            <w:tcBorders>
              <w:top w:val="single" w:sz="4" w:space="0" w:color="000000"/>
              <w:left w:val="single" w:sz="4" w:space="0" w:color="000000"/>
              <w:bottom w:val="single" w:sz="4" w:space="0" w:color="000000"/>
              <w:right w:val="single" w:sz="4" w:space="0" w:color="000000"/>
            </w:tcBorders>
          </w:tcPr>
          <w:p>
            <w:pPr>
              <w:pStyle w:val="normal1"/>
              <w:spacing w:lineRule="auto" w:line="240" w:before="0" w:after="0"/>
              <w:jc w:val="left"/>
              <w:rPr/>
            </w:pPr>
            <w:r>
              <w:rPr>
                <w:rFonts w:eastAsia="Times New Roman" w:cs="Times New Roman"/>
              </w:rPr>
              <w:t>Estudiante ejecutora</w:t>
            </w:r>
          </w:p>
        </w:tc>
        <w:tc>
          <w:tcPr>
            <w:tcW w:w="1825" w:type="dxa"/>
            <w:tcBorders>
              <w:top w:val="single" w:sz="4" w:space="0" w:color="000000"/>
              <w:left w:val="single" w:sz="4" w:space="0" w:color="000000"/>
              <w:bottom w:val="single" w:sz="4" w:space="0" w:color="000000"/>
              <w:right w:val="single" w:sz="4" w:space="0" w:color="000000"/>
            </w:tcBorders>
          </w:tcPr>
          <w:p>
            <w:pPr>
              <w:pStyle w:val="normal1"/>
              <w:spacing w:lineRule="auto" w:line="240" w:before="0" w:after="0"/>
              <w:jc w:val="left"/>
              <w:rPr/>
            </w:pPr>
            <w:r>
              <w:rPr>
                <w:rFonts w:eastAsia="Times New Roman" w:cs="Times New Roman"/>
              </w:rPr>
              <w:t>Actor formativo-operativo</w:t>
            </w:r>
          </w:p>
        </w:tc>
        <w:tc>
          <w:tcPr>
            <w:tcW w:w="3559" w:type="dxa"/>
            <w:tcBorders>
              <w:top w:val="single" w:sz="4" w:space="0" w:color="000000"/>
              <w:left w:val="single" w:sz="4" w:space="0" w:color="000000"/>
              <w:bottom w:val="single" w:sz="4" w:space="0" w:color="000000"/>
              <w:right w:val="single" w:sz="4" w:space="0" w:color="000000"/>
            </w:tcBorders>
          </w:tcPr>
          <w:p>
            <w:pPr>
              <w:pStyle w:val="normal1"/>
              <w:spacing w:lineRule="auto" w:line="240" w:before="0" w:after="0"/>
              <w:jc w:val="left"/>
              <w:rPr/>
            </w:pPr>
            <w:r>
              <w:rPr>
                <w:rFonts w:eastAsia="Times New Roman" w:cs="Times New Roman"/>
              </w:rPr>
              <w:t>Gestión logística, aprendizaje profesional, ausencia de reconocimiento académico y contacto territorial.</w:t>
            </w:r>
          </w:p>
        </w:tc>
      </w:tr>
      <w:tr>
        <w:trPr/>
        <w:tc>
          <w:tcPr>
            <w:tcW w:w="1080" w:type="dxa"/>
            <w:tcBorders>
              <w:top w:val="single" w:sz="4" w:space="0" w:color="000000"/>
              <w:left w:val="single" w:sz="4" w:space="0" w:color="000000"/>
              <w:bottom w:val="single" w:sz="4" w:space="0" w:color="000000"/>
              <w:right w:val="single" w:sz="4" w:space="0" w:color="000000"/>
            </w:tcBorders>
          </w:tcPr>
          <w:p>
            <w:pPr>
              <w:pStyle w:val="normal1"/>
              <w:spacing w:lineRule="auto" w:line="240" w:before="0" w:after="0"/>
              <w:jc w:val="left"/>
              <w:rPr/>
            </w:pPr>
            <w:r>
              <w:rPr>
                <w:rFonts w:eastAsia="Times New Roman" w:cs="Times New Roman"/>
              </w:rPr>
              <w:t>EST2</w:t>
            </w:r>
          </w:p>
        </w:tc>
        <w:tc>
          <w:tcPr>
            <w:tcW w:w="2055" w:type="dxa"/>
            <w:tcBorders>
              <w:top w:val="single" w:sz="4" w:space="0" w:color="000000"/>
              <w:left w:val="single" w:sz="4" w:space="0" w:color="000000"/>
              <w:bottom w:val="single" w:sz="4" w:space="0" w:color="000000"/>
              <w:right w:val="single" w:sz="4" w:space="0" w:color="000000"/>
            </w:tcBorders>
          </w:tcPr>
          <w:p>
            <w:pPr>
              <w:pStyle w:val="normal1"/>
              <w:spacing w:lineRule="auto" w:line="240" w:before="0" w:after="0"/>
              <w:jc w:val="left"/>
              <w:rPr/>
            </w:pPr>
            <w:r>
              <w:rPr>
                <w:rFonts w:eastAsia="Times New Roman" w:cs="Times New Roman"/>
              </w:rPr>
              <w:t>Estudiante ejecutora</w:t>
            </w:r>
          </w:p>
        </w:tc>
        <w:tc>
          <w:tcPr>
            <w:tcW w:w="1825" w:type="dxa"/>
            <w:tcBorders>
              <w:top w:val="single" w:sz="4" w:space="0" w:color="000000"/>
              <w:left w:val="single" w:sz="4" w:space="0" w:color="000000"/>
              <w:bottom w:val="single" w:sz="4" w:space="0" w:color="000000"/>
              <w:right w:val="single" w:sz="4" w:space="0" w:color="000000"/>
            </w:tcBorders>
          </w:tcPr>
          <w:p>
            <w:pPr>
              <w:pStyle w:val="normal1"/>
              <w:spacing w:lineRule="auto" w:line="240" w:before="0" w:after="0"/>
              <w:jc w:val="left"/>
              <w:rPr/>
            </w:pPr>
            <w:r>
              <w:rPr>
                <w:rFonts w:eastAsia="Times New Roman" w:cs="Times New Roman"/>
              </w:rPr>
              <w:t>Actor formativo-operativo</w:t>
            </w:r>
          </w:p>
        </w:tc>
        <w:tc>
          <w:tcPr>
            <w:tcW w:w="3559" w:type="dxa"/>
            <w:tcBorders>
              <w:top w:val="single" w:sz="4" w:space="0" w:color="000000"/>
              <w:left w:val="single" w:sz="4" w:space="0" w:color="000000"/>
              <w:bottom w:val="single" w:sz="4" w:space="0" w:color="000000"/>
              <w:right w:val="single" w:sz="4" w:space="0" w:color="000000"/>
            </w:tcBorders>
          </w:tcPr>
          <w:p>
            <w:pPr>
              <w:pStyle w:val="normal1"/>
              <w:spacing w:lineRule="auto" w:line="240" w:before="0" w:after="0"/>
              <w:jc w:val="left"/>
              <w:rPr/>
            </w:pPr>
            <w:r>
              <w:rPr>
                <w:rFonts w:eastAsia="Times New Roman" w:cs="Times New Roman"/>
              </w:rPr>
              <w:t>Coordinación regional, comunicación con emprendedoras, adaptación territorial y barreras tecnológicas.</w:t>
            </w:r>
          </w:p>
        </w:tc>
      </w:tr>
      <w:tr>
        <w:trPr/>
        <w:tc>
          <w:tcPr>
            <w:tcW w:w="1080" w:type="dxa"/>
            <w:tcBorders>
              <w:top w:val="single" w:sz="4" w:space="0" w:color="000000"/>
              <w:left w:val="single" w:sz="4" w:space="0" w:color="000000"/>
              <w:bottom w:val="single" w:sz="4" w:space="0" w:color="000000"/>
              <w:right w:val="single" w:sz="4" w:space="0" w:color="000000"/>
            </w:tcBorders>
          </w:tcPr>
          <w:p>
            <w:pPr>
              <w:pStyle w:val="normal1"/>
              <w:spacing w:lineRule="auto" w:line="240" w:before="0" w:after="0"/>
              <w:jc w:val="left"/>
              <w:rPr/>
            </w:pPr>
            <w:r>
              <w:rPr>
                <w:rFonts w:eastAsia="Times New Roman" w:cs="Times New Roman"/>
              </w:rPr>
              <w:t>VCM1</w:t>
            </w:r>
          </w:p>
        </w:tc>
        <w:tc>
          <w:tcPr>
            <w:tcW w:w="2055" w:type="dxa"/>
            <w:tcBorders>
              <w:top w:val="single" w:sz="4" w:space="0" w:color="000000"/>
              <w:left w:val="single" w:sz="4" w:space="0" w:color="000000"/>
              <w:bottom w:val="single" w:sz="4" w:space="0" w:color="000000"/>
              <w:right w:val="single" w:sz="4" w:space="0" w:color="000000"/>
            </w:tcBorders>
          </w:tcPr>
          <w:p>
            <w:pPr>
              <w:pStyle w:val="normal1"/>
              <w:spacing w:lineRule="auto" w:line="240" w:before="0" w:after="0"/>
              <w:jc w:val="left"/>
              <w:rPr/>
            </w:pPr>
            <w:r>
              <w:rPr>
                <w:rFonts w:eastAsia="Times New Roman" w:cs="Times New Roman"/>
              </w:rPr>
              <w:t>Profesional de unidad de Vinculación con el Medio</w:t>
            </w:r>
          </w:p>
        </w:tc>
        <w:tc>
          <w:tcPr>
            <w:tcW w:w="1825" w:type="dxa"/>
            <w:tcBorders>
              <w:top w:val="single" w:sz="4" w:space="0" w:color="000000"/>
              <w:left w:val="single" w:sz="4" w:space="0" w:color="000000"/>
              <w:bottom w:val="single" w:sz="4" w:space="0" w:color="000000"/>
              <w:right w:val="single" w:sz="4" w:space="0" w:color="000000"/>
            </w:tcBorders>
          </w:tcPr>
          <w:p>
            <w:pPr>
              <w:pStyle w:val="normal1"/>
              <w:spacing w:lineRule="auto" w:line="240" w:before="0" w:after="0"/>
              <w:jc w:val="left"/>
              <w:rPr/>
            </w:pPr>
            <w:r>
              <w:rPr>
                <w:rFonts w:eastAsia="Times New Roman" w:cs="Times New Roman"/>
              </w:rPr>
              <w:t>Actor institucional interno</w:t>
            </w:r>
          </w:p>
        </w:tc>
        <w:tc>
          <w:tcPr>
            <w:tcW w:w="3559" w:type="dxa"/>
            <w:tcBorders>
              <w:top w:val="single" w:sz="4" w:space="0" w:color="000000"/>
              <w:left w:val="single" w:sz="4" w:space="0" w:color="000000"/>
              <w:bottom w:val="single" w:sz="4" w:space="0" w:color="000000"/>
              <w:right w:val="single" w:sz="4" w:space="0" w:color="000000"/>
            </w:tcBorders>
          </w:tcPr>
          <w:p>
            <w:pPr>
              <w:pStyle w:val="normal1"/>
              <w:spacing w:lineRule="auto" w:line="240" w:before="0" w:after="0"/>
              <w:jc w:val="left"/>
              <w:rPr/>
            </w:pPr>
            <w:r>
              <w:rPr>
                <w:rFonts w:eastAsia="Times New Roman" w:cs="Times New Roman"/>
              </w:rPr>
              <w:t>Criterios institucionales, clasificación del caso, incentivos docentes y evaluación de impacto.</w:t>
            </w:r>
          </w:p>
        </w:tc>
      </w:tr>
    </w:tbl>
    <w:p>
      <w:pPr>
        <w:pStyle w:val="normal1"/>
        <w:rPr>
          <w:b/>
          <w:bCs/>
        </w:rPr>
      </w:pPr>
      <w:r>
        <w:rPr>
          <w:b/>
          <w:bCs/>
        </w:rPr>
      </w:r>
    </w:p>
    <w:p>
      <w:pPr>
        <w:pStyle w:val="normal1"/>
        <w:rPr/>
      </w:pPr>
      <w:r>
        <w:rPr>
          <w:rFonts w:eastAsia="Times New Roman" w:cs="Times New Roman"/>
          <w:b/>
          <w:bCs/>
          <w:sz w:val="24"/>
          <w:szCs w:val="24"/>
        </w:rPr>
        <w:t>3.3 Estrategia de análisis</w:t>
      </w:r>
    </w:p>
    <w:p>
      <w:pPr>
        <w:pStyle w:val="normal1"/>
        <w:spacing w:lineRule="auto" w:line="240" w:before="0" w:after="120"/>
        <w:jc w:val="both"/>
        <w:rPr/>
      </w:pPr>
      <w:r>
        <w:rPr>
          <w:rFonts w:eastAsia="Times New Roman" w:cs="Times New Roman"/>
          <w:sz w:val="24"/>
          <w:szCs w:val="24"/>
        </w:rPr>
        <w:t>El análisis se desarrolló mediante codificación temática. En una primera etapa se identificaron categorías deductivas derivadas del marco conceptual: valoración institucional, bidireccionalidad, integración académica, aprendizaje estudiantil, barreras operativas y sistemas de incentivos. En una segunda etapa se incorporaron categorías emergentes surgidas de las entrevistas, tales como brechas digitales, trabajo invisible de gestión, reconocimiento extracurricular, restricciones administrativas y co-diseño limitado.</w:t>
      </w:r>
    </w:p>
    <w:p>
      <w:pPr>
        <w:pStyle w:val="normal1"/>
        <w:spacing w:lineRule="auto" w:line="240" w:before="0" w:after="120"/>
        <w:jc w:val="both"/>
        <w:rPr>
          <w:rFonts w:ascii="Times New Roman" w:hAnsi="Times New Roman" w:eastAsia="Times New Roman" w:cs="Times New Roman"/>
          <w:sz w:val="24"/>
          <w:szCs w:val="24"/>
        </w:rPr>
      </w:pPr>
      <w:r>
        <w:rPr>
          <w:rFonts w:eastAsia="Times New Roman" w:cs="Times New Roman"/>
          <w:sz w:val="24"/>
          <w:szCs w:val="24"/>
        </w:rPr>
        <w:t>La información fue organizada en una matriz de cuatro niveles: macro, meso, micro y proyecto. El nivel macro considera marcos normativos y criterios de aseguramiento de la calidad. El nivel meso aborda estructuras institucionales, recursos, gestión e incentivos. El nivel micro refiere a percepciones, cultura académica y valor atribuido por los actores. El nivel del proyecto examina condiciones específicas de ejecución, resultados y nudos críticos. Transversalmente se incorporó la dimensión formativa, a partir de la experiencia de los estudiantes ejecutores.</w:t>
      </w:r>
    </w:p>
    <w:p>
      <w:pPr>
        <w:pStyle w:val="normal1"/>
        <w:spacing w:lineRule="auto" w:line="240" w:before="0" w:after="120"/>
        <w:jc w:val="both"/>
        <w:rPr/>
      </w:pPr>
      <w:r>
        <w:rPr/>
      </w:r>
    </w:p>
    <w:p>
      <w:pPr>
        <w:pStyle w:val="normal1"/>
        <w:spacing w:lineRule="auto" w:line="240" w:before="0" w:after="120"/>
        <w:jc w:val="both"/>
        <w:rPr/>
      </w:pPr>
      <w:r>
        <w:rPr>
          <w:rFonts w:eastAsia="Times New Roman" w:cs="Times New Roman"/>
          <w:sz w:val="24"/>
          <w:szCs w:val="24"/>
        </w:rPr>
        <w:t>Tabla 2. Matriz analítica del estudio</w:t>
      </w:r>
    </w:p>
    <w:tbl>
      <w:tblPr>
        <w:tblStyle w:val="Table2"/>
        <w:tblW w:w="8520" w:type="dxa"/>
        <w:jc w:val="center"/>
        <w:tblInd w:w="0" w:type="dxa"/>
        <w:tblLayout w:type="fixed"/>
        <w:tblCellMar>
          <w:top w:w="80" w:type="dxa"/>
          <w:left w:w="108" w:type="dxa"/>
          <w:bottom w:w="80" w:type="dxa"/>
          <w:right w:w="108" w:type="dxa"/>
        </w:tblCellMar>
        <w:tblLook w:val="0400"/>
      </w:tblPr>
      <w:tblGrid>
        <w:gridCol w:w="1425"/>
        <w:gridCol w:w="1975"/>
        <w:gridCol w:w="2990"/>
        <w:gridCol w:w="2129"/>
      </w:tblGrid>
      <w:tr>
        <w:trPr/>
        <w:tc>
          <w:tcPr>
            <w:tcW w:w="1425" w:type="dxa"/>
            <w:tcBorders>
              <w:top w:val="single" w:sz="4" w:space="0" w:color="000000"/>
              <w:left w:val="single" w:sz="4" w:space="0" w:color="000000"/>
              <w:bottom w:val="single" w:sz="4" w:space="0" w:color="000000"/>
              <w:right w:val="single" w:sz="4" w:space="0" w:color="000000"/>
            </w:tcBorders>
          </w:tcPr>
          <w:p>
            <w:pPr>
              <w:pStyle w:val="normal1"/>
              <w:spacing w:lineRule="auto" w:line="240" w:before="0" w:after="0"/>
              <w:jc w:val="left"/>
              <w:rPr/>
            </w:pPr>
            <w:r>
              <w:rPr>
                <w:rFonts w:eastAsia="Times New Roman" w:cs="Times New Roman"/>
                <w:b/>
                <w:bCs/>
              </w:rPr>
              <w:t>Nivel</w:t>
            </w:r>
          </w:p>
        </w:tc>
        <w:tc>
          <w:tcPr>
            <w:tcW w:w="1975" w:type="dxa"/>
            <w:tcBorders>
              <w:top w:val="single" w:sz="4" w:space="0" w:color="000000"/>
              <w:left w:val="single" w:sz="4" w:space="0" w:color="000000"/>
              <w:bottom w:val="single" w:sz="4" w:space="0" w:color="000000"/>
              <w:right w:val="single" w:sz="4" w:space="0" w:color="000000"/>
            </w:tcBorders>
          </w:tcPr>
          <w:p>
            <w:pPr>
              <w:pStyle w:val="normal1"/>
              <w:spacing w:lineRule="auto" w:line="240" w:before="0" w:after="0"/>
              <w:jc w:val="left"/>
              <w:rPr/>
            </w:pPr>
            <w:r>
              <w:rPr>
                <w:rFonts w:eastAsia="Times New Roman" w:cs="Times New Roman"/>
                <w:b/>
                <w:bCs/>
              </w:rPr>
              <w:t>Dimensión</w:t>
            </w:r>
          </w:p>
        </w:tc>
        <w:tc>
          <w:tcPr>
            <w:tcW w:w="2990" w:type="dxa"/>
            <w:tcBorders>
              <w:top w:val="single" w:sz="4" w:space="0" w:color="000000"/>
              <w:left w:val="single" w:sz="4" w:space="0" w:color="000000"/>
              <w:bottom w:val="single" w:sz="4" w:space="0" w:color="000000"/>
              <w:right w:val="single" w:sz="4" w:space="0" w:color="000000"/>
            </w:tcBorders>
          </w:tcPr>
          <w:p>
            <w:pPr>
              <w:pStyle w:val="normal1"/>
              <w:spacing w:lineRule="auto" w:line="240" w:before="0" w:after="0"/>
              <w:jc w:val="left"/>
              <w:rPr/>
            </w:pPr>
            <w:r>
              <w:rPr>
                <w:rFonts w:eastAsia="Times New Roman" w:cs="Times New Roman"/>
                <w:b/>
                <w:bCs/>
              </w:rPr>
              <w:t>Indicador</w:t>
            </w:r>
          </w:p>
        </w:tc>
        <w:tc>
          <w:tcPr>
            <w:tcW w:w="2129" w:type="dxa"/>
            <w:tcBorders>
              <w:top w:val="single" w:sz="4" w:space="0" w:color="000000"/>
              <w:left w:val="single" w:sz="4" w:space="0" w:color="000000"/>
              <w:bottom w:val="single" w:sz="4" w:space="0" w:color="000000"/>
              <w:right w:val="single" w:sz="4" w:space="0" w:color="000000"/>
            </w:tcBorders>
          </w:tcPr>
          <w:p>
            <w:pPr>
              <w:pStyle w:val="normal1"/>
              <w:spacing w:lineRule="auto" w:line="240" w:before="0" w:after="0"/>
              <w:jc w:val="left"/>
              <w:rPr/>
            </w:pPr>
            <w:r>
              <w:rPr>
                <w:rFonts w:eastAsia="Times New Roman" w:cs="Times New Roman"/>
                <w:b/>
                <w:bCs/>
              </w:rPr>
              <w:t>Fuentes</w:t>
            </w:r>
          </w:p>
        </w:tc>
      </w:tr>
      <w:tr>
        <w:trPr/>
        <w:tc>
          <w:tcPr>
            <w:tcW w:w="1425" w:type="dxa"/>
            <w:tcBorders>
              <w:top w:val="single" w:sz="4" w:space="0" w:color="000000"/>
              <w:left w:val="single" w:sz="4" w:space="0" w:color="000000"/>
              <w:bottom w:val="single" w:sz="4" w:space="0" w:color="000000"/>
              <w:right w:val="single" w:sz="4" w:space="0" w:color="000000"/>
            </w:tcBorders>
          </w:tcPr>
          <w:p>
            <w:pPr>
              <w:pStyle w:val="normal1"/>
              <w:spacing w:lineRule="auto" w:line="240" w:before="0" w:after="0"/>
              <w:jc w:val="left"/>
              <w:rPr/>
            </w:pPr>
            <w:r>
              <w:rPr>
                <w:rFonts w:eastAsia="Times New Roman" w:cs="Times New Roman"/>
              </w:rPr>
              <w:t>Macro</w:t>
            </w:r>
          </w:p>
        </w:tc>
        <w:tc>
          <w:tcPr>
            <w:tcW w:w="1975" w:type="dxa"/>
            <w:tcBorders>
              <w:top w:val="single" w:sz="4" w:space="0" w:color="000000"/>
              <w:left w:val="single" w:sz="4" w:space="0" w:color="000000"/>
              <w:bottom w:val="single" w:sz="4" w:space="0" w:color="000000"/>
              <w:right w:val="single" w:sz="4" w:space="0" w:color="000000"/>
            </w:tcBorders>
          </w:tcPr>
          <w:p>
            <w:pPr>
              <w:pStyle w:val="normal1"/>
              <w:spacing w:lineRule="auto" w:line="240" w:before="0" w:after="0"/>
              <w:jc w:val="left"/>
              <w:rPr/>
            </w:pPr>
            <w:r>
              <w:rPr>
                <w:rFonts w:eastAsia="Times New Roman" w:cs="Times New Roman"/>
              </w:rPr>
              <w:t>Modelo de VcM (Vinculaci</w:t>
            </w:r>
            <w:r>
              <w:rPr/>
              <w:t>ón con el Medio)</w:t>
            </w:r>
          </w:p>
        </w:tc>
        <w:tc>
          <w:tcPr>
            <w:tcW w:w="2990" w:type="dxa"/>
            <w:tcBorders>
              <w:top w:val="single" w:sz="4" w:space="0" w:color="000000"/>
              <w:left w:val="single" w:sz="4" w:space="0" w:color="000000"/>
              <w:bottom w:val="single" w:sz="4" w:space="0" w:color="000000"/>
              <w:right w:val="single" w:sz="4" w:space="0" w:color="000000"/>
            </w:tcBorders>
          </w:tcPr>
          <w:p>
            <w:pPr>
              <w:pStyle w:val="normal1"/>
              <w:spacing w:lineRule="auto" w:line="240" w:before="0" w:after="0"/>
              <w:jc w:val="left"/>
              <w:rPr/>
            </w:pPr>
            <w:r>
              <w:rPr>
                <w:rFonts w:eastAsia="Times New Roman" w:cs="Times New Roman"/>
              </w:rPr>
              <w:t>Ajuste a criterios de bidireccionalidad, impacto e integración académica</w:t>
            </w:r>
          </w:p>
        </w:tc>
        <w:tc>
          <w:tcPr>
            <w:tcW w:w="2129" w:type="dxa"/>
            <w:tcBorders>
              <w:top w:val="single" w:sz="4" w:space="0" w:color="000000"/>
              <w:left w:val="single" w:sz="4" w:space="0" w:color="000000"/>
              <w:bottom w:val="single" w:sz="4" w:space="0" w:color="000000"/>
              <w:right w:val="single" w:sz="4" w:space="0" w:color="000000"/>
            </w:tcBorders>
          </w:tcPr>
          <w:p>
            <w:pPr>
              <w:pStyle w:val="normal1"/>
              <w:spacing w:lineRule="auto" w:line="240" w:before="0" w:after="0"/>
              <w:jc w:val="left"/>
              <w:rPr/>
            </w:pPr>
            <w:r>
              <w:rPr>
                <w:rFonts w:eastAsia="Times New Roman" w:cs="Times New Roman"/>
              </w:rPr>
              <w:t xml:space="preserve">Documentos institucionales, </w:t>
            </w:r>
            <w:r>
              <w:rPr/>
              <w:t>referencias bibliográficas</w:t>
            </w:r>
            <w:r>
              <w:rPr>
                <w:rFonts w:eastAsia="Times New Roman" w:cs="Times New Roman"/>
              </w:rPr>
              <w:t>, VCM1</w:t>
            </w:r>
          </w:p>
        </w:tc>
      </w:tr>
      <w:tr>
        <w:trPr/>
        <w:tc>
          <w:tcPr>
            <w:tcW w:w="1425" w:type="dxa"/>
            <w:tcBorders>
              <w:top w:val="single" w:sz="4" w:space="0" w:color="000000"/>
              <w:left w:val="single" w:sz="4" w:space="0" w:color="000000"/>
              <w:bottom w:val="single" w:sz="4" w:space="0" w:color="000000"/>
              <w:right w:val="single" w:sz="4" w:space="0" w:color="000000"/>
            </w:tcBorders>
          </w:tcPr>
          <w:p>
            <w:pPr>
              <w:pStyle w:val="normal1"/>
              <w:spacing w:lineRule="auto" w:line="240" w:before="0" w:after="0"/>
              <w:jc w:val="left"/>
              <w:rPr/>
            </w:pPr>
            <w:r>
              <w:rPr>
                <w:rFonts w:eastAsia="Times New Roman" w:cs="Times New Roman"/>
              </w:rPr>
              <w:t>Meso</w:t>
            </w:r>
          </w:p>
        </w:tc>
        <w:tc>
          <w:tcPr>
            <w:tcW w:w="1975" w:type="dxa"/>
            <w:tcBorders>
              <w:top w:val="single" w:sz="4" w:space="0" w:color="000000"/>
              <w:left w:val="single" w:sz="4" w:space="0" w:color="000000"/>
              <w:bottom w:val="single" w:sz="4" w:space="0" w:color="000000"/>
              <w:right w:val="single" w:sz="4" w:space="0" w:color="000000"/>
            </w:tcBorders>
          </w:tcPr>
          <w:p>
            <w:pPr>
              <w:pStyle w:val="normal1"/>
              <w:spacing w:lineRule="auto" w:line="240" w:before="0" w:after="0"/>
              <w:jc w:val="left"/>
              <w:rPr/>
            </w:pPr>
            <w:r>
              <w:rPr>
                <w:rFonts w:eastAsia="Times New Roman" w:cs="Times New Roman"/>
              </w:rPr>
              <w:t>Valoración institucional</w:t>
            </w:r>
          </w:p>
        </w:tc>
        <w:tc>
          <w:tcPr>
            <w:tcW w:w="2990" w:type="dxa"/>
            <w:tcBorders>
              <w:top w:val="single" w:sz="4" w:space="0" w:color="000000"/>
              <w:left w:val="single" w:sz="4" w:space="0" w:color="000000"/>
              <w:bottom w:val="single" w:sz="4" w:space="0" w:color="000000"/>
              <w:right w:val="single" w:sz="4" w:space="0" w:color="000000"/>
            </w:tcBorders>
          </w:tcPr>
          <w:p>
            <w:pPr>
              <w:pStyle w:val="normal1"/>
              <w:spacing w:lineRule="auto" w:line="240" w:before="0" w:after="0"/>
              <w:jc w:val="left"/>
              <w:rPr/>
            </w:pPr>
            <w:r>
              <w:rPr>
                <w:rFonts w:eastAsia="Times New Roman" w:cs="Times New Roman"/>
              </w:rPr>
              <w:t>Reconocimiento en carrera académica, EDDA</w:t>
            </w:r>
            <w:r>
              <w:rPr>
                <w:rStyle w:val="FootnoteReference"/>
                <w:rFonts w:eastAsia="Times New Roman" w:cs="Times New Roman"/>
                <w:vertAlign w:val="superscript"/>
              </w:rPr>
              <w:footnoteReference w:id="2"/>
            </w:r>
            <w:r>
              <w:rPr>
                <w:rFonts w:eastAsia="Times New Roman" w:cs="Times New Roman"/>
              </w:rPr>
              <w:t>, carga</w:t>
            </w:r>
            <w:r>
              <w:rPr>
                <w:rStyle w:val="FootnoteReference"/>
                <w:rFonts w:eastAsia="Times New Roman" w:cs="Times New Roman"/>
                <w:vertAlign w:val="superscript"/>
              </w:rPr>
              <w:footnoteReference w:id="3"/>
            </w:r>
            <w:r>
              <w:rPr>
                <w:rFonts w:eastAsia="Times New Roman" w:cs="Times New Roman"/>
              </w:rPr>
              <w:t>, recursos y difusión</w:t>
            </w:r>
          </w:p>
        </w:tc>
        <w:tc>
          <w:tcPr>
            <w:tcW w:w="2129" w:type="dxa"/>
            <w:tcBorders>
              <w:top w:val="single" w:sz="4" w:space="0" w:color="000000"/>
              <w:left w:val="single" w:sz="4" w:space="0" w:color="000000"/>
              <w:bottom w:val="single" w:sz="4" w:space="0" w:color="000000"/>
              <w:right w:val="single" w:sz="4" w:space="0" w:color="000000"/>
            </w:tcBorders>
          </w:tcPr>
          <w:p>
            <w:pPr>
              <w:pStyle w:val="normal1"/>
              <w:spacing w:lineRule="auto" w:line="240" w:before="0" w:after="0"/>
              <w:jc w:val="left"/>
              <w:rPr/>
            </w:pPr>
            <w:r>
              <w:rPr>
                <w:rFonts w:eastAsia="Times New Roman" w:cs="Times New Roman"/>
              </w:rPr>
              <w:t>DOC1, VCM1, Irarrázaval (2020)</w:t>
            </w:r>
          </w:p>
        </w:tc>
      </w:tr>
      <w:tr>
        <w:trPr/>
        <w:tc>
          <w:tcPr>
            <w:tcW w:w="1425" w:type="dxa"/>
            <w:tcBorders>
              <w:top w:val="single" w:sz="4" w:space="0" w:color="000000"/>
              <w:left w:val="single" w:sz="4" w:space="0" w:color="000000"/>
              <w:bottom w:val="single" w:sz="4" w:space="0" w:color="000000"/>
              <w:right w:val="single" w:sz="4" w:space="0" w:color="000000"/>
            </w:tcBorders>
          </w:tcPr>
          <w:p>
            <w:pPr>
              <w:pStyle w:val="normal1"/>
              <w:spacing w:lineRule="auto" w:line="240" w:before="0" w:after="0"/>
              <w:jc w:val="left"/>
              <w:rPr/>
            </w:pPr>
            <w:r>
              <w:rPr>
                <w:rFonts w:eastAsia="Times New Roman" w:cs="Times New Roman"/>
              </w:rPr>
              <w:t>Micro</w:t>
            </w:r>
          </w:p>
        </w:tc>
        <w:tc>
          <w:tcPr>
            <w:tcW w:w="1975" w:type="dxa"/>
            <w:tcBorders>
              <w:top w:val="single" w:sz="4" w:space="0" w:color="000000"/>
              <w:left w:val="single" w:sz="4" w:space="0" w:color="000000"/>
              <w:bottom w:val="single" w:sz="4" w:space="0" w:color="000000"/>
              <w:right w:val="single" w:sz="4" w:space="0" w:color="000000"/>
            </w:tcBorders>
          </w:tcPr>
          <w:p>
            <w:pPr>
              <w:pStyle w:val="normal1"/>
              <w:spacing w:lineRule="auto" w:line="240" w:before="0" w:after="0"/>
              <w:jc w:val="left"/>
              <w:rPr/>
            </w:pPr>
            <w:r>
              <w:rPr>
                <w:rFonts w:eastAsia="Times New Roman" w:cs="Times New Roman"/>
              </w:rPr>
              <w:t>Percepciones y cultura académica</w:t>
            </w:r>
          </w:p>
        </w:tc>
        <w:tc>
          <w:tcPr>
            <w:tcW w:w="2990" w:type="dxa"/>
            <w:tcBorders>
              <w:top w:val="single" w:sz="4" w:space="0" w:color="000000"/>
              <w:left w:val="single" w:sz="4" w:space="0" w:color="000000"/>
              <w:bottom w:val="single" w:sz="4" w:space="0" w:color="000000"/>
              <w:right w:val="single" w:sz="4" w:space="0" w:color="000000"/>
            </w:tcBorders>
          </w:tcPr>
          <w:p>
            <w:pPr>
              <w:pStyle w:val="normal1"/>
              <w:spacing w:lineRule="auto" w:line="240" w:before="0" w:after="0"/>
              <w:jc w:val="left"/>
              <w:rPr/>
            </w:pPr>
            <w:r>
              <w:rPr>
                <w:rFonts w:eastAsia="Times New Roman" w:cs="Times New Roman"/>
              </w:rPr>
              <w:t xml:space="preserve">Valor atribuido a proyectos sociales en </w:t>
            </w:r>
            <w:r>
              <w:rPr/>
              <w:t>universidad con foco en ingeniería</w:t>
            </w:r>
          </w:p>
        </w:tc>
        <w:tc>
          <w:tcPr>
            <w:tcW w:w="2129" w:type="dxa"/>
            <w:tcBorders>
              <w:top w:val="single" w:sz="4" w:space="0" w:color="000000"/>
              <w:left w:val="single" w:sz="4" w:space="0" w:color="000000"/>
              <w:bottom w:val="single" w:sz="4" w:space="0" w:color="000000"/>
              <w:right w:val="single" w:sz="4" w:space="0" w:color="000000"/>
            </w:tcBorders>
          </w:tcPr>
          <w:p>
            <w:pPr>
              <w:pStyle w:val="normal1"/>
              <w:spacing w:lineRule="auto" w:line="240" w:before="0" w:after="0"/>
              <w:jc w:val="left"/>
              <w:rPr/>
            </w:pPr>
            <w:r>
              <w:rPr>
                <w:rFonts w:eastAsia="Times New Roman" w:cs="Times New Roman"/>
              </w:rPr>
              <w:t>DOC1, EST1, EST2</w:t>
            </w:r>
          </w:p>
        </w:tc>
      </w:tr>
      <w:tr>
        <w:trPr/>
        <w:tc>
          <w:tcPr>
            <w:tcW w:w="1425" w:type="dxa"/>
            <w:tcBorders>
              <w:top w:val="single" w:sz="4" w:space="0" w:color="000000"/>
              <w:left w:val="single" w:sz="4" w:space="0" w:color="000000"/>
              <w:bottom w:val="single" w:sz="4" w:space="0" w:color="000000"/>
              <w:right w:val="single" w:sz="4" w:space="0" w:color="000000"/>
            </w:tcBorders>
          </w:tcPr>
          <w:p>
            <w:pPr>
              <w:pStyle w:val="normal1"/>
              <w:spacing w:lineRule="auto" w:line="240" w:before="0" w:after="0"/>
              <w:jc w:val="left"/>
              <w:rPr/>
            </w:pPr>
            <w:r>
              <w:rPr>
                <w:rFonts w:eastAsia="Times New Roman" w:cs="Times New Roman"/>
              </w:rPr>
              <w:t>Proyecto</w:t>
            </w:r>
          </w:p>
        </w:tc>
        <w:tc>
          <w:tcPr>
            <w:tcW w:w="1975" w:type="dxa"/>
            <w:tcBorders>
              <w:top w:val="single" w:sz="4" w:space="0" w:color="000000"/>
              <w:left w:val="single" w:sz="4" w:space="0" w:color="000000"/>
              <w:bottom w:val="single" w:sz="4" w:space="0" w:color="000000"/>
              <w:right w:val="single" w:sz="4" w:space="0" w:color="000000"/>
            </w:tcBorders>
          </w:tcPr>
          <w:p>
            <w:pPr>
              <w:pStyle w:val="normal1"/>
              <w:spacing w:lineRule="auto" w:line="240" w:before="0" w:after="0"/>
              <w:jc w:val="left"/>
              <w:rPr/>
            </w:pPr>
            <w:r>
              <w:rPr>
                <w:rFonts w:eastAsia="Times New Roman" w:cs="Times New Roman"/>
              </w:rPr>
              <w:t>Ejecución y resultados</w:t>
            </w:r>
          </w:p>
        </w:tc>
        <w:tc>
          <w:tcPr>
            <w:tcW w:w="2990" w:type="dxa"/>
            <w:tcBorders>
              <w:top w:val="single" w:sz="4" w:space="0" w:color="000000"/>
              <w:left w:val="single" w:sz="4" w:space="0" w:color="000000"/>
              <w:bottom w:val="single" w:sz="4" w:space="0" w:color="000000"/>
              <w:right w:val="single" w:sz="4" w:space="0" w:color="000000"/>
            </w:tcBorders>
          </w:tcPr>
          <w:p>
            <w:pPr>
              <w:pStyle w:val="normal1"/>
              <w:spacing w:lineRule="auto" w:line="240" w:before="0" w:after="0"/>
              <w:jc w:val="left"/>
              <w:rPr/>
            </w:pPr>
            <w:r>
              <w:rPr>
                <w:rFonts w:eastAsia="Times New Roman" w:cs="Times New Roman"/>
              </w:rPr>
              <w:t>Logros, barreras operativas, aprendizajes y relación con contraparte</w:t>
            </w:r>
          </w:p>
        </w:tc>
        <w:tc>
          <w:tcPr>
            <w:tcW w:w="2129" w:type="dxa"/>
            <w:tcBorders>
              <w:top w:val="single" w:sz="4" w:space="0" w:color="000000"/>
              <w:left w:val="single" w:sz="4" w:space="0" w:color="000000"/>
              <w:bottom w:val="single" w:sz="4" w:space="0" w:color="000000"/>
              <w:right w:val="single" w:sz="4" w:space="0" w:color="000000"/>
            </w:tcBorders>
          </w:tcPr>
          <w:p>
            <w:pPr>
              <w:pStyle w:val="normal1"/>
              <w:spacing w:lineRule="auto" w:line="240" w:before="0" w:after="0"/>
              <w:jc w:val="left"/>
              <w:rPr/>
            </w:pPr>
            <w:r>
              <w:rPr>
                <w:rFonts w:eastAsia="Times New Roman" w:cs="Times New Roman"/>
              </w:rPr>
              <w:t>AE1, DOC1, EST1, EST2</w:t>
            </w:r>
          </w:p>
        </w:tc>
      </w:tr>
      <w:tr>
        <w:trPr/>
        <w:tc>
          <w:tcPr>
            <w:tcW w:w="1425" w:type="dxa"/>
            <w:tcBorders>
              <w:top w:val="single" w:sz="4" w:space="0" w:color="000000"/>
              <w:left w:val="single" w:sz="4" w:space="0" w:color="000000"/>
              <w:bottom w:val="single" w:sz="4" w:space="0" w:color="000000"/>
              <w:right w:val="single" w:sz="4" w:space="0" w:color="000000"/>
            </w:tcBorders>
          </w:tcPr>
          <w:p>
            <w:pPr>
              <w:pStyle w:val="normal1"/>
              <w:spacing w:lineRule="auto" w:line="240" w:before="0" w:after="0"/>
              <w:jc w:val="left"/>
              <w:rPr/>
            </w:pPr>
            <w:r>
              <w:rPr>
                <w:rFonts w:eastAsia="Times New Roman" w:cs="Times New Roman"/>
              </w:rPr>
              <w:t>Transversal</w:t>
            </w:r>
          </w:p>
        </w:tc>
        <w:tc>
          <w:tcPr>
            <w:tcW w:w="1975" w:type="dxa"/>
            <w:tcBorders>
              <w:top w:val="single" w:sz="4" w:space="0" w:color="000000"/>
              <w:left w:val="single" w:sz="4" w:space="0" w:color="000000"/>
              <w:bottom w:val="single" w:sz="4" w:space="0" w:color="000000"/>
              <w:right w:val="single" w:sz="4" w:space="0" w:color="000000"/>
            </w:tcBorders>
          </w:tcPr>
          <w:p>
            <w:pPr>
              <w:pStyle w:val="normal1"/>
              <w:spacing w:lineRule="auto" w:line="240" w:before="0" w:after="0"/>
              <w:jc w:val="left"/>
              <w:rPr/>
            </w:pPr>
            <w:r>
              <w:rPr>
                <w:rFonts w:eastAsia="Times New Roman" w:cs="Times New Roman"/>
              </w:rPr>
              <w:t>Formación estudiantil</w:t>
            </w:r>
          </w:p>
        </w:tc>
        <w:tc>
          <w:tcPr>
            <w:tcW w:w="2990" w:type="dxa"/>
            <w:tcBorders>
              <w:top w:val="single" w:sz="4" w:space="0" w:color="000000"/>
              <w:left w:val="single" w:sz="4" w:space="0" w:color="000000"/>
              <w:bottom w:val="single" w:sz="4" w:space="0" w:color="000000"/>
              <w:right w:val="single" w:sz="4" w:space="0" w:color="000000"/>
            </w:tcBorders>
          </w:tcPr>
          <w:p>
            <w:pPr>
              <w:pStyle w:val="normal1"/>
              <w:spacing w:lineRule="auto" w:line="240" w:before="0" w:after="0"/>
              <w:jc w:val="left"/>
              <w:rPr/>
            </w:pPr>
            <w:r>
              <w:rPr>
                <w:rFonts w:eastAsia="Times New Roman" w:cs="Times New Roman"/>
              </w:rPr>
              <w:t>Aprendizaje en contexto, reconocimiento curricular y competencias desarrolladas</w:t>
            </w:r>
          </w:p>
        </w:tc>
        <w:tc>
          <w:tcPr>
            <w:tcW w:w="2129" w:type="dxa"/>
            <w:tcBorders>
              <w:top w:val="single" w:sz="4" w:space="0" w:color="000000"/>
              <w:left w:val="single" w:sz="4" w:space="0" w:color="000000"/>
              <w:bottom w:val="single" w:sz="4" w:space="0" w:color="000000"/>
              <w:right w:val="single" w:sz="4" w:space="0" w:color="000000"/>
            </w:tcBorders>
          </w:tcPr>
          <w:p>
            <w:pPr>
              <w:pStyle w:val="normal1"/>
              <w:spacing w:lineRule="auto" w:line="240" w:before="0" w:after="0"/>
              <w:jc w:val="left"/>
              <w:rPr/>
            </w:pPr>
            <w:r>
              <w:rPr>
                <w:rFonts w:eastAsia="Times New Roman" w:cs="Times New Roman"/>
              </w:rPr>
              <w:t xml:space="preserve">EST1, EST2, </w:t>
            </w:r>
            <w:r>
              <w:rPr/>
              <w:t>referencias bibliográficas</w:t>
            </w:r>
            <w:r>
              <w:rPr>
                <w:rFonts w:eastAsia="Times New Roman" w:cs="Times New Roman"/>
              </w:rPr>
              <w:t xml:space="preserve"> de aprendizaje-servicio</w:t>
            </w:r>
          </w:p>
        </w:tc>
      </w:tr>
    </w:tbl>
    <w:p>
      <w:pPr>
        <w:pStyle w:val="normal1"/>
        <w:rPr>
          <w:b/>
          <w:bCs/>
        </w:rPr>
      </w:pPr>
      <w:r>
        <w:rPr>
          <w:b/>
          <w:bCs/>
        </w:rPr>
      </w:r>
    </w:p>
    <w:p>
      <w:pPr>
        <w:pStyle w:val="normal1"/>
        <w:rPr/>
      </w:pPr>
      <w:r>
        <w:rPr>
          <w:rFonts w:eastAsia="Times New Roman" w:cs="Times New Roman"/>
          <w:b/>
          <w:bCs/>
          <w:sz w:val="24"/>
          <w:szCs w:val="24"/>
        </w:rPr>
        <w:t>3.4 Consideraciones de validez</w:t>
      </w:r>
    </w:p>
    <w:p>
      <w:pPr>
        <w:pStyle w:val="normal1"/>
        <w:spacing w:lineRule="auto" w:line="240" w:before="0" w:after="120"/>
        <w:jc w:val="both"/>
        <w:rPr/>
      </w:pPr>
      <w:r>
        <w:rPr>
          <w:rFonts w:eastAsia="Times New Roman" w:cs="Times New Roman"/>
          <w:sz w:val="24"/>
          <w:szCs w:val="24"/>
        </w:rPr>
        <w:t>Para fortalecer la validez del estudio se utilizó triangulación de fuentes, integrando entrevistas a actores con posiciones diferenciadas y análisis documental. La triangulación permitió contrastar coincidencias y tensiones entre la mirada de la contraparte pública, la unidad institucional de vinculación, el equipo docente y los estudiantes ejecutores. Asimismo, se aplicó un criterio de suficiencia analítica, entendida como la reiteración de patrones centrales entre perfiles distintos, sin asumir una saturación estadística ni pretender generalización representativa.</w:t>
      </w:r>
    </w:p>
    <w:p>
      <w:pPr>
        <w:pStyle w:val="normal1"/>
        <w:spacing w:lineRule="auto" w:line="240" w:before="0" w:after="120"/>
        <w:jc w:val="both"/>
        <w:rPr>
          <w:rFonts w:ascii="Times New Roman" w:hAnsi="Times New Roman" w:eastAsia="Times New Roman" w:cs="Times New Roman"/>
          <w:sz w:val="24"/>
          <w:szCs w:val="24"/>
        </w:rPr>
      </w:pPr>
      <w:r>
        <w:rPr>
          <w:rFonts w:eastAsia="Times New Roman" w:cs="Times New Roman"/>
          <w:sz w:val="24"/>
          <w:szCs w:val="24"/>
        </w:rPr>
        <w:t xml:space="preserve">Dada la naturaleza cualitativa del estudio, los hallazgos deben interpretarse en función del caso analizado. No obstante, su valor radica en la posibilidad de transferir analíticamente los resultados a iniciativas similares: proyectos sociales ejecutados por universidades con </w:t>
      </w:r>
      <w:r>
        <w:rPr/>
        <w:t>enfoque en ingeniería o similar,</w:t>
      </w:r>
      <w:r>
        <w:rPr>
          <w:rFonts w:eastAsia="Times New Roman" w:cs="Times New Roman"/>
          <w:sz w:val="24"/>
          <w:szCs w:val="24"/>
        </w:rPr>
        <w:t xml:space="preserve"> bajo marcos de política pública, con alto impacto territorial pero débil integración a sistemas internos de reconocimiento académico.</w:t>
      </w:r>
    </w:p>
    <w:p>
      <w:pPr>
        <w:pStyle w:val="normal1"/>
        <w:spacing w:lineRule="auto" w:line="240" w:before="0" w:after="120"/>
        <w:jc w:val="both"/>
        <w:rPr/>
      </w:pPr>
      <w:r>
        <w:rPr/>
      </w:r>
    </w:p>
    <w:p>
      <w:pPr>
        <w:pStyle w:val="normal1"/>
        <w:rPr/>
      </w:pPr>
      <w:r>
        <w:rPr>
          <w:rFonts w:eastAsia="Times New Roman" w:cs="Times New Roman"/>
          <w:b/>
          <w:bCs/>
          <w:sz w:val="24"/>
          <w:szCs w:val="24"/>
        </w:rPr>
        <w:t>4. Resultados y análisis</w:t>
      </w:r>
    </w:p>
    <w:p>
      <w:pPr>
        <w:pStyle w:val="normal1"/>
        <w:spacing w:lineRule="auto" w:line="240" w:before="0" w:after="120"/>
        <w:jc w:val="both"/>
        <w:rPr/>
      </w:pPr>
      <w:r>
        <w:rPr>
          <w:rFonts w:eastAsia="Times New Roman" w:cs="Times New Roman"/>
          <w:sz w:val="24"/>
          <w:szCs w:val="24"/>
        </w:rPr>
        <w:t>El análisis de las entrevistas permite identificar una tensión persistente entre el valor social atribuido al programa y su reconocimiento institucional dentro de la universidad. Los hallazgos se organizan en cinco dimensiones: resultados sociales y formativos, bidireccionalidad, valoración institucional, barreras de implementación y trabajo académico-operativo invisibilizado.</w:t>
      </w:r>
    </w:p>
    <w:p>
      <w:pPr>
        <w:pStyle w:val="normal1"/>
        <w:rPr/>
      </w:pPr>
      <w:r>
        <w:rPr>
          <w:rFonts w:eastAsia="Times New Roman" w:cs="Times New Roman"/>
          <w:b/>
          <w:bCs/>
          <w:sz w:val="24"/>
          <w:szCs w:val="24"/>
        </w:rPr>
        <w:t>4.1 Resultados sociales y formativos del programa</w:t>
      </w:r>
    </w:p>
    <w:p>
      <w:pPr>
        <w:pStyle w:val="normal1"/>
        <w:spacing w:lineRule="auto" w:line="240" w:before="0" w:after="120"/>
        <w:jc w:val="both"/>
        <w:rPr/>
      </w:pPr>
      <w:r>
        <w:rPr>
          <w:rFonts w:eastAsia="Times New Roman" w:cs="Times New Roman"/>
          <w:sz w:val="24"/>
          <w:szCs w:val="24"/>
        </w:rPr>
        <w:t>Los actores entrevistados coinciden en valorar positivamente el programa. Desde la perspectiva de la contraparte pública, la universidad cumplió un rol relevante en la ejecución, alcanzando altos niveles de participación y aprobación de las emprendedoras. AE1 destaca como resultados relevantes la aprobación de más del 70% de las emprendedoras convocadas, el aumento de ventas de más del 65% de las participantes y la certificación universitaria entregada al finalizar el proceso. Este testimonio muestra que, para el actor externo, el valor del programa se asocia principalmente a cobertura, resultados económicos, continuidad de la cooperación y legitimidad simbólica de la certificación universitaria.</w:t>
      </w:r>
    </w:p>
    <w:p>
      <w:pPr>
        <w:pStyle w:val="normal1"/>
        <w:spacing w:lineRule="auto" w:line="240" w:before="0" w:after="120"/>
        <w:jc w:val="both"/>
        <w:rPr/>
      </w:pPr>
      <w:r>
        <w:rPr>
          <w:rFonts w:eastAsia="Times New Roman" w:cs="Times New Roman"/>
          <w:sz w:val="24"/>
          <w:szCs w:val="24"/>
        </w:rPr>
        <w:t>Desde el equipo docente, los resultados se interpretan en términos más cualitativos. DOC1 identifica como logros principales el empoderamiento de las participantes en áreas que no manejaban y la construcción de relaciones colaborativas durante el proceso. Esta lectura desplaza la evaluación desde indicadores de cumplimiento hacia procesos de fortalecimiento subjetivo, confianza y apropiación de herramientas. En este punto, el caso muestra que el impacto social no puede reducirse a métricas de asistencia o aprobación; también involucra aprendizajes, vínculos y capacidades percibidas por las participantes.</w:t>
      </w:r>
    </w:p>
    <w:p>
      <w:pPr>
        <w:pStyle w:val="normal1"/>
        <w:spacing w:lineRule="auto" w:line="240" w:before="0" w:after="120"/>
        <w:jc w:val="both"/>
        <w:rPr/>
      </w:pPr>
      <w:r>
        <w:rPr>
          <w:rFonts w:eastAsia="Times New Roman" w:cs="Times New Roman"/>
          <w:sz w:val="24"/>
          <w:szCs w:val="24"/>
        </w:rPr>
        <w:t>Las entrevistas a estudiantes agregan una dimensión formativa relevante. EST1 señala que la experiencia permitió comprender el ciclo completo de un proyecto, desde la adjudicación hasta su desarrollo y cierre, aprendizaje que considera difícil de adquirir solo en la formación regular. EST2, por su parte, destaca la comunicación efectiva, la organización y el trabajo en equipo como aprendizajes centrales derivados de la coordinación con más de mil mujeres emprendedoras en distintas regiones. Estos hallazgos sugieren que el programa generó aprendizajes profesionales vinculados a gestión, coordinación territorial, comunicación y resolución de problemas.</w:t>
      </w:r>
    </w:p>
    <w:p>
      <w:pPr>
        <w:pStyle w:val="normal1"/>
        <w:spacing w:lineRule="auto" w:line="240" w:before="0" w:after="120"/>
        <w:jc w:val="both"/>
        <w:rPr>
          <w:rFonts w:ascii="Times New Roman" w:hAnsi="Times New Roman" w:eastAsia="Times New Roman" w:cs="Times New Roman"/>
          <w:sz w:val="24"/>
          <w:szCs w:val="24"/>
        </w:rPr>
      </w:pPr>
      <w:r>
        <w:rPr>
          <w:rFonts w:eastAsia="Times New Roman" w:cs="Times New Roman"/>
          <w:sz w:val="24"/>
          <w:szCs w:val="24"/>
        </w:rPr>
        <w:t>No obstante, el aporte formativo presenta una limitación institucional evidente: ambas estudiantes indican que la experiencia fue extracurricular y no fue evaluada académicamente. Esto confirma una tensión central del estudio. El aprendizaje existe, pero no se encuentra plenamente curricularizado ni formalmente reconocido. Por tanto, la experiencia opera como formación situada, pero queda débilmente integrada al modelo educativo.</w:t>
      </w:r>
    </w:p>
    <w:p>
      <w:pPr>
        <w:pStyle w:val="normal1"/>
        <w:rPr/>
      </w:pPr>
      <w:r>
        <w:rPr>
          <w:rFonts w:eastAsia="Times New Roman" w:cs="Times New Roman"/>
          <w:b/>
          <w:bCs/>
          <w:sz w:val="24"/>
          <w:szCs w:val="24"/>
        </w:rPr>
        <w:t>4.2 Bidireccionalidad: aprendizaje mutuo con co-diseño limitado</w:t>
      </w:r>
    </w:p>
    <w:p>
      <w:pPr>
        <w:pStyle w:val="normal1"/>
        <w:spacing w:lineRule="auto" w:line="240" w:before="0" w:after="120"/>
        <w:jc w:val="both"/>
        <w:rPr/>
      </w:pPr>
      <w:r>
        <w:rPr>
          <w:rFonts w:eastAsia="Times New Roman" w:cs="Times New Roman"/>
          <w:sz w:val="24"/>
          <w:szCs w:val="24"/>
        </w:rPr>
        <w:t>La bidireccionalidad aparece en las entrevistas como una dimensión presente, aunque parcial. AE1 sostiene que ambas partes aprenden: las emprendedoras adquieren herramientas y los equipos universitarios se nutren del contacto directo con realidades asociadas a brechas digitales, condiciones de emprendimiento y vulnerabilidad. Esta percepción es consistente con una concepción de bidireccionalidad basada en aprendizaje mutuo y retroalimentación práctica.</w:t>
      </w:r>
    </w:p>
    <w:p>
      <w:pPr>
        <w:pStyle w:val="normal1"/>
        <w:spacing w:lineRule="auto" w:line="240" w:before="0" w:after="120"/>
        <w:jc w:val="both"/>
        <w:rPr/>
      </w:pPr>
      <w:r>
        <w:rPr>
          <w:rFonts w:eastAsia="Times New Roman" w:cs="Times New Roman"/>
          <w:sz w:val="24"/>
          <w:szCs w:val="24"/>
        </w:rPr>
        <w:t xml:space="preserve">Los estudiantes confirman esta dimensión. EST1 señala que la interacción permitió conocer distintas realidades de las emprendedoras y reconocer su compromiso con el emprendimiento. EST2 identifica como aprendizaje relevante la importancia del apoyo a la conciliación familiar y laboral de las mujeres en el país. </w:t>
      </w:r>
      <w:r>
        <w:rPr/>
        <w:t>En ambos casos, la interacción con las distintas realidades sociales y regionales de las participantes no operó únicamente como contexto de ejecución, sino también como una fuente de aprendizaje que modificó la comprensión de los estudiantes sobre el emprendimiento femenino.</w:t>
      </w:r>
    </w:p>
    <w:p>
      <w:pPr>
        <w:pStyle w:val="normal1"/>
        <w:spacing w:lineRule="auto" w:line="240" w:before="0" w:after="120"/>
        <w:jc w:val="both"/>
        <w:rPr/>
      </w:pPr>
      <w:r>
        <w:rPr>
          <w:rFonts w:eastAsia="Times New Roman" w:cs="Times New Roman"/>
          <w:sz w:val="24"/>
          <w:szCs w:val="24"/>
        </w:rPr>
        <w:t>La bidireccionalidad también se expresa en ajustes metodológicos. EST2 indica que los módulos variaban según necesidades regionales y que, a medida que avanzaban los cursos, se identificaban mejores ideas para módulos futuros. DOC1 señala la importancia de recibir retroalimentación de las participantes para mejorar tanto en el plano profesional como personal. Estos testimonios evidencian una forma de retroalimentación adaptativa: el programa incorpora información del territorio para ajustar su implementación.</w:t>
      </w:r>
    </w:p>
    <w:p>
      <w:pPr>
        <w:pStyle w:val="normal1"/>
        <w:spacing w:lineRule="auto" w:line="240" w:before="0" w:after="120"/>
        <w:jc w:val="both"/>
        <w:rPr/>
      </w:pPr>
      <w:r>
        <w:rPr>
          <w:rFonts w:eastAsia="Times New Roman" w:cs="Times New Roman"/>
          <w:sz w:val="24"/>
          <w:szCs w:val="24"/>
        </w:rPr>
        <w:t xml:space="preserve">Sin embargo, la propia contraparte externa introduce el límite de esta bidireccionalidad. AE1 señala que los programas se estructuran desde lineamientos centrales definidos por el servicio, lo que restringe la adaptación específica al territorio. También plantea que existe espacio de mejora en la co-construcción entre universidad y servicio, particularmente en la definición de contenidos, metodologías y criterios de selección. Por lo tanto, el presente caso no </w:t>
      </w:r>
      <w:r>
        <w:rPr/>
        <w:t>podría</w:t>
      </w:r>
      <w:r>
        <w:rPr>
          <w:rFonts w:eastAsia="Times New Roman" w:cs="Times New Roman"/>
          <w:sz w:val="24"/>
          <w:szCs w:val="24"/>
        </w:rPr>
        <w:t xml:space="preserve"> ser </w:t>
      </w:r>
      <w:r>
        <w:rPr/>
        <w:t>identificado</w:t>
      </w:r>
      <w:r>
        <w:rPr>
          <w:rFonts w:eastAsia="Times New Roman" w:cs="Times New Roman"/>
          <w:sz w:val="24"/>
          <w:szCs w:val="24"/>
        </w:rPr>
        <w:t xml:space="preserve"> como una co-construcción plena. Lo que se observa es una bidireccionalidad intermedia: hay aprendizaje mutuo y ajustes contextuales, pero no un co-diseño estructural del programa.</w:t>
      </w:r>
    </w:p>
    <w:p>
      <w:pPr>
        <w:pStyle w:val="normal1"/>
        <w:rPr/>
      </w:pPr>
      <w:r>
        <w:rPr>
          <w:rFonts w:eastAsia="Times New Roman" w:cs="Times New Roman"/>
          <w:b/>
          <w:bCs/>
          <w:sz w:val="24"/>
          <w:szCs w:val="24"/>
        </w:rPr>
        <w:t>4.3 Valoración institucional: reconocimiento bajo y fragmentado</w:t>
      </w:r>
    </w:p>
    <w:p>
      <w:pPr>
        <w:pStyle w:val="normal1"/>
        <w:spacing w:lineRule="auto" w:line="240" w:before="0" w:after="120"/>
        <w:jc w:val="both"/>
        <w:rPr/>
      </w:pPr>
      <w:r>
        <w:rPr>
          <w:rFonts w:eastAsia="Times New Roman" w:cs="Times New Roman"/>
          <w:sz w:val="24"/>
          <w:szCs w:val="24"/>
        </w:rPr>
        <w:t>El hallazgo más consistente del estudio es la baja valoración institucional de la iniciativa. Esta baja valoración se expresa en tres planos: reconocimiento académico, visibilidad institucional e incentivos para la participación docente. En el caso de los estudiantes, la falta de reconocimiento es explícita. EST1 afirma que su participación no fue evaluada y que este tipo de iniciativas debería valorarse más por su aporte a la formación profesional. EST2 señala que el programa no era parte de un ramo y, por tanto, no tuvo reconocimiento académico, aunque sí recibió reconocimiento informal de directores, coordinadores y contrapartes de SernamEG.</w:t>
      </w:r>
    </w:p>
    <w:p>
      <w:pPr>
        <w:pStyle w:val="normal1"/>
        <w:spacing w:lineRule="auto" w:line="240" w:before="0" w:after="120"/>
        <w:jc w:val="both"/>
        <w:rPr/>
      </w:pPr>
      <w:r>
        <w:rPr>
          <w:rFonts w:eastAsia="Times New Roman" w:cs="Times New Roman"/>
          <w:sz w:val="24"/>
          <w:szCs w:val="24"/>
        </w:rPr>
        <w:t>La diferencia entre reconocimiento informal y reconocimiento institucional es analíticamente relevante. El programa puede ser valorado por equipos directivos, contrapartes externas o participantes, pero esa valoración no se traduce necesariamente en créditos, evaluación curricular, carga académica, certificación formal de competencias o evidencia incorporada al itinerario formativo. En términos de aprendizaje-servicio, esto impide que la experiencia alcance una integración académica plena.</w:t>
      </w:r>
    </w:p>
    <w:p>
      <w:pPr>
        <w:pStyle w:val="normal1"/>
        <w:spacing w:lineRule="auto" w:line="240" w:before="0" w:after="120"/>
        <w:jc w:val="both"/>
        <w:rPr/>
      </w:pPr>
      <w:r>
        <w:rPr>
          <w:rFonts w:eastAsia="Times New Roman" w:cs="Times New Roman"/>
          <w:sz w:val="24"/>
          <w:szCs w:val="24"/>
        </w:rPr>
        <w:t>Desde la unidad de vinculación con el medio, VCM1 confirma que la vinculación aún no tiene un peso significativo en la evaluación del desempeño académico. La entrevista señala que, al no tener mayor incidencia en la EDDA, los profesores no perciben suficiente valor ni incentivo para desarrollar actividades de VcM (Vinculaci</w:t>
      </w:r>
      <w:r>
        <w:rPr/>
        <w:t>ón con el Medio)</w:t>
      </w:r>
      <w:r>
        <w:rPr>
          <w:rFonts w:eastAsia="Times New Roman" w:cs="Times New Roman"/>
          <w:sz w:val="24"/>
          <w:szCs w:val="24"/>
        </w:rPr>
        <w:t xml:space="preserve">. Esta afirmación es central porque conecta la percepción empírica del caso con el problema teórico del reconocimiento académico: la </w:t>
      </w:r>
      <w:r>
        <w:rPr/>
        <w:t>valoración</w:t>
      </w:r>
      <w:r>
        <w:rPr>
          <w:rFonts w:eastAsia="Times New Roman" w:cs="Times New Roman"/>
          <w:sz w:val="24"/>
          <w:szCs w:val="24"/>
        </w:rPr>
        <w:t xml:space="preserve"> no depende únicamente de la importancia social de una iniciativa, sino de su incorporación efectiva en los sistemas de evaluación, carrera y gestión institucional.</w:t>
      </w:r>
    </w:p>
    <w:p>
      <w:pPr>
        <w:pStyle w:val="normal1"/>
        <w:spacing w:lineRule="auto" w:line="240" w:before="0" w:after="120"/>
        <w:jc w:val="both"/>
        <w:rPr/>
      </w:pPr>
      <w:r>
        <w:rPr>
          <w:rFonts w:eastAsia="Times New Roman" w:cs="Times New Roman"/>
          <w:sz w:val="24"/>
          <w:szCs w:val="24"/>
        </w:rPr>
        <w:t>La docente entrevistada también identifica una brecha entre el valor de estas iniciativas y su ubicación institucional. DOC1 plantea que se trata de experiencias vinculadas al entorno, pero aisladas respecto de programas más estables, y advierte que existe una exclusión de mujeres microempresarias que emprenden por necesidad respecto de ciertos espacios universitarios de mujeres o emprendimiento más profesionalizado. Esta observación introduce una dimensión crítica: la baja valoración no solo sería administrativa, sino también cultural y simbólica. Determinados perfiles de beneficiarias y determinados tipos de emprendimiento podrían ser considerados menos alineados con los imaginarios dominantes de innovación universitaria.</w:t>
      </w:r>
    </w:p>
    <w:p>
      <w:pPr>
        <w:pStyle w:val="normal1"/>
        <w:rPr/>
      </w:pPr>
      <w:r>
        <w:rPr>
          <w:rFonts w:eastAsia="Times New Roman" w:cs="Times New Roman"/>
          <w:b/>
          <w:bCs/>
          <w:sz w:val="24"/>
          <w:szCs w:val="24"/>
        </w:rPr>
        <w:t>4.4 Barreras de implementación: operación, administración y territorio</w:t>
      </w:r>
    </w:p>
    <w:p>
      <w:pPr>
        <w:pStyle w:val="normal1"/>
        <w:spacing w:lineRule="auto" w:line="240" w:before="0" w:after="120"/>
        <w:jc w:val="both"/>
        <w:rPr/>
      </w:pPr>
      <w:r>
        <w:rPr>
          <w:rFonts w:eastAsia="Times New Roman" w:cs="Times New Roman"/>
          <w:sz w:val="24"/>
          <w:szCs w:val="24"/>
        </w:rPr>
        <w:t xml:space="preserve">Las entrevistas identifican barreras operativas significativas. La conectividad, el acceso a dispositivos y las competencias digitales de las participantes aparecen como problemas recurrentes. DOC1 señala que digitalizar a personas a distancia fue complejo porque las emprendedoras se conectaban desde celulares o </w:t>
      </w:r>
      <w:r>
        <w:rPr>
          <w:rFonts w:eastAsia="Times New Roman" w:cs="Times New Roman"/>
          <w:i/>
          <w:iCs/>
          <w:sz w:val="24"/>
          <w:szCs w:val="24"/>
        </w:rPr>
        <w:t>smartphones</w:t>
      </w:r>
      <w:r>
        <w:rPr>
          <w:rFonts w:eastAsia="Times New Roman" w:cs="Times New Roman"/>
          <w:sz w:val="24"/>
          <w:szCs w:val="24"/>
        </w:rPr>
        <w:t xml:space="preserve">, tabletas o </w:t>
      </w:r>
      <w:r>
        <w:rPr>
          <w:rFonts w:eastAsia="Times New Roman" w:cs="Times New Roman"/>
          <w:i/>
          <w:iCs/>
          <w:sz w:val="24"/>
          <w:szCs w:val="24"/>
        </w:rPr>
        <w:t>tablets,</w:t>
      </w:r>
      <w:r>
        <w:rPr>
          <w:rFonts w:eastAsia="Times New Roman" w:cs="Times New Roman"/>
          <w:sz w:val="24"/>
          <w:szCs w:val="24"/>
        </w:rPr>
        <w:t xml:space="preserve"> o computadores, y muchas no manejaban adecuadamente las plataformas. EST1 también menciona dificultades de comunicación con emprendedoras que no estaban actualizadas en tecnologías. EST2 agrega barreras de conectividad, acceso a implementos adecuados y disponibilidad de espacios físicos para realizar actividades.</w:t>
      </w:r>
    </w:p>
    <w:p>
      <w:pPr>
        <w:pStyle w:val="normal1"/>
        <w:spacing w:lineRule="auto" w:line="240" w:before="0" w:after="120"/>
        <w:jc w:val="both"/>
        <w:rPr/>
      </w:pPr>
      <w:r>
        <w:rPr>
          <w:rFonts w:eastAsia="Times New Roman" w:cs="Times New Roman"/>
          <w:sz w:val="24"/>
          <w:szCs w:val="24"/>
        </w:rPr>
        <w:t>Estas barreras no deben interpretarse como simples problemas logísticos. En proyectos sociales con enfoque territorial, las condiciones de acceso tecnológico son parte del problema público que el programa busca abordar. Por tanto, la ejecución no solo transmite contenidos sobre digitalización, sino que enfrenta materialmente las brechas que pretende reducir. Esto tensiona los indicadores de eficacia, pues los mismos factores que justifican el programa dificultan su implementación.</w:t>
      </w:r>
    </w:p>
    <w:p>
      <w:pPr>
        <w:pStyle w:val="normal1"/>
        <w:spacing w:lineRule="auto" w:line="240" w:before="0" w:after="120"/>
        <w:jc w:val="both"/>
        <w:rPr/>
      </w:pPr>
      <w:r>
        <w:rPr>
          <w:rFonts w:eastAsia="Times New Roman" w:cs="Times New Roman"/>
          <w:sz w:val="24"/>
          <w:szCs w:val="24"/>
        </w:rPr>
        <w:t>En el plano administrativo, AE1 identifica como principales dificultades los procesos asociados a convenios, firmas, validación de documentos y requerimientos formales, los cuales pueden ralentizar la ejecución. También señala restricciones derivadas de la centralización de decisiones, que reducen la flexibilidad para adaptar el programa a características regionales. Esta barrera es especialmente relevante en programas ejecutados con instituciones del Estado, donde la universidad debe operar dentro de marcos administrativos que no controla completamente.</w:t>
      </w:r>
    </w:p>
    <w:p>
      <w:pPr>
        <w:pStyle w:val="normal1"/>
        <w:spacing w:lineRule="auto" w:line="240" w:before="0" w:after="120"/>
        <w:jc w:val="both"/>
        <w:rPr/>
      </w:pPr>
      <w:r>
        <w:rPr>
          <w:rFonts w:eastAsia="Times New Roman" w:cs="Times New Roman"/>
          <w:sz w:val="24"/>
          <w:szCs w:val="24"/>
        </w:rPr>
        <w:t>Los estudiantes agregan una dimensión de trabajo operativo invisibilizado. EST1 menciona cotizaciones, órdenes de compra, facturas, recepción de merchandising, preparación de eventos de cierre y seguimiento vía call center. EST2 señala carga de información en plataformas, subida de rendiciones, ingreso de datos de emprendedoras y control de metas. Estas tareas son centrales para que el programa exista, pero suelen tener baja visibilidad académica. La vinculación con el medio se sostiene, en buena medida, sobre trabajo de gestión que no siempre es reconocido como producción académica ni como aprendizaje formal.</w:t>
      </w:r>
    </w:p>
    <w:p>
      <w:pPr>
        <w:pStyle w:val="normal1"/>
        <w:rPr/>
      </w:pPr>
      <w:r>
        <w:rPr>
          <w:rFonts w:eastAsia="Times New Roman" w:cs="Times New Roman"/>
          <w:b/>
          <w:bCs/>
          <w:sz w:val="24"/>
          <w:szCs w:val="24"/>
        </w:rPr>
        <w:t>4.5 Tensiones entre impacto social, evidencia e integración académica</w:t>
      </w:r>
    </w:p>
    <w:p>
      <w:pPr>
        <w:pStyle w:val="normal1"/>
        <w:spacing w:lineRule="auto" w:line="240" w:before="0" w:after="120"/>
        <w:jc w:val="both"/>
        <w:rPr/>
      </w:pPr>
      <w:r>
        <w:rPr>
          <w:rFonts w:eastAsia="Times New Roman" w:cs="Times New Roman"/>
          <w:sz w:val="24"/>
          <w:szCs w:val="24"/>
        </w:rPr>
        <w:t>El análisis muestra que la Escuela Mujer Emprende produce impactos reconocidos por sus actores, pero enfrenta dificultades para transformarlos en evidencia institucionalmente valorable. VCM1 señala que la institución considera criterios como trabajo con comunidades externas, evidencias, sustentabilidad en el tiempo, evaluación de impacto, participación de unidades académicas o docentes, contribución a investigación y docencia, impacto curricular y bidireccionalidad. Bajo estos criterios, el programa puede ser reconocido como trabajo con sociedad civil organizada y como responsabilidad social universitaria, pero su consolidación depende de evidenciar contribución curricular, impacto y beneficios mutuos.</w:t>
      </w:r>
    </w:p>
    <w:p>
      <w:pPr>
        <w:pStyle w:val="normal1"/>
        <w:spacing w:lineRule="auto" w:line="240" w:before="0" w:after="120"/>
        <w:jc w:val="both"/>
        <w:rPr/>
      </w:pPr>
      <w:r>
        <w:rPr>
          <w:rFonts w:eastAsia="Times New Roman" w:cs="Times New Roman"/>
          <w:sz w:val="24"/>
          <w:szCs w:val="24"/>
        </w:rPr>
        <w:t>Aquí aparece una tensión metodológica y política. Los programas sociales producen resultados heterogéneos: aprendizajes, vínculos, confianza, capacidades, redes, ajustes metodológicos y contribuciones territoriales. No todos estos resultados son fáciles de medir con instrumentos estandarizados. La unidad de vinculación reconoce que se están desarrollando asesorías e instrumentos para evaluar contribución e impacto de las actividades de VcM en docencia y competencias transversales sello. Esto indica que la institución se encuentra en un proceso de transición: reconoce la necesidad de evaluar impacto, pero aún no cuenta con mecanismos suficientemente consolidados.</w:t>
      </w:r>
    </w:p>
    <w:p>
      <w:pPr>
        <w:pStyle w:val="normal1"/>
        <w:spacing w:lineRule="auto" w:line="240" w:before="0" w:after="120"/>
        <w:jc w:val="both"/>
        <w:rPr>
          <w:rFonts w:ascii="Times New Roman" w:hAnsi="Times New Roman" w:eastAsia="Times New Roman" w:cs="Times New Roman"/>
          <w:sz w:val="24"/>
          <w:szCs w:val="24"/>
        </w:rPr>
      </w:pPr>
      <w:r>
        <w:rPr>
          <w:rFonts w:eastAsia="Times New Roman" w:cs="Times New Roman"/>
          <w:sz w:val="24"/>
          <w:szCs w:val="24"/>
        </w:rPr>
        <w:t>En síntesis, los resultados evidencian una paradoja institucional. El programa es socialmente pertinente, formativamente significativo y valorado por los actores externos; sin embargo, su reconocimiento interno es parcial porque no logra integrarse de manera sistemática en la carrera académica, en la evaluación docente, en la docencia formal ni en la producción de conocimiento.</w:t>
      </w:r>
    </w:p>
    <w:p>
      <w:pPr>
        <w:pStyle w:val="normal1"/>
        <w:spacing w:lineRule="auto" w:line="240" w:before="0" w:after="120"/>
        <w:jc w:val="both"/>
        <w:rPr/>
      </w:pPr>
      <w:r>
        <w:rPr/>
      </w:r>
    </w:p>
    <w:p>
      <w:pPr>
        <w:pStyle w:val="normal1"/>
        <w:rPr/>
      </w:pPr>
      <w:r>
        <w:rPr>
          <w:rFonts w:eastAsia="Times New Roman" w:cs="Times New Roman"/>
          <w:b/>
          <w:bCs/>
          <w:sz w:val="24"/>
          <w:szCs w:val="24"/>
        </w:rPr>
        <w:t>5. Discusión</w:t>
      </w:r>
    </w:p>
    <w:p>
      <w:pPr>
        <w:pStyle w:val="normal1"/>
        <w:spacing w:lineRule="auto" w:line="240" w:before="0" w:after="120"/>
        <w:jc w:val="both"/>
        <w:rPr/>
      </w:pPr>
      <w:r>
        <w:rPr>
          <w:rFonts w:eastAsia="Times New Roman" w:cs="Times New Roman"/>
          <w:sz w:val="24"/>
          <w:szCs w:val="24"/>
        </w:rPr>
        <w:t>Los hallazgos permiten discutir la institucionalización de la vinculación con el medio desde una perspectiva crítica. La evidencia muestra que contar con políticas, unidades especializadas y criterios institucionales no garantiza la valoración efectiva de proyectos sociales. Esta constatación dialoga con Irarrázaval (2020), quien advierte que el compromiso público universitario requiere mecanismos concretos de reconocimiento académico y apoyo institucional. En el caso analizado, la política existe, pero su traducción en incentivos, carga académica, evaluación docente y reconocimiento curricular resulta insuficiente.</w:t>
      </w:r>
    </w:p>
    <w:p>
      <w:pPr>
        <w:pStyle w:val="normal1"/>
        <w:spacing w:lineRule="auto" w:line="240" w:before="0" w:after="120"/>
        <w:jc w:val="both"/>
        <w:rPr/>
      </w:pPr>
      <w:r>
        <w:rPr>
          <w:rFonts w:eastAsia="Times New Roman" w:cs="Times New Roman"/>
          <w:sz w:val="24"/>
          <w:szCs w:val="24"/>
        </w:rPr>
        <w:t xml:space="preserve">La primera tensión se ubica entre institucionalización formal </w:t>
      </w:r>
      <w:r>
        <w:rPr/>
        <w:t>y la valorización</w:t>
      </w:r>
      <w:r>
        <w:rPr>
          <w:rFonts w:eastAsia="Times New Roman" w:cs="Times New Roman"/>
          <w:sz w:val="24"/>
          <w:szCs w:val="24"/>
        </w:rPr>
        <w:t xml:space="preserve"> efectiva. La CNA (2025) muestra que la vinculación con el medio se ha consolidado como una función central en el sistema chileno, pero también identifica disparidad en las arquitecturas de gobernanza, debilidad en sistemas de medición de contribución y coexistencia de enfoques de extensión y vinculación. El caso estudiado confirma esta ambivalencia: la universidad dispone de criterios para reconocer iniciativas de VcM, pero los actores declaran que la actividad tiene baja visibilidad y escaso peso en la evaluación académica.</w:t>
      </w:r>
    </w:p>
    <w:p>
      <w:pPr>
        <w:pStyle w:val="normal1"/>
        <w:spacing w:lineRule="auto" w:line="240" w:before="0" w:after="120"/>
        <w:jc w:val="both"/>
        <w:rPr/>
      </w:pPr>
      <w:r>
        <w:rPr>
          <w:rFonts w:eastAsia="Times New Roman" w:cs="Times New Roman"/>
          <w:sz w:val="24"/>
          <w:szCs w:val="24"/>
        </w:rPr>
        <w:t>La segunda tensión refiere a la bidireccionalidad. Los resultados sugieren que no basta con preguntar si una iniciativa es o no bidireccional. El caso permite distinguir niveles: interacción, retroalimentación, adaptación territorial y co-diseño. La Escuela Mujer Emprende alcanza principalmente los dos primeros niveles y, en algunos casos, el tercero. Sin embargo, no alcanza plenamente el co-diseño estructural, debido a que los lineamientos centrales del programa son definidos por el organismo público. Esta constatación no invalida el carácter vinculante de la iniciativa, pero obliga a matizar su clasificación y a reconocer que la bidireccionalidad depende de condiciones de gobernanza externas e internas.</w:t>
      </w:r>
    </w:p>
    <w:p>
      <w:pPr>
        <w:pStyle w:val="normal1"/>
        <w:spacing w:lineRule="auto" w:line="240" w:before="0" w:after="120"/>
        <w:jc w:val="both"/>
        <w:rPr/>
      </w:pPr>
      <w:r>
        <w:rPr>
          <w:rFonts w:eastAsia="Times New Roman" w:cs="Times New Roman"/>
          <w:sz w:val="24"/>
          <w:szCs w:val="24"/>
        </w:rPr>
        <w:t>La tercera tensión se relaciona con el aprendizaje estudiantil. La experiencia de los estudiantes confirma que los proyectos sociales pueden generar aprendizajes profesionales de alto valor: comunicación efectiva, gestión de proyectos, coordinación regional, uso de tecnologías y comprensión de contextos sociales. No obstante, desde la perspectiva de Eyler y Giles (1999) y CLAYSS (2016), la experiencia solo se convierte en aprendizaje-servicio en sentido fuerte cuando existe integración intencionada con currículo, objetivos académicos, reflexión y evaluación. En el caso analizado, el aprendizaje se produce, pero permanece en una zona extracurricular. Este hallazgo es relevante porque muestra una pérdida institucional: la universidad obtiene aprendizajes y experiencias, pero no los convierte necesariamente en evidencia curricular ni en innovación pedagógica.</w:t>
      </w:r>
    </w:p>
    <w:p>
      <w:pPr>
        <w:pStyle w:val="normal1"/>
        <w:spacing w:lineRule="auto" w:line="240" w:before="0" w:after="120"/>
        <w:jc w:val="both"/>
        <w:rPr/>
      </w:pPr>
      <w:r>
        <w:rPr>
          <w:rFonts w:eastAsia="Times New Roman" w:cs="Times New Roman"/>
          <w:sz w:val="24"/>
          <w:szCs w:val="24"/>
        </w:rPr>
        <w:t>La cuarta tensión se vincula con las culturas disciplinares de universidades científico-tecnológicas. Los proyectos sociales asociados a mujeres emprendedoras pueden ser percibidos como menos próximos al núcleo duro de ciencia, ingeniería y tecnología, especialmente si no se traducen en investigación, innovación tecnológica o indicadores convencionales de productividad. Esta tensión no debe interpretarse como una oposición entre ciencia y compromiso social, sino como un problema de jerarquías internas de valor. La universidad puede contribuir a resolver problemas sociales desde capacidades técnicas y de gestión, pero requiere ampliar sus criterios de reconocimiento para no subordinar estas contribuciones a formatos tradicionales de capital académico.</w:t>
      </w:r>
    </w:p>
    <w:p>
      <w:pPr>
        <w:pStyle w:val="normal1"/>
        <w:spacing w:lineRule="auto" w:line="240" w:before="0" w:after="120"/>
        <w:jc w:val="both"/>
        <w:rPr>
          <w:rFonts w:ascii="Times New Roman" w:hAnsi="Times New Roman" w:eastAsia="Times New Roman" w:cs="Times New Roman"/>
          <w:sz w:val="24"/>
          <w:szCs w:val="24"/>
        </w:rPr>
      </w:pPr>
      <w:r>
        <w:rPr>
          <w:rFonts w:eastAsia="Times New Roman" w:cs="Times New Roman"/>
          <w:sz w:val="24"/>
          <w:szCs w:val="24"/>
        </w:rPr>
        <w:t>Finalmente, el caso permite problematizar el trabajo operativo como dimensión invisibilizada de la vinculación con el medio. Buena parte de la ejecución descansa en tareas administrativas, logísticas, de seguimiento y coordinación territorial. Estas tareas no son accesorias: constituyen la infraestructura práctica que hace posible la relación universidad-territorio. Sin embargo, suelen quedar fuera de los sistemas de reconocimiento académico. En consecuencia, la baja valoración no afecta solo a los productos finales del programa, sino también a los procesos de gestión que sostienen la vinculación.</w:t>
      </w:r>
    </w:p>
    <w:p>
      <w:pPr>
        <w:pStyle w:val="normal1"/>
        <w:spacing w:lineRule="auto" w:line="240" w:before="0" w:after="120"/>
        <w:jc w:val="both"/>
        <w:rPr/>
      </w:pPr>
      <w:r>
        <w:rPr/>
      </w:r>
    </w:p>
    <w:p>
      <w:pPr>
        <w:pStyle w:val="normal1"/>
        <w:spacing w:lineRule="auto" w:line="240" w:before="0" w:after="120"/>
        <w:jc w:val="both"/>
        <w:rPr>
          <w:rFonts w:ascii="Times New Roman" w:hAnsi="Times New Roman" w:eastAsia="Times New Roman" w:cs="Times New Roman"/>
          <w:sz w:val="24"/>
          <w:szCs w:val="24"/>
        </w:rPr>
      </w:pPr>
      <w:r>
        <w:rPr>
          <w:rFonts w:eastAsia="Times New Roman" w:cs="Times New Roman"/>
          <w:sz w:val="24"/>
          <w:szCs w:val="24"/>
        </w:rPr>
        <w:t xml:space="preserve">En conjunto, los resultados permiten sostener que la valoración institucional de proyectos sociales de vinculación con el medio depende de la articulación entre cinco condiciones: reconocimiento académico, integración curricular, evidencia de impacto, capacidad de co-diseño y legitimidad disciplinar. Cuando estas condiciones no se articulan, las iniciativas pueden producir impacto social y aprendizaje, pero permanecer en una posición institucional periférica. La paradoja del caso no consiste en que el programa carezca de valor, sino en que el sistema universitario </w:t>
      </w:r>
      <w:r>
        <w:rPr/>
        <w:t>en Chile</w:t>
      </w:r>
      <w:r>
        <w:rPr>
          <w:rFonts w:eastAsia="Times New Roman" w:cs="Times New Roman"/>
          <w:sz w:val="24"/>
          <w:szCs w:val="24"/>
        </w:rPr>
        <w:t xml:space="preserve"> no dispone aún de mecanismos suficientes para traducir ese valor en reconocimiento académico estable.</w:t>
      </w:r>
    </w:p>
    <w:p>
      <w:pPr>
        <w:pStyle w:val="normal1"/>
        <w:spacing w:lineRule="auto" w:line="240" w:before="0" w:after="120"/>
        <w:jc w:val="both"/>
        <w:rPr/>
      </w:pPr>
      <w:r>
        <w:rPr/>
      </w:r>
    </w:p>
    <w:p>
      <w:pPr>
        <w:pStyle w:val="normal1"/>
        <w:rPr/>
      </w:pPr>
      <w:r>
        <w:rPr>
          <w:rFonts w:eastAsia="Times New Roman" w:cs="Times New Roman"/>
          <w:b/>
          <w:bCs/>
          <w:sz w:val="24"/>
          <w:szCs w:val="24"/>
        </w:rPr>
        <w:t>6. Conclusiones</w:t>
      </w:r>
    </w:p>
    <w:p>
      <w:pPr>
        <w:pStyle w:val="normal1"/>
        <w:spacing w:lineRule="auto" w:line="240" w:before="0" w:after="120"/>
        <w:jc w:val="both"/>
        <w:rPr/>
      </w:pPr>
      <w:r>
        <w:rPr>
          <w:rFonts w:eastAsia="Times New Roman" w:cs="Times New Roman"/>
          <w:sz w:val="24"/>
          <w:szCs w:val="24"/>
        </w:rPr>
        <w:t xml:space="preserve">El estudio analizó las barreras que enfrentan iniciativas sociales de vinculación con el medio para ser valoradas internamente en una </w:t>
      </w:r>
      <w:r>
        <w:rPr/>
        <w:t>universidad con foco en ingeniería</w:t>
      </w:r>
      <w:r>
        <w:rPr>
          <w:rFonts w:eastAsia="Times New Roman" w:cs="Times New Roman"/>
          <w:sz w:val="24"/>
          <w:szCs w:val="24"/>
        </w:rPr>
        <w:t>, a partir del caso Escuela Mujer Emprende 2024. Los hallazgos permiten concluir que existe una brecha significativa entre el impacto social del programa y su reconocimiento institucional. Esta brecha no se explica solo por debilidades de difusión o registro, sino por una configuración estructural de incentivos, culturas disciplinares, condiciones administrativas y criterios de evaluación.</w:t>
      </w:r>
    </w:p>
    <w:p>
      <w:pPr>
        <w:pStyle w:val="normal1"/>
        <w:spacing w:lineRule="auto" w:line="240" w:before="0" w:after="120"/>
        <w:jc w:val="both"/>
        <w:rPr/>
      </w:pPr>
      <w:r>
        <w:rPr>
          <w:rFonts w:eastAsia="Times New Roman" w:cs="Times New Roman"/>
          <w:sz w:val="24"/>
          <w:szCs w:val="24"/>
        </w:rPr>
        <w:t>En primer lugar, el programa presenta contribuciones sociales y formativas relevantes. Desde la contraparte pública se destacan resultados de participación, aprobación, aumento de ventas y certificación. Desde el equipo docente se identifican empoderamiento, colaboración y apropiación de herramientas. Desde los estudiantes se observan aprendizajes vinculados a gestión, comunicación, coordinación y comprensión de realidades territoriales. Estos resultados muestran que el programa no puede ser reducido a una actividad operativa; constituye una experiencia de formación situada y contribución pública.</w:t>
      </w:r>
    </w:p>
    <w:p>
      <w:pPr>
        <w:pStyle w:val="normal1"/>
        <w:spacing w:lineRule="auto" w:line="240" w:before="0" w:after="120"/>
        <w:jc w:val="both"/>
        <w:rPr/>
      </w:pPr>
      <w:r>
        <w:rPr>
          <w:rFonts w:eastAsia="Times New Roman" w:cs="Times New Roman"/>
          <w:sz w:val="24"/>
          <w:szCs w:val="24"/>
        </w:rPr>
        <w:t>En segundo lugar, la bidireccionalidad se manifiesta de manera parcial. Existe aprendizaje mutuo, retroalimentación y adaptación metodológica a necesidades territoriales. Sin embargo, las posibilidades de co-diseño son limitadas debido a la estructura del programa y a los lineamientos definidos por el organismo público. En consecuencia, la bidireccionalidad debe analizarse como un continuo y no como una condición dicotómica.</w:t>
      </w:r>
    </w:p>
    <w:p>
      <w:pPr>
        <w:pStyle w:val="normal1"/>
        <w:spacing w:lineRule="auto" w:line="240" w:before="0" w:after="120"/>
        <w:jc w:val="both"/>
        <w:rPr/>
      </w:pPr>
      <w:r>
        <w:rPr>
          <w:rFonts w:eastAsia="Times New Roman" w:cs="Times New Roman"/>
          <w:sz w:val="24"/>
          <w:szCs w:val="24"/>
        </w:rPr>
        <w:t>En tercer lugar, la valoración institucional aparece como el principal nudo crítico. La participación estudiantil no fue reconocida académicamente y la vinculación con el medio mantiene baja incidencia en la evaluación del desempeño académico. Esto confirma que la institucionalización formal de la VcM no garantiza su incorporación efectiva en la carrera académica, en la docencia o en los sistemas de incentivos.</w:t>
      </w:r>
    </w:p>
    <w:p>
      <w:pPr>
        <w:pStyle w:val="normal1"/>
        <w:spacing w:lineRule="auto" w:line="240" w:before="0" w:after="120"/>
        <w:jc w:val="both"/>
        <w:rPr/>
      </w:pPr>
      <w:r>
        <w:rPr>
          <w:rFonts w:eastAsia="Times New Roman" w:cs="Times New Roman"/>
          <w:sz w:val="24"/>
          <w:szCs w:val="24"/>
        </w:rPr>
        <w:t>En cuarto lugar, las barreras operativas y administrativas son parte constitutiva del fenómeno. Las brechas digitales de las emprendedoras, las dificultades de conectividad, la centralización de decisiones, la gestión de convenios y la carga de plataformas condicionan la ejecución. Estos elementos no son meros problemas técnicos, sino expresiones de las condiciones reales bajo las cuales se implementa la vinculación con el medio en proyectos sociales.</w:t>
      </w:r>
    </w:p>
    <w:p>
      <w:pPr>
        <w:pStyle w:val="normal1"/>
        <w:spacing w:lineRule="auto" w:line="240" w:before="0" w:after="120"/>
        <w:jc w:val="both"/>
        <w:rPr>
          <w:rFonts w:ascii="Times New Roman" w:hAnsi="Times New Roman" w:eastAsia="Times New Roman" w:cs="Times New Roman"/>
          <w:sz w:val="24"/>
          <w:szCs w:val="24"/>
        </w:rPr>
      </w:pPr>
      <w:r>
        <w:rPr>
          <w:rFonts w:eastAsia="Times New Roman" w:cs="Times New Roman"/>
          <w:sz w:val="24"/>
          <w:szCs w:val="24"/>
        </w:rPr>
        <w:t>El aporte del artículo consiste en mostrar que los proyectos sociales de vinculación con el medio en universidades científico-tecnológicas pueden quedar atrapados en una paradoja: son altamente pertinentes para el territorio, pero débilmente valorados por la institución. Superar esta paradoja requiere avanzar en mecanismos de reconocimiento académico, integración curricular, evaluación de contribución social y espacios de co-diseño con contrapartes públicas. También exige ampliar los criterios de legitimidad académica para reconocer que la producción de valor universitario no se expresa únicamente en publicaciones, innovación tecnológica o transferencia al sector productivo, sino también en aprendizajes, capacidades sociales, fortalecimiento territorial y contribución a políticas públicas.</w:t>
      </w:r>
    </w:p>
    <w:p>
      <w:pPr>
        <w:pStyle w:val="normal1"/>
        <w:spacing w:lineRule="auto" w:line="240" w:before="0" w:after="120"/>
        <w:jc w:val="both"/>
        <w:rPr/>
      </w:pPr>
      <w:r>
        <w:rPr/>
      </w:r>
    </w:p>
    <w:p>
      <w:pPr>
        <w:pStyle w:val="normal1"/>
        <w:rPr/>
      </w:pPr>
      <w:r>
        <w:rPr>
          <w:rFonts w:eastAsia="Times New Roman" w:cs="Times New Roman"/>
          <w:b/>
          <w:bCs/>
          <w:sz w:val="24"/>
          <w:szCs w:val="24"/>
        </w:rPr>
        <w:t>7. Referencias Bibliográficas</w:t>
      </w:r>
    </w:p>
    <w:p>
      <w:pPr>
        <w:pStyle w:val="normal1"/>
        <w:spacing w:lineRule="auto" w:line="240" w:before="0" w:after="240"/>
        <w:ind w:hanging="720" w:left="720"/>
        <w:jc w:val="both"/>
        <w:rPr/>
      </w:pPr>
      <w:r>
        <w:rPr/>
        <w:t xml:space="preserve">Adán, L., Torres, C., &amp; Saba, F. (2025). </w:t>
      </w:r>
      <w:r>
        <w:rPr>
          <w:i/>
          <w:iCs/>
        </w:rPr>
        <w:t>Trayectorias de vinculación con el medio en instituciones de educación superior chilenas</w:t>
      </w:r>
      <w:r>
        <w:rPr/>
        <w:t>. Comisión Nacional de Acreditación.</w:t>
      </w:r>
    </w:p>
    <w:p>
      <w:pPr>
        <w:pStyle w:val="normal1"/>
        <w:spacing w:lineRule="auto" w:line="240" w:before="240" w:after="240"/>
        <w:ind w:hanging="720" w:left="720"/>
        <w:jc w:val="both"/>
        <w:rPr/>
      </w:pPr>
      <w:r>
        <w:rPr/>
        <w:t xml:space="preserve">Brunner, J. J. (2011). Gobernanza universitaria: Tipología, dinámicas y tendencias. </w:t>
      </w:r>
      <w:r>
        <w:rPr>
          <w:i/>
          <w:iCs/>
        </w:rPr>
        <w:t>Revista de Educación, 355</w:t>
      </w:r>
      <w:r>
        <w:rPr/>
        <w:t>, 137–159.</w:t>
      </w:r>
    </w:p>
    <w:p>
      <w:pPr>
        <w:pStyle w:val="normal1"/>
        <w:spacing w:lineRule="auto" w:line="240" w:before="240" w:after="240"/>
        <w:ind w:hanging="720" w:left="720"/>
        <w:jc w:val="both"/>
        <w:rPr/>
      </w:pPr>
      <w:r>
        <w:rPr/>
        <w:t xml:space="preserve">Centro Latinoamericano de Aprendizaje y Servicio Solidario. (2016). </w:t>
      </w:r>
      <w:r>
        <w:rPr>
          <w:i/>
          <w:iCs/>
        </w:rPr>
        <w:t>Manual para docentes y estudiantes solidarios</w:t>
      </w:r>
      <w:r>
        <w:rPr/>
        <w:t xml:space="preserve"> (4.ª ed. rev.).</w:t>
      </w:r>
    </w:p>
    <w:p>
      <w:pPr>
        <w:pStyle w:val="normal1"/>
        <w:spacing w:lineRule="auto" w:line="240" w:before="240" w:after="240"/>
        <w:ind w:hanging="720" w:left="720"/>
        <w:jc w:val="both"/>
        <w:rPr/>
      </w:pPr>
      <w:r>
        <w:rPr/>
        <w:t xml:space="preserve">Clark, B. R. (1998). </w:t>
      </w:r>
      <w:r>
        <w:rPr>
          <w:i/>
          <w:iCs/>
        </w:rPr>
        <w:t>Creating entrepreneurial universities: Organizational pathways of transformation</w:t>
      </w:r>
      <w:r>
        <w:rPr/>
        <w:t>. Pergamon.</w:t>
      </w:r>
    </w:p>
    <w:p>
      <w:pPr>
        <w:pStyle w:val="normal1"/>
        <w:spacing w:lineRule="auto" w:line="240" w:before="240" w:after="240"/>
        <w:ind w:hanging="720" w:left="720"/>
        <w:jc w:val="both"/>
        <w:rPr>
          <w:color w:val="1155CC"/>
          <w:u w:val="single"/>
        </w:rPr>
      </w:pPr>
      <w:r>
        <w:rPr/>
        <w:t xml:space="preserve">Compagnucci, L., &amp; Spigarelli, F. (2020). The third mission of the university: A systematic literature review on potentials and constraints. </w:t>
      </w:r>
      <w:r>
        <w:rPr>
          <w:i/>
          <w:iCs/>
        </w:rPr>
        <w:t>Technological Forecasting and Social Change, 161</w:t>
      </w:r>
      <w:r>
        <w:rPr/>
        <w:t>, 120284.</w:t>
      </w:r>
      <w:hyperlink r:id="rId2">
        <w:r>
          <w:rPr>
            <w:rStyle w:val="ListLabel1"/>
          </w:rPr>
          <w:t xml:space="preserve"> </w:t>
        </w:r>
      </w:hyperlink>
      <w:hyperlink r:id="rId3">
        <w:r>
          <w:rPr>
            <w:rStyle w:val="ListLabel2"/>
            <w:color w:val="1155CC"/>
            <w:u w:val="single"/>
          </w:rPr>
          <w:t>https://doi.org/10.1016/j.techfore.2020.120284</w:t>
        </w:r>
      </w:hyperlink>
    </w:p>
    <w:p>
      <w:pPr>
        <w:pStyle w:val="normal1"/>
        <w:spacing w:lineRule="auto" w:line="240" w:before="240" w:after="240"/>
        <w:ind w:hanging="720" w:left="720"/>
        <w:jc w:val="both"/>
        <w:rPr>
          <w:color w:val="1155CC"/>
          <w:u w:val="single"/>
        </w:rPr>
      </w:pPr>
      <w:r>
        <w:rPr/>
        <w:t xml:space="preserve">Dassoler, F. E., Trierweiller, A. C., Ferenhof, H. A., Konrath, A. C., &amp; Vincenzi, S. L. (2023). Indicadores da terceira missão universitária: Perspectivas para mensurar as contribuições das universidades para a sociedade. </w:t>
      </w:r>
      <w:r>
        <w:rPr>
          <w:i/>
          <w:iCs/>
        </w:rPr>
        <w:t>Educação em Revista, 39</w:t>
      </w:r>
      <w:r>
        <w:rPr/>
        <w:t>, e36619.</w:t>
      </w:r>
      <w:hyperlink r:id="rId4">
        <w:r>
          <w:rPr>
            <w:rStyle w:val="ListLabel1"/>
          </w:rPr>
          <w:t xml:space="preserve"> </w:t>
        </w:r>
      </w:hyperlink>
      <w:hyperlink r:id="rId5">
        <w:r>
          <w:rPr>
            <w:rStyle w:val="ListLabel2"/>
            <w:color w:val="1155CC"/>
            <w:u w:val="single"/>
          </w:rPr>
          <w:t>https://doi.org/10.1590/0102-469836619t</w:t>
        </w:r>
      </w:hyperlink>
    </w:p>
    <w:p>
      <w:pPr>
        <w:pStyle w:val="normal1"/>
        <w:spacing w:lineRule="auto" w:line="240" w:before="240" w:after="240"/>
        <w:ind w:hanging="720" w:left="720"/>
        <w:jc w:val="both"/>
        <w:rPr>
          <w:color w:val="1155CC"/>
          <w:u w:val="single"/>
        </w:rPr>
      </w:pPr>
      <w:r>
        <w:rPr/>
        <w:t xml:space="preserve">Etzkowitz, H. (2003). Research groups as “quasi-firms”: The invention of the entrepreneurial university. </w:t>
      </w:r>
      <w:r>
        <w:rPr>
          <w:i/>
          <w:iCs/>
        </w:rPr>
        <w:t>Research Policy, 32</w:t>
      </w:r>
      <w:r>
        <w:rPr/>
        <w:t>(1), 109–121.</w:t>
      </w:r>
      <w:hyperlink r:id="rId6">
        <w:r>
          <w:rPr>
            <w:rStyle w:val="ListLabel1"/>
          </w:rPr>
          <w:t xml:space="preserve"> </w:t>
        </w:r>
      </w:hyperlink>
      <w:hyperlink r:id="rId7">
        <w:r>
          <w:rPr>
            <w:rStyle w:val="ListLabel2"/>
            <w:color w:val="1155CC"/>
            <w:u w:val="single"/>
          </w:rPr>
          <w:t>https://doi.org/10.1016/S0048-7333(02)00009-4</w:t>
        </w:r>
      </w:hyperlink>
    </w:p>
    <w:p>
      <w:pPr>
        <w:pStyle w:val="normal1"/>
        <w:spacing w:lineRule="auto" w:line="240" w:before="240" w:after="240"/>
        <w:ind w:hanging="720" w:left="720"/>
        <w:jc w:val="both"/>
        <w:rPr>
          <w:color w:val="1155CC"/>
          <w:u w:val="single"/>
        </w:rPr>
      </w:pPr>
      <w:r>
        <w:rPr/>
        <w:t xml:space="preserve">Etzkowitz, H., &amp; Leydesdorff, L. (2000). The dynamics of innovation: From national systems and Mode 2 to a Triple Helix of university–industry–government relations. </w:t>
      </w:r>
      <w:r>
        <w:rPr>
          <w:i/>
          <w:iCs/>
        </w:rPr>
        <w:t>Research Policy, 29</w:t>
      </w:r>
      <w:r>
        <w:rPr/>
        <w:t>(2), 109–123.</w:t>
      </w:r>
      <w:hyperlink r:id="rId8">
        <w:r>
          <w:rPr>
            <w:rStyle w:val="ListLabel1"/>
          </w:rPr>
          <w:t xml:space="preserve"> </w:t>
        </w:r>
      </w:hyperlink>
      <w:hyperlink r:id="rId9">
        <w:r>
          <w:rPr>
            <w:rStyle w:val="ListLabel2"/>
            <w:color w:val="1155CC"/>
            <w:u w:val="single"/>
          </w:rPr>
          <w:t>https://doi.org/10.1016/S0048-7333(99)00055-4</w:t>
        </w:r>
      </w:hyperlink>
    </w:p>
    <w:p>
      <w:pPr>
        <w:pStyle w:val="normal1"/>
        <w:spacing w:lineRule="auto" w:line="240" w:before="240" w:after="240"/>
        <w:ind w:hanging="720" w:left="720"/>
        <w:jc w:val="both"/>
        <w:rPr/>
      </w:pPr>
      <w:r>
        <w:rPr/>
        <w:t xml:space="preserve">Eyler, J., &amp; Giles, D. E., Jr. (1999). </w:t>
      </w:r>
      <w:r>
        <w:rPr>
          <w:i/>
          <w:iCs/>
        </w:rPr>
        <w:t>Where’s the learning in service-learning?</w:t>
      </w:r>
      <w:r>
        <w:rPr/>
        <w:t xml:space="preserve"> Jossey-Bass.</w:t>
      </w:r>
    </w:p>
    <w:p>
      <w:pPr>
        <w:pStyle w:val="normal1"/>
        <w:spacing w:lineRule="auto" w:line="240" w:before="240" w:after="240"/>
        <w:ind w:hanging="720" w:left="720"/>
        <w:jc w:val="both"/>
        <w:rPr/>
      </w:pPr>
      <w:r>
        <w:rPr/>
        <w:t xml:space="preserve">Flick, U. (2015). </w:t>
      </w:r>
      <w:r>
        <w:rPr>
          <w:i/>
          <w:iCs/>
        </w:rPr>
        <w:t>Introducción a la investigación cualitativa</w:t>
      </w:r>
      <w:r>
        <w:rPr/>
        <w:t xml:space="preserve"> (4.ª ed.). Morata.</w:t>
      </w:r>
    </w:p>
    <w:p>
      <w:pPr>
        <w:pStyle w:val="normal1"/>
        <w:spacing w:lineRule="auto" w:line="240" w:before="240" w:after="240"/>
        <w:ind w:hanging="720" w:left="720"/>
        <w:jc w:val="both"/>
        <w:rPr>
          <w:color w:val="1155CC"/>
          <w:u w:val="single"/>
        </w:rPr>
      </w:pPr>
      <w:r>
        <w:rPr/>
        <w:t xml:space="preserve">Irarrázaval, I. (2020). La vinculación universitaria con el medio y los mecanismos de reconocimiento académico. </w:t>
      </w:r>
      <w:r>
        <w:rPr>
          <w:i/>
          <w:iCs/>
        </w:rPr>
        <w:t>Calidad en la Educación, 52</w:t>
      </w:r>
      <w:r>
        <w:rPr/>
        <w:t>, 296–323.</w:t>
      </w:r>
      <w:hyperlink r:id="rId10">
        <w:r>
          <w:rPr>
            <w:rStyle w:val="ListLabel1"/>
          </w:rPr>
          <w:t xml:space="preserve"> </w:t>
        </w:r>
      </w:hyperlink>
      <w:hyperlink r:id="rId11">
        <w:r>
          <w:rPr>
            <w:rStyle w:val="ListLabel2"/>
            <w:color w:val="1155CC"/>
            <w:u w:val="single"/>
          </w:rPr>
          <w:t>https://doi.org/10.31619/caledu.n52.816</w:t>
        </w:r>
      </w:hyperlink>
    </w:p>
    <w:p>
      <w:pPr>
        <w:pStyle w:val="normal1"/>
        <w:spacing w:lineRule="auto" w:line="240" w:before="240" w:after="240"/>
        <w:ind w:hanging="720" w:left="720"/>
        <w:jc w:val="both"/>
        <w:rPr/>
      </w:pPr>
      <w:r>
        <w:rPr/>
        <w:t xml:space="preserve">Mintzberg, H. (1983). </w:t>
      </w:r>
      <w:r>
        <w:rPr>
          <w:i/>
          <w:iCs/>
        </w:rPr>
        <w:t>Structure in fives: Designing effective organizations</w:t>
      </w:r>
      <w:r>
        <w:rPr/>
        <w:t>. Prentice Hall.</w:t>
      </w:r>
    </w:p>
    <w:p>
      <w:pPr>
        <w:pStyle w:val="normal1"/>
        <w:spacing w:lineRule="auto" w:line="240" w:before="240" w:after="240"/>
        <w:ind w:hanging="720" w:left="720"/>
        <w:jc w:val="both"/>
        <w:rPr>
          <w:color w:val="1155CC"/>
          <w:u w:val="single"/>
        </w:rPr>
      </w:pPr>
      <w:r>
        <w:rPr/>
        <w:t xml:space="preserve">Pinheiro, R., Langa, P. V., &amp; Pausits, A. (2015). One and two equals three? The third mission of higher education institutions. </w:t>
      </w:r>
      <w:r>
        <w:rPr>
          <w:i/>
          <w:iCs/>
        </w:rPr>
        <w:t>European Journal of Higher Education, 5</w:t>
      </w:r>
      <w:r>
        <w:rPr/>
        <w:t>(3), 233–249.</w:t>
      </w:r>
      <w:hyperlink r:id="rId12">
        <w:r>
          <w:rPr>
            <w:rStyle w:val="ListLabel1"/>
          </w:rPr>
          <w:t xml:space="preserve"> </w:t>
        </w:r>
      </w:hyperlink>
      <w:hyperlink r:id="rId13">
        <w:r>
          <w:rPr>
            <w:rStyle w:val="ListLabel2"/>
            <w:color w:val="1155CC"/>
            <w:u w:val="single"/>
          </w:rPr>
          <w:t>https://doi.org/10.1080/21568235.2015.1044552</w:t>
        </w:r>
      </w:hyperlink>
    </w:p>
    <w:p>
      <w:pPr>
        <w:pStyle w:val="normal1"/>
        <w:spacing w:lineRule="auto" w:line="240" w:before="240" w:after="240"/>
        <w:ind w:hanging="720" w:left="720"/>
        <w:jc w:val="both"/>
        <w:rPr>
          <w:color w:val="1155CC"/>
          <w:u w:val="single"/>
        </w:rPr>
      </w:pPr>
      <w:r>
        <w:rPr/>
        <w:t xml:space="preserve">Rosli, A., &amp; Rossi, F. (2016). Third-mission policy goals and incentives from performance-based funding: Are they aligned? </w:t>
      </w:r>
      <w:r>
        <w:rPr>
          <w:i/>
          <w:iCs/>
        </w:rPr>
        <w:t>Research Evaluation, 25</w:t>
      </w:r>
      <w:r>
        <w:rPr/>
        <w:t>(4), 427–441.</w:t>
      </w:r>
      <w:hyperlink r:id="rId14">
        <w:r>
          <w:rPr>
            <w:rStyle w:val="ListLabel1"/>
          </w:rPr>
          <w:t xml:space="preserve"> </w:t>
        </w:r>
      </w:hyperlink>
      <w:hyperlink r:id="rId15">
        <w:r>
          <w:rPr>
            <w:rStyle w:val="ListLabel2"/>
            <w:color w:val="1155CC"/>
            <w:u w:val="single"/>
          </w:rPr>
          <w:t>https://doi.org/10.1093/reseval/rvw012</w:t>
        </w:r>
      </w:hyperlink>
    </w:p>
    <w:p>
      <w:pPr>
        <w:pStyle w:val="normal1"/>
        <w:spacing w:lineRule="auto" w:line="240" w:before="240" w:after="240"/>
        <w:ind w:hanging="720" w:left="720"/>
        <w:jc w:val="both"/>
        <w:rPr/>
      </w:pPr>
      <w:r>
        <w:rPr/>
        <w:t xml:space="preserve">Salazar Alvarado, D. (2022). </w:t>
      </w:r>
      <w:r>
        <w:rPr>
          <w:i/>
          <w:iCs/>
        </w:rPr>
        <w:t>Sentidos de la vinculación con el medio: Misión universitaria en disputa</w:t>
      </w:r>
      <w:r>
        <w:rPr/>
        <w:t xml:space="preserve"> [Tesis de magíster, Universidad de Chile]. Repositorio Académico de la Universidad de Chile.</w:t>
      </w:r>
    </w:p>
    <w:p>
      <w:pPr>
        <w:pStyle w:val="normal1"/>
        <w:spacing w:lineRule="auto" w:line="240" w:before="240" w:after="240"/>
        <w:ind w:hanging="720" w:left="720"/>
        <w:jc w:val="both"/>
        <w:rPr/>
      </w:pPr>
      <w:r>
        <w:rPr/>
        <w:t xml:space="preserve">Tünnermann Bernheim, C. (2000, 19–23 de noviembre). </w:t>
      </w:r>
      <w:r>
        <w:rPr>
          <w:i/>
          <w:iCs/>
        </w:rPr>
        <w:t>El nuevo concepto de la extensión universitaria</w:t>
      </w:r>
      <w:r>
        <w:rPr/>
        <w:t xml:space="preserve"> [Ponencia]. Universidad Michoacana de San Nicolás de Hidalgo, Morelia, México.</w:t>
      </w:r>
    </w:p>
    <w:p>
      <w:pPr>
        <w:pStyle w:val="normal1"/>
        <w:spacing w:lineRule="auto" w:line="240" w:before="240" w:after="240"/>
        <w:ind w:hanging="720" w:left="720"/>
        <w:jc w:val="both"/>
        <w:rPr/>
      </w:pPr>
      <w:r>
        <w:rPr/>
        <w:t xml:space="preserve">Tünnermann Bernheim, C. (2001). </w:t>
      </w:r>
      <w:r>
        <w:rPr>
          <w:i/>
          <w:iCs/>
        </w:rPr>
        <w:t>Universidad y sociedad: Balance histórico y perspectivas desde América Latina</w:t>
      </w:r>
      <w:r>
        <w:rPr/>
        <w:t xml:space="preserve"> (2.ª ed.). Hispamer.</w:t>
      </w:r>
    </w:p>
    <w:p>
      <w:pPr>
        <w:pStyle w:val="normal1"/>
        <w:spacing w:lineRule="auto" w:line="240" w:before="240" w:after="240"/>
        <w:ind w:hanging="720" w:left="720"/>
        <w:jc w:val="both"/>
        <w:rPr/>
      </w:pPr>
      <w:r>
        <w:rPr/>
        <w:t xml:space="preserve">Vallaeys, F. (2008). Responsabilidad social universitaria: Una nueva filosofía de gestión ética e inteligente para las universidades. </w:t>
      </w:r>
      <w:r>
        <w:rPr>
          <w:i/>
          <w:iCs/>
        </w:rPr>
        <w:t>Educación Superior y Sociedad, 13</w:t>
      </w:r>
      <w:r>
        <w:rPr/>
        <w:t>(2), 191–220.</w:t>
      </w:r>
    </w:p>
    <w:p>
      <w:pPr>
        <w:pStyle w:val="normal1"/>
        <w:spacing w:lineRule="auto" w:line="240" w:before="240" w:after="240"/>
        <w:ind w:hanging="720" w:left="720"/>
        <w:jc w:val="both"/>
        <w:rPr>
          <w:color w:val="1155CC"/>
          <w:u w:val="single"/>
        </w:rPr>
      </w:pPr>
      <w:r>
        <w:rPr/>
        <w:t xml:space="preserve">Vallaeys, F. (2014). La responsabilidad social universitaria: Un nuevo modelo universitario contra la mercantilización. </w:t>
      </w:r>
      <w:r>
        <w:rPr>
          <w:i/>
          <w:iCs/>
        </w:rPr>
        <w:t>Revista Iberoamericana de Educación Superior, 5</w:t>
      </w:r>
      <w:r>
        <w:rPr/>
        <w:t>(12), 105–117.</w:t>
      </w:r>
      <w:hyperlink r:id="rId16">
        <w:r>
          <w:rPr>
            <w:rStyle w:val="ListLabel1"/>
          </w:rPr>
          <w:t xml:space="preserve"> </w:t>
        </w:r>
      </w:hyperlink>
      <w:hyperlink r:id="rId17">
        <w:r>
          <w:rPr>
            <w:rStyle w:val="ListLabel2"/>
            <w:color w:val="1155CC"/>
            <w:u w:val="single"/>
          </w:rPr>
          <w:t>https://doi.org/10.1016/S2007-2872(14)71945-6</w:t>
        </w:r>
      </w:hyperlink>
    </w:p>
    <w:p>
      <w:pPr>
        <w:pStyle w:val="normal1"/>
        <w:spacing w:lineRule="auto" w:line="240" w:before="240" w:after="240"/>
        <w:ind w:hanging="720" w:left="720"/>
        <w:jc w:val="both"/>
        <w:rPr/>
      </w:pPr>
      <w:r>
        <w:rPr/>
        <w:t xml:space="preserve">Vallaeys, F. (2021). </w:t>
      </w:r>
      <w:r>
        <w:rPr>
          <w:i/>
          <w:iCs/>
        </w:rPr>
        <w:t>Manual de responsabilidad social universitaria: El modelo URSULA: Estrategias, herramientas, indicadores</w:t>
      </w:r>
      <w:r>
        <w:rPr/>
        <w:t>. Unión de Responsabilidad Social Universitaria Latinoamericana.</w:t>
      </w:r>
    </w:p>
    <w:p>
      <w:pPr>
        <w:pStyle w:val="normal1"/>
        <w:spacing w:lineRule="auto" w:line="240" w:before="0" w:after="120"/>
        <w:ind w:hanging="720" w:left="720"/>
        <w:jc w:val="both"/>
        <w:rPr/>
      </w:pPr>
      <w:r>
        <w:rPr/>
      </w:r>
    </w:p>
    <w:sectPr>
      <w:headerReference w:type="even" r:id="rId18"/>
      <w:headerReference w:type="default" r:id="rId19"/>
      <w:headerReference w:type="first" r:id="rId20"/>
      <w:footerReference w:type="even" r:id="rId21"/>
      <w:footerReference w:type="default" r:id="rId22"/>
      <w:footerReference w:type="first" r:id="rId23"/>
      <w:footnotePr>
        <w:numFmt w:val="decimal"/>
      </w:footnotePr>
      <w:type w:val="nextPage"/>
      <w:pgSz w:w="11906" w:h="16838"/>
      <w:pgMar w:left="1701" w:right="1701" w:gutter="0" w:header="284" w:top="2410" w:footer="0" w:bottom="1843"/>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Symbol">
    <w:charset w:val="02"/>
    <w:family w:val="roman"/>
    <w:pitch w:val="variable"/>
  </w:font>
  <w:font w:name="Arial">
    <w:charset w:val="00"/>
    <w:family w:val="swiss"/>
    <w:pitch w:val="variable"/>
    <w:embedRegular r:id="rId5" w:fontKey="{05014A78-CABC-4EF0-12AC-5CD89AEFDE05}"/>
    <w:embedBold r:id="rId6" w:fontKey="{06014A78-CABC-4EF0-12AC-5CD89AEFDE06}"/>
    <w:embedItalic r:id="rId7" w:fontKey="{07014A78-CABC-4EF0-12AC-5CD89AEFDE07}"/>
    <w:embedBoldItalic r:id="rId8" w:fontKey="{08014A78-CABC-4EF0-12AC-5CD89AEFDE08}"/>
  </w:font>
  <w:font w:name="Liberation Serif">
    <w:altName w:val="Times New Roman"/>
    <w:charset w:val="01"/>
    <w:family w:val="roman"/>
    <w:pitch w:val="variable"/>
    <w:embedRegular r:id="rId9" w:fontKey="{09014A78-CABC-4EF0-12AC-5CD89AEFDE09}"/>
    <w:embedBold r:id="rId10" w:fontKey="{0A014A78-CABC-4EF0-12AC-5CD89AEFDE0A}"/>
    <w:embedItalic r:id="rId11" w:fontKey="{0B014A78-CABC-4EF0-12AC-5CD89AEFDE0B}"/>
    <w:embedBoldItalic r:id="rId12" w:fontKey="{0C014A78-CABC-4EF0-12AC-5CD89AEFDE0C}"/>
  </w:font>
  <w:font w:name="Times New Roman">
    <w:charset w:val="01"/>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Calibri">
    <w:charset w:val="01"/>
    <w:family w:val="roman"/>
    <w:pitch w:val="variable"/>
  </w:font>
  <w:font w:name="Liberation Sans">
    <w:altName w:val="Arial"/>
    <w:charset w:val="01"/>
    <w:family w:val="swiss"/>
    <w:pitch w:val="variable"/>
    <w:embedRegular r:id="rId13" w:fontKey="{0D014A78-CABC-4EF0-12AC-5CD89AEFDE0D}"/>
    <w:embedBold r:id="rId14" w:fontKey="{0E014A78-CABC-4EF0-12AC-5CD89AEFDE0E}"/>
    <w:embedItalic r:id="rId15" w:fontKey="{0F014A78-CABC-4EF0-12AC-5CD89AEFDE0F}"/>
    <w:embedBoldItalic r:id="rId16" w:fontKey="{10014A78-CABC-4EF0-12AC-5CD89AEFDE10}"/>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16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widowControl/>
      <w:pBdr/>
      <w:shd w:val="clear" w:fill="auto"/>
      <w:tabs>
        <w:tab w:val="clear" w:pos="720"/>
        <w:tab w:val="center" w:pos="4252" w:leader="none"/>
        <w:tab w:val="right" w:pos="8504" w:leader="none"/>
      </w:tabs>
      <w:spacing w:lineRule="auto" w:line="240" w:before="0" w:after="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drawing>
        <wp:inline distT="0" distB="0" distL="0" distR="0">
          <wp:extent cx="5400040" cy="428625"/>
          <wp:effectExtent l="0" t="0" r="0" b="0"/>
          <wp:docPr id="3"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
                  <pic:cNvPicPr>
                    <a:picLocks noChangeAspect="1" noChangeArrowheads="1"/>
                  </pic:cNvPicPr>
                </pic:nvPicPr>
                <pic:blipFill>
                  <a:blip r:embed="rId1"/>
                  <a:stretch>
                    <a:fillRect/>
                  </a:stretch>
                </pic:blipFill>
                <pic:spPr bwMode="auto">
                  <a:xfrm>
                    <a:off x="0" y="0"/>
                    <a:ext cx="5400040" cy="428625"/>
                  </a:xfrm>
                  <a:prstGeom prst="rect">
                    <a:avLst/>
                  </a:prstGeom>
                </pic:spPr>
              </pic:pic>
            </a:graphicData>
          </a:graphic>
        </wp:inline>
      </w:drawing>
    </w:r>
  </w:p>
  <w:p>
    <w:pPr>
      <w:pStyle w:val="normal1"/>
      <w:keepNext w:val="false"/>
      <w:keepLines w:val="false"/>
      <w:widowControl/>
      <w:pBdr/>
      <w:shd w:val="clear" w:fill="auto"/>
      <w:tabs>
        <w:tab w:val="clear" w:pos="720"/>
        <w:tab w:val="center" w:pos="4252" w:leader="none"/>
        <w:tab w:val="right" w:pos="8504" w:leader="none"/>
      </w:tabs>
      <w:spacing w:lineRule="auto" w:line="240" w:before="0" w:after="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Calibri" w:cs="Calibri" w:ascii="Calibri" w:hAnsi="Calibri"/>
        <w:b w:val="false"/>
        <w:bCs w:val="false"/>
        <w:i w:val="false"/>
        <w:iCs w:val="false"/>
        <w:caps w:val="false"/>
        <w:smallCaps w:val="false"/>
        <w:strike w:val="false"/>
        <w:dstrike w:val="false"/>
        <w:color w:val="000000"/>
        <w:position w:val="0"/>
        <w:sz w:val="24"/>
        <w:sz w:val="24"/>
        <w:szCs w:val="24"/>
        <w:u w:val="none"/>
        <w:shd w:fill="auto" w:val="clear"/>
        <w:vertAlign w:val="baseline"/>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widowControl/>
      <w:pBdr/>
      <w:shd w:val="clear" w:fill="auto"/>
      <w:tabs>
        <w:tab w:val="clear" w:pos="720"/>
        <w:tab w:val="center" w:pos="4252" w:leader="none"/>
        <w:tab w:val="right" w:pos="8504" w:leader="none"/>
      </w:tabs>
      <w:spacing w:lineRule="auto" w:line="240" w:before="0" w:after="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drawing>
        <wp:inline distT="0" distB="0" distL="0" distR="0">
          <wp:extent cx="5400040" cy="428625"/>
          <wp:effectExtent l="0" t="0" r="0" b="0"/>
          <wp:docPr id="4"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descr=""/>
                  <pic:cNvPicPr>
                    <a:picLocks noChangeAspect="1" noChangeArrowheads="1"/>
                  </pic:cNvPicPr>
                </pic:nvPicPr>
                <pic:blipFill>
                  <a:blip r:embed="rId1"/>
                  <a:stretch>
                    <a:fillRect/>
                  </a:stretch>
                </pic:blipFill>
                <pic:spPr bwMode="auto">
                  <a:xfrm>
                    <a:off x="0" y="0"/>
                    <a:ext cx="5400040" cy="428625"/>
                  </a:xfrm>
                  <a:prstGeom prst="rect">
                    <a:avLst/>
                  </a:prstGeom>
                </pic:spPr>
              </pic:pic>
            </a:graphicData>
          </a:graphic>
        </wp:inline>
      </w:drawing>
    </w:r>
  </w:p>
  <w:p>
    <w:pPr>
      <w:pStyle w:val="normal1"/>
      <w:keepNext w:val="false"/>
      <w:keepLines w:val="false"/>
      <w:widowControl/>
      <w:pBdr/>
      <w:shd w:val="clear" w:fill="auto"/>
      <w:tabs>
        <w:tab w:val="clear" w:pos="720"/>
        <w:tab w:val="center" w:pos="4252" w:leader="none"/>
        <w:tab w:val="right" w:pos="8504" w:leader="none"/>
      </w:tabs>
      <w:spacing w:lineRule="auto" w:line="240" w:before="0" w:after="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Calibri" w:cs="Calibri" w:ascii="Calibri" w:hAnsi="Calibri"/>
        <w:b w:val="false"/>
        <w:bCs w:val="false"/>
        <w:i w:val="false"/>
        <w:iCs w:val="false"/>
        <w:caps w:val="false"/>
        <w:smallCaps w:val="false"/>
        <w:strike w:val="false"/>
        <w:dstrike w:val="false"/>
        <w:color w:val="000000"/>
        <w:position w:val="0"/>
        <w:sz w:val="24"/>
        <w:sz w:val="24"/>
        <w:szCs w:val="24"/>
        <w:u w:val="none"/>
        <w:shd w:fill="auto" w:val="clear"/>
        <w:vertAlign w:val="baseline"/>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p>
  </w:footnote>
  <w:footnote w:id="1" w:type="continuationSeparator">
    <w:p>
      <w:pPr>
        <w:rPr>
          <w:sz w:val="12"/>
        </w:rPr>
      </w:pPr>
      <w:r/>
    </w:p>
  </w:footnote>
  <w:footnote w:id="2">
    <w:p>
      <w:pPr>
        <w:pStyle w:val="normal1"/>
        <w:spacing w:lineRule="auto" w:line="240" w:before="0" w:after="0"/>
        <w:rPr>
          <w:sz w:val="20"/>
          <w:szCs w:val="20"/>
        </w:rPr>
      </w:pPr>
      <w:r>
        <w:rPr>
          <w:rStyle w:val="Caracteresdenotaalpie"/>
        </w:rPr>
        <w:footnoteRef/>
      </w:r>
      <w:r>
        <w:rPr>
          <w:sz w:val="20"/>
          <w:szCs w:val="20"/>
        </w:rPr>
        <w:t xml:space="preserve"> </w:t>
      </w:r>
      <w:r>
        <w:rPr>
          <w:sz w:val="20"/>
          <w:szCs w:val="20"/>
        </w:rPr>
        <w:t>EDDA hace referencia al sistema de Evaluación De Desempeño Académico y docente de la universidad analizada en el presente caso.</w:t>
      </w:r>
    </w:p>
  </w:footnote>
  <w:footnote w:id="3">
    <w:p>
      <w:pPr>
        <w:pStyle w:val="normal1"/>
        <w:spacing w:lineRule="auto" w:line="240" w:before="0" w:after="0"/>
        <w:rPr>
          <w:sz w:val="20"/>
          <w:szCs w:val="20"/>
        </w:rPr>
      </w:pPr>
      <w:r>
        <w:rPr>
          <w:rStyle w:val="Caracteresdenotaalpie"/>
        </w:rPr>
        <w:footnoteRef/>
      </w:r>
      <w:r>
        <w:rPr>
          <w:sz w:val="20"/>
          <w:szCs w:val="20"/>
        </w:rPr>
        <w:t xml:space="preserve"> </w:t>
      </w:r>
      <w:r>
        <w:rPr>
          <w:sz w:val="20"/>
          <w:szCs w:val="20"/>
        </w:rPr>
        <w:t xml:space="preserve">La carga hace referencia a la carga reconocida institucionalmente respecto de las actividades de docentes y académicos. </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6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widowControl/>
      <w:pBdr/>
      <w:shd w:val="clear" w:fill="auto"/>
      <w:tabs>
        <w:tab w:val="clear" w:pos="720"/>
        <w:tab w:val="center" w:pos="4252" w:leader="none"/>
        <w:tab w:val="right" w:pos="8504" w:leader="none"/>
      </w:tabs>
      <w:spacing w:lineRule="auto" w:line="240" w:before="0" w:after="0"/>
      <w:ind w:hanging="0" w:left="0" w:right="0"/>
      <w:jc w:val="center"/>
      <w:rPr>
        <w:rFonts w:ascii="Calibri" w:hAnsi="Calibri" w:eastAsia="Calibri" w:cs="Calibri"/>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drawing>
        <wp:inline distT="0" distB="0" distL="0" distR="0">
          <wp:extent cx="2618105" cy="1090930"/>
          <wp:effectExtent l="0" t="0" r="0" b="0"/>
          <wp:docPr id="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pic:cNvPicPr>
                    <a:picLocks noChangeAspect="1" noChangeArrowheads="1"/>
                  </pic:cNvPicPr>
                </pic:nvPicPr>
                <pic:blipFill>
                  <a:blip r:embed="rId1"/>
                  <a:stretch>
                    <a:fillRect/>
                  </a:stretch>
                </pic:blipFill>
                <pic:spPr bwMode="auto">
                  <a:xfrm>
                    <a:off x="0" y="0"/>
                    <a:ext cx="2618105" cy="1090930"/>
                  </a:xfrm>
                  <a:prstGeom prst="rect">
                    <a:avLst/>
                  </a:prstGeom>
                </pic:spPr>
              </pic:pic>
            </a:graphicData>
          </a:graphic>
        </wp:inline>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widowControl/>
      <w:pBdr/>
      <w:shd w:val="clear" w:fill="auto"/>
      <w:tabs>
        <w:tab w:val="clear" w:pos="720"/>
        <w:tab w:val="center" w:pos="4252" w:leader="none"/>
        <w:tab w:val="right" w:pos="8504" w:leader="none"/>
      </w:tabs>
      <w:spacing w:lineRule="auto" w:line="240" w:before="0" w:after="0"/>
      <w:ind w:hanging="0" w:left="0" w:right="0"/>
      <w:jc w:val="center"/>
      <w:rPr>
        <w:rFonts w:ascii="Calibri" w:hAnsi="Calibri" w:eastAsia="Calibri" w:cs="Calibri"/>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drawing>
        <wp:inline distT="0" distB="0" distL="0" distR="0">
          <wp:extent cx="2618105" cy="1090930"/>
          <wp:effectExtent l="0" t="0" r="0" b="0"/>
          <wp:docPr id="2"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descr=""/>
                  <pic:cNvPicPr>
                    <a:picLocks noChangeAspect="1" noChangeArrowheads="1"/>
                  </pic:cNvPicPr>
                </pic:nvPicPr>
                <pic:blipFill>
                  <a:blip r:embed="rId1"/>
                  <a:stretch>
                    <a:fillRect/>
                  </a:stretch>
                </pic:blipFill>
                <pic:spPr bwMode="auto">
                  <a:xfrm>
                    <a:off x="0" y="0"/>
                    <a:ext cx="2618105" cy="1090930"/>
                  </a:xfrm>
                  <a:prstGeom prst="rect">
                    <a:avLst/>
                  </a:prstGeom>
                </pic:spPr>
              </pic:pic>
            </a:graphicData>
          </a:graphic>
        </wp:inline>
      </w:drawing>
    </w:r>
  </w:p>
</w:hdr>
</file>

<file path=word/settings.xml><?xml version="1.0" encoding="utf-8"?>
<w:settings xmlns:w="http://schemas.openxmlformats.org/wordprocessingml/2006/main">
  <w:zoom w:percent="85"/>
  <w:embedTrueTypeFonts/>
  <w:defaultTabStop w:val="720"/>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oto Serif CJK SC" w:cs="Noto Sans Devanagari"/>
        <w:sz w:val="24"/>
        <w:szCs w:val="24"/>
        <w:lang w:val="es-CL" w:eastAsia="zh-CN" w:bidi="hi-IN"/>
      </w:rPr>
    </w:rPrDefault>
    <w:pPrDefault>
      <w:pPr>
        <w:suppressAutoHyphens w:val="true"/>
      </w:pPr>
    </w:pPrDefault>
  </w:docDefaults>
  <w:style w:type="paragraph" w:styleId="Normal">
    <w:name w:val="Normal"/>
    <w:qFormat/>
    <w:pPr>
      <w:widowControl/>
      <w:bidi w:val="0"/>
      <w:spacing w:lineRule="auto" w:line="276" w:before="0" w:after="160"/>
      <w:jc w:val="left"/>
    </w:pPr>
    <w:rPr>
      <w:rFonts w:ascii="Times New Roman" w:hAnsi="Times New Roman" w:eastAsia="Noto Serif CJK SC" w:cs="Noto Sans Devanagari"/>
      <w:color w:val="auto"/>
      <w:kern w:val="0"/>
      <w:sz w:val="24"/>
      <w:szCs w:val="24"/>
      <w:lang w:val="es-CL" w:eastAsia="zh-CN" w:bidi="hi-IN"/>
    </w:rPr>
  </w:style>
  <w:style w:type="paragraph" w:styleId="Heading1">
    <w:name w:val="Heading 1"/>
    <w:basedOn w:val="normal1"/>
    <w:next w:val="normal1"/>
    <w:qFormat/>
    <w:pPr>
      <w:keepNext w:val="true"/>
      <w:keepLines/>
      <w:spacing w:lineRule="auto" w:line="240" w:before="360" w:after="80"/>
    </w:pPr>
    <w:rPr>
      <w:rFonts w:ascii="Calibri" w:hAnsi="Calibri" w:eastAsia="Calibri" w:cs="Calibri"/>
      <w:color w:val="2F5496"/>
      <w:sz w:val="40"/>
      <w:szCs w:val="40"/>
    </w:rPr>
  </w:style>
  <w:style w:type="paragraph" w:styleId="Heading2">
    <w:name w:val="Heading 2"/>
    <w:basedOn w:val="normal1"/>
    <w:next w:val="normal1"/>
    <w:qFormat/>
    <w:pPr>
      <w:keepNext w:val="true"/>
      <w:keepLines/>
      <w:spacing w:lineRule="auto" w:line="240" w:before="160" w:after="80"/>
    </w:pPr>
    <w:rPr>
      <w:rFonts w:ascii="Calibri" w:hAnsi="Calibri" w:eastAsia="Calibri" w:cs="Calibri"/>
      <w:color w:val="2F5496"/>
      <w:sz w:val="32"/>
      <w:szCs w:val="32"/>
    </w:rPr>
  </w:style>
  <w:style w:type="paragraph" w:styleId="Heading3">
    <w:name w:val="Heading 3"/>
    <w:basedOn w:val="normal1"/>
    <w:next w:val="normal1"/>
    <w:qFormat/>
    <w:pPr>
      <w:keepNext w:val="true"/>
      <w:keepLines/>
      <w:spacing w:lineRule="auto" w:line="240" w:before="160" w:after="80"/>
    </w:pPr>
    <w:rPr>
      <w:color w:val="2F5496"/>
      <w:sz w:val="28"/>
      <w:szCs w:val="28"/>
    </w:rPr>
  </w:style>
  <w:style w:type="paragraph" w:styleId="Heading4">
    <w:name w:val="Heading 4"/>
    <w:basedOn w:val="normal1"/>
    <w:next w:val="normal1"/>
    <w:qFormat/>
    <w:pPr>
      <w:keepNext w:val="true"/>
      <w:keepLines/>
      <w:spacing w:lineRule="auto" w:line="240" w:before="80" w:after="40"/>
    </w:pPr>
    <w:rPr>
      <w:i/>
      <w:iCs/>
      <w:color w:val="2F5496"/>
    </w:rPr>
  </w:style>
  <w:style w:type="paragraph" w:styleId="Heading5">
    <w:name w:val="Heading 5"/>
    <w:basedOn w:val="normal1"/>
    <w:next w:val="normal1"/>
    <w:qFormat/>
    <w:pPr>
      <w:keepNext w:val="true"/>
      <w:keepLines/>
      <w:spacing w:lineRule="auto" w:line="240" w:before="80" w:after="40"/>
    </w:pPr>
    <w:rPr>
      <w:color w:val="2F5496"/>
    </w:rPr>
  </w:style>
  <w:style w:type="paragraph" w:styleId="Heading6">
    <w:name w:val="Heading 6"/>
    <w:basedOn w:val="normal1"/>
    <w:next w:val="normal1"/>
    <w:qFormat/>
    <w:pPr>
      <w:keepNext w:val="true"/>
      <w:keepLines/>
      <w:spacing w:lineRule="auto" w:line="240" w:before="40" w:after="0"/>
    </w:pPr>
    <w:rPr>
      <w:i/>
      <w:iCs/>
      <w:color w:val="595959"/>
    </w:rPr>
  </w:style>
  <w:style w:type="character" w:styleId="Hyperlink">
    <w:name w:val="Hyperlink"/>
    <w:rPr>
      <w:color w:val="000080"/>
      <w:u w:val="single"/>
    </w:rPr>
  </w:style>
  <w:style w:type="character" w:styleId="Caracteresdenotaalpie">
    <w:name w:val="Caracteres de nota al pie"/>
    <w:qFormat/>
    <w:rPr/>
  </w:style>
  <w:style w:type="character" w:styleId="FootnoteReference">
    <w:name w:val="Footnote Reference"/>
    <w:rPr>
      <w:vertAlign w:val="superscript"/>
    </w:rPr>
  </w:style>
  <w:style w:type="character" w:styleId="EndnoteReference">
    <w:name w:val="Endnote Reference"/>
    <w:rPr>
      <w:vertAlign w:val="superscript"/>
    </w:rPr>
  </w:style>
  <w:style w:type="character" w:styleId="Caracteresdenotafinal">
    <w:name w:val="Caracteres de nota final"/>
    <w:qFormat/>
    <w:rPr/>
  </w:style>
  <w:style w:type="paragraph" w:styleId="Ttulo">
    <w:name w:val="Título"/>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ndice">
    <w:name w:val="Índice"/>
    <w:basedOn w:val="Normal"/>
    <w:qFormat/>
    <w:pPr>
      <w:suppressLineNumbers/>
    </w:pPr>
    <w:rPr>
      <w:rFonts w:cs="Noto Sans Devanagari"/>
    </w:rPr>
  </w:style>
  <w:style w:type="paragraph" w:styleId="normal1" w:default="1">
    <w:name w:val="normal1"/>
    <w:qFormat/>
    <w:pPr>
      <w:widowControl/>
      <w:bidi w:val="0"/>
      <w:spacing w:lineRule="auto" w:line="276" w:before="0" w:after="160"/>
      <w:jc w:val="left"/>
    </w:pPr>
    <w:rPr>
      <w:rFonts w:ascii="Times New Roman" w:hAnsi="Times New Roman" w:eastAsia="Noto Serif CJK SC" w:cs="Noto Sans Devanagari"/>
      <w:color w:val="auto"/>
      <w:kern w:val="0"/>
      <w:sz w:val="24"/>
      <w:szCs w:val="24"/>
      <w:lang w:val="es-CL" w:eastAsia="zh-CN" w:bidi="hi-IN"/>
    </w:rPr>
  </w:style>
  <w:style w:type="paragraph" w:styleId="Title">
    <w:name w:val="Title"/>
    <w:basedOn w:val="normal1"/>
    <w:next w:val="normal1"/>
    <w:qFormat/>
    <w:pPr>
      <w:spacing w:lineRule="auto" w:line="240" w:before="0" w:after="80"/>
    </w:pPr>
    <w:rPr>
      <w:rFonts w:ascii="Calibri" w:hAnsi="Calibri" w:eastAsia="Calibri" w:cs="Calibri"/>
      <w:sz w:val="56"/>
      <w:szCs w:val="56"/>
    </w:rPr>
  </w:style>
  <w:style w:type="paragraph" w:styleId="Subtitle">
    <w:name w:val="Subtitle"/>
    <w:basedOn w:val="normal1"/>
    <w:next w:val="normal1"/>
    <w:qFormat/>
    <w:pPr/>
    <w:rPr>
      <w:color w:val="595959"/>
      <w:sz w:val="28"/>
      <w:szCs w:val="28"/>
    </w:rPr>
  </w:style>
  <w:style w:type="paragraph" w:styleId="FootnoteText">
    <w:name w:val="Footnote Text"/>
    <w:basedOn w:val="Normal"/>
    <w:pPr/>
    <w:rPr/>
  </w:style>
  <w:style w:type="paragraph" w:styleId="Cabeceraypie">
    <w:name w:val="Cabecera y pie"/>
    <w:basedOn w:val="Normal"/>
    <w:qFormat/>
    <w:pPr/>
    <w:rPr/>
  </w:style>
  <w:style w:type="paragraph" w:styleId="Header">
    <w:name w:val="Header"/>
    <w:basedOn w:val="Cabeceraypie"/>
    <w:pPr/>
    <w:rPr/>
  </w:style>
  <w:style w:type="paragraph" w:styleId="Footer">
    <w:name w:val="Footer"/>
    <w:basedOn w:val="Cabeceraypie"/>
    <w:pPr/>
    <w:rPr/>
  </w:style>
  <w:style w:type="table" w:default="1" w:styleId="TableNormal">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doi.org/10.1016/j.techfore.2020.120284" TargetMode="External"/><Relationship Id="rId3" Type="http://schemas.openxmlformats.org/officeDocument/2006/relationships/hyperlink" Target="https://doi.org/10.1016/j.techfore.2020.120284" TargetMode="External"/><Relationship Id="rId4" Type="http://schemas.openxmlformats.org/officeDocument/2006/relationships/hyperlink" Target="https://doi.org/10.1590/0102-469836619t" TargetMode="External"/><Relationship Id="rId5" Type="http://schemas.openxmlformats.org/officeDocument/2006/relationships/hyperlink" Target="https://doi.org/10.1590/0102-469836619t" TargetMode="External"/><Relationship Id="rId6" Type="http://schemas.openxmlformats.org/officeDocument/2006/relationships/hyperlink" Target="https://doi.org/10.1016/S0048-7333(02)00009-4" TargetMode="External"/><Relationship Id="rId7" Type="http://schemas.openxmlformats.org/officeDocument/2006/relationships/hyperlink" Target="https://doi.org/10.1016/S0048-7333(02)00009-4" TargetMode="External"/><Relationship Id="rId8" Type="http://schemas.openxmlformats.org/officeDocument/2006/relationships/hyperlink" Target="https://doi.org/10.1016/S0048-7333(99)00055-4" TargetMode="External"/><Relationship Id="rId9" Type="http://schemas.openxmlformats.org/officeDocument/2006/relationships/hyperlink" Target="https://doi.org/10.1016/S0048-7333(99)00055-4" TargetMode="External"/><Relationship Id="rId10" Type="http://schemas.openxmlformats.org/officeDocument/2006/relationships/hyperlink" Target="https://doi.org/10.31619/caledu.n52.816" TargetMode="External"/><Relationship Id="rId11" Type="http://schemas.openxmlformats.org/officeDocument/2006/relationships/hyperlink" Target="https://doi.org/10.31619/caledu.n52.816" TargetMode="External"/><Relationship Id="rId12" Type="http://schemas.openxmlformats.org/officeDocument/2006/relationships/hyperlink" Target="https://doi.org/10.1080/21568235.2015.1044552" TargetMode="External"/><Relationship Id="rId13" Type="http://schemas.openxmlformats.org/officeDocument/2006/relationships/hyperlink" Target="https://doi.org/10.1080/21568235.2015.1044552" TargetMode="External"/><Relationship Id="rId14" Type="http://schemas.openxmlformats.org/officeDocument/2006/relationships/hyperlink" Target="https://doi.org/10.1093/reseval/rvw012" TargetMode="External"/><Relationship Id="rId15" Type="http://schemas.openxmlformats.org/officeDocument/2006/relationships/hyperlink" Target="https://doi.org/10.1093/reseval/rvw012" TargetMode="External"/><Relationship Id="rId16" Type="http://schemas.openxmlformats.org/officeDocument/2006/relationships/hyperlink" Target="https://doi.org/10.1016/S2007-2872(14)71945-6" TargetMode="External"/><Relationship Id="rId17" Type="http://schemas.openxmlformats.org/officeDocument/2006/relationships/hyperlink" Target="https://doi.org/10.1016/S2007-2872(14)71945-6" TargetMode="External"/><Relationship Id="rId18" Type="http://schemas.openxmlformats.org/officeDocument/2006/relationships/header" Target="header1.xml"/><Relationship Id="rId19" Type="http://schemas.openxmlformats.org/officeDocument/2006/relationships/header" Target="header2.xml"/><Relationship Id="rId20" Type="http://schemas.openxmlformats.org/officeDocument/2006/relationships/header" Target="header3.xml"/><Relationship Id="rId21" Type="http://schemas.openxmlformats.org/officeDocument/2006/relationships/footer" Target="footer1.xml"/><Relationship Id="rId22" Type="http://schemas.openxmlformats.org/officeDocument/2006/relationships/footer" Target="footer2.xml"/><Relationship Id="rId23" Type="http://schemas.openxmlformats.org/officeDocument/2006/relationships/footer" Target="footer3.xml"/><Relationship Id="rId24" Type="http://schemas.openxmlformats.org/officeDocument/2006/relationships/footnotes" Target="footnotes.xml"/><Relationship Id="rId25" Type="http://schemas.openxmlformats.org/officeDocument/2006/relationships/fontTable" Target="fontTable.xml"/><Relationship Id="rId26" Type="http://schemas.openxmlformats.org/officeDocument/2006/relationships/settings" Target="settings.xml"/><Relationship Id="rId27" Type="http://schemas.openxmlformats.org/officeDocument/2006/relationships/theme" Target="theme/theme1.xml"/><Relationship Id="rId28" Type="http://schemas.openxmlformats.org/officeDocument/2006/relationships/customXml" Target="../customXml/item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Relationship Id="rId14" Type="http://schemas.openxmlformats.org/officeDocument/2006/relationships/font" Target="fonts/font14.odttf"/><Relationship Id="rId15" Type="http://schemas.openxmlformats.org/officeDocument/2006/relationships/font" Target="fonts/font15.odttf"/><Relationship Id="rId16" Type="http://schemas.openxmlformats.org/officeDocument/2006/relationships/font" Target="fonts/font16.odttf"/>
</Relationships>
</file>

<file path=word/_rels/footer2.xml.rels><?xml version="1.0" encoding="UTF-8"?>
<Relationships xmlns="http://schemas.openxmlformats.org/package/2006/relationships"><Relationship Id="rId1" Type="http://schemas.openxmlformats.org/officeDocument/2006/relationships/image" Target="media/image2.png"/>
</Relationships>
</file>

<file path=word/_rels/footer3.xml.rels><?xml version="1.0" encoding="UTF-8"?>
<Relationships xmlns="http://schemas.openxmlformats.org/package/2006/relationships"><Relationship Id="rId1" Type="http://schemas.openxmlformats.org/officeDocument/2006/relationships/image" Target="media/image2.png"/>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y6kau6Wqb71Q9knrHiUZ3hh06Mw==">CgMxLjA4AHIhMWt4ZjlaMFhtMGZhN21HWkxlR3JCN01oamhKTHpHek9h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19</Pages>
  <Words>7646</Words>
  <Characters>49580</Characters>
  <CharactersWithSpaces>57049</CharactersWithSpaces>
  <Paragraphs>174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es-CL</dc:language>
  <cp:lastModifiedBy/>
  <dcterms:modified xsi:type="dcterms:W3CDTF">2026-07-12T20:15:32Z</dcterms:modified>
  <cp:revision>1</cp:revision>
  <dc:subject/>
  <dc:title/>
</cp:coreProperties>
</file>