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uerpodetexto"/>
        <w:spacing w:lineRule="auto" w:line="240"/>
        <w:jc w:val="center"/>
        <w:rPr/>
      </w:pPr>
      <w:bookmarkStart w:id="0" w:name="docs-internal-guid-8dad3d9c-7fff-38b3-9e"/>
      <w:bookmarkEnd w:id="0"/>
      <w:r>
        <w:rPr>
          <w:rFonts w:cs="Times New Roman" w:ascii="Times New Roman" w:hAnsi="Times New Roman"/>
          <w:b/>
          <w:i w:val="false"/>
          <w:caps w:val="false"/>
          <w:smallCaps w:val="false"/>
          <w:strike w:val="false"/>
          <w:dstrike w:val="false"/>
          <w:color w:val="000000"/>
          <w:sz w:val="24"/>
          <w:u w:val="none"/>
          <w:effect w:val="none"/>
          <w:shd w:fill="auto" w:val="clear"/>
        </w:rPr>
        <w:t>El Estatuto del Personal Docente de la Udelar de 2021. Nuevas luchas, desafíos y transformaciones</w:t>
      </w:r>
    </w:p>
    <w:p>
      <w:pPr>
        <w:pStyle w:val="Cuerpodetexto"/>
        <w:bidi w:val="0"/>
        <w:spacing w:lineRule="auto" w:line="240" w:before="0" w:after="0"/>
        <w:jc w:val="both"/>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right"/>
        <w:rPr>
          <w:b w:val="false"/>
          <w:b w:val="false"/>
          <w:bCs w:val="false"/>
        </w:rPr>
      </w:pPr>
      <w:r>
        <w:rPr>
          <w:rFonts w:ascii="Times New Roman;serif" w:hAnsi="Times New Roman;serif"/>
          <w:b w:val="false"/>
          <w:bCs w:val="false"/>
          <w:i w:val="false"/>
          <w:caps w:val="false"/>
          <w:smallCaps w:val="false"/>
          <w:strike w:val="false"/>
          <w:dstrike w:val="false"/>
          <w:color w:val="000000"/>
          <w:sz w:val="24"/>
          <w:u w:val="none"/>
          <w:effect w:val="none"/>
          <w:shd w:fill="auto" w:val="clear"/>
        </w:rPr>
        <w:t>Correa Berrueta, Analía</w:t>
      </w:r>
    </w:p>
    <w:p>
      <w:pPr>
        <w:pStyle w:val="Cuerpodetexto"/>
        <w:bidi w:val="0"/>
        <w:spacing w:lineRule="auto" w:line="240" w:before="0" w:after="0"/>
        <w:jc w:val="right"/>
        <w:rPr>
          <w:b w:val="false"/>
          <w:b w:val="false"/>
          <w:bCs w:val="false"/>
        </w:rPr>
      </w:pPr>
      <w:r>
        <w:rPr>
          <w:rFonts w:ascii="Times New Roman;serif" w:hAnsi="Times New Roman;serif"/>
          <w:b w:val="false"/>
          <w:bCs w:val="false"/>
          <w:i w:val="false"/>
          <w:caps w:val="false"/>
          <w:smallCaps w:val="false"/>
          <w:strike w:val="false"/>
          <w:dstrike w:val="false"/>
          <w:color w:val="000000"/>
          <w:sz w:val="24"/>
          <w:u w:val="none"/>
          <w:effect w:val="none"/>
          <w:shd w:fill="auto" w:val="clear"/>
        </w:rPr>
        <w:t>Centro Universitario Regional del Este, Udelar</w:t>
      </w:r>
    </w:p>
    <w:p>
      <w:pPr>
        <w:pStyle w:val="Cuerpodetexto"/>
        <w:bidi w:val="0"/>
        <w:spacing w:lineRule="auto" w:line="240" w:before="0" w:after="0"/>
        <w:jc w:val="right"/>
        <w:rPr>
          <w:b w:val="false"/>
          <w:b w:val="false"/>
          <w:bCs w:val="false"/>
        </w:rPr>
      </w:pPr>
      <w:r>
        <w:rPr>
          <w:rFonts w:ascii="Times New Roman;serif" w:hAnsi="Times New Roman;serif"/>
          <w:b w:val="false"/>
          <w:bCs w:val="false"/>
          <w:i w:val="false"/>
          <w:caps w:val="false"/>
          <w:smallCaps w:val="false"/>
          <w:strike w:val="false"/>
          <w:dstrike w:val="false"/>
          <w:color w:val="000000"/>
          <w:sz w:val="24"/>
          <w:u w:val="none"/>
          <w:effect w:val="none"/>
          <w:shd w:fill="auto" w:val="clear"/>
        </w:rPr>
        <w:t>acorrea@cure.edu.uy</w:t>
      </w:r>
    </w:p>
    <w:p>
      <w:pPr>
        <w:pStyle w:val="Cuerpodetexto"/>
        <w:spacing w:lineRule="auto" w:line="240"/>
        <w:rPr>
          <w:rFonts w:ascii="Times New Roman" w:hAnsi="Times New Roman" w:cs="Times New Roman"/>
          <w:b w:val="false"/>
          <w:b w:val="false"/>
          <w:bCs w:val="false"/>
        </w:rPr>
      </w:pPr>
      <w:r>
        <w:rPr>
          <w:rFonts w:cs="Times New Roman" w:ascii="Times New Roman" w:hAnsi="Times New Roman"/>
          <w:b w:val="false"/>
          <w:bCs w:val="false"/>
        </w:rPr>
      </w:r>
    </w:p>
    <w:p>
      <w:pPr>
        <w:pStyle w:val="Cuerpodetexto"/>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 xml:space="preserve">Resumen: </w:t>
      </w:r>
      <w:r>
        <w:rPr>
          <w:rFonts w:ascii="Times New Roman;serif" w:hAnsi="Times New Roman;serif"/>
          <w:b w:val="false"/>
          <w:i w:val="false"/>
          <w:caps w:val="false"/>
          <w:smallCaps w:val="false"/>
          <w:strike w:val="false"/>
          <w:dstrike w:val="false"/>
          <w:color w:val="000000"/>
          <w:sz w:val="24"/>
          <w:u w:val="none"/>
          <w:effect w:val="none"/>
          <w:shd w:fill="auto" w:val="clear"/>
        </w:rPr>
        <w:t>Entre 2017 y 2021, la Universidad de la República (Udelar) inició la reforma de su Estatuto del Personal Docente (EPD), una norma que permanecía sin cambios profundos desde 1968. Esta actualización fue imperativa: la institución de hace cincuenta años, más pequeña y menos profesionalizada, dio paso a un modelo contemporáneo que exige una labor docente integral, donde la enseñanza convive estrechamente con la investigación y la extensión.</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El presente artículo reflexiona sobre la aplicación de este Estatuto desde el 2021 hasta la actualidad, recuperando la perspectiva de sus actores clave: autoridades, referentes gremiales, personal técnico, administrativo y de servicio (TAS), e integrantes de las comisiones de implementación en los distintos servicios universitarios. El trabajo comenzó con un análisis documental que se combinó con el Análisis Crítico del Discurso. A través de este enfoque, se examinaron documentos institucionales, gremiales, artículos periodísticos y resoluciones del Consejo Directivo Central (CDC) para evaluar los desafíos y el potencial del EPD tras cinco años de vigencia.</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El análisis identifica nodos críticos en la implementación del estatuto, entre los que destacan: la formalización de la carrera docente mediante criterios claros de evaluación y ascenso; la tensión entre la excelencia académica y la precariedad, manifestada en la concentración del 65% de los cargos en los grados iniciales (1 y 2), y la inestabilidad laboral derivada del predominio de interinatos frente a cargos efectivos. Finalmente, se aborda el rezago salarial, cuyas remuneraciones se sitúan como las más bajas del sistema educativo público nacional y la falta de presupuesto óptimo, como un problema medular para la transformación de ciertas contrataciones docentes que no se ajustan al nuevo EPD. Se pone bajo la lupa la tensión entre la nueva normativa y la cotidianeidad del plantel docente de la Udelar, así como la escasez presupuestaria que constituye un obstáculo real en la implementación de cambios profundos para una educación universitaria de calidad.</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Palabras claves:</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Estatuto del Personal Docente; Carrera docente; precarización laboral; presupuesto universitario; funciones integrales.</w:t>
      </w:r>
    </w:p>
    <w:p>
      <w:pPr>
        <w:pStyle w:val="Cuerpodetexto"/>
        <w:spacing w:lineRule="auto" w:line="240"/>
        <w:rPr>
          <w:rFonts w:ascii="Times New Roman" w:hAnsi="Times New Roman" w:cs="Times New Roman"/>
        </w:rPr>
      </w:pPr>
      <w:r>
        <w:rPr>
          <w:rFonts w:cs="Times New Roman" w:ascii="Times New Roman" w:hAnsi="Times New Roman"/>
        </w:rPr>
      </w:r>
    </w:p>
    <w:p>
      <w:pPr>
        <w:pStyle w:val="Ttulo3"/>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Introducción</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shd w:val="clear" w:fill="FFFFFF"/>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La Universidad de la República (Udelar) aprobó en 2018 el nuevo Estatuto del Personal Docente (EPD), una reforma que abarca aspectos centrales de la vida universitaria: las funciones docentes, el acceso a los cargos, el desarrollo de la carrera académica y la edad de retiro, entre otras dimensiones relevantes. Esta transformación ha sido catalogada como "</w:t>
      </w:r>
      <w:r>
        <w:rPr>
          <w:rFonts w:ascii="Times New Roman;serif" w:hAnsi="Times New Roman;serif"/>
          <w:b w:val="false"/>
          <w:i/>
          <w:caps w:val="false"/>
          <w:smallCaps w:val="false"/>
          <w:strike w:val="false"/>
          <w:dstrike w:val="false"/>
          <w:color w:val="000000"/>
          <w:sz w:val="24"/>
          <w:u w:val="none"/>
          <w:effect w:val="none"/>
          <w:shd w:fill="auto" w:val="clear"/>
        </w:rPr>
        <w:t>la reforma más importante que ha vivido la Universidad en los últimos 50 años</w:t>
      </w:r>
      <w:r>
        <w:rPr>
          <w:rFonts w:ascii="Times New Roman;serif" w:hAnsi="Times New Roman;serif"/>
          <w:b w:val="false"/>
          <w:i w:val="false"/>
          <w:caps w:val="false"/>
          <w:smallCaps w:val="false"/>
          <w:strike w:val="false"/>
          <w:dstrike w:val="false"/>
          <w:color w:val="000000"/>
          <w:sz w:val="24"/>
          <w:u w:val="none"/>
          <w:effect w:val="none"/>
          <w:shd w:fill="auto" w:val="clear"/>
        </w:rPr>
        <w:t>" (Wschebor, 2018, p.2). Con esta nueva normativa, la Udelar transitó de una estructura docente organizada en torno a cátedras hacia un modelo basado en Departamentos e Institutos -o Unidades Académicas, según la denominación del propio Estatuto-. Este esquema potencia la masa crítica de investigación al concentrar campos del saber en una misma unidad académica, facilita la articulación de la enseñanza y promueve la movilidad docente que la tradicional cátedra tendía a restringir (Obeide, 1998). No obstante, esta nueva configuración organizacional (Mintzberg, 1980) no está exenta de tensiones: enfrenta barreras académico-científicas vinculadas a la delimitación de saberes, resistencias histórico-culturales asociadas a la cultura de espacios propios de las facultades, disputas de orden político relacionadas con la percepción de pérdida de poder, y restricciones de índole presupuestaria (Obeide, 1998).</w:t>
      </w:r>
    </w:p>
    <w:p>
      <w:pPr>
        <w:pStyle w:val="Cuerpodetexto"/>
        <w:shd w:val="clear" w:fill="FFFFFF"/>
        <w:bidi w:val="0"/>
        <w:spacing w:lineRule="auto" w:line="240" w:before="0" w:after="0"/>
        <w:jc w:val="both"/>
        <w:rPr>
          <w:rFonts w:ascii="Times New Roman" w:hAnsi="Times New Roman" w:cs="Times New Roman"/>
        </w:rPr>
      </w:pPr>
      <w:r>
        <w:rPr>
          <w:rFonts w:cs="Times New Roman" w:ascii="Times New Roman" w:hAnsi="Times New Roman"/>
        </w:rPr>
      </w:r>
    </w:p>
    <w:p>
      <w:pPr>
        <w:pStyle w:val="Cuerpodetexto"/>
        <w:shd w:val="clear" w:fill="FFFFFF"/>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La implementación del EPD ha sido gradual y lleva ya seis años en curso. Su impacto trasciende la dimensión administrativa, en tanto redefine el contrato laboral y pedagógico del cuerpo docente. Como universidad pública, autónoma y cogobernada, la Udelar no impone sus reformas de manera verticalista (top-down), sino que estas se negocian permanentemente entre sus órdenes constitutivos: el estudiantil, el docente y el de egresados. A lo largo del proceso de gestación e implementación del EPD (2017–2026) se registran al menos 923 repartidos vinculados al Estatuto y 2.548 resoluciones emanadas de órganos de cogobierno. Estas cifras evidencian que la aprobación formal de una normativa no garantiza su asimilación efectiva en la práctica cotidiana de las distintas facultades y servicios de la Udelar, dadas sus marcadas asimetrías en términos de escala, recursos y culturas institucionales. Por ello, resulta relevante analizar las dinámicas de resistencia y adopción que ha generado el nuevo Estatuto, así como las tensiones políticas y administrativas que caracterizan este proceso de reforma institucional.</w:t>
      </w:r>
    </w:p>
    <w:p>
      <w:pPr>
        <w:pStyle w:val="Cuerpodetexto"/>
        <w:shd w:val="clear" w:fill="FFFFFF"/>
        <w:bidi w:val="0"/>
        <w:spacing w:lineRule="auto" w:line="240" w:before="0" w:after="0"/>
        <w:jc w:val="both"/>
        <w:rPr>
          <w:rFonts w:ascii="Times New Roman" w:hAnsi="Times New Roman" w:cs="Times New Roman"/>
        </w:rPr>
      </w:pPr>
      <w:r>
        <w:rPr>
          <w:rFonts w:cs="Times New Roman" w:ascii="Times New Roman" w:hAnsi="Times New Roman"/>
        </w:rPr>
      </w:r>
    </w:p>
    <w:p>
      <w:pPr>
        <w:pStyle w:val="Cuerpodetexto"/>
        <w:shd w:val="clear" w:fill="FFFFFF"/>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Este trabajo se propone, reconstruir el proceso de negociación e implementación del EPD a partir del análisis del discurso de documentos institucionales, resoluciones del Consejo Directivo Central, materiales gremiales y cobertura de prensa, con el fin de identificar los principales hitos y conflictos que han marcado el proceso de implementación buscando comprender las tensiones entre la nueva normativa y las condiciones laborales reales del cuerpo docente, con especial atención a la concentración de cargos en los grados iniciales, el predominio de interinatos sobre cargos efectivos y el rezago salarial en el sistema educativo público nacional que el Sistema de Educación Terciaria arrastra en el país (ADUR, 2022).</w:t>
      </w:r>
    </w:p>
    <w:p>
      <w:pPr>
        <w:pStyle w:val="Cuerpodetexto"/>
        <w:shd w:val="clear" w:fill="FFFFFF"/>
        <w:bidi w:val="0"/>
        <w:spacing w:lineRule="auto" w:line="240" w:before="0" w:after="0"/>
        <w:jc w:val="both"/>
        <w:rPr>
          <w:rFonts w:ascii="Times New Roman" w:hAnsi="Times New Roman" w:cs="Times New Roman"/>
        </w:rPr>
      </w:pPr>
      <w:r>
        <w:rPr>
          <w:rFonts w:cs="Times New Roman" w:ascii="Times New Roman" w:hAnsi="Times New Roman"/>
        </w:rPr>
      </w:r>
    </w:p>
    <w:p>
      <w:pPr>
        <w:pStyle w:val="Cuerpodetexto"/>
        <w:shd w:val="clear" w:fill="FFFFFF"/>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Hasta el 31 de diciembre de 2020 estuvo vigente el Estatuto de 1968. Esta normativa, de menor extensión en su articulado, constaba de dos partes: el texto original de 1968 y un documento ampliatorio de 1986. Ambas etapas se enmarcan en períodos reformistas de la Udelar; en particular, la redacción de fines de los sesenta coincidió con el proceso de transformación liderado por el Rector Oscar Maggiolo, cuyo objetivo era reorganizar la estructura académica y la carrera docente. Un año antes, Maggiolo había presentado el llamado "Plan Maggiolo", uno de los proyectos de modernización universitaria más ambiciosos en la historia de la institución. Sin embargo, a pesar de su proyección renovadora, el plan enfrentó severas resistencias internas y recortes presupuestales. Su ejecución material quedó definitivamente truncada por el avance autoritario del gobierno de la época, que desembocó en la intervención de la Universidad en 1973 (Kaplún et al., 2017). Ya en aquel entonces se diagnosticaban desafíos que mantienen su vigencia en la actualidad, tales como la profesionalización docente, la organización de la carrera académica y la necesidad de establecer reglas claras y estables para el ingreso, la permanencia y la evaluación del cuerpo docente (Gulla et al., 2016). Finalmente, con el retorno a la democracia, la Udelar inició una nueva etapa de desarrollo institucional orientada a reposicionarse como un actor central en el debate de los asuntos nacionales. En esta coyuntura se gestó la segunda parte del Estatuto (la de 1986), con el propósito de definir diversas funciones docentes, varias de las cuales fueron revisadas posteriormente en el EPD de 2021.</w:t>
      </w:r>
    </w:p>
    <w:p>
      <w:pPr>
        <w:pStyle w:val="Cuerpodetexto"/>
        <w:shd w:val="clear" w:fill="FFFFFF"/>
        <w:bidi w:val="0"/>
        <w:spacing w:lineRule="auto" w:line="240" w:before="0" w:after="0"/>
        <w:jc w:val="both"/>
        <w:rPr>
          <w:rFonts w:ascii="Times New Roman" w:hAnsi="Times New Roman" w:cs="Times New Roman"/>
        </w:rPr>
      </w:pPr>
      <w:r>
        <w:rPr>
          <w:rFonts w:cs="Times New Roman" w:ascii="Times New Roman" w:hAnsi="Times New Roman"/>
        </w:rPr>
      </w:r>
    </w:p>
    <w:p>
      <w:pPr>
        <w:pStyle w:val="Cuerpodetexto"/>
        <w:shd w:val="clear" w:fill="FFFFFF"/>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Desde 1968 al presente, la Udelar pasó de ser una universidad concentrada en una estructura tradicional a una institución mucho más extensa, compleja y territorialmente expandida. El proceso de reforma estatutaria de 2017-2021 puede presentarse como parte de una transformación más amplia de la Udelar que se inicia con el proceso de descentralización llamado “Segunda Reforma” por el entonces Rector Rodrigo Arocena en 2010 (Correa &amp; Moreira, 2024; Passarini &amp; Santiviago, 2020) y que trae aparejados nuevos desafíos como la expansión geográfica, la masividad y la complejidad en la toma de decisiones (Heinzen &amp; Bortagaray, 2023). En lo que refiere a la reforma del EPD, el debate parece centrarse en colectivos docentes y autoridades principalmente; en lo que va de la implementación del Estatuto, en noviembre de 2022 dentro del gremio docente, se fundó la Asamblea de Grados 1 y 2, actuando como un nuevo actor relevante dentro de la agremiación. Este colectivo ha tenido como eje central denunciar a la interna del gremio la precarización laboral y los salarios sumergidos de los docentes de grado más bajo dentro de la pirámide jerárquica del orden. Este colectivo se ha caracterizado por definir plataformas reivindicativas de su situación enfocadas en el salario, condiciones de trabajo, inequidades de género y la necesidad de crear fondos internos para atender inequidades propias de la organización sindical (La Diaria, 2022).</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Carrera académica y trayectorias docentes en la universidad</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Autores como Atairo y Rovelli (2019) y Pratti y Varela (2025) señalan que, en las últimas décadas, diversos sistemas de Educación Superior Latinoamericanos han experimentado reformas universitarias en las que la profesionalización docente, la carrera académica y la evaluación del desempeño docente han constituido ejes centrales. En particular, Atairo y Rovelli (2019) analizan cinco dimensiones de reforma en universidades argentinas: el acceso al cargo docente, la permanencia, la promoción, las funciones sustantivas y la creación de comisiones o sistemas de evaluación institucional.</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Los autores concluyen que, si bien el ingreso mediante concurso público y la estabilidad laboral sustentada en evaluaciones periódicas generan una tendencia hacia la homogeneización de las modalidades de acceso y permanencia en el sistema, persiste una marcada diversidad en las estructuras organizacionales, atribuible a la autonomía de cada institución. Entre los rasgos más destacados se identifican: la diferenciación de perfiles y trayectorias docentes, distinguiendo entre aquellas orientadas prioritariamente a la docencia y las centradas en la investigación, la consolidación de las evaluaciones estudiantiles como instrumento central de valoración del desempeño docente y el desplazamiento de la tradicional clase supervisada por formatos de evaluación que conciben al docente como un agente de cambio, capaz de diseñar e implementar planes orientados a la mejora integral de su función (Atairo &amp; Rovelli, 2019).</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Asimismo, Pratti y Varela (2025) y Alemany et al. (2023) sostienen que estas reformas se fundan en la idea de que la docencia ya no puede regularse solo como transmisión de contenidos, sino como una profesión compleja que exige actualización permanente, reflexión sobre la práctica y coherencia con los modelos institucionales y en ese sentido, estos cambios se apoyan en una visión de calidad y equidad donde la formación docente tiene relevancia pública y debe responder a diversidad, inclusión y transformación social. Sin embargo, plantean las preocupaciones que los sistemas educativos tienen al implementar estas reformas que rondan en el desafìo de la profesionalización docente, la función docente más allá de la docente, la estructura de ascenso (carrera), la evaluación vinculada al desarrollo de la tarea docente y la corrección parcial de rigideces o precariedades previas que reclaman los docentes (techo de cristal, cantidad de estudiantes por docente, sueldos sumergidos) (González Cobaleda, 2019).</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A su vez, Alemany et al. (2023) agregan que la regulación de la carrera docente expresa nuevos valores y creencias sobre la profesión docente universitaria, aunque con implementaciones diversas o matices por Universidades (Atairo &amp; Rovelli, 2019). En este marco surge la concepción de la función docente integral que aleja al profesor centrado solo en el aula y lo redefine como gestor de escenarios inclusivos, investigador, actor ético e intelectual, y agente de desarrollo integral del estudiantado (Palma &amp; Mesén, 2025). Para Rojas (2025), la integralidad de las funciones abarca dimensiones éticas, intelectuales y morales, asumiendo como pilares fundamentales la inclusión y el desarrollo integral del alumnado. Esta visión se alinea con lo planteado por Pratti y Varela (2025), que señalan que dicha integralidad se materializa a través de procesos de docencia, reflexión, acompañamiento, innovación y trabajo colaborativo. De este modo, y en estrecha relación con el contexto institucional particular, la labor profesional del docente se diversifica de manera flexible para incorporar tareas esenciales que van desde la investigación y la gestión administrativa, hasta la mediación y preservación cultural (Rojas, 2025).</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Zacarias (2024) sintetiza que los estudios sobre la carrera académica muestran una tendencia común a formalizar: trayectorias, regulación del acceso, definir tipologías en relación a la labor docente, sistemas de promoción y remuneraciones, procesos de concursos de ingreso tendientes a ser a través de mecanismos públicos y criterios explícitos de selección, con mayor énfasis en perfiles y capacidades que en arreglos corporativos informales. Aunque estas reformas no están exentas de desafíos y problemáticas, trabajos como los de Alemany et al. (2023), Castro (2010) y Gürbüz &amp;  Gürbüz (2022) señalan que estos avances normativos no siempre resuelven problemas de fondo, como la precariedad laboral, las asimetrías de género o la debilidad de la identidad profesional docente.</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Estrategia metodológica</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La investigación se inscribe en un enfoque cualitativo de tipo documental y discursivo. El corpus estuvo integrado por documentos institucionales, gremiales, notas de prensa y resoluciones del Consejo Directivo Central (CDC) vinculadas con el EPD durante su gestación y vigencia (2017-2026). La construcción del corpus se realizó mediante un proceso de búsqueda, selección, recolección, clasificación y organización de los materiales, siguiendo la secuencia propuesta para el análisis documental. Este procedimiento permite comprender la realidad a partir de diversos tipos de documentos y organizar de manera sistemática el material empírico que luego será interpretado (Cellard, 2018; Sa-Silva et al., 2009; Ji, 2024).</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Para el tratamiento del corpus se articuló el análisis documental con el análisis del discurso, entendido como una herramienta metodológica para construir, describir e interpretar datos lingüísticos. En los documentos institucionales y gremiales, así como en las resoluciones del CDC, se buscó identificar regularidades léxicas, modos de construcción del problema, posiciones enunciativas y marcos de legitimación. En el caso de la prensa, se incorporó además la perspectiva del encuadre comunicativo (o framing), útil para examinar la construcción mediática de los acontecimientos, las posiciones de los actores y las estrategias de visibilización, distorsión o recontextualización presentes en las noticias (Fair, 2024). El análisis se realizó de manera interpretativa y comparativa, atendiendo tanto a los contenidos explícitos como a las formas de construcción discursiva, las relaciones de poder y las condiciones de producción de los enunciados.</w:t>
      </w:r>
    </w:p>
    <w:p>
      <w:pPr>
        <w:pStyle w:val="Cuerpodetexto"/>
        <w:bidi w:val="0"/>
        <w:spacing w:lineRule="auto" w:line="240" w:before="0" w:after="0"/>
        <w:jc w:val="both"/>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En términos operativos, el trabajo se desarrolló en tres momentos: primero, la conformación del corpus; segundo, la lectura analítica y codificación temática de los documentos (a través del software Atlas.Ti) y tercero, la interpretación discursiva de los hallazgos, procurando establecer relaciones entre los distintos tipos de fuentes y los sentidos dominantes sobre el EPD. Esta estrategia permitió contrastar las voces institucionales, gremiales y periodísticas, y reconstruir continuidades, tensiones y desplazamientos en torno al proceso analizado (Fair, 2024; Luvezute et al., 2015; Sayago, 2019; Wutich, 2018).</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Como resultado del análisis, se construyó un corpus de 72 fuentes documentales: sindicales (10), de prensa (10), resoluciones del CDC (32 repartidos), ordenanzas (17), el estatuto y dos manuales o guías de implementación. En conjunto, estos documentos presentan distintas funciones discursivas. Algunos son predominantemente informativo-instructivos, en tanto buscan transmitir información y/o prescribir la implementación de determinadas acciones y decisiones derivadas de la puesta en marcha del Estatuto. Otros, de naturaleza jurídico-administrativa, dan lugar a modificaciones normativas o a la generación de nueva normativa. Finalmente, se identifica una dimensión reivindicativa de los derechos laborales en los documentos sindicales y de prensa, donde se expresan tensiones y potencialidades del EPD.</w:t>
      </w:r>
    </w:p>
    <w:p>
      <w:pPr>
        <w:pStyle w:val="Cuerpodetexto"/>
        <w:spacing w:lineRule="auto" w:line="240"/>
        <w:rPr>
          <w:rFonts w:ascii="Times New Roman" w:hAnsi="Times New Roman" w:cs="Times New Roman"/>
        </w:rPr>
      </w:pPr>
      <w:r>
        <w:rPr>
          <w:rFonts w:cs="Times New Roman" w:ascii="Times New Roman" w:hAnsi="Times New Roman"/>
        </w:rPr>
      </w:r>
    </w:p>
    <w:p>
      <w:pPr>
        <w:pStyle w:val="Ttulo3"/>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Desarrollo</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Con la aprobación del EPD mediante resolución N°23 de CDC del 17 de diciembre de 2019 el colectivo docente manifiesta el inicio de un proceso de transformación de las relaciones laborales docentes y de la carrera académica en la Udelar. Este proceso normativo constituyó un acontecimiento calificado como histórico por diversos actores de la comunidad universitaria: </w:t>
      </w:r>
      <w:r>
        <w:rPr>
          <w:caps w:val="false"/>
          <w:smallCaps w:val="false"/>
          <w:strike w:val="false"/>
          <w:dstrike w:val="false"/>
          <w:color w:val="000000"/>
          <w:u w:val="none"/>
          <w:effect w:val="none"/>
          <w:shd w:fill="auto" w:val="clear"/>
        </w:rPr>
        <w:t>“</w:t>
      </w:r>
      <w:r>
        <w:rPr>
          <w:rFonts w:ascii="Times New Roman;serif" w:hAnsi="Times New Roman;serif"/>
          <w:b w:val="false"/>
          <w:i/>
          <w:caps w:val="false"/>
          <w:smallCaps w:val="false"/>
          <w:strike w:val="false"/>
          <w:dstrike w:val="false"/>
          <w:color w:val="000000"/>
          <w:sz w:val="24"/>
          <w:u w:val="none"/>
          <w:effect w:val="none"/>
          <w:shd w:fill="auto" w:val="clear"/>
        </w:rPr>
        <w:t xml:space="preserve">Esta ha sido una etapa activa, de producción trascendente para la institución, de transformación profunda de estructuras precedentes de la organización” </w:t>
      </w:r>
      <w:r>
        <w:rPr>
          <w:rFonts w:ascii="Times New Roman;serif" w:hAnsi="Times New Roman;serif"/>
          <w:b w:val="false"/>
          <w:i w:val="false"/>
          <w:caps w:val="false"/>
          <w:smallCaps w:val="false"/>
          <w:strike w:val="false"/>
          <w:dstrike w:val="false"/>
          <w:color w:val="000000"/>
          <w:sz w:val="24"/>
          <w:u w:val="none"/>
          <w:effect w:val="none"/>
          <w:shd w:fill="auto" w:val="clear"/>
        </w:rPr>
        <w:t>(Decanato de Facultad de Artes, intervención en CDC, 2025).</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Éstos plantean que desde hace tiempo existía la necesidad de una renovación profunda, la discusión ya acumulaba más de una década de debates y postergaciones en la interna de la institución, reflejando las dificultades propias de una gobernanza universitaria compleja, descentralizada y cogobernada. Fue en el rectorado de Roberto Markarian que se estableció la creación de una comisión ad hoc para lograr la redacción definitiva, en este caso se buscaba contar con una propuesta articulada que rescatara los consensos y discusiones previas acumuladas desde 2011 en adelante y que luego sirvieran de base para las negociaciones definitivas con la Asociación de Docentes de la Universidad de la República (ADUR).</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caps w:val="false"/>
          <w:smallCaps w:val="false"/>
          <w:strike w:val="false"/>
          <w:dstrike w:val="false"/>
          <w:color w:val="000000"/>
          <w:u w:val="none"/>
          <w:effect w:val="none"/>
          <w:shd w:fill="auto" w:val="clear"/>
        </w:rPr>
        <w:t>“</w:t>
      </w:r>
      <w:r>
        <w:rPr>
          <w:rFonts w:ascii="Times New Roman;serif" w:hAnsi="Times New Roman;serif"/>
          <w:b w:val="false"/>
          <w:i/>
          <w:caps w:val="false"/>
          <w:smallCaps w:val="false"/>
          <w:strike w:val="false"/>
          <w:dstrike w:val="false"/>
          <w:color w:val="000000"/>
          <w:sz w:val="24"/>
          <w:u w:val="none"/>
          <w:effect w:val="none"/>
          <w:shd w:fill="auto" w:val="clear"/>
        </w:rPr>
        <w:t xml:space="preserve">(...) la mayor parte de la discusión ya está saldada". Pero para la Asociación de Docentes (ADUR) aún restan por definirse los aspectos "más profundos", entre ellos si cada facultad puede establecer un límite inferior a los 70 años para el ejercicio de la profesión </w:t>
      </w:r>
      <w:r>
        <w:rPr>
          <w:rFonts w:ascii="Times New Roman;serif" w:hAnsi="Times New Roman;serif"/>
          <w:b w:val="false"/>
          <w:i w:val="false"/>
          <w:caps w:val="false"/>
          <w:smallCaps w:val="false"/>
          <w:strike w:val="false"/>
          <w:dstrike w:val="false"/>
          <w:color w:val="000000"/>
          <w:sz w:val="24"/>
          <w:u w:val="none"/>
          <w:effect w:val="none"/>
          <w:shd w:fill="auto" w:val="clear"/>
        </w:rPr>
        <w:t>(Markarian, entrevista en prensa, 2018).</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El análisis documental plantea que el diseño definitivo de la reforma estatutaria se estructuró con base en</w:t>
      </w:r>
      <w:r>
        <w:rPr>
          <w:caps w:val="false"/>
          <w:smallCaps w:val="false"/>
          <w:strike w:val="false"/>
          <w:dstrike w:val="false"/>
          <w:color w:val="000000"/>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 xml:space="preserve">objetivos estratégicos e investigativos que buscaban dar respuesta a problemas estructurales de larga data en la educación superior uruguaya” </w:t>
      </w:r>
      <w:r>
        <w:rPr>
          <w:rFonts w:ascii="Times New Roman;serif" w:hAnsi="Times New Roman;serif"/>
          <w:b w:val="false"/>
          <w:i w:val="false"/>
          <w:caps w:val="false"/>
          <w:smallCaps w:val="false"/>
          <w:strike w:val="false"/>
          <w:dstrike w:val="false"/>
          <w:color w:val="000000"/>
          <w:sz w:val="24"/>
          <w:u w:val="none"/>
          <w:effect w:val="none"/>
          <w:shd w:fill="auto" w:val="clear"/>
        </w:rPr>
        <w:t>(integrante de Comisión de Implementación del EPD, Facultad de Psicología, 2021). Los dos grandes desafíos de la implementación se enfocan en los obstáculos presupuestarios e institucionales que limitan la transformación de las modalidades de contratación docente previstas en el Estatuto, analizando el impacto directo que éstas restricciones materiales ejercen sobre la calidad de la educación universitaria.</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caps w:val="false"/>
          <w:smallCaps w:val="false"/>
          <w:strike w:val="false"/>
          <w:dstrike w:val="false"/>
          <w:color w:val="151515"/>
          <w:u w:val="none"/>
          <w:effect w:val="none"/>
          <w:shd w:fill="FFFFFF" w:val="clear"/>
        </w:rPr>
        <w:t>“</w:t>
      </w:r>
      <w:r>
        <w:rPr>
          <w:rFonts w:ascii="Times New Roman;serif" w:hAnsi="Times New Roman;serif"/>
          <w:b w:val="false"/>
          <w:i/>
          <w:caps w:val="false"/>
          <w:smallCaps w:val="false"/>
          <w:strike w:val="false"/>
          <w:dstrike w:val="false"/>
          <w:color w:val="151515"/>
          <w:sz w:val="24"/>
          <w:u w:val="none"/>
          <w:effect w:val="none"/>
          <w:shd w:fill="FFFFFF" w:val="clear"/>
        </w:rPr>
        <w:t xml:space="preserve">La precariedad laboral de los profesores en la educación terciaria pública, que afecta el desarrollo de su carrera docente y recorta las posibilidades para jóvenes investigadoras e investigadores, altamente calificadas y calificados en el país y fomenta la fuga de cerebro” </w:t>
      </w:r>
      <w:r>
        <w:rPr>
          <w:rFonts w:ascii="Times New Roman;serif" w:hAnsi="Times New Roman;serif"/>
          <w:b w:val="false"/>
          <w:i w:val="false"/>
          <w:caps w:val="false"/>
          <w:smallCaps w:val="false"/>
          <w:strike w:val="false"/>
          <w:dstrike w:val="false"/>
          <w:color w:val="151515"/>
          <w:sz w:val="24"/>
          <w:u w:val="none"/>
          <w:effect w:val="none"/>
          <w:shd w:fill="FFFFFF" w:val="clear"/>
        </w:rPr>
        <w:t>(</w:t>
      </w:r>
      <w:r>
        <w:rPr>
          <w:rFonts w:ascii="Times New Roman;serif" w:hAnsi="Times New Roman;serif"/>
          <w:b w:val="false"/>
          <w:i w:val="false"/>
          <w:caps w:val="false"/>
          <w:smallCaps w:val="false"/>
          <w:strike w:val="false"/>
          <w:dstrike w:val="false"/>
          <w:color w:val="000000"/>
          <w:sz w:val="24"/>
          <w:u w:val="none"/>
          <w:effect w:val="none"/>
          <w:shd w:fill="auto" w:val="clear"/>
        </w:rPr>
        <w:t>Declaración Asamblea Grado 1 y 2, 2022)</w:t>
      </w:r>
      <w:r>
        <w:rPr>
          <w:rFonts w:ascii="Times New Roman;serif" w:hAnsi="Times New Roman;serif"/>
          <w:b w:val="false"/>
          <w:i/>
          <w:caps w:val="false"/>
          <w:smallCaps w:val="false"/>
          <w:strike w:val="false"/>
          <w:dstrike w:val="false"/>
          <w:color w:val="000000"/>
          <w:sz w:val="24"/>
          <w:u w:val="none"/>
          <w:effect w:val="none"/>
          <w:shd w:fill="auto" w:val="clear"/>
        </w:rPr>
        <w:t>.</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El segundo gran objetivo se centra en la recuperación sistemática de las perspectivas y vivencias de los actores de la institución, incluyendo a las autoridades rectorales y decanales, los referentes gremiales, el personal Técnico, Administrativo y de Servicio (TAS) y los integrantes de las Comisiones de Implementación. Finalmente, la reforma se propuso caracterizar con rigor las dinámicas de resistencia, negociación y adopción que el EPD suscitó en los diferentes servicios universitarios, tomando en consideración las profundas asimetrías de escala, recursos económicos y culturas institucionales que atraviesan a la Udelar como organización. La implementación del EPD generó tensiones estructurales en la institución, por un lado, los servicios con mayor tradición investigadora, menor cantidad de estudiantes activos y mayor presupuesto, asimilaron la normativa como una oportunidad de expansión académica; por otro, las facultades o servicios más rezagadas enfrentaron problemas presupuestarios y asimetrías organizativas al intentar formalizar las nuevas exigencias. Asimismo, la reforma despertó resistencias en los equipos docentes ante la homogeneización de los criterios de evaluación y la obligatoriedad de la enseñanza de grado, dinámicas que fueron percibidas como de preocupación por la pérdida de libertad académica.</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caps w:val="false"/>
          <w:smallCaps w:val="false"/>
          <w:strike w:val="false"/>
          <w:dstrike w:val="false"/>
          <w:color w:val="000000"/>
          <w:sz w:val="24"/>
          <w:u w:val="none"/>
          <w:effect w:val="none"/>
          <w:shd w:fill="auto" w:val="clear"/>
        </w:rPr>
        <w:t>"(...) y efectivamente hay una tensión con el nuevo Estatuto del Personal Docente que tenemos que ver como se resuelve, fue una pena que algo que discutimos mucho tiempo estuviera ausente y ahí les tiro la pelota a ustedes [refiriéndose a docentes de Facultad de Medicina], pero cuando lo discutimos faltó la voz muy importante de ustedes y eso genera enormes problemas que tenemos en el EPD que no reconoce y no está adaptado a ciertos aspectos de la salud en general lo digo así nomás porque sin duda que tenemos que revisar el EPD pero no ahora ya que puede ser un desastre, revisarlo en medio de que se “está cruzando el río”, pero muy pronto quizás en un par de años hay que revisar y hay cosas que hay que ajustar que hay que incorporar”</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(Consejero docente, repartido CDC, 2025).</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El estado actual de la reforma sitúa al EPD en una fase de institucionalización inicial y parcial, restando un largo camino para alcanzar una consolidación plena de la normativa. Si se hace un balance preliminar de estos primeros seis años de aplicación, se observa un patrón recurrente en los procesos de reforma de personal en la educación superior a nivel global: los avances más significativos y visibles tienden a concentrarse en la formalización de las normativas, la creación de nuevos dispositivos de apoyo técnico y una mayor coordinación centralizada, mientras que las dificultades persistentes se asocian con la brecha entre el diseño original de la política y su ejecución práctica dentro de cada unidad académica (Alemany et al., 2023; González Cobaleda, 2019 y González et al., 2021). Cabe destacar que la implementación del Estatuto implicó el cambio de varias normas, la generación de nuevas ordenanzas como la de evaluación docente y la difusión de resoluciones o circulares que buscan comprender la norma fielmente o modificar o agregar algún inciso a los articulados existentes del EPD (Se registraron 16 modificaciones al EPD y 4 interpretaciones auténticas de ciertos articulados para aclarar la intención original de la norma).</w:t>
      </w:r>
    </w:p>
    <w:p>
      <w:pPr>
        <w:pStyle w:val="Cuerpodetexto"/>
        <w:bidi w:val="0"/>
        <w:spacing w:lineRule="auto" w:line="240" w:before="0" w:after="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jc w:val="both"/>
        <w:rPr/>
      </w:pPr>
      <w:r>
        <w:rPr/>
        <w:drawing>
          <wp:inline distT="0" distB="0" distL="0" distR="0">
            <wp:extent cx="5734050" cy="2552700"/>
            <wp:effectExtent l="0" t="0" r="0" b="0"/>
            <wp:docPr id="1"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descr=""/>
                    <pic:cNvPicPr>
                      <a:picLocks noChangeAspect="1" noChangeArrowheads="1"/>
                    </pic:cNvPicPr>
                  </pic:nvPicPr>
                  <pic:blipFill>
                    <a:blip r:embed="rId2"/>
                    <a:stretch>
                      <a:fillRect/>
                    </a:stretch>
                  </pic:blipFill>
                  <pic:spPr bwMode="auto">
                    <a:xfrm>
                      <a:off x="0" y="0"/>
                      <a:ext cx="5734050" cy="2552700"/>
                    </a:xfrm>
                    <a:prstGeom prst="rect">
                      <a:avLst/>
                    </a:prstGeom>
                  </pic:spPr>
                </pic:pic>
              </a:graphicData>
            </a:graphic>
          </wp:inline>
        </w:drawing>
      </w:r>
    </w:p>
    <w:p>
      <w:pPr>
        <w:pStyle w:val="Cuerpodetexto"/>
        <w:bidi w:val="0"/>
        <w:spacing w:lineRule="auto" w:line="240" w:before="0" w:after="0"/>
        <w:jc w:val="both"/>
        <w:rPr/>
      </w:pPr>
      <w:r>
        <w:rPr>
          <w:rFonts w:ascii="Times New Roman;serif" w:hAnsi="Times New Roman;serif"/>
          <w:b w:val="false"/>
          <w:i/>
          <w:caps w:val="false"/>
          <w:smallCaps w:val="false"/>
          <w:strike w:val="false"/>
          <w:dstrike w:val="false"/>
          <w:color w:val="000000"/>
          <w:sz w:val="24"/>
          <w:u w:val="none"/>
          <w:effect w:val="none"/>
          <w:shd w:fill="auto" w:val="clear"/>
        </w:rPr>
        <w:t>Nota</w:t>
      </w:r>
      <w:r>
        <w:rPr>
          <w:rFonts w:ascii="Times New Roman;serif" w:hAnsi="Times New Roman;serif"/>
          <w:b w:val="false"/>
          <w:i w:val="false"/>
          <w:caps w:val="false"/>
          <w:smallCaps w:val="false"/>
          <w:strike w:val="false"/>
          <w:dstrike w:val="false"/>
          <w:color w:val="000000"/>
          <w:sz w:val="24"/>
          <w:u w:val="none"/>
          <w:effect w:val="none"/>
          <w:shd w:fill="auto" w:val="clear"/>
        </w:rPr>
        <w:t>. Resolución del CDC para modificar el literal c del artículo 8 del EPD.</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Dentro de este escenario institucional, la viabilidad de la reforma en el ámbito cotidiano de cada Facultad dependió del diseño de mecanismos específicos. Los servicios que lograron una pronta articulación de sus comisiones de implementación y una buena operativa de la normativa, experimentaron una reestructuración docente más rápida y con menor conflictividad que aquellos servicios que llevaron adelante un proceso más lento. Esto puso de manifiesto las asimetrías entre las facultades: los servicios con mayor historia y estructura administrativa, lograron adecuaciones más significativas que los servicios más jóvenes, esto puede evidenciarse en discursos en el CDC en donde se observan avances por parte de facultades como Ciencias, Derecho o Ingeniería mientras se solicitan mayores plazos y problemas en facultades como Psicología, Cenures o Artes.</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caps w:val="false"/>
          <w:smallCaps w:val="false"/>
          <w:strike w:val="false"/>
          <w:dstrike w:val="false"/>
          <w:color w:val="000000"/>
          <w:u w:val="none"/>
          <w:effect w:val="none"/>
          <w:shd w:fill="auto" w:val="clear"/>
        </w:rPr>
        <w:t>“</w:t>
      </w:r>
      <w:r>
        <w:rPr>
          <w:rFonts w:ascii="Times New Roman;serif" w:hAnsi="Times New Roman;serif"/>
          <w:b w:val="false"/>
          <w:i/>
          <w:caps w:val="false"/>
          <w:smallCaps w:val="false"/>
          <w:strike w:val="false"/>
          <w:dstrike w:val="false"/>
          <w:color w:val="000000"/>
          <w:sz w:val="24"/>
          <w:u w:val="none"/>
          <w:effect w:val="none"/>
          <w:shd w:fill="auto" w:val="clear"/>
        </w:rPr>
        <w:t>(Exp. Nº 191160-001125-20) - Visto el Quinto informe de la Comisión de Estatuto del Personal Docente de la Facultad de Psicología, se resuelve:</w:t>
      </w:r>
    </w:p>
    <w:p>
      <w:pPr>
        <w:pStyle w:val="Cuerpodetexto"/>
        <w:bidi w:val="0"/>
        <w:spacing w:lineRule="auto" w:line="240" w:before="0" w:after="0"/>
        <w:jc w:val="both"/>
        <w:rPr/>
      </w:pPr>
      <w:r>
        <w:rPr>
          <w:rFonts w:ascii="Times New Roman;serif" w:hAnsi="Times New Roman;serif"/>
          <w:b w:val="false"/>
          <w:i/>
          <w:caps w:val="false"/>
          <w:smallCaps w:val="false"/>
          <w:strike w:val="false"/>
          <w:dstrike w:val="false"/>
          <w:color w:val="000000"/>
          <w:sz w:val="24"/>
          <w:u w:val="none"/>
          <w:effect w:val="none"/>
          <w:shd w:fill="auto" w:val="clear"/>
        </w:rPr>
        <w:t>1) Dar la más amplia difusión dentro del cuerpo docente y las secciones administrativas pertinentes de las resoluciones del Consejo Directivo Central respecto al otorgamiento de extensiones y reducciones horarias.</w:t>
      </w:r>
    </w:p>
    <w:p>
      <w:pPr>
        <w:pStyle w:val="Cuerpodetexto"/>
        <w:bidi w:val="0"/>
        <w:spacing w:lineRule="auto" w:line="240" w:before="0" w:after="0"/>
        <w:jc w:val="both"/>
        <w:rPr/>
      </w:pPr>
      <w:r>
        <w:rPr>
          <w:rFonts w:ascii="Times New Roman;serif" w:hAnsi="Times New Roman;serif"/>
          <w:b w:val="false"/>
          <w:i/>
          <w:caps w:val="false"/>
          <w:smallCaps w:val="false"/>
          <w:strike w:val="false"/>
          <w:dstrike w:val="false"/>
          <w:color w:val="000000"/>
          <w:sz w:val="24"/>
          <w:u w:val="none"/>
          <w:effect w:val="none"/>
          <w:shd w:fill="auto" w:val="clear"/>
        </w:rPr>
        <w:t>2) Informar especialmente a Direcciones de Institutos, Centros de Investigación y docentes responsables de convenios y proyectos que cuenten con financiamiento extrapresupuestal.</w:t>
      </w:r>
    </w:p>
    <w:p>
      <w:pPr>
        <w:pStyle w:val="Cuerpodetexto"/>
        <w:bidi w:val="0"/>
        <w:spacing w:lineRule="auto" w:line="240" w:before="0" w:after="0"/>
        <w:jc w:val="both"/>
        <w:rPr/>
      </w:pPr>
      <w:r>
        <w:rPr>
          <w:rFonts w:ascii="Times New Roman;serif" w:hAnsi="Times New Roman;serif"/>
          <w:b w:val="false"/>
          <w:i/>
          <w:caps w:val="false"/>
          <w:smallCaps w:val="false"/>
          <w:strike w:val="false"/>
          <w:dstrike w:val="false"/>
          <w:color w:val="000000"/>
          <w:sz w:val="24"/>
          <w:u w:val="none"/>
          <w:effect w:val="none"/>
          <w:shd w:fill="auto" w:val="clear"/>
        </w:rPr>
        <w:t>3) Informar al Consejo Directivo Central que se hará uso de la prórroga para renovar extensiones horarias incompatibles con el Estatuto del Personal Docente hasta el 1 de marzo de 2022. Con el objetivo de poder elevar un plan de adecuación al 1 de junio”</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(Resolución Consejo de Facultad de Psicología, 2021).</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Un rol protagónico y destacable a nivel central y de facultades ha sido el de las Comisiones de Implementación del EPD, estructuras que han operado como instancias intermedias de mediación organizacional. Estas comisiones, han tendido puentes entre el CDC, los decanatos, las unidades académicas y las realidades concretas de los servicios a nivel administrativo. En estas estructuras, el personal TAS ha adquirido una centralidad estratégica, en el planteo de las dificultades y capacidades que el aparato administrativo tiene en el proceso de implementación del Estatuto.</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caps w:val="false"/>
          <w:smallCaps w:val="false"/>
          <w:strike w:val="false"/>
          <w:dstrike w:val="false"/>
          <w:color w:val="000000"/>
          <w:u w:val="none"/>
          <w:effect w:val="none"/>
          <w:shd w:fill="auto" w:val="clear"/>
        </w:rPr>
        <w:t>“</w:t>
      </w:r>
      <w:r>
        <w:rPr>
          <w:rFonts w:ascii="Times New Roman;serif" w:hAnsi="Times New Roman;serif"/>
          <w:b w:val="false"/>
          <w:i/>
          <w:caps w:val="false"/>
          <w:smallCaps w:val="false"/>
          <w:strike w:val="false"/>
          <w:dstrike w:val="false"/>
          <w:color w:val="000000"/>
          <w:sz w:val="24"/>
          <w:u w:val="none"/>
          <w:effect w:val="none"/>
          <w:shd w:fill="auto" w:val="clear"/>
        </w:rPr>
        <w:t xml:space="preserve">Un problema recurrente que manifiesta el funcionariado TAS es el referido a las prórrogas automáticas generadas por licencias maternales o paternales a partir del EPD que no se visualizan en las historias laborales de los docentes afectando significativamente los tiempos de permanencia de éstos en los cargos” </w:t>
      </w:r>
      <w:r>
        <w:rPr>
          <w:rFonts w:ascii="Times New Roman;serif" w:hAnsi="Times New Roman;serif"/>
          <w:b w:val="false"/>
          <w:i w:val="false"/>
          <w:caps w:val="false"/>
          <w:smallCaps w:val="false"/>
          <w:strike w:val="false"/>
          <w:dstrike w:val="false"/>
          <w:color w:val="000000"/>
          <w:sz w:val="24"/>
          <w:u w:val="none"/>
          <w:effect w:val="none"/>
          <w:shd w:fill="auto" w:val="clear"/>
        </w:rPr>
        <w:t>(Informe Grupo ADUR Interior, 2026).</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Por el contrario, en los servicios donde los espacios de articulación funcionan de manera intermitente o priman las decisiones desde la dirección, la percepción de los colectivos gremiales (ADUR y la Asamblea de Grados 1 y 2) es de un escenario </w:t>
      </w:r>
      <w:r>
        <w:rPr>
          <w:caps w:val="false"/>
          <w:smallCaps w:val="false"/>
          <w:strike w:val="false"/>
          <w:dstrike w:val="false"/>
          <w:color w:val="000000"/>
          <w:u w:val="none"/>
          <w:effect w:val="none"/>
          <w:shd w:fill="auto" w:val="clear"/>
        </w:rPr>
        <w:t>“</w:t>
      </w:r>
      <w:r>
        <w:rPr>
          <w:rFonts w:ascii="Times New Roman;serif" w:hAnsi="Times New Roman;serif"/>
          <w:b w:val="false"/>
          <w:i/>
          <w:caps w:val="false"/>
          <w:smallCaps w:val="false"/>
          <w:strike w:val="false"/>
          <w:dstrike w:val="false"/>
          <w:color w:val="000000"/>
          <w:sz w:val="24"/>
          <w:u w:val="none"/>
          <w:effect w:val="none"/>
          <w:shd w:fill="auto" w:val="clear"/>
        </w:rPr>
        <w:t>tensionado y de mayor precarización laboral. La legitimidad de las transformaciones se encuentra supeditada a la democratización de la información, la gobernanza participativa y la capacitación anticipada”</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(Repartido CDC, 2025). Esto se agrava más dentro de los equipos docentes que mantienen contratos más frágiles: interinos y por artículo 46 del EPD, quienes asumen el costo operativo de la transición sin la protección material necesaria. En consecuencia, </w:t>
      </w:r>
      <w:r>
        <w:rPr>
          <w:rFonts w:ascii="Times New Roman;serif" w:hAnsi="Times New Roman;serif"/>
          <w:b w:val="false"/>
          <w:i/>
          <w:caps w:val="false"/>
          <w:smallCaps w:val="false"/>
          <w:strike w:val="false"/>
          <w:dstrike w:val="false"/>
          <w:color w:val="000000"/>
          <w:sz w:val="24"/>
          <w:u w:val="none"/>
          <w:effect w:val="none"/>
          <w:shd w:fill="auto" w:val="clear"/>
        </w:rPr>
        <w:t>el apoyo gremial y la negociación colectiva reafirman su rol central para encauzar las reivindicaciones en torno a las asimetrías que genera el EPD</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(Informe Grupo ADUR Interior, 2026; Repartido CDC, 2025).</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Los nudos críticos que condicionan el éxito a largo plazo del EPD se concentran en el desarrollo de la carrera académica docente, atravesada por una contradicción estructural que limita su funcionamiento. Aunque el estatuto buscó ordenar las trayectorias mediante sistemas explícitos de evaluación y promoción, la formalización de estos criterios no opera de manera neutra: si bien la ordenanza de evaluación docente rige para todo el colectivo docente de la Udelar, sus modalidades de implementación aún deben resolverse en cada servicio. Esta dificultad se vuelve todavía más marcada en el desarrollo de la carrera docente, ya que los procesos de promoción fueron definidos para desarrollarse de forma delegada, servicio por servicio, y no bajo un esquema global. A su vez, “</w:t>
      </w:r>
      <w:r>
        <w:rPr>
          <w:rFonts w:ascii="Times New Roman;serif" w:hAnsi="Times New Roman;serif"/>
          <w:b w:val="false"/>
          <w:i/>
          <w:caps w:val="false"/>
          <w:smallCaps w:val="false"/>
          <w:strike w:val="false"/>
          <w:dstrike w:val="false"/>
          <w:color w:val="000000"/>
          <w:sz w:val="24"/>
          <w:u w:val="none"/>
          <w:effect w:val="none"/>
          <w:shd w:fill="auto" w:val="clear"/>
        </w:rPr>
        <w:t xml:space="preserve">los mecanismos de ascenso continúan fuertemente sesgados hacia métricas cuantitativas que priorizan la productividad en investigación y la publicación indexada, relegando a un plano secundario la enseñanza directa, la extensión y el cuidado académico” </w:t>
      </w:r>
      <w:r>
        <w:rPr>
          <w:rFonts w:ascii="Times New Roman;serif" w:hAnsi="Times New Roman;serif"/>
          <w:b w:val="false"/>
          <w:i w:val="false"/>
          <w:caps w:val="false"/>
          <w:smallCaps w:val="false"/>
          <w:strike w:val="false"/>
          <w:dstrike w:val="false"/>
          <w:color w:val="000000"/>
          <w:sz w:val="24"/>
          <w:u w:val="none"/>
          <w:effect w:val="none"/>
          <w:shd w:fill="auto" w:val="clear"/>
        </w:rPr>
        <w:t>(Declaración Asamblea Grado 1 y 2, 2022). Como resultado, se profundiza la brecha entre el trabajo real que el cuerpo docente sostiene cotidianamente y aquello que la institución efectivamente recompensa como condición para el ascenso.</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caps w:val="false"/>
          <w:smallCaps w:val="false"/>
          <w:strike w:val="false"/>
          <w:dstrike w:val="false"/>
          <w:color w:val="000000"/>
          <w:u w:val="none"/>
          <w:effect w:val="none"/>
          <w:shd w:fill="auto" w:val="clear"/>
        </w:rPr>
        <w:t>“</w:t>
      </w:r>
      <w:r>
        <w:rPr>
          <w:rFonts w:ascii="Times New Roman;serif" w:hAnsi="Times New Roman;serif"/>
          <w:b w:val="false"/>
          <w:i/>
          <w:caps w:val="false"/>
          <w:smallCaps w:val="false"/>
          <w:strike w:val="false"/>
          <w:dstrike w:val="false"/>
          <w:color w:val="000000"/>
          <w:sz w:val="24"/>
          <w:u w:val="none"/>
          <w:effect w:val="none"/>
          <w:shd w:fill="auto" w:val="clear"/>
        </w:rPr>
        <w:t xml:space="preserve">Esta distorsión de los incentivos impacta con especial gravedad en la estructura de cargos de la Udelar, caracterizada por una fuerte concentración en los grados iniciales: los cargos de Grado 1 y Grado 2 representan el 63 % del total de los recursos humanos docentes. En ese contexto, las dificultades para construir trayectorias de desarrollo y promoción no constituyen un problema marginal, sino un rasgo central que compromete la sostenibilidad de la reforma” </w:t>
      </w:r>
      <w:r>
        <w:rPr>
          <w:rFonts w:ascii="Times New Roman;serif" w:hAnsi="Times New Roman;serif"/>
          <w:b w:val="false"/>
          <w:i w:val="false"/>
          <w:caps w:val="false"/>
          <w:smallCaps w:val="false"/>
          <w:strike w:val="false"/>
          <w:dstrike w:val="false"/>
          <w:color w:val="000000"/>
          <w:sz w:val="24"/>
          <w:u w:val="none"/>
          <w:effect w:val="none"/>
          <w:shd w:fill="auto" w:val="clear"/>
        </w:rPr>
        <w:t>(Declaración Asamblea Grado 1 y 2, 2022; 2023).</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La propuesta del EPD busca reconfigurar el sentido de estos grados iniciales estipulando que posean un carácter de formación y sean contratos a término, incorporando simultáneamente la exigencia de posgrados concluidos para acceder y permanecer en los Grados 3, 4 y 5 (Estatuto del Personal Docente, 2019). No obstante, si esta exigencia de profesionalización y término contractual no viene acompañada de una expansión real de las posiciones estables de carácter efectivo,</w:t>
      </w:r>
      <w:r>
        <w:rPr>
          <w:caps w:val="false"/>
          <w:smallCaps w:val="false"/>
          <w:strike w:val="false"/>
          <w:dstrike w:val="false"/>
          <w:color w:val="000000"/>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 xml:space="preserve">la reforma corre el riesgo de normalizar trayectorias lineales exclusivas y profundizar la exclusión de perfiles académicos diversos o con trayectorias no tradicionales” </w:t>
      </w:r>
      <w:r>
        <w:rPr>
          <w:rFonts w:ascii="Times New Roman;serif" w:hAnsi="Times New Roman;serif"/>
          <w:b w:val="false"/>
          <w:i w:val="false"/>
          <w:caps w:val="false"/>
          <w:smallCaps w:val="false"/>
          <w:strike w:val="false"/>
          <w:dstrike w:val="false"/>
          <w:color w:val="000000"/>
          <w:sz w:val="24"/>
          <w:u w:val="none"/>
          <w:effect w:val="none"/>
          <w:shd w:fill="auto" w:val="clear"/>
        </w:rPr>
        <w:t>(Declaración Asamblea Grado 1 y 2, 2022).</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Por otra parte, el abordaje de los cargos docentes interinos y la contratación temporal de docentes por artículo 46 del EPD, constituye uno de los ejes de debate más complejos en la aplicación de la reforma. El Estatuto introdujo una modificación histórica al fijar un plazo máximo de cuatro años para la duración de los interinatos mediante prórrogas anuales, obligando al servicio a convocar al correspondiente concurso de ingreso a la carrera docente en efectividad. Con ello, el EPD “</w:t>
      </w:r>
      <w:r>
        <w:rPr>
          <w:rFonts w:ascii="Times New Roman;serif" w:hAnsi="Times New Roman;serif"/>
          <w:b w:val="false"/>
          <w:i/>
          <w:caps w:val="false"/>
          <w:smallCaps w:val="false"/>
          <w:strike w:val="false"/>
          <w:dstrike w:val="false"/>
          <w:color w:val="000000"/>
          <w:sz w:val="24"/>
          <w:u w:val="none"/>
          <w:effect w:val="none"/>
          <w:shd w:fill="auto" w:val="clear"/>
        </w:rPr>
        <w:t xml:space="preserve">busca corregir irregularidades históricas de precarización prolongada en cargos docentes año a año renovables, aún así, la inestabilidad contractual sigue operando como una realidad extendida para una gran cantidad de docentes universitarios que todavía están a la espera de resolver su situación contractual a largo plazo” </w:t>
      </w:r>
      <w:r>
        <w:rPr>
          <w:rFonts w:ascii="Times New Roman;serif" w:hAnsi="Times New Roman;serif"/>
          <w:b w:val="false"/>
          <w:i w:val="false"/>
          <w:caps w:val="false"/>
          <w:smallCaps w:val="false"/>
          <w:strike w:val="false"/>
          <w:dstrike w:val="false"/>
          <w:color w:val="000000"/>
          <w:sz w:val="24"/>
          <w:u w:val="none"/>
          <w:effect w:val="none"/>
          <w:shd w:fill="auto" w:val="clear"/>
        </w:rPr>
        <w:t>(Adur, 2026).</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La viabilidad material y la sostenibilidad de los cambios prescritos en el EPD colisionan de manera directa contra las realidades presupuestarias de la universidad pública, la falta de un financiamiento incremental suficiente estanca el desarrollo docente y genera una brecha material insalvable “</w:t>
      </w:r>
      <w:r>
        <w:rPr>
          <w:rFonts w:ascii="Times New Roman;serif" w:hAnsi="Times New Roman;serif"/>
          <w:b w:val="false"/>
          <w:i/>
          <w:caps w:val="false"/>
          <w:smallCaps w:val="false"/>
          <w:strike w:val="false"/>
          <w:dstrike w:val="false"/>
          <w:color w:val="000000"/>
          <w:sz w:val="24"/>
          <w:u w:val="none"/>
          <w:effect w:val="none"/>
          <w:shd w:fill="auto" w:val="clear"/>
        </w:rPr>
        <w:t>donde los servicios universitarios que poseen menor capacidad administrativa y presupuestaria propia se encuentran en la peor posición relativa para poder implementarlo con éxito”</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(Adur, 2026; Repartido CDC, 2026). En virtud de estas limitaciones, la transición de los derechos adquiridos en esta reforma se diseñó con cierta gradualidad para evitar perjuicios en los docentes ya insertos en la carrera académica. De este modo, la aplicación efectiva de ciertos articulados de reestructuración de cargos y adecuación horaria previó plazos de implementación gradual que oscilan entre los tres y los cinco años, permitiendo amortiguar “</w:t>
      </w:r>
      <w:r>
        <w:rPr>
          <w:rFonts w:ascii="Times New Roman;serif" w:hAnsi="Times New Roman;serif"/>
          <w:b w:val="false"/>
          <w:i/>
          <w:caps w:val="false"/>
          <w:smallCaps w:val="false"/>
          <w:strike w:val="false"/>
          <w:dstrike w:val="false"/>
          <w:color w:val="000000"/>
          <w:sz w:val="24"/>
          <w:u w:val="none"/>
          <w:effect w:val="none"/>
          <w:shd w:fill="auto" w:val="clear"/>
        </w:rPr>
        <w:t>el impacto sobre docentes efectivos con multiempleo o cargas horarias excesivas”</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(Repartido CDC, 2021).</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El nuevo estatuto unificó la edad de retiro a los setenta años e incorporó avances en derechos laborales con perspectiva de género. Para proteger la maternidad, paternidad y adopción al evaluar cargos docentes, prevé prórrogas automáticas en las designaciones (un año para madres y seis meses para padres o adoptantes) y permanencia absoluta durante la licencia por maternidad. “</w:t>
      </w:r>
      <w:r>
        <w:rPr>
          <w:rFonts w:ascii="Times New Roman;serif" w:hAnsi="Times New Roman;serif"/>
          <w:b w:val="false"/>
          <w:i/>
          <w:caps w:val="false"/>
          <w:smallCaps w:val="false"/>
          <w:strike w:val="false"/>
          <w:dstrike w:val="false"/>
          <w:color w:val="000000"/>
          <w:sz w:val="24"/>
          <w:u w:val="none"/>
          <w:effect w:val="none"/>
          <w:shd w:fill="auto" w:val="clear"/>
        </w:rPr>
        <w:t>Estas medidas buscan mitigar las desigualdades de género en la promoción y el liderazgo, agravadas tras la pandemia por la sobrecarga de cuidados domésticos en el personal docente femenino, sin embargo el gremio docente plantea que aún existen problemas para efectivizar estas licencias en las historias laborales del cuerpo docente”</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(Informe ADUR, 2025).</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Por último, el EPD dialoga con una realidad compleja que la Udelar viene diagnosticando desde hace años en relación con las brechas de género. Aunque las mujeres constituyen la mayoría de la comunidad universitaria -62% del estudiantado, 68% del personal técnico-administrativo y 56% del cuerpo docente-, continúan enfrentando un marcado techo de cristal (Arrarte, 2024 en Informe Grupo ADUR Interior, 2026). Los espacios de máxima conducción política e institucional siguen fuertemente masculinizados: los varones ocupan el 69% de los cargos altos de cogobierno y el 70% de los decanatos, a lo que se suma que la Udelar nunca ha tenido una rectora electa. Esta desigualdad también se reproduce en la carrera docente, donde la presencia de mujeres disminuye de forma notoria en los grados más altos (Guidobono &amp; Goñi, 2025 en Repartido CDC, 2026).</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drawing>
          <wp:inline distT="0" distB="0" distL="0" distR="0">
            <wp:extent cx="5734050" cy="2543175"/>
            <wp:effectExtent l="0" t="0" r="0" b="0"/>
            <wp:docPr id="2"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4" descr=""/>
                    <pic:cNvPicPr>
                      <a:picLocks noChangeAspect="1" noChangeArrowheads="1"/>
                    </pic:cNvPicPr>
                  </pic:nvPicPr>
                  <pic:blipFill>
                    <a:blip r:embed="rId3"/>
                    <a:stretch>
                      <a:fillRect/>
                    </a:stretch>
                  </pic:blipFill>
                  <pic:spPr bwMode="auto">
                    <a:xfrm>
                      <a:off x="0" y="0"/>
                      <a:ext cx="5734050" cy="2543175"/>
                    </a:xfrm>
                    <a:prstGeom prst="rect">
                      <a:avLst/>
                    </a:prstGeom>
                  </pic:spPr>
                </pic:pic>
              </a:graphicData>
            </a:graphic>
          </wp:inline>
        </w:drawing>
      </w:r>
    </w:p>
    <w:p>
      <w:pPr>
        <w:pStyle w:val="Cuerpodetexto"/>
        <w:bidi w:val="0"/>
        <w:spacing w:lineRule="auto" w:line="240" w:before="0" w:after="0"/>
        <w:jc w:val="both"/>
        <w:rPr/>
      </w:pPr>
      <w:r>
        <w:rPr>
          <w:rFonts w:ascii="Times New Roman;serif" w:hAnsi="Times New Roman;serif"/>
          <w:b w:val="false"/>
          <w:i/>
          <w:caps w:val="false"/>
          <w:smallCaps w:val="false"/>
          <w:strike w:val="false"/>
          <w:dstrike w:val="false"/>
          <w:color w:val="000000"/>
          <w:sz w:val="24"/>
          <w:u w:val="none"/>
          <w:effect w:val="none"/>
          <w:shd w:fill="auto" w:val="clear"/>
        </w:rPr>
        <w:t>Nota</w:t>
      </w:r>
      <w:r>
        <w:rPr>
          <w:rFonts w:ascii="Times New Roman;serif" w:hAnsi="Times New Roman;serif"/>
          <w:b w:val="false"/>
          <w:i w:val="false"/>
          <w:caps w:val="false"/>
          <w:smallCaps w:val="false"/>
          <w:strike w:val="false"/>
          <w:dstrike w:val="false"/>
          <w:color w:val="000000"/>
          <w:sz w:val="24"/>
          <w:u w:val="none"/>
          <w:effect w:val="none"/>
          <w:shd w:fill="auto" w:val="clear"/>
        </w:rPr>
        <w:t>. Resolución del CDC referida a la perspectiva de género en el EPD</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Uno de los principales obstáculos radica en la persistencia de una organización institucional productivista, centrada en la dedicación exclusiva, que no contempla de forma suficiente el impacto desigual de las tareas de cuidado. Al asumir mayoritariamente la carga doméstica y familiar, muchas mujeres sostienen trayectorias académicas más fragmentadas y ven reducido su tiempo de descanso para poder responder a las exigencias del trabajo universitario (Arrarte, 2024 y Borgno, 2023 en Informe Grupo Interior, 2026). A esto se agrega la asignación desproporcionada de tareas de gestión indispensables para el funcionamiento institucional, pero escasamente reconocidas en los sistemas de evaluación y ascenso. En ese mismo marco, persiste una brecha del 10% a favor de los hombres en publicaciones arbitradas, uno de los principales indicadores de éxito académico y de acceso a financiamiento (Arrarte, 2024 y Borgno, 2023 en Informe Grupo Interior, 2026; Goñi et al., 2026 y Wagner et al., 2025 en Repartido CDC, 2026).</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También se mantienen sesgos de género que refuerzan la segregación horizontal, concentrando a las mujeres en áreas tradicionalmente asociadas al cuidado y la salud, mientras siguen siendo escasas las referentes femeninas en campos de Ciencia, Tecnología, Ingeniería y Matemáticas (STEM), donde además se reportan experiencias de exclusión. A su vez, los espacios de debate político universitario suelen organizarse bajo lógicas competitivas que tienden a relegar la participación de las mujeres y a desvalorizar formas alternativas de construcción pedagógica y política. Estas desigualdades, además, se profundizan cuando se entrecruzan con otras dimensiones de discriminación, como el racismo estructural -visible en la baja presencia de estudiantes/docentes/TAS afrodescendientes e indígenas- y las violencias que afectan a las identidades trans (Guidobono &amp; Goñi, 2025; Goñi et al., 2026 en Repartido CDC, 2026).</w:t>
      </w:r>
    </w:p>
    <w:p>
      <w:pPr>
        <w:pStyle w:val="Cuerpodetexto"/>
        <w:spacing w:lineRule="auto" w:line="240"/>
        <w:rPr>
          <w:rFonts w:ascii="Times New Roman" w:hAnsi="Times New Roman" w:cs="Times New Roman"/>
        </w:rPr>
      </w:pPr>
      <w:r>
        <w:rPr>
          <w:rFonts w:cs="Times New Roman" w:ascii="Times New Roman" w:hAnsi="Times New Roman"/>
        </w:rPr>
      </w:r>
    </w:p>
    <w:p>
      <w:pPr>
        <w:pStyle w:val="Ttulo3"/>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Conclusiones</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En conclusión, la reforma del Estatuto del Personal Docente de la Udelar constituye un proceso de transformación institucional de gran alcance que aún se encuentra en etapa de consolidación. Si bien el nuevo marco normativo introdujo avances significativos en la formalización de la carrera docente, la evaluación y la reorganización de las funciones universitarias -instituyéndose como un instrumento eficaz para garantizar el efectivo cumplimiento de los derechos laborales y la reducción de las inequidades de género en el ámbito del trabajo-, su implementación efectiva continúa mostrando una brecha persistente entre el diseño de la norma y las condiciones concretas de aplicación en cada servicio universitario.</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El análisis permite sostener que los principales nudos críticos no son meramente administrativos, sino estructurales. La concentración de cargos en los grados iniciales, la elevada proporción de interinatos, el rezago salarial y las restricciones presupuestarias condicionan la posibilidad de traducir la reforma en mejoras materiales sostenidas para el cuerpo docente. En ese marco, la viabilidad del EPD depende no solo de su solidez normativa, sino también de la capacidad institucional para reducir asimetrías entre facultades, fortalecer los dispositivos de implementación y garantizar recursos acordes con las exigencias que la propia reforma plantea.</w:t>
      </w:r>
    </w:p>
    <w:p>
      <w:pPr>
        <w:pStyle w:val="Cuerpodetexto"/>
        <w:spacing w:lineRule="auto" w:line="240"/>
        <w:rPr>
          <w:rFonts w:ascii="Times New Roman" w:hAnsi="Times New Roman" w:cs="Times New Roman"/>
        </w:rPr>
      </w:pPr>
      <w:r>
        <w:rPr>
          <w:rFonts w:cs="Times New Roman" w:ascii="Times New Roman" w:hAnsi="Times New Roman"/>
        </w:rPr>
      </w:r>
    </w:p>
    <w:p>
      <w:pPr>
        <w:pStyle w:val="Ttulo3"/>
        <w:bidi w:val="0"/>
        <w:spacing w:lineRule="auto" w:line="240" w:before="0" w:after="0"/>
        <w:jc w:val="both"/>
        <w:rPr/>
      </w:pPr>
      <w:r>
        <w:rPr>
          <w:rFonts w:ascii="Times New Roman;serif" w:hAnsi="Times New Roman;serif"/>
          <w:b/>
          <w:i w:val="false"/>
          <w:caps w:val="false"/>
          <w:smallCaps w:val="false"/>
          <w:strike w:val="false"/>
          <w:dstrike w:val="false"/>
          <w:color w:val="000000"/>
          <w:sz w:val="24"/>
          <w:u w:val="none"/>
          <w:effect w:val="none"/>
          <w:shd w:fill="auto" w:val="clear"/>
        </w:rPr>
        <w:t>Referencias bibliográficas</w:t>
      </w:r>
    </w:p>
    <w:p>
      <w:pPr>
        <w:pStyle w:val="Cuerpodetexto"/>
        <w:spacing w:lineRule="auto" w:line="240"/>
        <w:rPr>
          <w:rFonts w:ascii="Times New Roman" w:hAnsi="Times New Roman" w:cs="Times New Roman"/>
        </w:rPr>
      </w:pPr>
      <w:r>
        <w:rPr>
          <w:rFonts w:cs="Times New Roman" w:ascii="Times New Roman" w:hAnsi="Times New Roman"/>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Asamblea Grado 1 y 2. (2022). Declaración Asamblea Grado 1 y 2 del 2022. https://adur.org.uy/</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________________________(2023). Declaración Asamblea Grado 1 y 2 del 2023. https://adur.org.uy/</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Asociación de Docentes de la Universidad de la República (ADUR). (2022). Informe de implementación del Estatuto del Personal Docente 2022. https://adur.org.uy/</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___________________________________________________________ (2026). Informe de implementación del Estatuto del Personal Docente 2025. https://adur.org.uy/</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___________________________________________________________ (2026). Informe Grupo ADUR Interior - 2026. https://adur.org.uy/</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Alemany, V., Lagos San Martín, N., Díaz Suazo, P., &amp; Morales Mejías, P. (2023). Educar en diversidad en la formación inicial docente: una revisión sistemática. </w:t>
      </w:r>
      <w:r>
        <w:rPr>
          <w:rFonts w:ascii="Times New Roman;serif" w:hAnsi="Times New Roman;serif"/>
          <w:b w:val="false"/>
          <w:i/>
          <w:caps w:val="false"/>
          <w:smallCaps w:val="false"/>
          <w:strike w:val="false"/>
          <w:dstrike w:val="false"/>
          <w:color w:val="000000"/>
          <w:sz w:val="24"/>
          <w:u w:val="none"/>
          <w:effect w:val="none"/>
          <w:shd w:fill="auto" w:val="clear"/>
        </w:rPr>
        <w:t>Revista de estudios y experiencias en educación</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22</w:t>
      </w:r>
      <w:r>
        <w:rPr>
          <w:rFonts w:ascii="Times New Roman;serif" w:hAnsi="Times New Roman;serif"/>
          <w:b w:val="false"/>
          <w:i w:val="false"/>
          <w:caps w:val="false"/>
          <w:smallCaps w:val="false"/>
          <w:strike w:val="false"/>
          <w:dstrike w:val="false"/>
          <w:color w:val="000000"/>
          <w:sz w:val="24"/>
          <w:u w:val="none"/>
          <w:effect w:val="none"/>
          <w:shd w:fill="auto" w:val="clear"/>
        </w:rPr>
        <w:t>(49), 12-31.</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Arrarte-Arzola, M. C. (2024). La comunidad docente del centro universitario regional del este, Uruguay. Un análisis con perspectiva de género. </w:t>
      </w:r>
      <w:r>
        <w:rPr>
          <w:rFonts w:ascii="Times New Roman;serif" w:hAnsi="Times New Roman;serif"/>
          <w:b w:val="false"/>
          <w:i/>
          <w:caps w:val="false"/>
          <w:smallCaps w:val="false"/>
          <w:strike w:val="false"/>
          <w:dstrike w:val="false"/>
          <w:color w:val="000000"/>
          <w:sz w:val="24"/>
          <w:u w:val="none"/>
          <w:effect w:val="none"/>
          <w:shd w:fill="auto" w:val="clear"/>
        </w:rPr>
        <w:t>MLS Educational Research</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8</w:t>
      </w:r>
      <w:r>
        <w:rPr>
          <w:rFonts w:ascii="Times New Roman;serif" w:hAnsi="Times New Roman;serif"/>
          <w:b w:val="false"/>
          <w:i w:val="false"/>
          <w:caps w:val="false"/>
          <w:smallCaps w:val="false"/>
          <w:strike w:val="false"/>
          <w:dstrike w:val="false"/>
          <w:color w:val="000000"/>
          <w:sz w:val="24"/>
          <w:u w:val="none"/>
          <w:effect w:val="none"/>
          <w:shd w:fill="auto" w:val="clear"/>
        </w:rPr>
        <w:t>(2).</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Atairo, D., &amp; Rovelli, L. I. (2019). Procesos de cambio en las universidades nacionales: Un estudio sobre los diseños institucionales de la Carrera Docente/Académica en Argentina. </w:t>
      </w:r>
      <w:r>
        <w:rPr>
          <w:rFonts w:ascii="Times New Roman;serif" w:hAnsi="Times New Roman;serif"/>
          <w:b w:val="false"/>
          <w:i/>
          <w:caps w:val="false"/>
          <w:smallCaps w:val="false"/>
          <w:strike w:val="false"/>
          <w:dstrike w:val="false"/>
          <w:color w:val="000000"/>
          <w:sz w:val="24"/>
          <w:u w:val="none"/>
          <w:effect w:val="none"/>
          <w:shd w:fill="auto" w:val="clear"/>
        </w:rPr>
        <w:t>Trayectorias universitarias</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5</w:t>
      </w:r>
      <w:r>
        <w:rPr>
          <w:rFonts w:ascii="Times New Roman;serif" w:hAnsi="Times New Roman;serif"/>
          <w:b w:val="false"/>
          <w:i w:val="false"/>
          <w:caps w:val="false"/>
          <w:smallCaps w:val="false"/>
          <w:strike w:val="false"/>
          <w:dstrike w:val="false"/>
          <w:color w:val="000000"/>
          <w:sz w:val="24"/>
          <w:u w:val="none"/>
          <w:effect w:val="none"/>
          <w:shd w:fill="auto" w:val="clear"/>
        </w:rPr>
        <w:t>(8).</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Borgno, L. (2023). Mujeres, Anatomía y el Techo de Cristal: Discurso vs Realidad. </w:t>
      </w:r>
      <w:r>
        <w:rPr>
          <w:rFonts w:ascii="Times New Roman;serif" w:hAnsi="Times New Roman;serif"/>
          <w:b w:val="false"/>
          <w:i/>
          <w:caps w:val="false"/>
          <w:smallCaps w:val="false"/>
          <w:strike w:val="false"/>
          <w:dstrike w:val="false"/>
          <w:color w:val="000000"/>
          <w:sz w:val="24"/>
          <w:u w:val="none"/>
          <w:effect w:val="none"/>
          <w:shd w:fill="auto" w:val="clear"/>
        </w:rPr>
        <w:t>Revista Argentina de Anatomía Clínica</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15</w:t>
      </w:r>
      <w:r>
        <w:rPr>
          <w:rFonts w:ascii="Times New Roman;serif" w:hAnsi="Times New Roman;serif"/>
          <w:b w:val="false"/>
          <w:i w:val="false"/>
          <w:caps w:val="false"/>
          <w:smallCaps w:val="false"/>
          <w:strike w:val="false"/>
          <w:dstrike w:val="false"/>
          <w:color w:val="000000"/>
          <w:sz w:val="24"/>
          <w:u w:val="none"/>
          <w:effect w:val="none"/>
          <w:shd w:fill="auto" w:val="clear"/>
        </w:rPr>
        <w:t>(1), 9-11.</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Gürbüz, M. Ç., Aydın, B., &amp; Gürbüz, T. (2022). Research on professional Turkish teacher law based on teachers' rights and freedoms. </w:t>
      </w:r>
      <w:r>
        <w:rPr>
          <w:rFonts w:ascii="Times New Roman;serif" w:hAnsi="Times New Roman;serif"/>
          <w:b w:val="false"/>
          <w:i/>
          <w:caps w:val="false"/>
          <w:smallCaps w:val="false"/>
          <w:strike w:val="false"/>
          <w:dstrike w:val="false"/>
          <w:color w:val="000000"/>
          <w:sz w:val="24"/>
          <w:u w:val="none"/>
          <w:effect w:val="none"/>
          <w:shd w:fill="auto" w:val="clear"/>
        </w:rPr>
        <w:t>International Journal of Modern Education Studies</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6</w:t>
      </w:r>
      <w:r>
        <w:rPr>
          <w:rFonts w:ascii="Times New Roman;serif" w:hAnsi="Times New Roman;serif"/>
          <w:b w:val="false"/>
          <w:i w:val="false"/>
          <w:caps w:val="false"/>
          <w:smallCaps w:val="false"/>
          <w:strike w:val="false"/>
          <w:dstrike w:val="false"/>
          <w:color w:val="000000"/>
          <w:sz w:val="24"/>
          <w:u w:val="none"/>
          <w:effect w:val="none"/>
          <w:shd w:fill="auto" w:val="clear"/>
        </w:rPr>
        <w:t>(2), 319-345.</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Castro, V. (2010). Formación de maestros y maestras: rostros del pasado que permanecen y reconfiguran la profesión docente. </w:t>
      </w:r>
      <w:r>
        <w:rPr>
          <w:rFonts w:ascii="Times New Roman;serif" w:hAnsi="Times New Roman;serif"/>
          <w:b w:val="false"/>
          <w:i/>
          <w:caps w:val="false"/>
          <w:smallCaps w:val="false"/>
          <w:strike w:val="false"/>
          <w:dstrike w:val="false"/>
          <w:color w:val="000000"/>
          <w:sz w:val="24"/>
          <w:u w:val="none"/>
          <w:effect w:val="none"/>
          <w:shd w:fill="auto" w:val="clear"/>
        </w:rPr>
        <w:t>Revista Latinoamericana de Ciencias sociales, niñez y juventud</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8</w:t>
      </w:r>
      <w:r>
        <w:rPr>
          <w:rFonts w:ascii="Times New Roman;serif" w:hAnsi="Times New Roman;serif"/>
          <w:b w:val="false"/>
          <w:i w:val="false"/>
          <w:caps w:val="false"/>
          <w:smallCaps w:val="false"/>
          <w:strike w:val="false"/>
          <w:dstrike w:val="false"/>
          <w:color w:val="000000"/>
          <w:sz w:val="24"/>
          <w:u w:val="none"/>
          <w:effect w:val="none"/>
          <w:shd w:fill="auto" w:val="clear"/>
        </w:rPr>
        <w:t>(1), 557-576.</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Cellard, A.(2018).</w:t>
      </w:r>
      <w:r>
        <w:rPr>
          <w:caps w:val="false"/>
          <w:smallCaps w:val="false"/>
          <w:strike w:val="false"/>
          <w:dstrike w:val="false"/>
          <w:color w:val="000000"/>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A análise documental</w:t>
      </w:r>
      <w:r>
        <w:rPr>
          <w:rFonts w:ascii="Times New Roman;serif" w:hAnsi="Times New Roman;serif"/>
          <w:b w:val="false"/>
          <w:i w:val="false"/>
          <w:caps w:val="false"/>
          <w:smallCaps w:val="false"/>
          <w:strike w:val="false"/>
          <w:dstrike w:val="false"/>
          <w:color w:val="000000"/>
          <w:sz w:val="24"/>
          <w:u w:val="none"/>
          <w:effect w:val="none"/>
          <w:shd w:fill="auto" w:val="clear"/>
        </w:rPr>
        <w:t>. POUPART, J. et al. A pesquisa qualitativa: enfoques epistemológicos e metodológicos. Petrópolis: Vozes, 2008. p. 295-316.</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Correa, A., &amp; Moreira, L. (2024). Diseño de curso en la Universidad de la República: herramienta para mejorar la participación de la gobernanza universitaria. In </w:t>
      </w:r>
      <w:r>
        <w:rPr>
          <w:rFonts w:ascii="Times New Roman;serif" w:hAnsi="Times New Roman;serif"/>
          <w:b w:val="false"/>
          <w:i/>
          <w:caps w:val="false"/>
          <w:smallCaps w:val="false"/>
          <w:strike w:val="false"/>
          <w:dstrike w:val="false"/>
          <w:color w:val="000000"/>
          <w:sz w:val="24"/>
          <w:u w:val="none"/>
          <w:effect w:val="none"/>
          <w:shd w:fill="auto" w:val="clear"/>
        </w:rPr>
        <w:t>IX Encuentro Nacional y VI Latinoamericano: La Universidad como Objeto de Investigación (Ensenada, 13 al 15 de noviembre de 2024)</w:t>
      </w:r>
      <w:r>
        <w:rPr>
          <w:rFonts w:ascii="Times New Roman;serif" w:hAnsi="Times New Roman;serif"/>
          <w:b w:val="false"/>
          <w:i w:val="false"/>
          <w:caps w:val="false"/>
          <w:smallCaps w:val="false"/>
          <w:strike w:val="false"/>
          <w:dstrike w:val="false"/>
          <w:color w:val="000000"/>
          <w:sz w:val="24"/>
          <w:u w:val="none"/>
          <w:effect w:val="none"/>
          <w:shd w:fill="auto" w:val="clear"/>
        </w:rPr>
        <w:t>.</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Fair, H. (2024). Herramientas teóricas y estrategias metodológicas para un análisis político-crítico del discurso de la prensa como actores de poder. </w:t>
      </w:r>
      <w:r>
        <w:rPr>
          <w:rFonts w:ascii="Times New Roman;serif" w:hAnsi="Times New Roman;serif"/>
          <w:b w:val="false"/>
          <w:i/>
          <w:caps w:val="false"/>
          <w:smallCaps w:val="false"/>
          <w:strike w:val="false"/>
          <w:dstrike w:val="false"/>
          <w:color w:val="000000"/>
          <w:sz w:val="24"/>
          <w:u w:val="none"/>
          <w:effect w:val="none"/>
          <w:shd w:fill="auto" w:val="clear"/>
        </w:rPr>
        <w:t>Intersecciones en comunicación</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1</w:t>
      </w:r>
      <w:r>
        <w:rPr>
          <w:rFonts w:ascii="Times New Roman;serif" w:hAnsi="Times New Roman;serif"/>
          <w:b w:val="false"/>
          <w:i w:val="false"/>
          <w:caps w:val="false"/>
          <w:smallCaps w:val="false"/>
          <w:strike w:val="false"/>
          <w:dstrike w:val="false"/>
          <w:color w:val="000000"/>
          <w:sz w:val="24"/>
          <w:u w:val="none"/>
          <w:effect w:val="none"/>
          <w:shd w:fill="auto" w:val="clear"/>
        </w:rPr>
        <w:t>(18), 2.</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González Cobaleda, E. (2019). La irrelevancia del doctorado para los sustitutos interinos a efectos retributivos:¿ la «precariedad» llama a la «precariedad»? Comentario a la Sentencia del Tribunal Supremo 854/2018, de 20 de septiembre. </w:t>
      </w:r>
      <w:r>
        <w:rPr>
          <w:rFonts w:ascii="Times New Roman;serif" w:hAnsi="Times New Roman;serif"/>
          <w:b w:val="false"/>
          <w:i/>
          <w:caps w:val="false"/>
          <w:smallCaps w:val="false"/>
          <w:strike w:val="false"/>
          <w:dstrike w:val="false"/>
          <w:color w:val="000000"/>
          <w:sz w:val="24"/>
          <w:u w:val="none"/>
          <w:effect w:val="none"/>
          <w:shd w:fill="auto" w:val="clear"/>
        </w:rPr>
        <w:t>Revista de Trabajo y Seguridad Social. CEF</w:t>
      </w:r>
      <w:r>
        <w:rPr>
          <w:rFonts w:ascii="Times New Roman;serif" w:hAnsi="Times New Roman;serif"/>
          <w:b w:val="false"/>
          <w:i w:val="false"/>
          <w:caps w:val="false"/>
          <w:smallCaps w:val="false"/>
          <w:strike w:val="false"/>
          <w:dstrike w:val="false"/>
          <w:color w:val="000000"/>
          <w:sz w:val="24"/>
          <w:u w:val="none"/>
          <w:effect w:val="none"/>
          <w:shd w:fill="auto" w:val="clear"/>
        </w:rPr>
        <w:t>, 154-159.</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Goñi Mazzitelli, M., Reyes, C., Reyes, N., Lara, C., Basilio, A., Ruegueira, V., &amp; Salvador, S. (2026). Medidas para integrar los cuidados en las Universidades: Relevamiento en las Universidades que integran el comité académico de género de la Asociación de Universidades Grupo Montevideo (AUGM).</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Guidobono, N., Mazzitelli, M. G., Rodríguez, N. C., Espasandín, M. V., &amp; Regueira, V. (2025). Un tema incómodo La difícil tarea de reconocer las discriminaciones y el acoso sexual en la Universidad de la República.</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Gulla, M., Criado, L., &amp; Cabrera, C. (2016). Reflexiones sobre la carrera docente y la organización de los servicios docentes en la Universidad de la República. </w:t>
      </w:r>
      <w:r>
        <w:rPr>
          <w:rFonts w:ascii="Times New Roman;serif" w:hAnsi="Times New Roman;serif"/>
          <w:b w:val="false"/>
          <w:i/>
          <w:caps w:val="false"/>
          <w:smallCaps w:val="false"/>
          <w:strike w:val="false"/>
          <w:dstrike w:val="false"/>
          <w:color w:val="000000"/>
          <w:sz w:val="24"/>
          <w:u w:val="none"/>
          <w:effect w:val="none"/>
          <w:shd w:fill="auto" w:val="clear"/>
        </w:rPr>
        <w:t>InterCambios: Dilemas y Transiciones de la Educación Superior</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3</w:t>
      </w:r>
      <w:r>
        <w:rPr>
          <w:rFonts w:ascii="Times New Roman;serif" w:hAnsi="Times New Roman;serif"/>
          <w:b w:val="false"/>
          <w:i w:val="false"/>
          <w:caps w:val="false"/>
          <w:smallCaps w:val="false"/>
          <w:strike w:val="false"/>
          <w:dstrike w:val="false"/>
          <w:color w:val="000000"/>
          <w:sz w:val="24"/>
          <w:u w:val="none"/>
          <w:effect w:val="none"/>
          <w:shd w:fill="auto" w:val="clear"/>
        </w:rPr>
        <w:t>(2), 47-55.</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Heinzen, M., &amp; Bortagaray, I. (2023). Una mirada al interior de la toma de decisiones universitarias: intereses y actores en torno a la política de expansión territorial de la UdelaR entre 2007 y 2014. </w:t>
      </w:r>
      <w:r>
        <w:rPr>
          <w:rFonts w:ascii="Times New Roman;serif" w:hAnsi="Times New Roman;serif"/>
          <w:b w:val="false"/>
          <w:i/>
          <w:caps w:val="false"/>
          <w:smallCaps w:val="false"/>
          <w:strike w:val="false"/>
          <w:dstrike w:val="false"/>
          <w:color w:val="000000"/>
          <w:sz w:val="24"/>
          <w:u w:val="none"/>
          <w:effect w:val="none"/>
          <w:shd w:fill="auto" w:val="clear"/>
        </w:rPr>
        <w:t>Pro-Posições</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34</w:t>
      </w:r>
      <w:r>
        <w:rPr>
          <w:rFonts w:ascii="Times New Roman;serif" w:hAnsi="Times New Roman;serif"/>
          <w:b w:val="false"/>
          <w:i w:val="false"/>
          <w:caps w:val="false"/>
          <w:smallCaps w:val="false"/>
          <w:strike w:val="false"/>
          <w:dstrike w:val="false"/>
          <w:color w:val="000000"/>
          <w:sz w:val="24"/>
          <w:u w:val="none"/>
          <w:effect w:val="none"/>
          <w:shd w:fill="auto" w:val="clear"/>
        </w:rPr>
        <w:t>, e20200131ES.</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Ji, Y. (2024). A methodological exploration of document analysis as a qualitative research method. </w:t>
      </w:r>
      <w:r>
        <w:rPr>
          <w:rFonts w:ascii="Times New Roman;serif" w:hAnsi="Times New Roman;serif"/>
          <w:b w:val="false"/>
          <w:i/>
          <w:caps w:val="false"/>
          <w:smallCaps w:val="false"/>
          <w:strike w:val="false"/>
          <w:dstrike w:val="false"/>
          <w:color w:val="000000"/>
          <w:sz w:val="24"/>
          <w:u w:val="none"/>
          <w:effect w:val="none"/>
          <w:shd w:fill="auto" w:val="clear"/>
        </w:rPr>
        <w:t>Korean Association for Qualitative Inquiry</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10</w:t>
      </w:r>
      <w:r>
        <w:rPr>
          <w:rFonts w:ascii="Times New Roman;serif" w:hAnsi="Times New Roman;serif"/>
          <w:b w:val="false"/>
          <w:i w:val="false"/>
          <w:caps w:val="false"/>
          <w:smallCaps w:val="false"/>
          <w:strike w:val="false"/>
          <w:dstrike w:val="false"/>
          <w:color w:val="000000"/>
          <w:sz w:val="24"/>
          <w:u w:val="none"/>
          <w:effect w:val="none"/>
          <w:shd w:fill="auto" w:val="clear"/>
        </w:rPr>
        <w:t>(3), 25-56.</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Kaplún, G., Markarian, V., Sutz, J., Romano, A., Méndez, M., &amp; Garibaldi, M. E. J. (2017). El Plan Maggiolo: la reforma que no fue y su vigencia. </w:t>
      </w:r>
      <w:r>
        <w:rPr>
          <w:rFonts w:ascii="Times New Roman;serif" w:hAnsi="Times New Roman;serif"/>
          <w:b w:val="false"/>
          <w:i/>
          <w:caps w:val="false"/>
          <w:smallCaps w:val="false"/>
          <w:strike w:val="false"/>
          <w:dstrike w:val="false"/>
          <w:color w:val="000000"/>
          <w:sz w:val="24"/>
          <w:u w:val="none"/>
          <w:effect w:val="none"/>
          <w:shd w:fill="auto" w:val="clear"/>
        </w:rPr>
        <w:t>Integración y Conocimiento: Revista del Núcleo de Estudios e Investigaciones en Educación Superior de Mercosur</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6</w:t>
      </w:r>
      <w:r>
        <w:rPr>
          <w:rFonts w:ascii="Times New Roman;serif" w:hAnsi="Times New Roman;serif"/>
          <w:b w:val="false"/>
          <w:i w:val="false"/>
          <w:caps w:val="false"/>
          <w:smallCaps w:val="false"/>
          <w:strike w:val="false"/>
          <w:dstrike w:val="false"/>
          <w:color w:val="000000"/>
          <w:sz w:val="24"/>
          <w:u w:val="none"/>
          <w:effect w:val="none"/>
          <w:shd w:fill="auto" w:val="clear"/>
        </w:rPr>
        <w:t>(2), 87-103.</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La Diaria. (26 de agosto de 2022). </w:t>
      </w:r>
      <w:r>
        <w:rPr>
          <w:rFonts w:ascii="Times New Roman;serif" w:hAnsi="Times New Roman;serif"/>
          <w:b w:val="false"/>
          <w:i/>
          <w:caps w:val="false"/>
          <w:smallCaps w:val="false"/>
          <w:strike w:val="false"/>
          <w:dstrike w:val="false"/>
          <w:color w:val="000000"/>
          <w:sz w:val="24"/>
          <w:u w:val="none"/>
          <w:effect w:val="none"/>
          <w:shd w:fill="auto" w:val="clear"/>
        </w:rPr>
        <w:t>Por el derecho a la educación, desde la dignidad del trabajo docente</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La Diaria. </w:t>
      </w:r>
      <w:hyperlink r:id="rId4">
        <w:r>
          <w:rPr>
            <w:rStyle w:val="EnlacedeInternet"/>
            <w:rFonts w:ascii="Times New Roman;serif" w:hAnsi="Times New Roman;serif"/>
            <w:b w:val="false"/>
            <w:i w:val="false"/>
            <w:caps w:val="false"/>
            <w:smallCaps w:val="false"/>
            <w:strike w:val="false"/>
            <w:dstrike w:val="false"/>
            <w:color w:val="1155CC"/>
            <w:sz w:val="24"/>
            <w:u w:val="single"/>
            <w:effect w:val="none"/>
            <w:shd w:fill="auto" w:val="clear"/>
          </w:rPr>
          <w:t>https://ladiaria.com.uy/usuarios/entrar/?article=96472</w:t>
        </w:r>
      </w:hyperlink>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Luvezute Kripka, R. M., Scheller, M., &amp; de Lara Bonotto, D. (2015). Pesquisa documental na pesquisa qualitativa: conceitos e caracterização. </w:t>
      </w:r>
      <w:r>
        <w:rPr>
          <w:rFonts w:ascii="Times New Roman;serif" w:hAnsi="Times New Roman;serif"/>
          <w:b w:val="false"/>
          <w:i/>
          <w:caps w:val="false"/>
          <w:smallCaps w:val="false"/>
          <w:strike w:val="false"/>
          <w:dstrike w:val="false"/>
          <w:color w:val="000000"/>
          <w:sz w:val="24"/>
          <w:u w:val="none"/>
          <w:effect w:val="none"/>
          <w:shd w:fill="auto" w:val="clear"/>
        </w:rPr>
        <w:t>Revista de Investigaciones de la UNAD</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14</w:t>
      </w:r>
      <w:r>
        <w:rPr>
          <w:rFonts w:ascii="Times New Roman;serif" w:hAnsi="Times New Roman;serif"/>
          <w:b w:val="false"/>
          <w:i w:val="false"/>
          <w:caps w:val="false"/>
          <w:smallCaps w:val="false"/>
          <w:strike w:val="false"/>
          <w:dstrike w:val="false"/>
          <w:color w:val="000000"/>
          <w:sz w:val="24"/>
          <w:u w:val="none"/>
          <w:effect w:val="none"/>
          <w:shd w:fill="auto" w:val="clear"/>
        </w:rPr>
        <w:t>(2).</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Mintzberg, H. (1980). Structure in 5's: A Synthesis of the Research on Organization Design. </w:t>
      </w:r>
      <w:r>
        <w:rPr>
          <w:rFonts w:ascii="Times New Roman;serif" w:hAnsi="Times New Roman;serif"/>
          <w:b w:val="false"/>
          <w:i/>
          <w:caps w:val="false"/>
          <w:smallCaps w:val="false"/>
          <w:strike w:val="false"/>
          <w:dstrike w:val="false"/>
          <w:color w:val="000000"/>
          <w:sz w:val="24"/>
          <w:u w:val="none"/>
          <w:effect w:val="none"/>
          <w:shd w:fill="auto" w:val="clear"/>
        </w:rPr>
        <w:t>Management science</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26</w:t>
      </w:r>
      <w:r>
        <w:rPr>
          <w:rFonts w:ascii="Times New Roman;serif" w:hAnsi="Times New Roman;serif"/>
          <w:b w:val="false"/>
          <w:i w:val="false"/>
          <w:caps w:val="false"/>
          <w:smallCaps w:val="false"/>
          <w:strike w:val="false"/>
          <w:dstrike w:val="false"/>
          <w:color w:val="000000"/>
          <w:sz w:val="24"/>
          <w:u w:val="none"/>
          <w:effect w:val="none"/>
          <w:shd w:fill="auto" w:val="clear"/>
        </w:rPr>
        <w:t>(3), 322-341.</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Palma Rojas, K., &amp; Mesén Arias, V. . (2025). La reconceptualización del quehacer pedagógico de la persona docente de la Educación Primaria desde la Carrera Educación General Básica I y II Ciclos UNED . </w:t>
      </w:r>
      <w:r>
        <w:rPr>
          <w:rFonts w:ascii="Times New Roman;serif" w:hAnsi="Times New Roman;serif"/>
          <w:b w:val="false"/>
          <w:i/>
          <w:caps w:val="false"/>
          <w:smallCaps w:val="false"/>
          <w:strike w:val="false"/>
          <w:dstrike w:val="false"/>
          <w:color w:val="000000"/>
          <w:sz w:val="24"/>
          <w:u w:val="none"/>
          <w:effect w:val="none"/>
          <w:shd w:fill="auto" w:val="clear"/>
        </w:rPr>
        <w:t>Revista Educación</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49</w:t>
      </w:r>
      <w:r>
        <w:rPr>
          <w:rFonts w:ascii="Times New Roman;serif" w:hAnsi="Times New Roman;serif"/>
          <w:b w:val="false"/>
          <w:i w:val="false"/>
          <w:caps w:val="false"/>
          <w:smallCaps w:val="false"/>
          <w:strike w:val="false"/>
          <w:dstrike w:val="false"/>
          <w:color w:val="000000"/>
          <w:sz w:val="24"/>
          <w:u w:val="none"/>
          <w:effect w:val="none"/>
          <w:shd w:fill="auto" w:val="clear"/>
        </w:rPr>
        <w:t>(2).</w:t>
      </w:r>
      <w:hyperlink r:id="rId5">
        <w:r>
          <w:rPr>
            <w:rStyle w:val="EnlacedeInternet"/>
            <w:caps w:val="false"/>
            <w:smallCaps w:val="false"/>
            <w:strike w:val="false"/>
            <w:dstrike w:val="false"/>
            <w:color w:val="000000"/>
            <w:u w:val="none"/>
            <w:effect w:val="none"/>
            <w:shd w:fill="auto" w:val="clear"/>
          </w:rPr>
          <w:t xml:space="preserve"> </w:t>
        </w:r>
        <w:r>
          <w:rPr>
            <w:rStyle w:val="EnlacedeInternet"/>
            <w:rFonts w:ascii="Times New Roman;serif" w:hAnsi="Times New Roman;serif"/>
            <w:b w:val="false"/>
            <w:i w:val="false"/>
            <w:caps w:val="false"/>
            <w:smallCaps w:val="false"/>
            <w:strike w:val="false"/>
            <w:dstrike w:val="false"/>
            <w:color w:val="1155CC"/>
            <w:sz w:val="24"/>
            <w:u w:val="single"/>
            <w:effect w:val="none"/>
            <w:shd w:fill="auto" w:val="clear"/>
          </w:rPr>
          <w:t>https://doi.org/10.15517/revedu.v49i2.567</w:t>
        </w:r>
      </w:hyperlink>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Rojas, A. A. B. (2025). La Transformación educativa en el nivel superior. </w:t>
      </w:r>
      <w:r>
        <w:rPr>
          <w:rFonts w:ascii="Times New Roman;serif" w:hAnsi="Times New Roman;serif"/>
          <w:b w:val="false"/>
          <w:i/>
          <w:caps w:val="false"/>
          <w:smallCaps w:val="false"/>
          <w:strike w:val="false"/>
          <w:dstrike w:val="false"/>
          <w:color w:val="000000"/>
          <w:sz w:val="24"/>
          <w:u w:val="none"/>
          <w:effect w:val="none"/>
          <w:shd w:fill="auto" w:val="clear"/>
        </w:rPr>
        <w:t>Revista de Educación Superior del Sur Global-RESUR</w:t>
      </w:r>
      <w:r>
        <w:rPr>
          <w:rFonts w:ascii="Times New Roman;serif" w:hAnsi="Times New Roman;serif"/>
          <w:b w:val="false"/>
          <w:i w:val="false"/>
          <w:caps w:val="false"/>
          <w:smallCaps w:val="false"/>
          <w:strike w:val="false"/>
          <w:dstrike w:val="false"/>
          <w:color w:val="000000"/>
          <w:sz w:val="24"/>
          <w:u w:val="none"/>
          <w:effect w:val="none"/>
          <w:shd w:fill="auto" w:val="clear"/>
        </w:rPr>
        <w:t>, (19-20), e2025n19-20a2.</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Obeide, S. (1998). Reorganización académica de la Universidad Nacional de Córdoba: elementos conceptuales para el debate. </w:t>
      </w:r>
      <w:r>
        <w:rPr>
          <w:rFonts w:ascii="Times New Roman;serif" w:hAnsi="Times New Roman;serif"/>
          <w:b w:val="false"/>
          <w:i/>
          <w:caps w:val="false"/>
          <w:smallCaps w:val="false"/>
          <w:strike w:val="false"/>
          <w:dstrike w:val="false"/>
          <w:color w:val="000000"/>
          <w:sz w:val="24"/>
          <w:u w:val="none"/>
          <w:effect w:val="none"/>
          <w:shd w:fill="auto" w:val="clear"/>
        </w:rPr>
        <w:t>Revista Administración Pública &amp; Sociedad</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11</w:t>
      </w:r>
      <w:r>
        <w:rPr>
          <w:rFonts w:ascii="Times New Roman;serif" w:hAnsi="Times New Roman;serif"/>
          <w:b w:val="false"/>
          <w:i w:val="false"/>
          <w:caps w:val="false"/>
          <w:smallCaps w:val="false"/>
          <w:strike w:val="false"/>
          <w:dstrike w:val="false"/>
          <w:color w:val="000000"/>
          <w:sz w:val="24"/>
          <w:u w:val="none"/>
          <w:effect w:val="none"/>
          <w:shd w:fill="auto" w:val="clear"/>
        </w:rPr>
        <w:t>.</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Passarini, J., &amp; Santiviago, C. (2020). La Universidad de la República a 100 años de la reforma de Córdoba. </w:t>
      </w:r>
      <w:r>
        <w:rPr>
          <w:rFonts w:ascii="Times New Roman;serif" w:hAnsi="Times New Roman;serif"/>
          <w:b w:val="false"/>
          <w:i/>
          <w:caps w:val="false"/>
          <w:smallCaps w:val="false"/>
          <w:strike w:val="false"/>
          <w:dstrike w:val="false"/>
          <w:color w:val="000000"/>
          <w:sz w:val="24"/>
          <w:u w:val="none"/>
          <w:effect w:val="none"/>
          <w:shd w:fill="auto" w:val="clear"/>
        </w:rPr>
        <w:t>Estrategia y Gestión Universitaria</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8</w:t>
      </w:r>
      <w:r>
        <w:rPr>
          <w:rFonts w:ascii="Times New Roman;serif" w:hAnsi="Times New Roman;serif"/>
          <w:b w:val="false"/>
          <w:i w:val="false"/>
          <w:caps w:val="false"/>
          <w:smallCaps w:val="false"/>
          <w:strike w:val="false"/>
          <w:dstrike w:val="false"/>
          <w:color w:val="000000"/>
          <w:sz w:val="24"/>
          <w:u w:val="none"/>
          <w:effect w:val="none"/>
          <w:shd w:fill="auto" w:val="clear"/>
        </w:rPr>
        <w:t>, 132-148.</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Prati, M. D., &amp; Varela, S. (2025). Actores, instituciones y políticas. Analizando el sistema universitario argentino a través del caso de la UNLP (2015-2024).</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Sa-Silva, L. R. C. D., Damaceno, A. D., Martins, M. D. C. R., Sobral, K. M., &amp; Farias, I. M. S. D. (2009, October). Pesquisa documental: alternativa investigativa na formação docente. In </w:t>
      </w:r>
      <w:r>
        <w:rPr>
          <w:rFonts w:ascii="Times New Roman;serif" w:hAnsi="Times New Roman;serif"/>
          <w:b w:val="false"/>
          <w:i/>
          <w:caps w:val="false"/>
          <w:smallCaps w:val="false"/>
          <w:strike w:val="false"/>
          <w:dstrike w:val="false"/>
          <w:color w:val="000000"/>
          <w:sz w:val="24"/>
          <w:u w:val="none"/>
          <w:effect w:val="none"/>
          <w:shd w:fill="auto" w:val="clear"/>
        </w:rPr>
        <w:t>Congresso Nacional de Educação</w:t>
      </w:r>
      <w:r>
        <w:rPr>
          <w:caps w:val="false"/>
          <w:smallCaps w:val="false"/>
          <w:strike w:val="false"/>
          <w:dstrike w:val="false"/>
          <w:color w:val="000000"/>
          <w:u w:val="none"/>
          <w:effect w:val="none"/>
          <w:shd w:fill="auto" w:val="clear"/>
        </w:rPr>
        <w:t xml:space="preserve"> </w:t>
      </w:r>
      <w:r>
        <w:rPr>
          <w:rFonts w:ascii="Times New Roman;serif" w:hAnsi="Times New Roman;serif"/>
          <w:b w:val="false"/>
          <w:i w:val="false"/>
          <w:caps w:val="false"/>
          <w:smallCaps w:val="false"/>
          <w:strike w:val="false"/>
          <w:dstrike w:val="false"/>
          <w:color w:val="000000"/>
          <w:sz w:val="24"/>
          <w:u w:val="none"/>
          <w:effect w:val="none"/>
          <w:shd w:fill="auto" w:val="clear"/>
        </w:rPr>
        <w:t>(Vol. 9, pp. 4554-4566).</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Sayago, S. (2019). La doble dimensión del Análisis del Discurso: perspectiva teórica y herramienta metodológica. </w:t>
      </w:r>
      <w:r>
        <w:rPr>
          <w:rFonts w:ascii="Times New Roman;serif" w:hAnsi="Times New Roman;serif"/>
          <w:b w:val="false"/>
          <w:i/>
          <w:caps w:val="false"/>
          <w:smallCaps w:val="false"/>
          <w:strike w:val="false"/>
          <w:dstrike w:val="false"/>
          <w:color w:val="000000"/>
          <w:sz w:val="24"/>
          <w:u w:val="none"/>
          <w:effect w:val="none"/>
          <w:shd w:fill="auto" w:val="clear"/>
        </w:rPr>
        <w:t>Cultura y representaciones sociales</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14</w:t>
      </w:r>
      <w:r>
        <w:rPr>
          <w:rFonts w:ascii="Times New Roman;serif" w:hAnsi="Times New Roman;serif"/>
          <w:b w:val="false"/>
          <w:i w:val="false"/>
          <w:caps w:val="false"/>
          <w:smallCaps w:val="false"/>
          <w:strike w:val="false"/>
          <w:dstrike w:val="false"/>
          <w:color w:val="000000"/>
          <w:sz w:val="24"/>
          <w:u w:val="none"/>
          <w:effect w:val="none"/>
          <w:shd w:fill="auto" w:val="clear"/>
        </w:rPr>
        <w:t>(27), 78-107.</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Universidad de la República. Consejo Directivo Central. (2021). Repartido de trabajo del CDC de 2021.https://www.expe.edu.uy/expe/resoluci.nsf/index.htm?openpage</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________________________________________________ (2025). Repartido de trabajo del CDC de 2021.</w:t>
      </w:r>
      <w:hyperlink r:id="rId6">
        <w:r>
          <w:rPr>
            <w:rStyle w:val="EnlacedeInternet"/>
            <w:rFonts w:ascii="Times New Roman;serif" w:hAnsi="Times New Roman;serif"/>
            <w:b w:val="false"/>
            <w:i w:val="false"/>
            <w:caps w:val="false"/>
            <w:smallCaps w:val="false"/>
            <w:strike w:val="false"/>
            <w:dstrike w:val="false"/>
            <w:color w:val="1155CC"/>
            <w:sz w:val="24"/>
            <w:u w:val="single"/>
            <w:effect w:val="none"/>
            <w:shd w:fill="auto" w:val="clear"/>
          </w:rPr>
          <w:t>https://www.expe.edu.uy/expe/resoluci.nsf/index.htm?openpage</w:t>
        </w:r>
      </w:hyperlink>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________________________________________________ (2026). Repartido de trabajo del CDC de 2021.</w:t>
      </w:r>
      <w:hyperlink r:id="rId7">
        <w:r>
          <w:rPr>
            <w:rStyle w:val="EnlacedeInternet"/>
            <w:rFonts w:ascii="Times New Roman;serif" w:hAnsi="Times New Roman;serif"/>
            <w:b w:val="false"/>
            <w:i w:val="false"/>
            <w:caps w:val="false"/>
            <w:smallCaps w:val="false"/>
            <w:strike w:val="false"/>
            <w:dstrike w:val="false"/>
            <w:color w:val="1155CC"/>
            <w:sz w:val="24"/>
            <w:u w:val="single"/>
            <w:effect w:val="none"/>
            <w:shd w:fill="auto" w:val="clear"/>
          </w:rPr>
          <w:t>https://www.expe.edu.uy/expe/resoluci.nsf/index.htm?openpage</w:t>
        </w:r>
      </w:hyperlink>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Wagner, G., Campos, M., Machin, M., Cerchiari, E., Mazzola, G., Rodríguez, G., &amp; Boudrandi, S. (2025). Perspectiva de género en las especialidades en Uruguay:¿ es el género un condicionante para elegir cirugía general?. </w:t>
      </w:r>
      <w:r>
        <w:rPr>
          <w:rFonts w:ascii="Times New Roman;serif" w:hAnsi="Times New Roman;serif"/>
          <w:b w:val="false"/>
          <w:i/>
          <w:caps w:val="false"/>
          <w:smallCaps w:val="false"/>
          <w:strike w:val="false"/>
          <w:dstrike w:val="false"/>
          <w:color w:val="000000"/>
          <w:sz w:val="24"/>
          <w:u w:val="none"/>
          <w:effect w:val="none"/>
          <w:shd w:fill="auto" w:val="clear"/>
        </w:rPr>
        <w:t>Revista Cirugía del Uruguay</w:t>
      </w:r>
      <w:r>
        <w:rPr>
          <w:rFonts w:ascii="Times New Roman;serif" w:hAnsi="Times New Roman;serif"/>
          <w:b w:val="false"/>
          <w:i w:val="false"/>
          <w:caps w:val="false"/>
          <w:smallCaps w:val="false"/>
          <w:strike w:val="false"/>
          <w:dstrike w:val="false"/>
          <w:color w:val="000000"/>
          <w:sz w:val="24"/>
          <w:u w:val="none"/>
          <w:effect w:val="none"/>
          <w:shd w:fill="auto" w:val="clear"/>
        </w:rPr>
        <w:t xml:space="preserve">, </w:t>
      </w:r>
      <w:r>
        <w:rPr>
          <w:rFonts w:ascii="Times New Roman;serif" w:hAnsi="Times New Roman;serif"/>
          <w:b w:val="false"/>
          <w:i/>
          <w:caps w:val="false"/>
          <w:smallCaps w:val="false"/>
          <w:strike w:val="false"/>
          <w:dstrike w:val="false"/>
          <w:color w:val="000000"/>
          <w:sz w:val="24"/>
          <w:u w:val="none"/>
          <w:effect w:val="none"/>
          <w:shd w:fill="auto" w:val="clear"/>
        </w:rPr>
        <w:t>9</w:t>
      </w:r>
      <w:r>
        <w:rPr>
          <w:rFonts w:ascii="Times New Roman;serif" w:hAnsi="Times New Roman;serif"/>
          <w:b w:val="false"/>
          <w:i w:val="false"/>
          <w:caps w:val="false"/>
          <w:smallCaps w:val="false"/>
          <w:strike w:val="false"/>
          <w:dstrike w:val="false"/>
          <w:color w:val="000000"/>
          <w:sz w:val="24"/>
          <w:u w:val="none"/>
          <w:effect w:val="none"/>
          <w:shd w:fill="auto" w:val="clear"/>
        </w:rPr>
        <w:t>(1).</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Wutich, A. (2018). Medical Anthropology Methods: Discourse Analysis. </w:t>
      </w:r>
      <w:r>
        <w:rPr>
          <w:rFonts w:ascii="Times New Roman;serif" w:hAnsi="Times New Roman;serif"/>
          <w:b w:val="false"/>
          <w:i/>
          <w:caps w:val="false"/>
          <w:smallCaps w:val="false"/>
          <w:strike w:val="false"/>
          <w:dstrike w:val="false"/>
          <w:color w:val="000000"/>
          <w:sz w:val="24"/>
          <w:u w:val="none"/>
          <w:effect w:val="none"/>
          <w:shd w:fill="auto" w:val="clear"/>
        </w:rPr>
        <w:t>The International Encyclopedia of Anthropology</w:t>
      </w:r>
      <w:r>
        <w:rPr>
          <w:rFonts w:ascii="Times New Roman;serif" w:hAnsi="Times New Roman;serif"/>
          <w:b w:val="false"/>
          <w:i w:val="false"/>
          <w:caps w:val="false"/>
          <w:smallCaps w:val="false"/>
          <w:strike w:val="false"/>
          <w:dstrike w:val="false"/>
          <w:color w:val="000000"/>
          <w:sz w:val="24"/>
          <w:u w:val="none"/>
          <w:effect w:val="none"/>
          <w:shd w:fill="auto" w:val="clear"/>
        </w:rPr>
        <w:t>, 1-2.</w:t>
      </w:r>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 xml:space="preserve">Wschebor, N. (2018). Entrevista en El Espectador.com. </w:t>
      </w:r>
      <w:hyperlink r:id="rId8">
        <w:r>
          <w:rPr>
            <w:rStyle w:val="EnlacedeInternet"/>
            <w:rFonts w:ascii="Times New Roman;serif" w:hAnsi="Times New Roman;serif"/>
            <w:b w:val="false"/>
            <w:i w:val="false"/>
            <w:caps w:val="false"/>
            <w:smallCaps w:val="false"/>
            <w:strike w:val="false"/>
            <w:dstrike w:val="false"/>
            <w:color w:val="1155CC"/>
            <w:sz w:val="24"/>
            <w:u w:val="single"/>
            <w:effect w:val="none"/>
            <w:shd w:fill="auto" w:val="clear"/>
          </w:rPr>
          <w:t>http://historico.espectador.com/sociedad/408459/nuevo-estatuto-del-personal-docente-se-discute-en-el-cdc</w:t>
        </w:r>
      </w:hyperlink>
    </w:p>
    <w:p>
      <w:pPr>
        <w:pStyle w:val="Cuerpodetexto"/>
        <w:bidi w:val="0"/>
        <w:spacing w:lineRule="auto" w:line="240" w:before="0" w:after="0"/>
        <w:ind w:left="0" w:right="0" w:hanging="720"/>
        <w:jc w:val="both"/>
        <w:rPr>
          <w:rFonts w:ascii="Times New Roman;serif" w:hAnsi="Times New Roman;serif"/>
          <w:b w:val="false"/>
          <w:b w:val="false"/>
          <w:i w:val="false"/>
          <w:i w:val="false"/>
          <w:caps w:val="false"/>
          <w:smallCaps w:val="false"/>
          <w:strike w:val="false"/>
          <w:dstrike w:val="false"/>
          <w:color w:val="000000"/>
          <w:sz w:val="24"/>
          <w:u w:val="none"/>
          <w:effect w:val="none"/>
          <w:shd w:fill="auto" w:val="clear"/>
        </w:rPr>
      </w:pPr>
      <w:r>
        <w:rPr/>
      </w:r>
    </w:p>
    <w:p>
      <w:pPr>
        <w:pStyle w:val="Cuerpodetexto"/>
        <w:bidi w:val="0"/>
        <w:spacing w:lineRule="auto" w:line="240" w:before="0" w:after="0"/>
        <w:ind w:left="0" w:right="0" w:hanging="72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Zacarias, E. P. (2024). Da saúde dos trabalhadores à singularidade docente: precarização e adoecimento nas universidades públicas brasileiras.https://www.repositorio.ufal.br/handle/123456789/14296</w:t>
      </w:r>
    </w:p>
    <w:p>
      <w:pPr>
        <w:pStyle w:val="Cuerpodetexto"/>
        <w:spacing w:lineRule="auto" w:line="240" w:before="0" w:after="140"/>
        <w:rPr/>
      </w:pPr>
      <w:r>
        <w:rPr/>
        <w:br/>
        <w:br/>
        <w:br/>
        <w:br/>
      </w:r>
    </w:p>
    <w:sectPr>
      <w:headerReference w:type="default" r:id="rId9"/>
      <w:footerReference w:type="default" r:id="rId10"/>
      <w:type w:val="nextPage"/>
      <w:pgSz w:w="11906" w:h="16838"/>
      <w:pgMar w:left="1701" w:right="1701" w:gutter="0" w:header="284" w:top="2410" w:footer="0" w:bottom="1843"/>
      <w:pgBorders w:display="allPages" w:offsetFrom="page">
        <w:left w:val="single" w:sz="48" w:space="12" w:color="00B0F0"/>
        <w:right w:val="single" w:sz="48" w:space="12" w:color="00B0F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Times New Roman">
    <w:charset w:val="01"/>
    <w:family w:val="roman"/>
    <w:pitch w:val="variable"/>
  </w:font>
  <w:font w:name="Times New Roman">
    <w:altName w:val="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pPr>
    <w:r>
      <w:rPr/>
      <w:drawing>
        <wp:inline distT="0" distB="0" distL="0" distR="0">
          <wp:extent cx="5400040" cy="428625"/>
          <wp:effectExtent l="0" t="0" r="0" b="0"/>
          <wp:docPr id="4"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jc w:val="center"/>
      <w:rPr/>
    </w:pPr>
    <w:r>
      <w:rPr/>
      <w:drawing>
        <wp:inline distT="0" distB="0" distL="0" distR="0">
          <wp:extent cx="2595880" cy="1082040"/>
          <wp:effectExtent l="0" t="0" r="0" b="0"/>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1"/>
                  <a:stretch>
                    <a:fillRect/>
                  </a:stretch>
                </pic:blipFill>
                <pic:spPr bwMode="auto">
                  <a:xfrm>
                    <a:off x="0" y="0"/>
                    <a:ext cx="2595880" cy="1082040"/>
                  </a:xfrm>
                  <a:prstGeom prst="rect">
                    <a:avLst/>
                  </a:prstGeom>
                </pic:spPr>
              </pic:pic>
            </a:graphicData>
          </a:graphic>
        </wp:inline>
      </w:drawing>
    </w:r>
  </w:p>
</w:hdr>
</file>

<file path=word/settings.xml><?xml version="1.0" encoding="utf-8"?>
<w:settings xmlns:w="http://schemas.openxmlformats.org/wordprocessingml/2006/main">
  <w:zoom w:percent="9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s-A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Calibri" w:hAnsi="Calibri" w:eastAsia="Calibri" w:cs="" w:asciiTheme="minorHAnsi" w:cstheme="minorBidi" w:eastAsiaTheme="minorHAnsi" w:hAnsiTheme="minorHAnsi"/>
      <w:color w:val="auto"/>
      <w:kern w:val="2"/>
      <w:sz w:val="24"/>
      <w:szCs w:val="24"/>
      <w:lang w:val="es-419" w:eastAsia="en-US" w:bidi="ar-SA"/>
      <w14:ligatures w14:val="standardContextual"/>
    </w:rPr>
  </w:style>
  <w:style w:type="paragraph" w:styleId="Ttulo1">
    <w:name w:val="Heading 1"/>
    <w:basedOn w:val="Normal"/>
    <w:next w:val="Normal"/>
    <w:link w:val="Ttulo1Car"/>
    <w:uiPriority w:val="9"/>
    <w:qFormat/>
    <w:rsid w:val="001923dc"/>
    <w:pPr>
      <w:keepNext w:val="true"/>
      <w:keepLines/>
      <w:spacing w:before="360" w:after="80"/>
      <w:outlineLvl w:val="0"/>
    </w:pPr>
    <w:rPr>
      <w:rFonts w:ascii="Calibri Light" w:hAnsi="Calibri Light" w:eastAsia="" w:cs="" w:asciiTheme="majorHAnsi" w:cstheme="majorBidi" w:eastAsiaTheme="majorEastAsia" w:hAnsiTheme="majorHAns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val="true"/>
      <w:keepLines/>
      <w:spacing w:before="160" w:after="8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val="true"/>
      <w:keepLines/>
      <w:spacing w:before="160" w:after="80"/>
      <w:outlineLvl w:val="2"/>
    </w:pPr>
    <w:rPr>
      <w:rFonts w:eastAsia="" w:cs="" w:cstheme="majorBidi" w:eastAsiaTheme="majorEastAsia"/>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val="true"/>
      <w:keepLines/>
      <w:spacing w:before="80" w:after="40"/>
      <w:outlineLvl w:val="3"/>
    </w:pPr>
    <w:rPr>
      <w:rFonts w:eastAsia="" w:cs="" w:cstheme="majorBidi" w:eastAsiaTheme="majorEastAsia"/>
      <w:i/>
      <w:iCs/>
      <w:color w:val="2F5496" w:themeColor="accent1" w:themeShade="bf"/>
    </w:rPr>
  </w:style>
  <w:style w:type="paragraph" w:styleId="Ttulo5">
    <w:name w:val="Heading 5"/>
    <w:basedOn w:val="Normal"/>
    <w:next w:val="Normal"/>
    <w:link w:val="Ttulo5Car"/>
    <w:uiPriority w:val="9"/>
    <w:semiHidden/>
    <w:unhideWhenUsed/>
    <w:qFormat/>
    <w:rsid w:val="001923dc"/>
    <w:pPr>
      <w:keepNext w:val="true"/>
      <w:keepLines/>
      <w:spacing w:before="80" w:after="40"/>
      <w:outlineLvl w:val="4"/>
    </w:pPr>
    <w:rPr>
      <w:rFonts w:eastAsia="" w:cs="" w:cstheme="majorBidi" w:eastAsiaTheme="majorEastAsia"/>
      <w:color w:val="2F5496" w:themeColor="accent1" w:themeShade="bf"/>
    </w:rPr>
  </w:style>
  <w:style w:type="paragraph" w:styleId="Ttulo6">
    <w:name w:val="Heading 6"/>
    <w:basedOn w:val="Normal"/>
    <w:next w:val="Normal"/>
    <w:link w:val="Ttulo6Car"/>
    <w:uiPriority w:val="9"/>
    <w:semiHidden/>
    <w:unhideWhenUsed/>
    <w:qFormat/>
    <w:rsid w:val="001923dc"/>
    <w:pPr>
      <w:keepNext w:val="true"/>
      <w:keepLines/>
      <w:spacing w:before="40" w:after="0"/>
      <w:outlineLvl w:val="5"/>
    </w:pPr>
    <w:rPr>
      <w:rFonts w:eastAsia="" w:cs="" w:cstheme="majorBidi" w:eastAsiaTheme="majorEastAsia"/>
      <w:i/>
      <w:iCs/>
      <w:color w:val="595959" w:themeColor="text1" w:themeTint="a6"/>
    </w:rPr>
  </w:style>
  <w:style w:type="paragraph" w:styleId="Ttulo7">
    <w:name w:val="Heading 7"/>
    <w:basedOn w:val="Normal"/>
    <w:next w:val="Normal"/>
    <w:link w:val="Ttulo7Car"/>
    <w:uiPriority w:val="9"/>
    <w:semiHidden/>
    <w:unhideWhenUsed/>
    <w:qFormat/>
    <w:rsid w:val="001923dc"/>
    <w:pPr>
      <w:keepNext w:val="true"/>
      <w:keepLines/>
      <w:spacing w:before="40" w:after="0"/>
      <w:outlineLvl w:val="6"/>
    </w:pPr>
    <w:rPr>
      <w:rFonts w:eastAsia="" w:cs="" w:cstheme="majorBidi" w:eastAsiaTheme="majorEastAsia"/>
      <w:color w:val="595959" w:themeColor="text1" w:themeTint="a6"/>
    </w:rPr>
  </w:style>
  <w:style w:type="paragraph" w:styleId="Ttulo8">
    <w:name w:val="Heading 8"/>
    <w:basedOn w:val="Normal"/>
    <w:next w:val="Normal"/>
    <w:link w:val="Ttulo8Car"/>
    <w:uiPriority w:val="9"/>
    <w:semiHidden/>
    <w:unhideWhenUsed/>
    <w:qFormat/>
    <w:rsid w:val="001923dc"/>
    <w:pPr>
      <w:keepNext w:val="true"/>
      <w:keepLines/>
      <w:spacing w:before="0" w:after="0"/>
      <w:outlineLvl w:val="7"/>
    </w:pPr>
    <w:rPr>
      <w:rFonts w:eastAsia="" w:cs="" w:cstheme="majorBidi" w:eastAsiaTheme="majorEastAsia"/>
      <w:i/>
      <w:iCs/>
      <w:color w:val="272727" w:themeColor="text1" w:themeTint="d8"/>
    </w:rPr>
  </w:style>
  <w:style w:type="paragraph" w:styleId="Ttulo9">
    <w:name w:val="Heading 9"/>
    <w:basedOn w:val="Normal"/>
    <w:next w:val="Normal"/>
    <w:link w:val="Ttulo9Car"/>
    <w:uiPriority w:val="9"/>
    <w:semiHidden/>
    <w:unhideWhenUsed/>
    <w:qFormat/>
    <w:rsid w:val="001923dc"/>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1923dc"/>
    <w:rPr>
      <w:rFonts w:ascii="Calibri Light" w:hAnsi="Calibri Light" w:eastAsia="" w:cs="" w:asciiTheme="majorHAnsi" w:cstheme="majorBidi" w:eastAsiaTheme="majorEastAsia" w:hAnsiTheme="majorHAnsi"/>
      <w:color w:val="2F5496" w:themeColor="accent1" w:themeShade="bf"/>
      <w:sz w:val="40"/>
      <w:szCs w:val="40"/>
    </w:rPr>
  </w:style>
  <w:style w:type="character" w:styleId="Ttulo2Car" w:customStyle="1">
    <w:name w:val="Título 2 Car"/>
    <w:basedOn w:val="DefaultParagraphFont"/>
    <w:uiPriority w:val="9"/>
    <w:semiHidden/>
    <w:qFormat/>
    <w:rsid w:val="001923dc"/>
    <w:rPr>
      <w:rFonts w:ascii="Calibri Light" w:hAnsi="Calibri Light" w:eastAsia="" w:cs="" w:asciiTheme="majorHAnsi" w:cstheme="majorBidi" w:eastAsiaTheme="majorEastAsia" w:hAnsiTheme="majorHAnsi"/>
      <w:color w:val="2F5496" w:themeColor="accent1" w:themeShade="bf"/>
      <w:sz w:val="32"/>
      <w:szCs w:val="32"/>
    </w:rPr>
  </w:style>
  <w:style w:type="character" w:styleId="Ttulo3Car" w:customStyle="1">
    <w:name w:val="Título 3 Car"/>
    <w:basedOn w:val="DefaultParagraphFont"/>
    <w:uiPriority w:val="9"/>
    <w:semiHidden/>
    <w:qFormat/>
    <w:rsid w:val="001923dc"/>
    <w:rPr>
      <w:rFonts w:eastAsia="" w:cs="" w:cstheme="majorBidi" w:eastAsiaTheme="majorEastAsia"/>
      <w:color w:val="2F5496" w:themeColor="accent1" w:themeShade="bf"/>
      <w:sz w:val="28"/>
      <w:szCs w:val="28"/>
    </w:rPr>
  </w:style>
  <w:style w:type="character" w:styleId="Ttulo4Car" w:customStyle="1">
    <w:name w:val="Título 4 Car"/>
    <w:basedOn w:val="DefaultParagraphFont"/>
    <w:uiPriority w:val="9"/>
    <w:semiHidden/>
    <w:qFormat/>
    <w:rsid w:val="001923dc"/>
    <w:rPr>
      <w:rFonts w:eastAsia="" w:cs="" w:cstheme="majorBidi" w:eastAsiaTheme="majorEastAsia"/>
      <w:i/>
      <w:iCs/>
      <w:color w:val="2F5496" w:themeColor="accent1" w:themeShade="bf"/>
    </w:rPr>
  </w:style>
  <w:style w:type="character" w:styleId="Ttulo5Car" w:customStyle="1">
    <w:name w:val="Título 5 Car"/>
    <w:basedOn w:val="DefaultParagraphFont"/>
    <w:uiPriority w:val="9"/>
    <w:semiHidden/>
    <w:qFormat/>
    <w:rsid w:val="001923dc"/>
    <w:rPr>
      <w:rFonts w:eastAsia="" w:cs="" w:cstheme="majorBidi" w:eastAsiaTheme="majorEastAsia"/>
      <w:color w:val="2F5496" w:themeColor="accent1" w:themeShade="bf"/>
    </w:rPr>
  </w:style>
  <w:style w:type="character" w:styleId="Ttulo6Car" w:customStyle="1">
    <w:name w:val="Título 6 Car"/>
    <w:basedOn w:val="DefaultParagraphFont"/>
    <w:uiPriority w:val="9"/>
    <w:semiHidden/>
    <w:qFormat/>
    <w:rsid w:val="001923dc"/>
    <w:rPr>
      <w:rFonts w:eastAsia="" w:cs="" w:cstheme="majorBidi" w:eastAsiaTheme="majorEastAsia"/>
      <w:i/>
      <w:iCs/>
      <w:color w:val="595959" w:themeColor="text1" w:themeTint="a6"/>
    </w:rPr>
  </w:style>
  <w:style w:type="character" w:styleId="Ttulo7Car" w:customStyle="1">
    <w:name w:val="Título 7 Car"/>
    <w:basedOn w:val="DefaultParagraphFont"/>
    <w:uiPriority w:val="9"/>
    <w:semiHidden/>
    <w:qFormat/>
    <w:rsid w:val="001923dc"/>
    <w:rPr>
      <w:rFonts w:eastAsia="" w:cs="" w:cstheme="majorBidi" w:eastAsiaTheme="majorEastAsia"/>
      <w:color w:val="595959" w:themeColor="text1" w:themeTint="a6"/>
    </w:rPr>
  </w:style>
  <w:style w:type="character" w:styleId="Ttulo8Car" w:customStyle="1">
    <w:name w:val="Título 8 Car"/>
    <w:basedOn w:val="DefaultParagraphFont"/>
    <w:uiPriority w:val="9"/>
    <w:semiHidden/>
    <w:qFormat/>
    <w:rsid w:val="001923dc"/>
    <w:rPr>
      <w:rFonts w:eastAsia="" w:cs="" w:cstheme="majorBidi" w:eastAsiaTheme="majorEastAsia"/>
      <w:i/>
      <w:iCs/>
      <w:color w:val="272727" w:themeColor="text1" w:themeTint="d8"/>
    </w:rPr>
  </w:style>
  <w:style w:type="character" w:styleId="Ttulo9Car" w:customStyle="1">
    <w:name w:val="Título 9 Car"/>
    <w:basedOn w:val="DefaultParagraphFont"/>
    <w:uiPriority w:val="9"/>
    <w:semiHidden/>
    <w:qFormat/>
    <w:rsid w:val="001923dc"/>
    <w:rPr>
      <w:rFonts w:eastAsia="" w:cs="" w:cstheme="majorBidi" w:eastAsiaTheme="majorEastAsia"/>
      <w:color w:val="272727" w:themeColor="text1" w:themeTint="d8"/>
    </w:rPr>
  </w:style>
  <w:style w:type="character" w:styleId="TtuloCar" w:customStyle="1">
    <w:name w:val="Título Car"/>
    <w:basedOn w:val="DefaultParagraphFont"/>
    <w:uiPriority w:val="10"/>
    <w:qFormat/>
    <w:rsid w:val="001923dc"/>
    <w:rPr>
      <w:rFonts w:ascii="Calibri Light" w:hAnsi="Calibri Light" w:eastAsia="" w:cs="" w:asciiTheme="majorHAnsi" w:cstheme="majorBidi" w:eastAsiaTheme="majorEastAsia" w:hAnsiTheme="majorHAnsi"/>
      <w:spacing w:val="-10"/>
      <w:kern w:val="2"/>
      <w:sz w:val="56"/>
      <w:szCs w:val="56"/>
    </w:rPr>
  </w:style>
  <w:style w:type="character" w:styleId="SubttuloCar" w:customStyle="1">
    <w:name w:val="Subtítulo Car"/>
    <w:basedOn w:val="DefaultParagraphFont"/>
    <w:uiPriority w:val="11"/>
    <w:qFormat/>
    <w:rsid w:val="001923dc"/>
    <w:rPr>
      <w:rFonts w:eastAsia="" w:cs="" w:cstheme="majorBidi" w:eastAsiaTheme="majorEastAsia"/>
      <w:color w:val="595959" w:themeColor="text1" w:themeTint="a6"/>
      <w:spacing w:val="15"/>
      <w:sz w:val="28"/>
      <w:szCs w:val="28"/>
    </w:rPr>
  </w:style>
  <w:style w:type="character" w:styleId="CitaCar" w:customStyle="1">
    <w:name w:val="Cita Car"/>
    <w:basedOn w:val="DefaultParagraphFont"/>
    <w:link w:val="Quote"/>
    <w:uiPriority w:val="29"/>
    <w:qFormat/>
    <w:rsid w:val="001923dc"/>
    <w:rPr>
      <w:i/>
      <w:iCs/>
      <w:color w:val="404040" w:themeColor="text1" w:themeTint="bf"/>
    </w:rPr>
  </w:style>
  <w:style w:type="character" w:styleId="IntenseEmphasis">
    <w:name w:val="Intense Emphasis"/>
    <w:basedOn w:val="DefaultParagraphFont"/>
    <w:uiPriority w:val="21"/>
    <w:qFormat/>
    <w:rsid w:val="001923dc"/>
    <w:rPr>
      <w:i/>
      <w:iCs/>
      <w:color w:val="2F5496" w:themeColor="accent1" w:themeShade="bf"/>
    </w:rPr>
  </w:style>
  <w:style w:type="character" w:styleId="CitadestacadaCar" w:customStyle="1">
    <w:name w:val="Cita destacada Car"/>
    <w:basedOn w:val="DefaultParagraphFont"/>
    <w:link w:val="IntenseQuote"/>
    <w:uiPriority w:val="30"/>
    <w:qFormat/>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character" w:styleId="EncabezadoCar" w:customStyle="1">
    <w:name w:val="Encabezado Car"/>
    <w:basedOn w:val="DefaultParagraphFont"/>
    <w:uiPriority w:val="99"/>
    <w:qFormat/>
    <w:rsid w:val="00c802f5"/>
    <w:rPr/>
  </w:style>
  <w:style w:type="character" w:styleId="PiedepginaCar" w:customStyle="1">
    <w:name w:val="Pie de página Car"/>
    <w:basedOn w:val="DefaultParagraphFont"/>
    <w:uiPriority w:val="99"/>
    <w:qFormat/>
    <w:rsid w:val="00c802f5"/>
    <w:rPr/>
  </w:style>
  <w:style w:type="character" w:styleId="EnlacedeInternet">
    <w:name w:val="Enlace de Internet"/>
    <w:basedOn w:val="DefaultParagraphFont"/>
    <w:uiPriority w:val="99"/>
    <w:unhideWhenUsed/>
    <w:rsid w:val="00c802f5"/>
    <w:rPr>
      <w:color w:val="0563C1" w:themeColor="hyperlink"/>
      <w:u w:val="single"/>
    </w:rPr>
  </w:style>
  <w:style w:type="character" w:styleId="UnresolvedMention">
    <w:name w:val="Unresolved Mention"/>
    <w:basedOn w:val="DefaultParagraphFont"/>
    <w:uiPriority w:val="99"/>
    <w:semiHidden/>
    <w:unhideWhenUsed/>
    <w:qFormat/>
    <w:rsid w:val="00c802f5"/>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Ttulogeneral">
    <w:name w:val="Title"/>
    <w:basedOn w:val="Normal"/>
    <w:next w:val="Normal"/>
    <w:link w:val="TtuloCar"/>
    <w:uiPriority w:val="10"/>
    <w:qFormat/>
    <w:rsid w:val="001923dc"/>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tulo">
    <w:name w:val="Subtitle"/>
    <w:basedOn w:val="Normal"/>
    <w:next w:val="Normal"/>
    <w:link w:val="SubttuloCar"/>
    <w:uiPriority w:val="11"/>
    <w:qFormat/>
    <w:rsid w:val="001923dc"/>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Car"/>
    <w:uiPriority w:val="29"/>
    <w:qFormat/>
    <w:rsid w:val="001923dc"/>
    <w:pPr>
      <w:spacing w:before="160" w:after="160"/>
      <w:jc w:val="center"/>
    </w:pPr>
    <w:rPr>
      <w:i/>
      <w:iCs/>
      <w:color w:val="404040" w:themeColor="text1" w:themeTint="bf"/>
    </w:rPr>
  </w:style>
  <w:style w:type="paragraph" w:styleId="ListParagraph">
    <w:name w:val="List Paragraph"/>
    <w:basedOn w:val="Normal"/>
    <w:uiPriority w:val="34"/>
    <w:qFormat/>
    <w:rsid w:val="001923dc"/>
    <w:pPr>
      <w:spacing w:before="0" w:after="160"/>
      <w:ind w:left="720" w:hanging="0"/>
      <w:contextualSpacing/>
    </w:pPr>
    <w:rPr/>
  </w:style>
  <w:style w:type="paragraph" w:styleId="IntenseQuote">
    <w:name w:val="Intense Quote"/>
    <w:basedOn w:val="Normal"/>
    <w:next w:val="Normal"/>
    <w:link w:val="CitadestacadaCar"/>
    <w:uiPriority w:val="30"/>
    <w:qFormat/>
    <w:rsid w:val="001923dc"/>
    <w:pPr>
      <w:pBdr>
        <w:top w:val="single" w:sz="4" w:space="10" w:color="2F5496"/>
        <w:bottom w:val="single" w:sz="4" w:space="10" w:color="2F5496"/>
      </w:pBdr>
      <w:spacing w:before="360" w:after="360"/>
      <w:ind w:left="864" w:right="864" w:hanging="0"/>
      <w:jc w:val="center"/>
    </w:pPr>
    <w:rPr>
      <w:i/>
      <w:iCs/>
      <w:color w:val="2F5496" w:themeColor="accent1" w:themeShade="bf"/>
    </w:rPr>
  </w:style>
  <w:style w:type="paragraph" w:styleId="Cabeceraypie">
    <w:name w:val="Cabecera y pie"/>
    <w:basedOn w:val="Normal"/>
    <w:qFormat/>
    <w:pPr/>
    <w:rPr/>
  </w:style>
  <w:style w:type="paragraph" w:styleId="Cabecera">
    <w:name w:val="Header"/>
    <w:basedOn w:val="Normal"/>
    <w:link w:val="EncabezadoCar"/>
    <w:uiPriority w:val="99"/>
    <w:unhideWhenUsed/>
    <w:rsid w:val="00c802f5"/>
    <w:pPr>
      <w:tabs>
        <w:tab w:val="clear" w:pos="708"/>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c802f5"/>
    <w:pPr>
      <w:tabs>
        <w:tab w:val="clear" w:pos="708"/>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ladiaria.com.uy/usuarios/entrar/?article=96472" TargetMode="External"/><Relationship Id="rId5" Type="http://schemas.openxmlformats.org/officeDocument/2006/relationships/hyperlink" Target="https://doi.org/10.15517/revedu.v49i2.567" TargetMode="External"/><Relationship Id="rId6" Type="http://schemas.openxmlformats.org/officeDocument/2006/relationships/hyperlink" Target="https://www.expe.edu.uy/expe/resoluci.nsf/index.htm?openpage" TargetMode="External"/><Relationship Id="rId7" Type="http://schemas.openxmlformats.org/officeDocument/2006/relationships/hyperlink" Target="https://www.expe.edu.uy/expe/resoluci.nsf/index.htm?openpage" TargetMode="External"/><Relationship Id="rId8" Type="http://schemas.openxmlformats.org/officeDocument/2006/relationships/hyperlink" Target="http://historico.espectador.com/sociedad/408459/nuevo-estatuto-del-personal-docente-se-discute-en-el-cdc"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header1.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Application>LibreOffice/7.3.7.2$Linux_X86_64 LibreOffice_project/30$Build-2</Application>
  <AppVersion>15.0000</AppVersion>
  <Pages>16</Pages>
  <Words>6192</Words>
  <Characters>36295</Characters>
  <CharactersWithSpaces>42396</CharactersWithSpaces>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2026-03-14T03:50:00Z</dcterms:created>
  <dc:creator>Pablo Daniel Garcia</dc:creator>
  <dc:description/>
  <dc:language>es-UY</dc:language>
  <cp:lastModifiedBy/>
  <dcterms:modified xsi:type="dcterms:W3CDTF">2026-06-29T16:02:15Z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