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1BE2F07" w14:textId="77777777" w:rsidR="005D78FD" w:rsidRDefault="005D78FD">
      <w:pPr>
        <w:spacing w:line="240" w:lineRule="auto"/>
        <w:jc w:val="center"/>
        <w:rPr>
          <w:rFonts w:ascii="Times New Roman" w:eastAsia="Times New Roman" w:hAnsi="Times New Roman" w:cs="Times New Roman"/>
        </w:rPr>
      </w:pPr>
    </w:p>
    <w:p w14:paraId="081F0839" w14:textId="77777777" w:rsidR="005D78FD" w:rsidRDefault="001C0910">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Entre regulaciones, sujetos y prácticas: El Programa de Formación Docente Continua como respuesta a las demandas de la carrera académica (1999-2021)</w:t>
      </w:r>
    </w:p>
    <w:p w14:paraId="298B1CAB" w14:textId="77777777" w:rsidR="005D78FD" w:rsidRDefault="005D78FD">
      <w:pPr>
        <w:spacing w:line="240" w:lineRule="auto"/>
        <w:jc w:val="center"/>
        <w:rPr>
          <w:rFonts w:ascii="Times New Roman" w:eastAsia="Times New Roman" w:hAnsi="Times New Roman" w:cs="Times New Roman"/>
        </w:rPr>
      </w:pPr>
    </w:p>
    <w:p w14:paraId="58D79B2B" w14:textId="77777777" w:rsidR="005D78FD" w:rsidRDefault="001C091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Ramirez, Ileana.</w:t>
      </w:r>
    </w:p>
    <w:p w14:paraId="6268B2A9" w14:textId="77777777" w:rsidR="005D78FD" w:rsidRDefault="001C091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Instituto de Investigaciones en Educación, Universidad Nacional del Nordeste</w:t>
      </w:r>
    </w:p>
    <w:p w14:paraId="659AE8C4" w14:textId="77777777" w:rsidR="005D78FD" w:rsidRDefault="001C0910">
      <w:pPr>
        <w:spacing w:after="0" w:line="240" w:lineRule="auto"/>
        <w:jc w:val="right"/>
        <w:rPr>
          <w:rFonts w:ascii="Times New Roman" w:eastAsia="Times New Roman" w:hAnsi="Times New Roman" w:cs="Times New Roman"/>
        </w:rPr>
      </w:pPr>
      <w:hyperlink r:id="rId8">
        <w:r>
          <w:rPr>
            <w:rFonts w:ascii="Times New Roman" w:eastAsia="Times New Roman" w:hAnsi="Times New Roman" w:cs="Times New Roman"/>
            <w:color w:val="1155CC"/>
            <w:u w:val="single"/>
          </w:rPr>
          <w:t>ileana.rz@gmail.com</w:t>
        </w:r>
      </w:hyperlink>
      <w:r>
        <w:rPr>
          <w:rFonts w:ascii="Times New Roman" w:eastAsia="Times New Roman" w:hAnsi="Times New Roman" w:cs="Times New Roman"/>
        </w:rPr>
        <w:t xml:space="preserve"> </w:t>
      </w:r>
    </w:p>
    <w:p w14:paraId="02E08C36" w14:textId="77777777" w:rsidR="005D78FD" w:rsidRDefault="005D78FD">
      <w:pPr>
        <w:spacing w:line="240" w:lineRule="auto"/>
        <w:rPr>
          <w:rFonts w:ascii="Times New Roman" w:eastAsia="Times New Roman" w:hAnsi="Times New Roman" w:cs="Times New Roman"/>
        </w:rPr>
      </w:pPr>
    </w:p>
    <w:p w14:paraId="7B6FA165" w14:textId="77777777" w:rsidR="005D78FD" w:rsidRDefault="001C091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Cáceres, Nicolás Federico</w:t>
      </w:r>
    </w:p>
    <w:p w14:paraId="048F9F3A" w14:textId="77777777" w:rsidR="005D78FD" w:rsidRDefault="001C091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Instituto de Investigaciones en Educación, Universidad Nacional del Nordeste</w:t>
      </w:r>
    </w:p>
    <w:p w14:paraId="14DC1E1C" w14:textId="77777777" w:rsidR="005D78FD" w:rsidRDefault="001C0910">
      <w:pPr>
        <w:spacing w:after="0" w:line="240" w:lineRule="auto"/>
        <w:jc w:val="right"/>
        <w:rPr>
          <w:rFonts w:ascii="Times New Roman" w:eastAsia="Times New Roman" w:hAnsi="Times New Roman" w:cs="Times New Roman"/>
        </w:rPr>
      </w:pPr>
      <w:hyperlink r:id="rId9">
        <w:r>
          <w:rPr>
            <w:rFonts w:ascii="Times New Roman" w:eastAsia="Times New Roman" w:hAnsi="Times New Roman" w:cs="Times New Roman"/>
            <w:color w:val="1155CC"/>
            <w:u w:val="single"/>
          </w:rPr>
          <w:t>nicolasfedericocaceres@gamil.com</w:t>
        </w:r>
      </w:hyperlink>
      <w:r>
        <w:rPr>
          <w:rFonts w:ascii="Times New Roman" w:eastAsia="Times New Roman" w:hAnsi="Times New Roman" w:cs="Times New Roman"/>
        </w:rPr>
        <w:t xml:space="preserve"> </w:t>
      </w:r>
    </w:p>
    <w:p w14:paraId="1CFA1175" w14:textId="77777777" w:rsidR="005D78FD" w:rsidRDefault="005D78FD">
      <w:pPr>
        <w:spacing w:line="240" w:lineRule="auto"/>
        <w:rPr>
          <w:rFonts w:ascii="Times New Roman" w:eastAsia="Times New Roman" w:hAnsi="Times New Roman" w:cs="Times New Roman"/>
          <w:b/>
          <w:bCs/>
        </w:rPr>
      </w:pPr>
    </w:p>
    <w:p w14:paraId="407C8394" w14:textId="77777777" w:rsidR="005D78FD" w:rsidRDefault="001C0910">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Resumen</w:t>
      </w:r>
    </w:p>
    <w:p w14:paraId="03D0A8F3"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highlight w:val="white"/>
        </w:rPr>
        <w:t xml:space="preserve">Esta ponencia se enmarca en una investigación en curso, cuyo propósito es el estudio de los sentidos construidos sobre la formación docente, a partir del análisis de las acciones desarrolladas por el Programa de Formación Docente Continua de una universidad pública. El recorte realizado para esta ocasión tiene como propósito indagar la configuración de un espacio de formación pedagógica para la docencia universitaria a lo largo de más de veinte años. </w:t>
      </w:r>
      <w:r>
        <w:rPr>
          <w:rFonts w:ascii="Times New Roman" w:eastAsia="Times New Roman" w:hAnsi="Times New Roman" w:cs="Times New Roman"/>
          <w:highlight w:val="white"/>
        </w:rPr>
        <w:t>Durante ese período se consolidaron prácticas y se construyeron sentidos sobre la formación pedagógica en esta institución en particular</w:t>
      </w:r>
      <w:r>
        <w:rPr>
          <w:rFonts w:ascii="Times New Roman" w:eastAsia="Times New Roman" w:hAnsi="Times New Roman" w:cs="Times New Roman"/>
          <w:highlight w:val="white"/>
        </w:rPr>
        <w:t>. En cuanto a las decisiones metodológicas, trabajamos con entrevistas en profundidad realizadas a coordinadoras del programa en el periodo 1999 hasta el año 2021. Esto significa el trabajo con seis profesionales de la educación, que tuvieron a su cargo el desarrollo y sostenimiento del programa en diferentes momentos socio-históricos e institucionales. El análisis se realizó considerando dos registros imprescindibles. Siguiendo a Lucarelli (2004) en primer lugar lo macro, particularmente vinculado a las de</w:t>
      </w:r>
      <w:r>
        <w:rPr>
          <w:rFonts w:ascii="Times New Roman" w:eastAsia="Times New Roman" w:hAnsi="Times New Roman" w:cs="Times New Roman"/>
          <w:highlight w:val="white"/>
        </w:rPr>
        <w:t xml:space="preserve">mandas profesionales específicas que se instalaron con la sanción de leyes y convenios en el contexto universitario; y lo micro, que atiende a las características institucionales donde se desarrollan las acciones del Programa en cuestión. El propósito del abordaje realizado es, en primer lugar, reconstruir una trayectoria que cultivó la preocupación y ocupación sobre la formación pedagógica en una universidad pública. </w:t>
      </w:r>
      <w:r>
        <w:rPr>
          <w:rFonts w:ascii="Times New Roman" w:eastAsia="Times New Roman" w:hAnsi="Times New Roman" w:cs="Times New Roman"/>
        </w:rPr>
        <w:t>En este recorrido identificamos continuidades en la construcción del sentido de formación pedagógica en el escenario universitario. En segundo lugar, avanzamos en comprender los posibles modos de procesar las demandas de las políticas educativas, construidas en marcos institucionales específicos.</w:t>
      </w:r>
    </w:p>
    <w:p w14:paraId="76EE2021" w14:textId="77777777" w:rsidR="005D78FD" w:rsidRDefault="005D78FD">
      <w:pPr>
        <w:spacing w:after="0" w:line="240" w:lineRule="auto"/>
        <w:jc w:val="both"/>
        <w:rPr>
          <w:rFonts w:ascii="Times New Roman" w:eastAsia="Times New Roman" w:hAnsi="Times New Roman" w:cs="Times New Roman"/>
          <w:b/>
          <w:bCs/>
        </w:rPr>
      </w:pPr>
    </w:p>
    <w:p w14:paraId="2853987D" w14:textId="77777777" w:rsidR="005D78FD" w:rsidRDefault="001C0910">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Palabras clave: </w:t>
      </w:r>
    </w:p>
    <w:p w14:paraId="2A0DA8B0"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FORMACIÓN DOCENTE, UNIVERSIDAD, CARRERA DOCENTE. </w:t>
      </w:r>
    </w:p>
    <w:p w14:paraId="690D2108" w14:textId="77777777" w:rsidR="005D78FD" w:rsidRDefault="005D78FD">
      <w:pPr>
        <w:spacing w:after="0" w:line="240" w:lineRule="auto"/>
        <w:jc w:val="both"/>
        <w:rPr>
          <w:rFonts w:ascii="Times New Roman" w:eastAsia="Times New Roman" w:hAnsi="Times New Roman" w:cs="Times New Roman"/>
        </w:rPr>
      </w:pPr>
    </w:p>
    <w:p w14:paraId="37B9197B" w14:textId="77777777" w:rsidR="005D78FD" w:rsidRDefault="001C0910">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Introducción</w:t>
      </w:r>
    </w:p>
    <w:p w14:paraId="53135AE6"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El Programa de Formación Docente Continua (PFDC), es un programa central dependiente de la Secretaría General Académica de la Universidad Nacional del Nordeste </w:t>
      </w:r>
      <w:r>
        <w:rPr>
          <w:rFonts w:ascii="Times New Roman" w:eastAsia="Times New Roman" w:hAnsi="Times New Roman" w:cs="Times New Roman"/>
        </w:rPr>
        <w:lastRenderedPageBreak/>
        <w:t>(UNNE), ubicada en el nordeste de Argentina. Presenta entre sus rasgos de identidad, particularidades que nos invitan a indagar sobre su proceso de construcción, sostenimiento y acciones desarrolladas en pos de la formación pedagógica de la docencia de esa universidad.</w:t>
      </w:r>
    </w:p>
    <w:p w14:paraId="289313E1"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El interés por esta indagación se enmarca en una investigación en curso, cuyo propósito es el estudio de los sentidos construidos sobre la formación docente, a partir del análisis de las acciones desarrolladas en el marco de dicho Programa.</w:t>
      </w:r>
    </w:p>
    <w:p w14:paraId="2D6E6EEA"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El recorte realizado para esta ocasión propone indagar la configuración de un espacio de formación pedagógica para la docencia universitaria a lo largo de más de veinte años. Durante ese período se consolidaron prácticas y se construyeron sentidos en torno a lo que implica ser docente universitario/a en esta institución en particular, y su vinculación con la formación pedagógica que se requiere desde diferentes marcos normativos para sostener los cargos docentes.</w:t>
      </w:r>
    </w:p>
    <w:p w14:paraId="00A1C820"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El diálogo entre las voces de quienes fueran coordinadoras de este programa, que representan las narraciones de la experiencia de quienes tomaron decisiones como parte del funcionamiento de este espacio, y las normativas que lo regularon, favoreció para esta ocasión una reconstrucción parcial de esta trayectoria de formación. Este abordaje, además, nos permite avanzar en la comprensión de posibles modos de procesar las demandas de las políticas educativas construidas en marcos institucionales específicos y,</w:t>
      </w:r>
      <w:r>
        <w:rPr>
          <w:rFonts w:ascii="Times New Roman" w:eastAsia="Times New Roman" w:hAnsi="Times New Roman" w:cs="Times New Roman"/>
        </w:rPr>
        <w:t xml:space="preserve"> en este caso puntual, vinculadas a la formación pedagógica de la docencia universitaria.</w:t>
      </w:r>
    </w:p>
    <w:p w14:paraId="5987212E" w14:textId="77777777" w:rsidR="005D78FD" w:rsidRDefault="005D78FD">
      <w:pPr>
        <w:spacing w:after="0" w:line="240" w:lineRule="auto"/>
        <w:jc w:val="both"/>
        <w:rPr>
          <w:rFonts w:ascii="Times New Roman" w:eastAsia="Times New Roman" w:hAnsi="Times New Roman" w:cs="Times New Roman"/>
        </w:rPr>
      </w:pPr>
    </w:p>
    <w:p w14:paraId="3010CC56" w14:textId="77777777" w:rsidR="005D78FD" w:rsidRDefault="001C0910">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Desarrollo</w:t>
      </w:r>
    </w:p>
    <w:p w14:paraId="0F7BD065" w14:textId="77777777" w:rsidR="005D78FD" w:rsidRDefault="001C0910">
      <w:pPr>
        <w:spacing w:line="240" w:lineRule="auto"/>
        <w:jc w:val="both"/>
        <w:rPr>
          <w:rFonts w:ascii="Times New Roman" w:eastAsia="Times New Roman" w:hAnsi="Times New Roman" w:cs="Times New Roman"/>
        </w:rPr>
      </w:pPr>
      <w:r>
        <w:rPr>
          <w:rFonts w:ascii="Times New Roman" w:eastAsia="Times New Roman" w:hAnsi="Times New Roman" w:cs="Times New Roman"/>
        </w:rPr>
        <w:t>A continuación, presentamos un breve marco referencial que orientó nuestro trabajo en el recorte realizado para esta ocasión. Asimismo, explicitamos nuestras decisiones metodológicas y por último, socializamos los resultados y discusiones alcanzados en este momento de desarrollo de la investigación.</w:t>
      </w:r>
    </w:p>
    <w:p w14:paraId="1BF65B4E" w14:textId="77777777" w:rsidR="005D78FD" w:rsidRDefault="001C0910">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Marco referencial</w:t>
      </w:r>
    </w:p>
    <w:p w14:paraId="5519840B"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El marco referencial se organiza en torno a dos ejes de análisis. Por un lado, un nivel macro, vinculado específicamente con las demandas profesionales que emergieron en el contexto universitario, y por otro lado, un nivel micro, desde el cual recuperamos aportes que permiten comprender la relevancia de la formación pedagógica en la universidad. </w:t>
      </w:r>
    </w:p>
    <w:p w14:paraId="4EEB897D"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relación con el primer eje, reconocemos que la sanción de la Ley de Educación Superior N.º 24.521 (LES) en Argentina introdujo transformaciones significativas en el sistema universitario. En lo que respecta a nuestro objeto de análisis, la ley incorpora la garantía de la carrera docente y establece, en su artículo 37, que “las instituciones universitarias garantizarán el perfeccionamiento de sus docentes”. En consonancia con este planteo, la Declaración Mundial sobre la Educación Superior en el Siglo XXI</w:t>
      </w:r>
      <w:r>
        <w:rPr>
          <w:rFonts w:ascii="Times New Roman" w:eastAsia="Times New Roman" w:hAnsi="Times New Roman" w:cs="Times New Roman"/>
        </w:rPr>
        <w:t xml:space="preserve">: Visión y Acción de la UNESCO (1998) señala, en su artículo 10, la necesidad de que las instituciones universitarias desarrollen políticas de formación de su personal orientadas al mejoramiento de las competencias pedagógicas y al estímulo permanente de la innovación en los planes de estudio y en los métodos de enseñanza y aprendizaje. </w:t>
      </w:r>
    </w:p>
    <w:p w14:paraId="3D06650A"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Posteriormente, otro punto de inflexión en Argentina, tuvo lugar en el año 2015 con la aprobación del Convenio Colectivo de Trabajo para el sector docente de las universidades nacionales (CCT), él mismo estableció en su artículo 26, el perfeccionamiento docente, </w:t>
      </w:r>
      <w:r>
        <w:rPr>
          <w:rFonts w:ascii="Times New Roman" w:eastAsia="Times New Roman" w:hAnsi="Times New Roman" w:cs="Times New Roman"/>
        </w:rPr>
        <w:lastRenderedPageBreak/>
        <w:t xml:space="preserve">como un eje relevante de atención, en la medida en que deben ofrecerse espacios institucionales que contribuyan a la formación del plantel docente de las instituciones. </w:t>
      </w:r>
    </w:p>
    <w:p w14:paraId="395F084D"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Más recientemente, la relevancia de esta temática queda explicitada en las conclusiones del eje temático “Nº 7 – Trabajo docente y condiciones de vida de los actores de la educación superior” de la Conferencia Regional de Educación Superior (CRES, 2024), donde se destaca la importancia de la formación continua y del desarrollo profesional de los educadores. En este sentido, se señala que la promoción de la formación permanente no solo beneficia a los trabajadores involucrados, sino que también contribuye di</w:t>
      </w:r>
      <w:r>
        <w:rPr>
          <w:rFonts w:ascii="Times New Roman" w:eastAsia="Times New Roman" w:hAnsi="Times New Roman" w:cs="Times New Roman"/>
        </w:rPr>
        <w:t xml:space="preserve">rectamente a la mejora constante de la calidad educativa y al fortalecimiento de las instituciones. Asimismo, al mantener al personal actualizado respecto de las innovaciones y los nuevos enfoques pedagógicos, se favorece la construcción de entornos de aprendizaje dinámicos y relevantes para las y los estudiantes. </w:t>
      </w:r>
    </w:p>
    <w:p w14:paraId="0DCE3962"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Todas estas discusiones y sus consecuentes formalizaciones, se enmarcan en los procesos de transformación de la educación superior. De acuerdo con Edelstein (2014) desde los años 90, estas modificaciones afectan las políticas de gobierno, organización, administración y financiamiento, e impulsan la reorientación del trabajo académico. Esto significó en la formación docente promover:</w:t>
      </w:r>
    </w:p>
    <w:p w14:paraId="3B7C1C0D"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234CE216" w14:textId="77777777" w:rsidR="005D78FD" w:rsidRDefault="001C0910">
      <w:pPr>
        <w:spacing w:after="0" w:line="240" w:lineRule="auto"/>
        <w:ind w:left="560"/>
        <w:jc w:val="both"/>
        <w:rPr>
          <w:rFonts w:ascii="Times New Roman" w:eastAsia="Times New Roman" w:hAnsi="Times New Roman" w:cs="Times New Roman"/>
        </w:rPr>
      </w:pPr>
      <w:r>
        <w:rPr>
          <w:rFonts w:ascii="Times New Roman" w:eastAsia="Times New Roman" w:hAnsi="Times New Roman" w:cs="Times New Roman"/>
        </w:rPr>
        <w:t>un giro acorde con las tareas, exigencias, responsabilidades y disposiciones que como profesionales les cabe desempeñar a los docentes tanto con relación al núcleo de su trabajo —la enseñanza— como las que devienen de sus compromisos institucionales y sociales más amplios. (p.30).</w:t>
      </w:r>
    </w:p>
    <w:p w14:paraId="578A24C8" w14:textId="77777777" w:rsidR="005D78FD" w:rsidRDefault="005D78FD">
      <w:pPr>
        <w:spacing w:after="0" w:line="240" w:lineRule="auto"/>
        <w:jc w:val="both"/>
        <w:rPr>
          <w:rFonts w:ascii="Times New Roman" w:eastAsia="Times New Roman" w:hAnsi="Times New Roman" w:cs="Times New Roman"/>
        </w:rPr>
      </w:pPr>
    </w:p>
    <w:p w14:paraId="69B1EEBC"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Como señala Nosiglia (2011), a nivel macro estos cambios alteraron de manera masiva los equilibrios de poder, a partir de la redefinición y diversificación de los roles de las instancias nacionales de gobierno, así como de la creación de nuevos espacios orientados a coordinar y articular el funcionamiento integral del sistema. En paralelo, se desarrollaron nuevas formas asociadas tanto a cambios en la organización como en los esquemas de financiamiento. No obstante, estos procesos encontraron amplias resist</w:t>
      </w:r>
      <w:r>
        <w:rPr>
          <w:rFonts w:ascii="Times New Roman" w:eastAsia="Times New Roman" w:hAnsi="Times New Roman" w:cs="Times New Roman"/>
        </w:rPr>
        <w:t>encias en la medida en que los grupos académicos interpretaron y respondieron a las transformaciones desde sus propias concepciones sobre la actividad académica legítima.</w:t>
      </w:r>
    </w:p>
    <w:p w14:paraId="6A209995"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consonancia con lo anterior, Chiroleu (2020) sostiene que es en la década de 1990, en el marco de gobiernos de orientación neoliberal y bajo la influencia de organismos internacionales, cuando se rediseñan las agendas de educación superior. Desde la creación de la CONEAU esto aparece claramente. La evaluación y acreditación de instituciones, programas y profesionales adquieren centralidad, asociadas a las preocupaciones por la calidad académica frente a una expansión del sistema sin planificación.</w:t>
      </w:r>
    </w:p>
    <w:p w14:paraId="7FB0C98F"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este marco, Araujo (2017) sostiene que existen tres cuestiones claves para comprender la relación entre evaluación y mejora educativa. En primer lugar, la asociación casi automática entre ambos conceptos, es decir, la idea extendida de que todo proceso de evaluación conduce necesariamente a mejoras en las instituciones. En segundo término, señala la consolidación del concepto de calidad como una noción aparentemente unívoca y consensuada acerca de lo que la educación superior debería ser. Este término ha</w:t>
      </w:r>
      <w:r>
        <w:rPr>
          <w:rFonts w:ascii="Times New Roman" w:eastAsia="Times New Roman" w:hAnsi="Times New Roman" w:cs="Times New Roman"/>
        </w:rPr>
        <w:t xml:space="preserve"> funcionado como un principio orientador que remite a la necesidad de “estar mejor” respecto de una situación previa, activando amplios consensos, ya que difícilmente </w:t>
      </w:r>
      <w:r>
        <w:rPr>
          <w:rFonts w:ascii="Times New Roman" w:eastAsia="Times New Roman" w:hAnsi="Times New Roman" w:cs="Times New Roman"/>
        </w:rPr>
        <w:lastRenderedPageBreak/>
        <w:t>alguien se opondría a una educación de calidad. Sin embargo, al profundizar en su significado, emergen múltiples interpretaciones que responden a distintos proyectos universitarios y que implican diversas prioridades respecto de qué transformar o que preservar para mejorar la educación. De allí se desprende una tercera cuestión, vinculada al p</w:t>
      </w:r>
      <w:r>
        <w:rPr>
          <w:rFonts w:ascii="Times New Roman" w:eastAsia="Times New Roman" w:hAnsi="Times New Roman" w:cs="Times New Roman"/>
        </w:rPr>
        <w:t>ropio concepto de evaluación: su finalidad, sus procedimientos y su relación con los procesos de cambio educativo.</w:t>
      </w:r>
    </w:p>
    <w:p w14:paraId="3C316A63"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Ahora bien, si nos centramos en el segundo eje teórico, a nivel de las instituciones universitarias se fueron generando diferentes modalidades que regulan la formación pedagógica de los docentes universitarios: carrera docente, asesoría pedagógica, programas de formación continua, incentivos para el posgrado, entre otras, constituyen vías a través de las cuales la profesionalización docente se instala en la universidad como preocupación académica. </w:t>
      </w:r>
    </w:p>
    <w:p w14:paraId="4ECB201F"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Es por ello que entendemos que, la formación pedagógica constituye un elemento que cobra cada vez mayor relevancia para evaluar el ingreso, la permanencia y la promoción docente dentro de la carrera académica universitaria en términos más micro. La carrera docente/académica remite, en términos generales a “un conjunto de normas y procedimientos que delinean requisitos, derechos y obligaciones y regulan el trabajo y las trayectorias docentes particulares en el marco del cumplimiento de las funciones sustanti</w:t>
      </w:r>
      <w:r>
        <w:rPr>
          <w:rFonts w:ascii="Times New Roman" w:eastAsia="Times New Roman" w:hAnsi="Times New Roman" w:cs="Times New Roman"/>
        </w:rPr>
        <w:t xml:space="preserve">vas de la universidad” (Walker y Rodera, 2026, p.03). En nuestro caso, entendemos que la evaluación de la calidad universitaria, reseñada previamente, cada vez toma con mayor fuerza la formación pedagógica como un elemento que repercute en la dimensión de la enseñanza del trabajo docente universitario. </w:t>
      </w:r>
    </w:p>
    <w:p w14:paraId="619C1C07"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En el caso de la Universidad de referencia para este trabajo, la Ordenanza de Carrera Docente (RES - 2025 - 1070 - CS # UNNE) reconoce este enfoque al señalar explícitamente la centralidad de la formación pedagógica en el ejercicio profesional, incorporándola como un criterio relevante en los procesos de evaluación y promoción dentro de la carrera académica. </w:t>
      </w:r>
    </w:p>
    <w:p w14:paraId="3CEC1F6C"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Entendemos que la formación docente, lejos de reducirse a la adquisición de competencias técnicas, debería ser pensada como un proceso reflexivo, situado y políticamente comprometido, anclado en una forma de pensar la institución educativa, porque sin ello, “la formación pierde su densidad histórico política, su soporte material y simbólico” (D'Iorio, 2012, p.55). En un contexto donde la docencia universitaria ha sido históricamente entendida como “segunda profesión”, fortalecer su dimensión pedagógica supo</w:t>
      </w:r>
      <w:r>
        <w:rPr>
          <w:rFonts w:ascii="Times New Roman" w:eastAsia="Times New Roman" w:hAnsi="Times New Roman" w:cs="Times New Roman"/>
        </w:rPr>
        <w:t xml:space="preserve">ne reconocer la complejidad de la enseñanza, visibilizar los saberes que la sostienen y generar condiciones institucionales que hagan posible el desarrollo profesional. </w:t>
      </w:r>
    </w:p>
    <w:p w14:paraId="497E34C5"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Profundizar y enriquecer la dimensión pedagógica constituye un desafío por hacer visibles los saberes, las prácticas, y las propuestas de intervención y transformación pedagógicas y didácticas que se ponen en juego en el ámbito universitario. Tarea de enorme complejidad, en cuanto supone reconocer a la universidad como territorio en tanto “cerco y (...) superficie que limita, regula los intercambios, define y propone lo pensable, lo decible, lo sensible” (Korinfeld, 2019, p.30). Así como también, forma part</w:t>
      </w:r>
      <w:r>
        <w:rPr>
          <w:rFonts w:ascii="Times New Roman" w:eastAsia="Times New Roman" w:hAnsi="Times New Roman" w:cs="Times New Roman"/>
        </w:rPr>
        <w:t>e de este proceso complejo, reconocer las tensiones propias de las decisiones que afectan “los diversos modos de organización político-pedagógica del colectivo de educadores, la identidad docente y la composición actual del puesto de trabajo de los educadores y los procesos de democratización del conocimiento” (Birgin, 2012, p.25).</w:t>
      </w:r>
    </w:p>
    <w:p w14:paraId="09BB4ECC"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 </w:t>
      </w:r>
    </w:p>
    <w:p w14:paraId="71CAAACB" w14:textId="77777777" w:rsidR="005D78FD" w:rsidRDefault="001C0910">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Decisiones metodológicas</w:t>
      </w:r>
    </w:p>
    <w:p w14:paraId="070720EA"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La investigación en curso</w:t>
      </w:r>
      <w:r>
        <w:rPr>
          <w:rFonts w:ascii="Times New Roman" w:eastAsia="Times New Roman" w:hAnsi="Times New Roman" w:cs="Times New Roman"/>
          <w:color w:val="FF0000"/>
        </w:rPr>
        <w:t xml:space="preserve"> </w:t>
      </w:r>
      <w:r>
        <w:rPr>
          <w:rFonts w:ascii="Times New Roman" w:eastAsia="Times New Roman" w:hAnsi="Times New Roman" w:cs="Times New Roman"/>
        </w:rPr>
        <w:t>asume un abordaje de corte cualitativo porque nos interesa comprender y describir, de manera reflexiva y analítica, procesos y sentidos construidos por diferentes actores en la interrelación de las dimensiones subjetivas, institucionales, pedagógicas y de política educativa.</w:t>
      </w:r>
    </w:p>
    <w:p w14:paraId="37866B87" w14:textId="77777777" w:rsidR="005D78FD" w:rsidRDefault="001C0910">
      <w:pPr>
        <w:spacing w:after="0" w:line="240" w:lineRule="auto"/>
        <w:jc w:val="both"/>
        <w:rPr>
          <w:rFonts w:ascii="Arial" w:eastAsia="Arial" w:hAnsi="Arial" w:cs="Arial"/>
          <w:sz w:val="20"/>
          <w:szCs w:val="20"/>
        </w:rPr>
      </w:pPr>
      <w:r>
        <w:rPr>
          <w:rFonts w:ascii="Times New Roman" w:eastAsia="Times New Roman" w:hAnsi="Times New Roman" w:cs="Times New Roman"/>
        </w:rPr>
        <w:t>Para esta ocasión trabajamos con normativas de carácter nacional, como la Ley de Educación Superior (1995) y el Convenio Colectivo de Trabajo Docente (2015); y nivel  local</w:t>
      </w:r>
      <w:r>
        <w:rPr>
          <w:rFonts w:ascii="Times New Roman" w:eastAsia="Times New Roman" w:hAnsi="Times New Roman" w:cs="Times New Roman"/>
        </w:rPr>
        <w:t xml:space="preserve"> trabajamos con un breve corpus de resoluciones emanadas por el Consejo Superior de la Universidad y que refieren a aspectos de su funcionamiento. La lectura de estas fuentes nos permite comprender el contexto educativo desde el cual se construyen determinados sentidos y prácticas de formación.</w:t>
      </w:r>
    </w:p>
    <w:p w14:paraId="3AD7EE90"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A nivel micro, podemos informar que realizamos entrevistas en profundidad a seis coordinadoras del PFDC, que ejercieron esa función en diferentes periodos durante el tiempo que abarca desde 1999 a 2021. Las entrevistas fueron realizadas durante los años 2024 y 2025. </w:t>
      </w:r>
      <w:r>
        <w:rPr>
          <w:rFonts w:ascii="Times New Roman" w:eastAsia="Times New Roman" w:hAnsi="Times New Roman" w:cs="Times New Roman"/>
        </w:rPr>
        <w:t xml:space="preserve">A continuación presentamos una periodización de las coordinaciones para ordenar la cronología de las gestiones señaladas posteriormente. Avanzamos en codificar a cada coordinadora con el propósito de resguardar el anonimato de las participantes:  </w:t>
      </w:r>
    </w:p>
    <w:p w14:paraId="08E7DFF6" w14:textId="77777777" w:rsidR="005D78FD" w:rsidRDefault="005D78FD">
      <w:pPr>
        <w:spacing w:after="0" w:line="240" w:lineRule="auto"/>
        <w:jc w:val="both"/>
        <w:rPr>
          <w:rFonts w:ascii="Times New Roman" w:eastAsia="Times New Roman" w:hAnsi="Times New Roman" w:cs="Times New Roman"/>
        </w:rPr>
      </w:pPr>
    </w:p>
    <w:p w14:paraId="0ABA2E5A" w14:textId="77777777" w:rsidR="005D78FD" w:rsidRDefault="005D78FD" w:rsidP="00B7097E">
      <w:pPr>
        <w:spacing w:after="0" w:line="240" w:lineRule="auto"/>
        <w:rPr>
          <w:rFonts w:ascii="Times New Roman" w:eastAsia="Times New Roman" w:hAnsi="Times New Roman" w:cs="Times New Roman"/>
        </w:rPr>
      </w:pPr>
    </w:p>
    <w:tbl>
      <w:tblPr>
        <w:tblStyle w:val="a"/>
        <w:tblW w:w="5944"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7"/>
        <w:gridCol w:w="3827"/>
      </w:tblGrid>
      <w:tr w:rsidR="005D78FD" w14:paraId="0B75D9A8" w14:textId="77777777" w:rsidTr="00B7097E">
        <w:trPr>
          <w:trHeight w:val="462"/>
          <w:tblHeader/>
          <w:jc w:val="center"/>
        </w:trPr>
        <w:tc>
          <w:tcPr>
            <w:tcW w:w="5944" w:type="dxa"/>
            <w:gridSpan w:val="2"/>
            <w:shd w:val="clear" w:color="auto" w:fill="F1F3F4"/>
            <w:tcMar>
              <w:top w:w="100" w:type="dxa"/>
              <w:left w:w="100" w:type="dxa"/>
              <w:bottom w:w="100" w:type="dxa"/>
              <w:right w:w="100" w:type="dxa"/>
            </w:tcMar>
          </w:tcPr>
          <w:p w14:paraId="2390F78E" w14:textId="59123766" w:rsidR="005D78FD" w:rsidRDefault="001C0910">
            <w:pPr>
              <w:spacing w:after="0" w:line="240" w:lineRule="auto"/>
              <w:jc w:val="center"/>
            </w:pPr>
            <w:r>
              <w:rPr>
                <w:rFonts w:ascii="Times New Roman" w:eastAsia="Times New Roman" w:hAnsi="Times New Roman" w:cs="Times New Roman"/>
                <w:b/>
                <w:bCs/>
              </w:rPr>
              <w:t xml:space="preserve">Periodización de las coordinaciones del PFDC </w:t>
            </w:r>
          </w:p>
        </w:tc>
      </w:tr>
      <w:tr w:rsidR="005D78FD" w14:paraId="737F1A39" w14:textId="77777777" w:rsidTr="00B7097E">
        <w:trPr>
          <w:trHeight w:val="250"/>
          <w:jc w:val="center"/>
        </w:trPr>
        <w:tc>
          <w:tcPr>
            <w:tcW w:w="2117" w:type="dxa"/>
            <w:tcMar>
              <w:top w:w="100" w:type="dxa"/>
              <w:left w:w="100" w:type="dxa"/>
              <w:bottom w:w="100" w:type="dxa"/>
              <w:right w:w="100" w:type="dxa"/>
            </w:tcMar>
          </w:tcPr>
          <w:p w14:paraId="432BB80E" w14:textId="77777777" w:rsidR="005D78FD" w:rsidRDefault="001C0910">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Pr>
                <w:rFonts w:ascii="Times New Roman" w:eastAsia="Times New Roman" w:hAnsi="Times New Roman" w:cs="Times New Roman"/>
              </w:rPr>
              <w:t>Identificación</w:t>
            </w:r>
          </w:p>
        </w:tc>
        <w:tc>
          <w:tcPr>
            <w:tcW w:w="3827" w:type="dxa"/>
            <w:tcMar>
              <w:top w:w="100" w:type="dxa"/>
              <w:left w:w="100" w:type="dxa"/>
              <w:bottom w:w="100" w:type="dxa"/>
              <w:right w:w="100" w:type="dxa"/>
            </w:tcMar>
          </w:tcPr>
          <w:p w14:paraId="7F40C97F" w14:textId="77777777" w:rsidR="005D78FD" w:rsidRDefault="001C0910">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Período </w:t>
            </w:r>
          </w:p>
        </w:tc>
      </w:tr>
      <w:tr w:rsidR="005D78FD" w14:paraId="1258A304" w14:textId="77777777" w:rsidTr="00B7097E">
        <w:trPr>
          <w:trHeight w:val="238"/>
          <w:jc w:val="center"/>
        </w:trPr>
        <w:tc>
          <w:tcPr>
            <w:tcW w:w="2117" w:type="dxa"/>
            <w:tcMar>
              <w:top w:w="100" w:type="dxa"/>
              <w:left w:w="100" w:type="dxa"/>
              <w:bottom w:w="100" w:type="dxa"/>
              <w:right w:w="100" w:type="dxa"/>
            </w:tcMar>
          </w:tcPr>
          <w:p w14:paraId="6E1DFE1B" w14:textId="77777777" w:rsidR="005D78FD" w:rsidRDefault="001C0910" w:rsidP="00B7097E">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Pr>
                <w:rFonts w:ascii="Times New Roman" w:eastAsia="Times New Roman" w:hAnsi="Times New Roman" w:cs="Times New Roman"/>
              </w:rPr>
              <w:t>C1</w:t>
            </w:r>
          </w:p>
        </w:tc>
        <w:tc>
          <w:tcPr>
            <w:tcW w:w="3827" w:type="dxa"/>
            <w:tcMar>
              <w:top w:w="100" w:type="dxa"/>
              <w:left w:w="100" w:type="dxa"/>
              <w:bottom w:w="100" w:type="dxa"/>
              <w:right w:w="100" w:type="dxa"/>
            </w:tcMar>
          </w:tcPr>
          <w:p w14:paraId="0FAA4653" w14:textId="77777777" w:rsidR="005D78FD" w:rsidRDefault="001C0910" w:rsidP="00B7097E">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1999-2003</w:t>
            </w:r>
          </w:p>
        </w:tc>
      </w:tr>
      <w:tr w:rsidR="005D78FD" w14:paraId="74898ADC" w14:textId="77777777" w:rsidTr="00B7097E">
        <w:trPr>
          <w:trHeight w:val="238"/>
          <w:jc w:val="center"/>
        </w:trPr>
        <w:tc>
          <w:tcPr>
            <w:tcW w:w="2117" w:type="dxa"/>
            <w:tcMar>
              <w:top w:w="100" w:type="dxa"/>
              <w:left w:w="100" w:type="dxa"/>
              <w:bottom w:w="100" w:type="dxa"/>
              <w:right w:w="100" w:type="dxa"/>
            </w:tcMar>
          </w:tcPr>
          <w:p w14:paraId="6D728127" w14:textId="77777777" w:rsidR="005D78FD" w:rsidRDefault="001C0910" w:rsidP="00B7097E">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Pr>
                <w:rFonts w:ascii="Times New Roman" w:eastAsia="Times New Roman" w:hAnsi="Times New Roman" w:cs="Times New Roman"/>
              </w:rPr>
              <w:t>C2</w:t>
            </w:r>
          </w:p>
        </w:tc>
        <w:tc>
          <w:tcPr>
            <w:tcW w:w="3827" w:type="dxa"/>
            <w:tcMar>
              <w:top w:w="100" w:type="dxa"/>
              <w:left w:w="100" w:type="dxa"/>
              <w:bottom w:w="100" w:type="dxa"/>
              <w:right w:w="100" w:type="dxa"/>
            </w:tcMar>
          </w:tcPr>
          <w:p w14:paraId="5CD1B7EB" w14:textId="77777777" w:rsidR="005D78FD" w:rsidRDefault="001C0910" w:rsidP="00B7097E">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2003-2005</w:t>
            </w:r>
          </w:p>
        </w:tc>
      </w:tr>
      <w:tr w:rsidR="005D78FD" w14:paraId="6F8B8501" w14:textId="77777777" w:rsidTr="00B7097E">
        <w:trPr>
          <w:trHeight w:val="238"/>
          <w:jc w:val="center"/>
        </w:trPr>
        <w:tc>
          <w:tcPr>
            <w:tcW w:w="2117" w:type="dxa"/>
            <w:tcMar>
              <w:top w:w="100" w:type="dxa"/>
              <w:left w:w="100" w:type="dxa"/>
              <w:bottom w:w="100" w:type="dxa"/>
              <w:right w:w="100" w:type="dxa"/>
            </w:tcMar>
          </w:tcPr>
          <w:p w14:paraId="5BA1079E" w14:textId="77777777" w:rsidR="005D78FD" w:rsidRDefault="001C0910" w:rsidP="00B7097E">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Pr>
                <w:rFonts w:ascii="Times New Roman" w:eastAsia="Times New Roman" w:hAnsi="Times New Roman" w:cs="Times New Roman"/>
              </w:rPr>
              <w:t>C3</w:t>
            </w:r>
          </w:p>
        </w:tc>
        <w:tc>
          <w:tcPr>
            <w:tcW w:w="3827" w:type="dxa"/>
            <w:tcMar>
              <w:top w:w="100" w:type="dxa"/>
              <w:left w:w="100" w:type="dxa"/>
              <w:bottom w:w="100" w:type="dxa"/>
              <w:right w:w="100" w:type="dxa"/>
            </w:tcMar>
          </w:tcPr>
          <w:p w14:paraId="4BAE0F3D" w14:textId="77777777" w:rsidR="005D78FD" w:rsidRDefault="001C0910" w:rsidP="00B7097E">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2005-2010</w:t>
            </w:r>
          </w:p>
        </w:tc>
      </w:tr>
      <w:tr w:rsidR="005D78FD" w14:paraId="07C8F69D" w14:textId="77777777" w:rsidTr="00B7097E">
        <w:trPr>
          <w:trHeight w:val="238"/>
          <w:jc w:val="center"/>
        </w:trPr>
        <w:tc>
          <w:tcPr>
            <w:tcW w:w="2117" w:type="dxa"/>
            <w:tcMar>
              <w:top w:w="100" w:type="dxa"/>
              <w:left w:w="100" w:type="dxa"/>
              <w:bottom w:w="100" w:type="dxa"/>
              <w:right w:w="100" w:type="dxa"/>
            </w:tcMar>
          </w:tcPr>
          <w:p w14:paraId="567A5C24" w14:textId="77777777" w:rsidR="005D78FD" w:rsidRDefault="001C0910" w:rsidP="00B7097E">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Pr>
                <w:rFonts w:ascii="Times New Roman" w:eastAsia="Times New Roman" w:hAnsi="Times New Roman" w:cs="Times New Roman"/>
              </w:rPr>
              <w:t>C4</w:t>
            </w:r>
          </w:p>
        </w:tc>
        <w:tc>
          <w:tcPr>
            <w:tcW w:w="3827" w:type="dxa"/>
            <w:tcMar>
              <w:top w:w="100" w:type="dxa"/>
              <w:left w:w="100" w:type="dxa"/>
              <w:bottom w:w="100" w:type="dxa"/>
              <w:right w:w="100" w:type="dxa"/>
            </w:tcMar>
          </w:tcPr>
          <w:p w14:paraId="2F2DB6C2" w14:textId="77777777" w:rsidR="005D78FD" w:rsidRDefault="001C0910" w:rsidP="00B7097E">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2010-2014</w:t>
            </w:r>
          </w:p>
        </w:tc>
      </w:tr>
      <w:tr w:rsidR="005D78FD" w14:paraId="768651DA" w14:textId="77777777" w:rsidTr="00B7097E">
        <w:trPr>
          <w:trHeight w:val="238"/>
          <w:jc w:val="center"/>
        </w:trPr>
        <w:tc>
          <w:tcPr>
            <w:tcW w:w="2117" w:type="dxa"/>
            <w:tcMar>
              <w:top w:w="100" w:type="dxa"/>
              <w:left w:w="100" w:type="dxa"/>
              <w:bottom w:w="100" w:type="dxa"/>
              <w:right w:w="100" w:type="dxa"/>
            </w:tcMar>
          </w:tcPr>
          <w:p w14:paraId="43A9991C" w14:textId="77777777" w:rsidR="005D78FD" w:rsidRDefault="001C0910" w:rsidP="00B7097E">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Pr>
                <w:rFonts w:ascii="Times New Roman" w:eastAsia="Times New Roman" w:hAnsi="Times New Roman" w:cs="Times New Roman"/>
              </w:rPr>
              <w:t>C5</w:t>
            </w:r>
          </w:p>
        </w:tc>
        <w:tc>
          <w:tcPr>
            <w:tcW w:w="3827" w:type="dxa"/>
            <w:tcMar>
              <w:top w:w="100" w:type="dxa"/>
              <w:left w:w="100" w:type="dxa"/>
              <w:bottom w:w="100" w:type="dxa"/>
              <w:right w:w="100" w:type="dxa"/>
            </w:tcMar>
          </w:tcPr>
          <w:p w14:paraId="5C63AA3A" w14:textId="77777777" w:rsidR="005D78FD" w:rsidRDefault="001C0910" w:rsidP="00B7097E">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2014-2019</w:t>
            </w:r>
          </w:p>
        </w:tc>
      </w:tr>
      <w:tr w:rsidR="00B7097E" w14:paraId="3C9A7189" w14:textId="77777777" w:rsidTr="00B7097E">
        <w:trPr>
          <w:trHeight w:val="238"/>
          <w:jc w:val="center"/>
        </w:trPr>
        <w:tc>
          <w:tcPr>
            <w:tcW w:w="5944" w:type="dxa"/>
            <w:gridSpan w:val="2"/>
            <w:tcMar>
              <w:top w:w="100" w:type="dxa"/>
              <w:left w:w="100" w:type="dxa"/>
              <w:bottom w:w="100" w:type="dxa"/>
              <w:right w:w="100" w:type="dxa"/>
            </w:tcMar>
          </w:tcPr>
          <w:p w14:paraId="690D4199" w14:textId="69EB0858" w:rsidR="00B7097E" w:rsidRDefault="00B7097E" w:rsidP="00B7097E">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Pr>
                <w:rFonts w:ascii="Times New Roman" w:eastAsia="Times New Roman" w:hAnsi="Times New Roman" w:cs="Times New Roman"/>
              </w:rPr>
              <w:t>Durante la pandemia no se registra actividad del PFDC.</w:t>
            </w:r>
          </w:p>
        </w:tc>
      </w:tr>
      <w:tr w:rsidR="005D78FD" w14:paraId="39D46532" w14:textId="77777777" w:rsidTr="00B7097E">
        <w:trPr>
          <w:trHeight w:val="238"/>
          <w:jc w:val="center"/>
        </w:trPr>
        <w:tc>
          <w:tcPr>
            <w:tcW w:w="2117" w:type="dxa"/>
            <w:tcMar>
              <w:top w:w="100" w:type="dxa"/>
              <w:left w:w="100" w:type="dxa"/>
              <w:bottom w:w="100" w:type="dxa"/>
              <w:right w:w="100" w:type="dxa"/>
            </w:tcMar>
          </w:tcPr>
          <w:p w14:paraId="0C025E47" w14:textId="77777777" w:rsidR="005D78FD" w:rsidRDefault="001C0910" w:rsidP="00B7097E">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Pr>
                <w:rFonts w:ascii="Times New Roman" w:eastAsia="Times New Roman" w:hAnsi="Times New Roman" w:cs="Times New Roman"/>
              </w:rPr>
              <w:t>C6</w:t>
            </w:r>
          </w:p>
        </w:tc>
        <w:tc>
          <w:tcPr>
            <w:tcW w:w="3827" w:type="dxa"/>
            <w:tcMar>
              <w:top w:w="100" w:type="dxa"/>
              <w:left w:w="100" w:type="dxa"/>
              <w:bottom w:w="100" w:type="dxa"/>
              <w:right w:w="100" w:type="dxa"/>
            </w:tcMar>
          </w:tcPr>
          <w:p w14:paraId="51E78489" w14:textId="338038DD" w:rsidR="005D78FD" w:rsidRDefault="001C0910" w:rsidP="00B7097E">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2021-2022</w:t>
            </w:r>
          </w:p>
        </w:tc>
      </w:tr>
    </w:tbl>
    <w:p w14:paraId="243AF872" w14:textId="77777777" w:rsidR="005D78FD" w:rsidRDefault="001C091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 xml:space="preserve">Fuente: Elaboración propia. </w:t>
      </w:r>
    </w:p>
    <w:p w14:paraId="0559F99F" w14:textId="77777777" w:rsidR="005D78FD" w:rsidRDefault="005D78FD">
      <w:pPr>
        <w:spacing w:after="0" w:line="240" w:lineRule="auto"/>
        <w:jc w:val="both"/>
        <w:rPr>
          <w:rFonts w:ascii="Times New Roman" w:eastAsia="Times New Roman" w:hAnsi="Times New Roman" w:cs="Times New Roman"/>
        </w:rPr>
      </w:pPr>
    </w:p>
    <w:p w14:paraId="67C9F1D2"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el trabajo con las diferentes protagonistas la narrativa nos colocó frente a una apertura a sus “supuestos e ideas sobre la enseñanza, de sus recorridos y experiencias laborales, (...) de sus interrogantes y convicciones pedagógicas, y también de sus inquietudes, deseos y logros personales” (Suarez, 2017, p. 102). No desconocemos los riesgos que este abordaje conlleva, ya que muchas de estas entrevistas exigieron a las coordinadoras un importante ejercicio de memoria. En este proceso emerge la traducción</w:t>
      </w:r>
      <w:r>
        <w:rPr>
          <w:rFonts w:ascii="Times New Roman" w:eastAsia="Times New Roman" w:hAnsi="Times New Roman" w:cs="Times New Roman"/>
        </w:rPr>
        <w:t xml:space="preserve"> e interpretación </w:t>
      </w:r>
      <w:r>
        <w:rPr>
          <w:rFonts w:ascii="Times New Roman" w:eastAsia="Times New Roman" w:hAnsi="Times New Roman" w:cs="Times New Roman"/>
        </w:rPr>
        <w:lastRenderedPageBreak/>
        <w:t xml:space="preserve">que cada una de ellas realiza de acontecimientos vividos en otro tiempo. Entendemos, sin embargo, que la fortaleza de esta perspectiva radica en que el tiempo transcurrido favorece la adopción de una posición más reflexiva y, posiblemente, más crítica respecto de dichos acontecimientos. </w:t>
      </w:r>
    </w:p>
    <w:p w14:paraId="494EF3CF"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Por último, la articulación entre las diferentes fuentes nos permitió avanzar en una reconstrucción parcial de la trayectoria del PFDC en el tiempo informado.</w:t>
      </w:r>
    </w:p>
    <w:p w14:paraId="74EC22F7"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2206449C" w14:textId="77777777" w:rsidR="005D78FD" w:rsidRDefault="001C0910">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Resultados y discusiones</w:t>
      </w:r>
    </w:p>
    <w:p w14:paraId="6582D748"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6789D15A" w14:textId="77777777" w:rsidR="005D78FD" w:rsidRDefault="001C0910">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Una breve reconstrucción del recorrido institucional del PFDC </w:t>
      </w:r>
    </w:p>
    <w:p w14:paraId="2D314EA0"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un trabajo previo (Ramirez y Cáceres, 2026) sostuvimos que comprender los cambios acontecidos en el mundo y su impacto en el escenario universitario permite reconocer las demandas que se plantean a las instituciones de educación superior y a las prácticas docentes universitarias. Como advertimos en el marco referencial, a fines de los 90 comenzaron a instalarse discursos vinculados con el inicio de un nuevo periodo en las universidades públicas, en las que aparece en la dinámica de funcionamiento lógicas</w:t>
      </w:r>
      <w:r>
        <w:rPr>
          <w:rFonts w:ascii="Times New Roman" w:eastAsia="Times New Roman" w:hAnsi="Times New Roman" w:cs="Times New Roman"/>
        </w:rPr>
        <w:t xml:space="preserve"> que vinculan a la evaluación con la calidad educativa, e instalan a la docencia universitaria en un lugar relevante, principalmente como agentes que llevarán adelante los cambios anunciados. De allí que partimos de considerar que la creación del PFDC en el año 1998, resultó el modo de procesar las interpelaciones que se realizaron a las Universidades nacionales en relación con la formación pedagógica de sus docentes.</w:t>
      </w:r>
    </w:p>
    <w:p w14:paraId="57A21D4D"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Este programa</w:t>
      </w:r>
      <w:r>
        <w:rPr>
          <w:rFonts w:ascii="Times New Roman" w:eastAsia="Times New Roman" w:hAnsi="Times New Roman" w:cs="Times New Roman"/>
          <w:color w:val="5F497A"/>
        </w:rPr>
        <w:t xml:space="preserve"> </w:t>
      </w:r>
      <w:r>
        <w:rPr>
          <w:rFonts w:ascii="Times New Roman" w:eastAsia="Times New Roman" w:hAnsi="Times New Roman" w:cs="Times New Roman"/>
        </w:rPr>
        <w:t xml:space="preserve">se estableció como una estrategia de profesionalización del personal docente en la universidad en cuestión, deudora de estos procesos de evaluación de la calidad universitaria y de cambio curricular. </w:t>
      </w:r>
    </w:p>
    <w:p w14:paraId="014AF043"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Haciendo un recuento breve de la trayectoria del PFDC, podemos mencionar que se crea en 1998 por Res. Nº 690/98- C.S.-UNNE- y comienza sus actividades en el año 1999 con la puesta en marcha de un curso de posgrado denominado “Docencia Universitaria: teoría y práctica”. Durante los primeros cinco años de desarrollo, se ponen en marcha las carreras de posgrado: Especialización y Maestría en Docencia Universitaria. La primera de ellas con dos cohortes desarrolladas, y la segunda con una.</w:t>
      </w:r>
    </w:p>
    <w:p w14:paraId="32EFF349"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Luego del 2003, no se registra el dictado de ninguna carrera de posgrado. Observamos que el dispositivo privilegiado de formación pasa a ser el curso de posgrado, eventualmente algún seminario o taller. Registramos el desarrollo de más de cien ofertas entre 2004 y 2021, que abordaron diferentes temáticas que pueden agruparse en grandes ejes tales como docencia universitaria, universidad, educación virtual, tutorías y otros cursos que entendemos que forman parte de un abordaje del orden de la formación gener</w:t>
      </w:r>
      <w:r>
        <w:rPr>
          <w:rFonts w:ascii="Times New Roman" w:eastAsia="Times New Roman" w:hAnsi="Times New Roman" w:cs="Times New Roman"/>
        </w:rPr>
        <w:t>al. En este último caso identificamos cursos sobre neurociencias, el contexto socio-cultural del Chaco y cursos de Inglés.</w:t>
      </w:r>
    </w:p>
    <w:p w14:paraId="3A551329"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Según lo menciona la C2 (Coordinadora 2, comunicación personal, 28 de mayo de 2025</w:t>
      </w:r>
      <w:r>
        <w:rPr>
          <w:rFonts w:ascii="Times New Roman" w:eastAsia="Times New Roman" w:hAnsi="Times New Roman" w:cs="Times New Roman"/>
        </w:rPr>
        <w:t>), los temas de formación lo definían la coordinación del programa, porque eran las especialistas, pero sus decisiones estaban fundadas en los informes de autoevaluación que oficiaban como un diagnóstico. Otras coordinadoras mencionan que las fuentes por las que obtenían información sobre posibles temáticas de formación eran las encuestas de satisfacción que realizaban después de cada propuesta, además, lo que manifestaba la Secretaría General Académica de la Universidad respecto de sus preocupaciones sobre</w:t>
      </w:r>
      <w:r>
        <w:rPr>
          <w:rFonts w:ascii="Times New Roman" w:eastAsia="Times New Roman" w:hAnsi="Times New Roman" w:cs="Times New Roman"/>
        </w:rPr>
        <w:t xml:space="preserve"> el </w:t>
      </w:r>
      <w:r>
        <w:rPr>
          <w:rFonts w:ascii="Times New Roman" w:eastAsia="Times New Roman" w:hAnsi="Times New Roman" w:cs="Times New Roman"/>
        </w:rPr>
        <w:lastRenderedPageBreak/>
        <w:t>quehacer cotidiano de los docentes y, como un factor particular, la disponibilidad de convocar a especialistas de otras universidades.</w:t>
      </w:r>
    </w:p>
    <w:p w14:paraId="6CCCD07D"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La C3 menciona que los temas de los cursos ofrecidos estaban directamente vinculados a la didáctica y a cuestiones bien específicas como planificar acciones y actividades. La evaluación fue una temática muy solicitada. En este sentido, C3 reconoce que continuaban, relativamente, con la línea de trabajo realizado en las coordinaciones que la precedieron.</w:t>
      </w:r>
    </w:p>
    <w:p w14:paraId="08674399"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Desde 2010 a 2014, se desarrollaron propuestas que surgían de las unidades académicas, en función de las necesidades de los profesores. Según menciona la C4, en este periodo había una relación más fluida con las unidades académicas y el Programa. Cabe mencionar que para esta altura, el Programa ya contaba con un poco más de diez años de funcionamiento.</w:t>
      </w:r>
    </w:p>
    <w:p w14:paraId="7C99058B"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Además, C4 menciona que en este periodo los temas de interés generalmente se vinculaban</w:t>
      </w:r>
      <w:r>
        <w:rPr>
          <w:rFonts w:ascii="Times New Roman" w:eastAsia="Times New Roman" w:hAnsi="Times New Roman" w:cs="Times New Roman"/>
        </w:rPr>
        <w:t xml:space="preserve"> con estrategias didácticas, con evaluación, con metodología de enseñanza. También se afirma que se trabajó con procesos de reflexión sobre la propia práctica. Como tendencia, a su vez, plantea que se discutía sobre innovación y competencias, muy vinculado al cambio curricular. Además, se identifica en este periodo el trabajo con las TICs, de manera más sistemática.</w:t>
      </w:r>
    </w:p>
    <w:p w14:paraId="157691D8"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Sugiere que se instalaba en aquel entonces la preocupación por pensar al docente como un profesional universitario y una fuerte intención de democratizar el acceso a la formación, enfatizando en la formación de diferentes disciplinas, por ejemplo matemáticas. Este sentido de democratización lo traslada a la reflexión sobre los especialistas que se hacían cargo de las ofertas, y menciona que resultaba importante ampliar la convocatoria a docentes que nunca habían participado en estos espacios como formadores</w:t>
      </w:r>
      <w:r>
        <w:rPr>
          <w:rFonts w:ascii="Times New Roman" w:eastAsia="Times New Roman" w:hAnsi="Times New Roman" w:cs="Times New Roman"/>
        </w:rPr>
        <w:t>.</w:t>
      </w:r>
    </w:p>
    <w:p w14:paraId="00C5D820"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este punto, resulta interesante recuperar las palabras de C4 porque invita a reflexionar sobre el momento que atravesaba el Programa. Un tiempo, tal vez, de redefiniciones luego de una década de su puesta en marcha. Menciona esta coordinadora que tenían la intención de encontrar un sentido de ser del Programa de Formación Docente Continua. En relación con ello, se avanzó en organizar una nueva estructura que asuma un carácter de Instituto, argumentando que:</w:t>
      </w:r>
    </w:p>
    <w:p w14:paraId="4100F022"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5C091E25" w14:textId="77777777" w:rsidR="005D78FD" w:rsidRDefault="001C0910">
      <w:pPr>
        <w:spacing w:after="0" w:line="240" w:lineRule="auto"/>
        <w:ind w:left="560"/>
        <w:jc w:val="both"/>
        <w:rPr>
          <w:rFonts w:ascii="Times New Roman" w:eastAsia="Times New Roman" w:hAnsi="Times New Roman" w:cs="Times New Roman"/>
        </w:rPr>
      </w:pPr>
      <w:r>
        <w:rPr>
          <w:rFonts w:ascii="Times New Roman" w:eastAsia="Times New Roman" w:hAnsi="Times New Roman" w:cs="Times New Roman"/>
        </w:rPr>
        <w:t>A partir de todo lo que fue despertando el programa de formación docente continua, fuimos negociando significados y se fue hablando desde un idioma que aporta y enriquece no solo a la formación de los docentes sino también a la mirada que siempre estuvo presente del cambio curricular. (C4, comunicación personal, 31 de marzo de 2025).</w:t>
      </w:r>
    </w:p>
    <w:p w14:paraId="64D655EB" w14:textId="77777777" w:rsidR="005D78FD" w:rsidRDefault="001C0910">
      <w:pPr>
        <w:spacing w:after="0" w:line="240" w:lineRule="auto"/>
        <w:ind w:left="560"/>
        <w:jc w:val="both"/>
        <w:rPr>
          <w:rFonts w:ascii="Times New Roman" w:eastAsia="Times New Roman" w:hAnsi="Times New Roman" w:cs="Times New Roman"/>
        </w:rPr>
      </w:pPr>
      <w:r>
        <w:rPr>
          <w:rFonts w:ascii="Times New Roman" w:eastAsia="Times New Roman" w:hAnsi="Times New Roman" w:cs="Times New Roman"/>
        </w:rPr>
        <w:t xml:space="preserve"> </w:t>
      </w:r>
    </w:p>
    <w:p w14:paraId="0DAB0878"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El proyecto del instituto tenía el propósito de fortalecer la formación con propuestas que superen los cursos aislados y que permita instalar líneas temáticas que se sostengan en el tiempo. También pensamos que esta nueva figura vendría a renombrar prácticas que ya estaban en ejecución y que se relaciona con el desarrollo de tareas más integrales y diferentes a las que se realizaban desde el programa y que, según algunos testimonios de las entrevistadas, atendían a las funciones de apoyo y asesoramiento aca</w:t>
      </w:r>
      <w:r>
        <w:rPr>
          <w:rFonts w:ascii="Times New Roman" w:eastAsia="Times New Roman" w:hAnsi="Times New Roman" w:cs="Times New Roman"/>
        </w:rPr>
        <w:t xml:space="preserve">démico que se realizaba a la Secretaría General Académica. Sin embargo, la propuesta de creación del </w:t>
      </w:r>
      <w:r>
        <w:rPr>
          <w:rFonts w:ascii="Times New Roman" w:eastAsia="Times New Roman" w:hAnsi="Times New Roman" w:cs="Times New Roman"/>
        </w:rPr>
        <w:lastRenderedPageBreak/>
        <w:t>Instituto no logró concretarse. Por lo que el PFDC continuó funcionando con la misma estructura y lógica.</w:t>
      </w:r>
    </w:p>
    <w:p w14:paraId="75708CE0"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La coordinación del periodo 2014-2019 (C5) menciona que, en relación con las temáticas, además de repetirse las ya clásicas enumeradas como evaluación, estrategias de enseñanza, se hablaba y se comenzaba a trabajar en actividades virtuales, como apoyo a la presencialidad. Se desarrollaron cursos sobre el rol del tutor en la universidad. Afirma que comenzaron a instalar las aulas virtuales en el desarrollo de los cursos, pero que su función fue principalmente la de ser repositorio bibliográfico. En ese momen</w:t>
      </w:r>
      <w:r>
        <w:rPr>
          <w:rFonts w:ascii="Times New Roman" w:eastAsia="Times New Roman" w:hAnsi="Times New Roman" w:cs="Times New Roman"/>
        </w:rPr>
        <w:t>to se hablaba de entornos virtuales de aprendizaje.</w:t>
      </w:r>
    </w:p>
    <w:p w14:paraId="79D970CC"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La C6, identifica como temáticas de trabajo la inclusión, diversidad, la gestión del aula virtual, la evaluación en el contexto de TICs, como aportes hacia la bimodalidad. Menciona, también, que las temáticas surgieron de escuchar a sus compañeras de equipo y la información proporcionada por las evaluaciones que se hacían de las necesidades de formación.</w:t>
      </w:r>
    </w:p>
    <w:p w14:paraId="25C93307"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Con este panorama, pretendemos mostrar que la configuración de la formación pedagógica en este Programa comenzó como una gran apuesta a partir de la oferta de dos carreras de posgrado. Cabe señalar que, para ese entonces, las fuentes muestran que hubo una intencionalidad de sostener cierta masividad en la participación de estos. Se trabajó con un promedio de 300 docentes provenientes de diferentes Facultades de la Universidad. En ese contexto, los grupos de trabajo fueron heterogéneos porque la intención fu</w:t>
      </w:r>
      <w:r>
        <w:rPr>
          <w:rFonts w:ascii="Times New Roman" w:eastAsia="Times New Roman" w:hAnsi="Times New Roman" w:cs="Times New Roman"/>
        </w:rPr>
        <w:t xml:space="preserve">e que </w:t>
      </w:r>
      <w:r>
        <w:rPr>
          <w:rFonts w:ascii="Times New Roman" w:eastAsia="Times New Roman" w:hAnsi="Times New Roman" w:cs="Times New Roman"/>
        </w:rPr>
        <w:t>contuvieran a la multiplicidad de disciplinas representadas en cada docente que participó de esos espacios. Importaba, al decir de Korinfeld (2019):</w:t>
      </w:r>
    </w:p>
    <w:p w14:paraId="32B76331"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40652BDD" w14:textId="77777777" w:rsidR="005D78FD" w:rsidRDefault="001C0910">
      <w:pPr>
        <w:spacing w:after="0" w:line="240" w:lineRule="auto"/>
        <w:ind w:left="560"/>
        <w:jc w:val="both"/>
        <w:rPr>
          <w:rFonts w:ascii="Times New Roman" w:eastAsia="Times New Roman" w:hAnsi="Times New Roman" w:cs="Times New Roman"/>
        </w:rPr>
      </w:pPr>
      <w:r>
        <w:rPr>
          <w:rFonts w:ascii="Times New Roman" w:eastAsia="Times New Roman" w:hAnsi="Times New Roman" w:cs="Times New Roman"/>
        </w:rPr>
        <w:t>la no homogeneidad de los discursos y las narrativas que van a circular y allí nos importa subrayar la riqueza que proviene de la diversidad de inserciones institucionales, de las distintas formaciones disciplinares, de las trayectorias personales, profesionales y la variedad de prácticas presentes. (p. 16)</w:t>
      </w:r>
    </w:p>
    <w:p w14:paraId="045087B1"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207252F1"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Estas dinámicas fueron instalando al PFDC como un espacio de encuentro en el que se alentaba a la discusión de conocimientos entre quienes integraban la universidad.</w:t>
      </w:r>
    </w:p>
    <w:p w14:paraId="5CE49F85"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El Programa, continúa en gran parte de su trayectoria asumiendo, principalmente, las ofertas de cursos de posgrados. Observamos que, a partir de 2010, esa masividad característica de ese primer tiempo desaparece y se comienzan a establecer cupos para la participación en las ofertas. Lo que se sostiene es la intención de representatividad de cada unidad académica en las propuestas de formación. También, fue acompañado con una renovación en los destinatarios, incorporándose con</w:t>
      </w:r>
      <w:r>
        <w:rPr>
          <w:rFonts w:ascii="Times New Roman" w:eastAsia="Times New Roman" w:hAnsi="Times New Roman" w:cs="Times New Roman"/>
        </w:rPr>
        <w:t xml:space="preserve"> mayor énfasis la presencia de docentes nóveles y graduados adscriptos. </w:t>
      </w:r>
    </w:p>
    <w:p w14:paraId="49C8A574"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Cabe recordar que, en el tiempo de funcionamiento del Programa los destinatarios privilegiados de las ofertas son los docentes de la universidad en cuestión, y todas las ofertas han sido y son de carácter gratuito para la docencia de la universidad, dando cuenta de la intencionalidad institucional de acompañar el recorrido de formación pedagógica de la docencia. </w:t>
      </w:r>
    </w:p>
    <w:p w14:paraId="318041D0"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En este sentido, para C2, el programa fue fundacional en lo que respecta a la profesionalización docente universitaria de esta universidad, ya que el en sus inicios tenía la misión de instalar en la docencia la preocupación por la formación pedagógica de los </w:t>
      </w:r>
      <w:r>
        <w:rPr>
          <w:rFonts w:ascii="Times New Roman" w:eastAsia="Times New Roman" w:hAnsi="Times New Roman" w:cs="Times New Roman"/>
        </w:rPr>
        <w:lastRenderedPageBreak/>
        <w:t>docentes. Eso va cambiando con el tiempo y se transforma en la necesidad de sostener un esquema de formación pedagógica, sobre todo cuando ya no se dictan la especialización y la maestría.</w:t>
      </w:r>
    </w:p>
    <w:p w14:paraId="206986E8" w14:textId="77777777" w:rsidR="005D78FD" w:rsidRDefault="005D78FD">
      <w:pPr>
        <w:spacing w:after="0" w:line="240" w:lineRule="auto"/>
        <w:jc w:val="both"/>
        <w:rPr>
          <w:rFonts w:ascii="Times New Roman" w:eastAsia="Times New Roman" w:hAnsi="Times New Roman" w:cs="Times New Roman"/>
        </w:rPr>
      </w:pPr>
    </w:p>
    <w:p w14:paraId="0B692A8E"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b/>
          <w:bCs/>
        </w:rPr>
        <w:t xml:space="preserve">La configuración del PFDC desde la experiencia de sus coordinadoras </w:t>
      </w:r>
      <w:r>
        <w:rPr>
          <w:rFonts w:ascii="Times New Roman" w:eastAsia="Times New Roman" w:hAnsi="Times New Roman" w:cs="Times New Roman"/>
        </w:rPr>
        <w:t xml:space="preserve"> </w:t>
      </w:r>
    </w:p>
    <w:p w14:paraId="5C924CDF"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Si nos remontamos a los inicios del PFDC, hay un acuerdo entre las primeras tres coordinadoras en valorizar la visión y la decisión institucional de llevar adelante los cambios que la Universidad debía transitar en aquellos momentos de fines de la década de los 90. Entre esos cambios se ubica la formación pedagógica de la docencia universitaria, como una arista importante.</w:t>
      </w:r>
    </w:p>
    <w:p w14:paraId="739BE532"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Reconocen, además, el impacto que tuvo la implementación de la Ley de Educación Superior en las universidades y que se percibió como:</w:t>
      </w:r>
    </w:p>
    <w:p w14:paraId="3EB4955E"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30D307B3" w14:textId="77777777" w:rsidR="005D78FD" w:rsidRDefault="001C0910">
      <w:pPr>
        <w:spacing w:after="0" w:line="240" w:lineRule="auto"/>
        <w:ind w:left="560"/>
        <w:jc w:val="both"/>
        <w:rPr>
          <w:rFonts w:ascii="Times New Roman" w:eastAsia="Times New Roman" w:hAnsi="Times New Roman" w:cs="Times New Roman"/>
        </w:rPr>
      </w:pPr>
      <w:r>
        <w:rPr>
          <w:rFonts w:ascii="Times New Roman" w:eastAsia="Times New Roman" w:hAnsi="Times New Roman" w:cs="Times New Roman"/>
        </w:rPr>
        <w:t>un fuerte cambio, en la forma de concebir cómo nos manejamos en la universidad, y especialmente de la mano de la creación de la CONEAU, y todo eso fue cambiando las reglas de juego y nosotras creo que fuimos como una generación de clivaje ahí, nos tocó un cambio de época. (C2, comunicación personal, 28 de mayo de 2025).</w:t>
      </w:r>
    </w:p>
    <w:p w14:paraId="46D99A83" w14:textId="77777777" w:rsidR="00B7097E" w:rsidRDefault="00B7097E">
      <w:pPr>
        <w:spacing w:after="0" w:line="240" w:lineRule="auto"/>
        <w:jc w:val="both"/>
        <w:rPr>
          <w:rFonts w:ascii="Times New Roman" w:eastAsia="Times New Roman" w:hAnsi="Times New Roman" w:cs="Times New Roman"/>
        </w:rPr>
      </w:pPr>
    </w:p>
    <w:p w14:paraId="2ADB1B9F" w14:textId="76BCDF90"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Vinculado con la temática que nos convoca en esta presentación, estos cambios a los que referimos y en la mirada de las primeras coordinadoras, permitió visibilizar formaciones específicas vinculadas a la docencia, esto permitió ser reconocidas y convocadas como especialistas en la temática.</w:t>
      </w:r>
    </w:p>
    <w:p w14:paraId="32BF6214"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A este proceso de cambio, algunas de las coordinadoras avanzaron en consignarle un nombre, hablaban de “modernización” (C1) y, en otros casos, desde 2005 en adelante se referían a “innovación”. En este sentido, se reconoce en la construcción de estos sentidos la influencia de </w:t>
      </w:r>
      <w:r>
        <w:rPr>
          <w:rFonts w:ascii="Times New Roman" w:eastAsia="Times New Roman" w:hAnsi="Times New Roman" w:cs="Times New Roman"/>
        </w:rPr>
        <w:t xml:space="preserve">Elisa Lucarelli, reconocida pedagoga y especialista en Docencia Universitaria quien estuvo acompañando el proceso de cambio curricular en la universidad y que, según establece la Res. 690/98-C.S-UNNE, se ocupó del diseño del Programa de Formación Docente. En consonancia, </w:t>
      </w:r>
      <w:r>
        <w:rPr>
          <w:rFonts w:ascii="Times New Roman" w:eastAsia="Times New Roman" w:hAnsi="Times New Roman" w:cs="Times New Roman"/>
        </w:rPr>
        <w:t>dos coordinadoras argumenta que la innovación fue “entendida como la modificación de componentes centrales de relaciones sociales desiguales de relación de poder, que se expresan en un aula, que se expresa en un acto curricular” (C1, comunicación personal, 1 de noviembre 2024); “es una respuesta  nueva, y eso se trasladaba a la historia del grupo, de la (…) para resolver problemas emergentes que son de naturaleza sociopolítica” (C2, comunicación personal, 28 de mayo de 2025).</w:t>
      </w:r>
    </w:p>
    <w:p w14:paraId="73225F65"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esta línea, resulta relevante retomar un aspecto que plantea una de ellas cuando expresa que la creación del Programa se enmarca en este denominado proceso de “modernización de la universidad”, que implicó pensar en cambios importantes a nivel institucional, y que la creación del programa solo fue una parte de todo ese proceso mayor,</w:t>
      </w:r>
    </w:p>
    <w:p w14:paraId="08B2A67F"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48AA12E7" w14:textId="77777777" w:rsidR="005D78FD" w:rsidRDefault="001C0910">
      <w:pPr>
        <w:spacing w:after="0" w:line="240" w:lineRule="auto"/>
        <w:ind w:left="560"/>
        <w:jc w:val="both"/>
        <w:rPr>
          <w:rFonts w:ascii="Times New Roman" w:eastAsia="Times New Roman" w:hAnsi="Times New Roman" w:cs="Times New Roman"/>
        </w:rPr>
      </w:pPr>
      <w:r>
        <w:rPr>
          <w:rFonts w:ascii="Times New Roman" w:eastAsia="Times New Roman" w:hAnsi="Times New Roman" w:cs="Times New Roman"/>
        </w:rPr>
        <w:t xml:space="preserve">Así como no se puede pensar Programa de Formación Docente y explicarlo sin Programa de Cambio Curricular, no se puede explicar ni cambio curricular ni formación docente, sin el conjunto de dimensiones que quizá atienden a lo que en este momento le doy el nombre de modernización; qué es colocar a la UNNE en el </w:t>
      </w:r>
      <w:r>
        <w:rPr>
          <w:rFonts w:ascii="Times New Roman" w:eastAsia="Times New Roman" w:hAnsi="Times New Roman" w:cs="Times New Roman"/>
        </w:rPr>
        <w:lastRenderedPageBreak/>
        <w:t>plano nacional e internacional y de ahí aparece lo que hoy es la Secretaría de Relaciones Interinstitucional (…) pero antes acá era un área que dependía de la Secretaría General Académica, de esa secretaría se van generando líneas que tienen que ver con la política académica. (C1, comunicación personal, 1 de noviembre 2024).</w:t>
      </w:r>
    </w:p>
    <w:p w14:paraId="3FA40DAC" w14:textId="77777777" w:rsidR="005D78FD" w:rsidRDefault="001C0910">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 </w:t>
      </w:r>
    </w:p>
    <w:p w14:paraId="13AD4C97"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Pensamos que hay una cuestión de la identidad, del programa y de sus acciones, que se comienza a presentar en estos primeros años. Formar parte de lo que denominaron el gabinete ampliado de la Secretaría General Académica resulta relevante en este sentido. Pero este aspecto, que está vinculado a la pertenencia institucional, va cambiando según lo manifestado por las coordinaciones. Se evidencia un pasaje desde su inserción en estructuras vinculadas al gabinete ampliado de la Secretaría General Académica (19</w:t>
      </w:r>
      <w:r>
        <w:rPr>
          <w:rFonts w:ascii="Times New Roman" w:eastAsia="Times New Roman" w:hAnsi="Times New Roman" w:cs="Times New Roman"/>
        </w:rPr>
        <w:t>99-2005) hacia una configuración más acotada como apoyo o equipo técnico de dicha Secretaría en los períodos posteriores (2005-2019 y 2021-2022).</w:t>
      </w:r>
    </w:p>
    <w:p w14:paraId="7A5FECCE"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Respecto a la percepción del tipo de trabajo, en los primeros años predomina la caracterización del trabajo como colaborativo con autoridades y con fuerte acompañamiento institucional. Luego, hacia 2005-2010, se incorpora la noción de integralidad, vinculada a la participación en diversas instancias institucionales. En los períodos siguientes se mantiene la idea de trabajo colaborativo, aunque más focalizado en determinadas áreas (como Pedagogía Universitaria o la Secretaría General Académica).</w:t>
      </w:r>
    </w:p>
    <w:p w14:paraId="4D0CA4A1"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relación con las funciones manifestadas, se observa una continuidad en la definición de funciones integrales en los primeros tres períodos, incluyendo asesoramiento, definición de temas y gestión operativa. Posteriormente (2010-2019 y 2021-2022), las funciones se describen como amplias, incorporando una mayor disponibilidad ante requerimientos institucionales y diferenciando la figura de coordinación de la de referente.</w:t>
      </w:r>
    </w:p>
    <w:p w14:paraId="79148FD3"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La gestión de la C3 también refuerza la idea de que el trabajo en el programa adquirió un sentido de integralidad, que estaba dado por las diferentes funciones que cumplían, gestionando instancias de formación que excedían el perfil original del programa. Para este periodo se menciona la formación para las autoridades.</w:t>
      </w:r>
    </w:p>
    <w:p w14:paraId="24DE7B9A"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este sentido, podría pensarse que en este periodo, que abarca desde 2005 a 2010 se fue perdiendo la impronta que tuvo el programa en sus orígenes, en esta diversificación de tareas y de temas por los que ocuparse que exceden la formación pedagógica específica de la docencia de la universidad.</w:t>
      </w:r>
    </w:p>
    <w:p w14:paraId="063896CB"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el periodo de la C5, se observan muchas continuidades en las formas de trabajo con otros periodos. Pero también refiere a un momento de cambio que lo vive como abrupto y que se comienza a percibir a partir de 2018, y que está vinculado con acciones como la reubicación del espacio físico del Programa, y el acompañamiento relativo a las propuestas.</w:t>
      </w:r>
    </w:p>
    <w:p w14:paraId="43FDA70A"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La conformación del equipo muestra variaciones en la estructura: desde una coordinación con apoyo administrativo en los inicios, pasando por una ampliación con más personal administrativo, hasta configuraciones que incluyen personal técnico o la figura de referente único.</w:t>
      </w:r>
    </w:p>
    <w:p w14:paraId="74FDF46F"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Otro aspecto que está muy vinculado al desarrollo de la identidad del programa se vincula con el posgrado, que a su vez, abona al sentido mayor de modernización de la universidad. Al respecto, dice C1 que, “En la política de institucionalizar estos procesos que también tenían que ver con seguir haciendo crecer la institución en este proceso de modernización, aumentar la categorizaciones, generar posgrados este era a la vez un posgrado” (comunicación personal, 1 de noviembre 2024)</w:t>
      </w:r>
      <w:r>
        <w:rPr>
          <w:rFonts w:ascii="Times New Roman" w:eastAsia="Times New Roman" w:hAnsi="Times New Roman" w:cs="Times New Roman"/>
          <w:i/>
          <w:iCs/>
        </w:rPr>
        <w:t xml:space="preserve">. </w:t>
      </w:r>
      <w:r>
        <w:rPr>
          <w:rFonts w:ascii="Times New Roman" w:eastAsia="Times New Roman" w:hAnsi="Times New Roman" w:cs="Times New Roman"/>
        </w:rPr>
        <w:t>Por lo que, podemos manifestar que en esta institución el desarrollo de la carrera docente no pudo hacerse lejos del desarrollo de la carrera de investigación en la universidad.</w:t>
      </w:r>
    </w:p>
    <w:p w14:paraId="4D97434E"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Observamos, a partir de la lectura de las narraciones de las coordinadoras que, se experimentaron mutaciones en prácticas y sentidos fundantes sobre la formación pedagógica durante el tiempo de funcionamiento del Programa. En algunas de ellas, esto se percibe como negativo porque conlleva una ampliación de tareas que impactó en un posible desvío del propósito inicial con el que nace este espacio denominado PFDC.</w:t>
      </w:r>
    </w:p>
    <w:p w14:paraId="3EFDE047"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Sin dudas, el año 2010 fue un momento de inflexión, con la propuesta de resignificar el Programa y convertirlo en Instituto para que, de esta manera, contemple las acciones reales que se estaban desarrollando. El no avanzar en cambios sustanciales en dicho espacio, luego de tanto tiempo de funcionamiento, amerita reflexionar sobre la posible instalación de una lógica de trabajo que constantemente recupere los sentidos fundantes del Programa, instalándose de esta manera en una reproducción </w:t>
      </w:r>
      <w:r>
        <w:rPr>
          <w:rFonts w:ascii="Times New Roman" w:eastAsia="Times New Roman" w:hAnsi="Times New Roman" w:cs="Times New Roman"/>
        </w:rPr>
        <w:t>de prácticas que se vuelven acríticas al no entrar en diálogo con las interpelaciones de los tiempos y los contextos actuales.</w:t>
      </w:r>
    </w:p>
    <w:p w14:paraId="2C91CE93"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70AE9B84" w14:textId="77777777" w:rsidR="005D78FD" w:rsidRDefault="001C0910">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Sobre los sentidos de la formación docente continua</w:t>
      </w:r>
    </w:p>
    <w:p w14:paraId="7591070B"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este punto, nos interesa recuperar lo que hemos identificado como posibles sentidos construidos sobre la formación docente continua, a partir del trabajo concreto del PFDC.</w:t>
      </w:r>
    </w:p>
    <w:p w14:paraId="57C82702"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Observamos que en C1 hay una construcción que está muy vinculada con la visión de la política institucional de ese momento fundante, es decir, de los inicios del Programa, y lo plantea en estos términos:</w:t>
      </w:r>
    </w:p>
    <w:p w14:paraId="348D54DD"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2CFD73A9" w14:textId="77777777" w:rsidR="005D78FD" w:rsidRDefault="001C0910">
      <w:pPr>
        <w:spacing w:after="0" w:line="240" w:lineRule="auto"/>
        <w:ind w:left="560"/>
        <w:jc w:val="both"/>
        <w:rPr>
          <w:rFonts w:ascii="Times New Roman" w:eastAsia="Times New Roman" w:hAnsi="Times New Roman" w:cs="Times New Roman"/>
        </w:rPr>
      </w:pPr>
      <w:r>
        <w:rPr>
          <w:rFonts w:ascii="Times New Roman" w:eastAsia="Times New Roman" w:hAnsi="Times New Roman" w:cs="Times New Roman"/>
        </w:rPr>
        <w:t>pero para que otros cambios y otros mejores a los que se aspiraba pero no era posible, fueran posibles por superar condiciones, había que ocuparse de la formación de los docentes y las docentes, y eso  tenía que ser continuo, por eso se llama formación docente continua y tenía que ser de mediana duración, no cursos cortos porque este es un criterio que es la necesidad de continuidad para los que están y para los que permanentemente se incorporan. (Comunicación personal, 1 de noviembre 2024)</w:t>
      </w:r>
    </w:p>
    <w:p w14:paraId="124AD7EA" w14:textId="77777777" w:rsidR="005D78FD" w:rsidRDefault="001C0910">
      <w:pPr>
        <w:spacing w:after="0" w:line="240" w:lineRule="auto"/>
        <w:ind w:left="560"/>
        <w:jc w:val="both"/>
        <w:rPr>
          <w:rFonts w:ascii="Times New Roman" w:eastAsia="Times New Roman" w:hAnsi="Times New Roman" w:cs="Times New Roman"/>
        </w:rPr>
      </w:pPr>
      <w:r>
        <w:rPr>
          <w:rFonts w:ascii="Times New Roman" w:eastAsia="Times New Roman" w:hAnsi="Times New Roman" w:cs="Times New Roman"/>
        </w:rPr>
        <w:t xml:space="preserve"> </w:t>
      </w:r>
    </w:p>
    <w:p w14:paraId="5C49E45A"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Es decir, son decisiones que muestran una intencionalidad institucional de sostener la formación docente en la universidad. Uno de estos criterios tiene que ver con la gratuidad, lo que se ofrece desde este programa es gratuito para los y las docentes de la universidad. Y se suma a este planteo una dimensión que la mencionamos previamente en este trabajo y que está relacionada con la masividad de las ofertas, principalmente en los inicios del Programa. En este sentido, C1 argumenta que:</w:t>
      </w:r>
    </w:p>
    <w:p w14:paraId="19CA4151"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7F38741F" w14:textId="77777777" w:rsidR="005D78FD" w:rsidRDefault="001C0910">
      <w:pPr>
        <w:spacing w:after="0" w:line="240" w:lineRule="auto"/>
        <w:ind w:left="560"/>
        <w:jc w:val="both"/>
        <w:rPr>
          <w:rFonts w:ascii="Times New Roman" w:eastAsia="Times New Roman" w:hAnsi="Times New Roman" w:cs="Times New Roman"/>
        </w:rPr>
      </w:pPr>
      <w:r>
        <w:rPr>
          <w:rFonts w:ascii="Times New Roman" w:eastAsia="Times New Roman" w:hAnsi="Times New Roman" w:cs="Times New Roman"/>
        </w:rPr>
        <w:lastRenderedPageBreak/>
        <w:t>Los criterios eran: la necesidad de discusión interdisciplinaria, de discusión de conocimiento, de conocimiento entre los que integramos la universidad, de heterogeneidades de experiencias, de horizontalidad en la discusión, por esto de la diversidad de cargos. Y lo otro y esto hace al mismo criterio, la necesidad de concebirse como parte de la universidad nacional del nordeste ese era otro criterio.  (Comunicación personal, 1 de noviembre 2024)</w:t>
      </w:r>
    </w:p>
    <w:p w14:paraId="33CBD634"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2DE555FE" w14:textId="77777777" w:rsidR="005D78FD" w:rsidRDefault="001C0910">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Para C2, resulta relevante realizar una diferenciación entre formación continua y formación permanente. La formación continua pretendió  instalar una línea de trabajo, una impronta para ir respondiendo a las necesidades de formación que van adquiriendo características particulares según el contexto mayor. Y entiende a la formación permanente como una educación durante toda la vida. Entonces, sobre formación continua refiere que:</w:t>
      </w:r>
    </w:p>
    <w:p w14:paraId="5220C797" w14:textId="77777777" w:rsidR="005D78FD" w:rsidRDefault="001C0910">
      <w:pPr>
        <w:spacing w:after="200" w:line="240" w:lineRule="auto"/>
        <w:ind w:left="560"/>
        <w:jc w:val="both"/>
        <w:rPr>
          <w:rFonts w:ascii="Times New Roman" w:eastAsia="Times New Roman" w:hAnsi="Times New Roman" w:cs="Times New Roman"/>
        </w:rPr>
      </w:pPr>
      <w:r>
        <w:rPr>
          <w:rFonts w:ascii="Times New Roman" w:eastAsia="Times New Roman" w:hAnsi="Times New Roman" w:cs="Times New Roman"/>
        </w:rPr>
        <w:t>La concepción era superar la concepción fragmentaria y atomizada del conocimiento que estaba fuertemente arraigada en la universidad de la mano del positivismo y de lo que llamamos la universidad napoleónica (…) Y de la mano de esa línea era instalar una visión más interpretativa y crítica. Sobre todo trabajar la relación dialéctica entre práctica y teoría. Eso estuvo siempre presente y después fue cobrando mucha fuerza el vínculo con el contexto. No hablábamos de situacionalidad, pero sí vínculo con el con</w:t>
      </w:r>
      <w:r>
        <w:rPr>
          <w:rFonts w:ascii="Times New Roman" w:eastAsia="Times New Roman" w:hAnsi="Times New Roman" w:cs="Times New Roman"/>
        </w:rPr>
        <w:t>texto y la necesidad de que la enseñanza, la formación respondiera y tuviera algún contacto con los espacios naturales, por así decir, de ejercicio profesional. (Comunicación personal, 28 de mayo de 2025)</w:t>
      </w:r>
    </w:p>
    <w:p w14:paraId="4E95CF49"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Identificamos en las primeras coordinaciones un sentido político sobre formación docente, pensamos que las etapas fundacionales tienen eso, la necesidad de argumentar y de sentar bases que, como es en este caso, se reproducen en una aparente armonía durante muchos años, aunque el contexto haya cambiado y se reconozcan otras formas de pensar la práctica docente universitaria.</w:t>
      </w:r>
    </w:p>
    <w:p w14:paraId="396421A3" w14:textId="25096F87" w:rsidR="005D78FD" w:rsidRPr="00B7097E" w:rsidRDefault="001C0910" w:rsidP="00B7097E">
      <w:pPr>
        <w:spacing w:line="240" w:lineRule="auto"/>
        <w:jc w:val="both"/>
        <w:rPr>
          <w:rFonts w:ascii="Times New Roman" w:eastAsia="Times New Roman" w:hAnsi="Times New Roman" w:cs="Times New Roman"/>
        </w:rPr>
      </w:pPr>
      <w:r>
        <w:rPr>
          <w:rFonts w:ascii="Times New Roman" w:eastAsia="Times New Roman" w:hAnsi="Times New Roman" w:cs="Times New Roman"/>
        </w:rPr>
        <w:t>También enmarcamos este planteo en el convencimiento de que las construcciones discursivas son resultado de un contexto histórico – institucional y que, en términos de nuestra investigación resulta imprescindible avanzar en el estudio de dicho contexto (a partir de 2005 en adelante) para comprender lo que observamos como una falta de enunciación de construcciones argumentativas que sostengan un sentido de formación continua en la universidad.</w:t>
      </w:r>
    </w:p>
    <w:p w14:paraId="516B4208" w14:textId="77777777" w:rsidR="005D78FD" w:rsidRDefault="001C0910">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Conclusiones</w:t>
      </w:r>
    </w:p>
    <w:p w14:paraId="1AD10241"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Este trabajo tuvo como </w:t>
      </w:r>
      <w:r>
        <w:rPr>
          <w:rFonts w:ascii="Times New Roman" w:eastAsia="Times New Roman" w:hAnsi="Times New Roman" w:cs="Times New Roman"/>
          <w:highlight w:val="white"/>
        </w:rPr>
        <w:t xml:space="preserve">propósito indagar la configuración de un espacio de formación pedagógica, como es el PFDC, de la Universidad Nacional del Nordeste. Para ello pusimos en diálogo, los niveles macro y micro, a través del trabajo con diferentes fuentes tales como normativas y entrevistas en profundidad a las profesionales que ocuparon la coordinación del Programa en el periodo de estudio. </w:t>
      </w:r>
    </w:p>
    <w:p w14:paraId="5F5026D1"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Como señalamos en el marco teórico, es a partir de la década de 1990, en paralelo con las transformaciones del sistema universitario y la instalación de las prácticas evaluativas como mecanismos relevantes de regulación, cuando la formación pedagógica de los docentes universitarios comienza a adquirir un lugar central, al constituirse en un factor </w:t>
      </w:r>
      <w:r>
        <w:rPr>
          <w:rFonts w:ascii="Times New Roman" w:eastAsia="Times New Roman" w:hAnsi="Times New Roman" w:cs="Times New Roman"/>
        </w:rPr>
        <w:lastRenderedPageBreak/>
        <w:t xml:space="preserve">que condiciona el ingreso y la promoción en la carrera docente. En este contexto, observamos que la UNNE reconoció en la creación del PFDC, su estrategia de profesionalización docente. En el marco de este proceso, el dispositivo experimentó transformaciones vinculadas tanto con los cambios en las políticas institucionales como con los sentidos pedagógicos que buscó construir. En relación con la carrera académica, este espacio instaló en la universidad y entre los docentes un conjunto de saberes y prácticas </w:t>
      </w:r>
      <w:r>
        <w:rPr>
          <w:rFonts w:ascii="Times New Roman" w:eastAsia="Times New Roman" w:hAnsi="Times New Roman" w:cs="Times New Roman"/>
        </w:rPr>
        <w:t xml:space="preserve">reconocidos como legítimos por la institución para el ejercicio de las funciones sustantivas. </w:t>
      </w:r>
    </w:p>
    <w:p w14:paraId="20EE0A67"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Esto también puede ser comprendido cuando se observan las temáticas de formación que se impulsaron desde el PFDC. Una continuidad parece observarse en áreas propias de la didáctica y la evaluación, y se reconoce el procesamiento de demandas emergentes como lo relacionado a la educación virtual por ejemplo. </w:t>
      </w:r>
    </w:p>
    <w:p w14:paraId="6711C92A"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Las variaciones en el dispositivo de formación (carreras de posgrado, cursos de posgrados, talleres, etc.) parece reconocer transformaciones institucionales, que encuentran también su correlato en la presencia, con mayor y menor intensidad, de los argumentos que sostendrán los sentidos de formación pedagógica y el modo de efectivizar esas propuestas en las diferentes gestiones.</w:t>
      </w:r>
    </w:p>
    <w:p w14:paraId="305F2F7E"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En relación con esto, </w:t>
      </w:r>
      <w:r>
        <w:rPr>
          <w:rFonts w:ascii="Times New Roman" w:eastAsia="Times New Roman" w:hAnsi="Times New Roman" w:cs="Times New Roman"/>
        </w:rPr>
        <w:t>identificamos una continuidad en el tiempo de desarrollo del Programa de estos sentidos fundantes que, si bien se reconocen momentos en los que se intentó resignificar su estructura, no se puedo avanzar en tal planteo. Esta cuestión probablemente no esté directamente vinculada con las decisiones de las coordinaciones, sino con un contexto institucional que habilitó u obstaculizó su desarrollo.</w:t>
      </w:r>
    </w:p>
    <w:p w14:paraId="4EADC971" w14:textId="77777777" w:rsidR="005D78FD" w:rsidRDefault="001C09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Por último, en este breve recorrido que realizamos sobre el PFDC, sostenemos como certezas que este espacio ha podido instalar la discusión sobre el saber pedagógico y didáctico necesario para el ejercicio de la práctica docente en la Universidad. </w:t>
      </w:r>
    </w:p>
    <w:p w14:paraId="7C15D7A1" w14:textId="77777777" w:rsidR="005D78FD" w:rsidRDefault="005D78FD">
      <w:pPr>
        <w:spacing w:after="0" w:line="240" w:lineRule="auto"/>
        <w:jc w:val="both"/>
        <w:rPr>
          <w:rFonts w:ascii="Times New Roman" w:eastAsia="Times New Roman" w:hAnsi="Times New Roman" w:cs="Times New Roman"/>
        </w:rPr>
      </w:pPr>
    </w:p>
    <w:p w14:paraId="6CFE24AF" w14:textId="77777777" w:rsidR="005D78FD" w:rsidRDefault="001C0910">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Referencias Bibliográficas </w:t>
      </w:r>
    </w:p>
    <w:p w14:paraId="6CD24EAC" w14:textId="77777777" w:rsidR="005D78FD" w:rsidRDefault="001C0910" w:rsidP="00B7097E">
      <w:pPr>
        <w:spacing w:after="0" w:line="240" w:lineRule="auto"/>
        <w:ind w:left="720" w:hanging="720"/>
        <w:jc w:val="both"/>
        <w:rPr>
          <w:rFonts w:ascii="Times New Roman" w:eastAsia="Times New Roman" w:hAnsi="Times New Roman" w:cs="Times New Roman"/>
          <w:i/>
          <w:iCs/>
        </w:rPr>
      </w:pPr>
      <w:r>
        <w:rPr>
          <w:rFonts w:ascii="Times New Roman" w:eastAsia="Times New Roman" w:hAnsi="Times New Roman" w:cs="Times New Roman"/>
        </w:rPr>
        <w:t xml:space="preserve">Araujo, S. (2017). Evaluación, calidad y mejora de la educación: aproximaciones críticas. </w:t>
      </w:r>
      <w:r>
        <w:rPr>
          <w:rFonts w:ascii="Times New Roman" w:eastAsia="Times New Roman" w:hAnsi="Times New Roman" w:cs="Times New Roman"/>
          <w:i/>
          <w:iCs/>
        </w:rPr>
        <w:t>Revista Latinoamericana de Educación Comparada 8 (12), pp 70-86.</w:t>
      </w:r>
    </w:p>
    <w:p w14:paraId="5B211B7D" w14:textId="77777777" w:rsidR="005D78FD" w:rsidRDefault="001C0910" w:rsidP="00B7097E">
      <w:pPr>
        <w:spacing w:after="0" w:line="240" w:lineRule="auto"/>
        <w:ind w:left="720" w:hanging="720"/>
        <w:jc w:val="both"/>
        <w:rPr>
          <w:rFonts w:ascii="Times New Roman" w:eastAsia="Times New Roman" w:hAnsi="Times New Roman" w:cs="Times New Roman"/>
          <w:i/>
          <w:iCs/>
        </w:rPr>
      </w:pPr>
      <w:r>
        <w:rPr>
          <w:rFonts w:ascii="Times New Roman" w:eastAsia="Times New Roman" w:hAnsi="Times New Roman" w:cs="Times New Roman"/>
        </w:rPr>
        <w:t>Edelstein, G. (2014). ¿Qué docente hoy en y para las universidades?.</w:t>
      </w:r>
      <w:r>
        <w:rPr>
          <w:rFonts w:ascii="Times New Roman" w:eastAsia="Times New Roman" w:hAnsi="Times New Roman" w:cs="Times New Roman"/>
          <w:i/>
          <w:iCs/>
        </w:rPr>
        <w:t xml:space="preserve"> InterCambios, nº1, junio.</w:t>
      </w:r>
    </w:p>
    <w:p w14:paraId="20285FC1" w14:textId="77777777" w:rsidR="005D78FD" w:rsidRDefault="001C0910">
      <w:pPr>
        <w:spacing w:after="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Birgin, A. (2012) Introducción. La formación, ¿una varita mágica?. En Birgin, A. (Comp.) </w:t>
      </w:r>
      <w:r>
        <w:rPr>
          <w:rFonts w:ascii="Times New Roman" w:eastAsia="Times New Roman" w:hAnsi="Times New Roman" w:cs="Times New Roman"/>
          <w:i/>
          <w:iCs/>
        </w:rPr>
        <w:t>Más allá de la capacitación. Debates acerca de la formación de los docentes en ejercicio (pp.13-28)</w:t>
      </w:r>
      <w:r>
        <w:rPr>
          <w:rFonts w:ascii="Times New Roman" w:eastAsia="Times New Roman" w:hAnsi="Times New Roman" w:cs="Times New Roman"/>
        </w:rPr>
        <w:t>. Editorial Paidós.</w:t>
      </w:r>
    </w:p>
    <w:p w14:paraId="47EE44AE" w14:textId="77777777" w:rsidR="005D78FD" w:rsidRDefault="001C0910">
      <w:pPr>
        <w:spacing w:after="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Chiroleu, A. (2020) Argentina: agendas universitarias en tiempos inciertos. </w:t>
      </w:r>
      <w:r>
        <w:rPr>
          <w:rFonts w:ascii="Times New Roman" w:eastAsia="Times New Roman" w:hAnsi="Times New Roman" w:cs="Times New Roman"/>
          <w:i/>
          <w:iCs/>
        </w:rPr>
        <w:t xml:space="preserve">Pensamiento Universitario, (19) 123-126. </w:t>
      </w:r>
      <w:hyperlink r:id="rId10">
        <w:r>
          <w:rPr>
            <w:rFonts w:ascii="Times New Roman" w:eastAsia="Times New Roman" w:hAnsi="Times New Roman" w:cs="Times New Roman"/>
            <w:color w:val="1155CC"/>
            <w:u w:val="single"/>
          </w:rPr>
          <w:t>https://www.pensamientouniversitario.com.ar/wp-content/uploads/PENSAMIENTO-UNIVERSITARIO-19.pdf</w:t>
        </w:r>
      </w:hyperlink>
      <w:r>
        <w:rPr>
          <w:rFonts w:ascii="Times New Roman" w:eastAsia="Times New Roman" w:hAnsi="Times New Roman" w:cs="Times New Roman"/>
        </w:rPr>
        <w:t xml:space="preserve"> </w:t>
      </w:r>
    </w:p>
    <w:p w14:paraId="1ACDB1B0" w14:textId="77777777" w:rsidR="005D78FD" w:rsidRDefault="001C0910">
      <w:pPr>
        <w:spacing w:after="0" w:line="240" w:lineRule="auto"/>
        <w:ind w:left="720"/>
        <w:jc w:val="both"/>
        <w:rPr>
          <w:rFonts w:ascii="Times New Roman" w:eastAsia="Times New Roman" w:hAnsi="Times New Roman" w:cs="Times New Roman"/>
        </w:rPr>
      </w:pPr>
      <w:r>
        <w:rPr>
          <w:rFonts w:ascii="Times New Roman" w:eastAsia="Times New Roman" w:hAnsi="Times New Roman" w:cs="Times New Roman"/>
        </w:rPr>
        <w:t xml:space="preserve">CRES+5 (2024). </w:t>
      </w:r>
      <w:r>
        <w:rPr>
          <w:rFonts w:ascii="Times New Roman" w:eastAsia="Times New Roman" w:hAnsi="Times New Roman" w:cs="Times New Roman"/>
          <w:i/>
          <w:iCs/>
        </w:rPr>
        <w:t>Documento final Eje 7 – Trabajo decente y condiciones de vida de los actores de la Educación Superior</w:t>
      </w:r>
      <w:r>
        <w:rPr>
          <w:rFonts w:ascii="Times New Roman" w:eastAsia="Times New Roman" w:hAnsi="Times New Roman" w:cs="Times New Roman"/>
        </w:rPr>
        <w:t xml:space="preserve">. </w:t>
      </w:r>
      <w:hyperlink r:id="rId11">
        <w:r>
          <w:rPr>
            <w:rFonts w:ascii="Times New Roman" w:eastAsia="Times New Roman" w:hAnsi="Times New Roman" w:cs="Times New Roman"/>
            <w:color w:val="1155CC"/>
            <w:u w:val="single"/>
          </w:rPr>
          <w:t>https://cres2018mas5.org/wp-content/uploads/2024/05/EJE-7-Documento-Base-FINAL.pdf</w:t>
        </w:r>
      </w:hyperlink>
      <w:r>
        <w:rPr>
          <w:rFonts w:ascii="Times New Roman" w:eastAsia="Times New Roman" w:hAnsi="Times New Roman" w:cs="Times New Roman"/>
        </w:rPr>
        <w:t xml:space="preserve"> </w:t>
      </w:r>
    </w:p>
    <w:p w14:paraId="602664AF" w14:textId="77777777" w:rsidR="005D78FD" w:rsidRDefault="001C0910">
      <w:pPr>
        <w:spacing w:after="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D’Lorio, G. (2012) En formación, o la reinvención de la responsabilidad pedagógica. En Birgin, A. (comp.) </w:t>
      </w:r>
      <w:r>
        <w:rPr>
          <w:rFonts w:ascii="Times New Roman" w:eastAsia="Times New Roman" w:hAnsi="Times New Roman" w:cs="Times New Roman"/>
          <w:i/>
          <w:iCs/>
        </w:rPr>
        <w:t xml:space="preserve">Más allá de la capacitación. Debates acerca de la formación de los docentes en ejercicio (pp.49-62). </w:t>
      </w:r>
      <w:r>
        <w:rPr>
          <w:rFonts w:ascii="Times New Roman" w:eastAsia="Times New Roman" w:hAnsi="Times New Roman" w:cs="Times New Roman"/>
        </w:rPr>
        <w:t>Editorial Paidós.</w:t>
      </w:r>
    </w:p>
    <w:p w14:paraId="3BF16CCF" w14:textId="77777777" w:rsidR="005D78FD" w:rsidRDefault="001C0910">
      <w:pPr>
        <w:spacing w:after="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Korinfeld, D. (2019). De Pandora, baqueanos e instituciones. Tres notas desde los Ateneos de pensamiento Clínico. En Frigerio, G.; Korinfeld, D.; Rodriguez, C. </w:t>
      </w:r>
      <w:r>
        <w:rPr>
          <w:rFonts w:ascii="Times New Roman" w:eastAsia="Times New Roman" w:hAnsi="Times New Roman" w:cs="Times New Roman"/>
        </w:rPr>
        <w:lastRenderedPageBreak/>
        <w:t xml:space="preserve">(coords.) </w:t>
      </w:r>
      <w:r>
        <w:rPr>
          <w:rFonts w:ascii="Times New Roman" w:eastAsia="Times New Roman" w:hAnsi="Times New Roman" w:cs="Times New Roman"/>
          <w:i/>
          <w:iCs/>
        </w:rPr>
        <w:t>Trabajar en instituciones: los oficios del lazo (pp. 15-40)</w:t>
      </w:r>
      <w:r>
        <w:rPr>
          <w:rFonts w:ascii="Times New Roman" w:eastAsia="Times New Roman" w:hAnsi="Times New Roman" w:cs="Times New Roman"/>
        </w:rPr>
        <w:t>. Ensayos y Experiencias. NOVEDUC.</w:t>
      </w:r>
    </w:p>
    <w:p w14:paraId="37E815DE" w14:textId="77777777" w:rsidR="005D78FD" w:rsidRDefault="001C0910">
      <w:pPr>
        <w:spacing w:after="0" w:line="240" w:lineRule="auto"/>
        <w:ind w:left="720" w:hanging="720"/>
        <w:jc w:val="both"/>
        <w:rPr>
          <w:rFonts w:ascii="Times New Roman" w:eastAsia="Times New Roman" w:hAnsi="Times New Roman" w:cs="Times New Roman"/>
          <w:i/>
          <w:iCs/>
        </w:rPr>
      </w:pPr>
      <w:r>
        <w:rPr>
          <w:rFonts w:ascii="Times New Roman" w:eastAsia="Times New Roman" w:hAnsi="Times New Roman" w:cs="Times New Roman"/>
        </w:rPr>
        <w:t xml:space="preserve">Lucarelli, E. (2004). Prácticas Innovadoras en la Formación del Docente Universitario. </w:t>
      </w:r>
      <w:r>
        <w:rPr>
          <w:rFonts w:ascii="Times New Roman" w:eastAsia="Times New Roman" w:hAnsi="Times New Roman" w:cs="Times New Roman"/>
          <w:i/>
          <w:iCs/>
        </w:rPr>
        <w:t>Educação , XXVII (54), 503-524.</w:t>
      </w:r>
    </w:p>
    <w:p w14:paraId="5D9BC93A" w14:textId="77777777" w:rsidR="005D78FD" w:rsidRDefault="001C0910">
      <w:pPr>
        <w:spacing w:after="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Nosiglia, C. (2011) Poder y autoridad: el impacto de la Ley de Educación Superior en el gobierno de la universidad argentina. En San Martín (edit.) </w:t>
      </w:r>
      <w:r>
        <w:rPr>
          <w:rFonts w:ascii="Times New Roman" w:eastAsia="Times New Roman" w:hAnsi="Times New Roman" w:cs="Times New Roman"/>
          <w:i/>
          <w:iCs/>
        </w:rPr>
        <w:t>Entre la tradición y el cambio. Perspectivas sobre el gobierno de la universidad</w:t>
      </w:r>
      <w:r>
        <w:rPr>
          <w:rFonts w:ascii="Times New Roman" w:eastAsia="Times New Roman" w:hAnsi="Times New Roman" w:cs="Times New Roman"/>
        </w:rPr>
        <w:t xml:space="preserve">. Cátedra UNESCO –UNU &amp; Universidad de Palermo. </w:t>
      </w:r>
    </w:p>
    <w:p w14:paraId="3C839F45" w14:textId="77777777" w:rsidR="005D78FD" w:rsidRDefault="001C0910">
      <w:pPr>
        <w:spacing w:after="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Ramirez, I., &amp; Cáceres, N. F. (2026). Trayectos, sentidos y políticas de la formación docente continua: aportes desde una experiencia en una universidad pública en Argentina (2010-2024). </w:t>
      </w:r>
      <w:r>
        <w:rPr>
          <w:rFonts w:ascii="Times New Roman" w:eastAsia="Times New Roman" w:hAnsi="Times New Roman" w:cs="Times New Roman"/>
          <w:i/>
          <w:iCs/>
        </w:rPr>
        <w:t xml:space="preserve">Revista de Educación, (37), 101-128. </w:t>
      </w:r>
      <w:hyperlink r:id="rId12">
        <w:r>
          <w:rPr>
            <w:rFonts w:ascii="Times New Roman" w:eastAsia="Times New Roman" w:hAnsi="Times New Roman" w:cs="Times New Roman"/>
            <w:color w:val="1155CC"/>
            <w:u w:val="single"/>
          </w:rPr>
          <w:t>https://fh.mdp.edu.ar/revistas/index.php/r_educ/article/view/9569/9835</w:t>
        </w:r>
      </w:hyperlink>
      <w:r>
        <w:rPr>
          <w:rFonts w:ascii="Times New Roman" w:eastAsia="Times New Roman" w:hAnsi="Times New Roman" w:cs="Times New Roman"/>
        </w:rPr>
        <w:t xml:space="preserve"> </w:t>
      </w:r>
    </w:p>
    <w:p w14:paraId="2081F4CF" w14:textId="77777777" w:rsidR="005D78FD" w:rsidRDefault="001C0910">
      <w:pPr>
        <w:spacing w:after="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Suarez, D. (2017). Relatos de experiencia, saber pedagógico y reconstrucción de la memoria escolar. La documentación narrativa de experiencias pedagógicas en la formación docente. En: Alliaud, A y Suarez, D. (coords.) </w:t>
      </w:r>
      <w:r>
        <w:rPr>
          <w:rFonts w:ascii="Times New Roman" w:eastAsia="Times New Roman" w:hAnsi="Times New Roman" w:cs="Times New Roman"/>
          <w:i/>
          <w:iCs/>
        </w:rPr>
        <w:t>El saber de la experiencia: narrativa, investigación y formación docente</w:t>
      </w:r>
      <w:r>
        <w:rPr>
          <w:rFonts w:ascii="Times New Roman" w:eastAsia="Times New Roman" w:hAnsi="Times New Roman" w:cs="Times New Roman"/>
        </w:rPr>
        <w:t xml:space="preserve"> (pp. 93- 135). Editorial de la Facultad de Filosofía y Letras Universidad de Buenos Aires y Consejo Latinoamericano de Ciencias Sociales.</w:t>
      </w:r>
    </w:p>
    <w:p w14:paraId="34995B67" w14:textId="77777777" w:rsidR="005D78FD" w:rsidRDefault="001C0910">
      <w:pPr>
        <w:spacing w:after="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Walker, V., &amp; Rodera, J. (2026). La evaluación del trabajo docente universitario: entre la puesta en acto de los reglamentos de carrera docente/académica en las universidades nacionales argentinas y los imperativos de un nuevo paradigma evaluativo. </w:t>
      </w:r>
      <w:r>
        <w:rPr>
          <w:rFonts w:ascii="Times New Roman" w:eastAsia="Times New Roman" w:hAnsi="Times New Roman" w:cs="Times New Roman"/>
          <w:i/>
          <w:iCs/>
        </w:rPr>
        <w:t>Archivos de Ciencias de la Educación, 20(29), e183-e183</w:t>
      </w:r>
      <w:r>
        <w:rPr>
          <w:rFonts w:ascii="Times New Roman" w:eastAsia="Times New Roman" w:hAnsi="Times New Roman" w:cs="Times New Roman"/>
        </w:rPr>
        <w:t xml:space="preserve">. DOI: </w:t>
      </w:r>
      <w:hyperlink r:id="rId13">
        <w:r>
          <w:rPr>
            <w:rFonts w:ascii="Times New Roman" w:eastAsia="Times New Roman" w:hAnsi="Times New Roman" w:cs="Times New Roman"/>
            <w:color w:val="1155CC"/>
            <w:u w:val="single"/>
          </w:rPr>
          <w:t>https://doi.org/10.24215/23468866e183</w:t>
        </w:r>
      </w:hyperlink>
      <w:r>
        <w:rPr>
          <w:rFonts w:ascii="Times New Roman" w:eastAsia="Times New Roman" w:hAnsi="Times New Roman" w:cs="Times New Roman"/>
        </w:rPr>
        <w:t xml:space="preserve"> </w:t>
      </w:r>
    </w:p>
    <w:p w14:paraId="7A544CB7" w14:textId="77777777" w:rsidR="005D78FD" w:rsidRDefault="005D78FD">
      <w:pPr>
        <w:spacing w:line="240" w:lineRule="auto"/>
        <w:jc w:val="both"/>
        <w:rPr>
          <w:rFonts w:ascii="Times New Roman" w:eastAsia="Times New Roman" w:hAnsi="Times New Roman" w:cs="Times New Roman"/>
        </w:rPr>
      </w:pPr>
    </w:p>
    <w:p w14:paraId="0F100191" w14:textId="77777777" w:rsidR="005D78FD" w:rsidRDefault="001C0910">
      <w:pPr>
        <w:spacing w:line="240" w:lineRule="auto"/>
        <w:jc w:val="both"/>
        <w:rPr>
          <w:rFonts w:ascii="Times New Roman" w:eastAsia="Times New Roman" w:hAnsi="Times New Roman" w:cs="Times New Roman"/>
        </w:rPr>
      </w:pPr>
      <w:r>
        <w:rPr>
          <w:rFonts w:ascii="Times New Roman" w:eastAsia="Times New Roman" w:hAnsi="Times New Roman" w:cs="Times New Roman"/>
          <w:b/>
          <w:bCs/>
        </w:rPr>
        <w:t>Normativas</w:t>
      </w:r>
      <w:r>
        <w:rPr>
          <w:rFonts w:ascii="Times New Roman" w:eastAsia="Times New Roman" w:hAnsi="Times New Roman" w:cs="Times New Roman"/>
        </w:rPr>
        <w:t>:</w:t>
      </w:r>
    </w:p>
    <w:p w14:paraId="5F0F2B62" w14:textId="77777777" w:rsidR="00B7097E" w:rsidRDefault="00B7097E" w:rsidP="00B7097E">
      <w:pPr>
        <w:spacing w:after="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Consejo Superior de la Universidad Nacional del Nordeste (1998) Aprobación del Programa de Formación Docente Continua de la Universidad Nacional del Nordeste (No 690/1998) {Resolución} 18 de noviembre de 1998.</w:t>
      </w:r>
    </w:p>
    <w:p w14:paraId="64003BC5" w14:textId="77777777" w:rsidR="00B7097E" w:rsidRDefault="00B7097E">
      <w:pPr>
        <w:spacing w:after="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Ley Nº 24.521 (07 de agosto de 1995). </w:t>
      </w:r>
      <w:r>
        <w:rPr>
          <w:rFonts w:ascii="Times New Roman" w:eastAsia="Times New Roman" w:hAnsi="Times New Roman" w:cs="Times New Roman"/>
          <w:i/>
          <w:iCs/>
        </w:rPr>
        <w:t>Ley de Educación Superior</w:t>
      </w:r>
      <w:r>
        <w:rPr>
          <w:rFonts w:ascii="Times New Roman" w:eastAsia="Times New Roman" w:hAnsi="Times New Roman" w:cs="Times New Roman"/>
        </w:rPr>
        <w:t xml:space="preserve">. Boletín oficial de la República Argentina. </w:t>
      </w:r>
      <w:hyperlink r:id="rId14">
        <w:r>
          <w:rPr>
            <w:rFonts w:ascii="Times New Roman" w:eastAsia="Times New Roman" w:hAnsi="Times New Roman" w:cs="Times New Roman"/>
            <w:color w:val="1155CC"/>
            <w:u w:val="single"/>
          </w:rPr>
          <w:t>https://servicios.infoleg.gob.ar/infolegInternet/anexos/25000-29999/25394/texact.htm</w:t>
        </w:r>
      </w:hyperlink>
      <w:r>
        <w:rPr>
          <w:rFonts w:ascii="Times New Roman" w:eastAsia="Times New Roman" w:hAnsi="Times New Roman" w:cs="Times New Roman"/>
        </w:rPr>
        <w:t xml:space="preserve"> </w:t>
      </w:r>
    </w:p>
    <w:p w14:paraId="7801E75A" w14:textId="77777777" w:rsidR="00B7097E" w:rsidRDefault="00B7097E" w:rsidP="00B7097E">
      <w:pPr>
        <w:spacing w:after="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Ministerio de Trabajo, Empleo y Seguridad Social (2015) </w:t>
      </w:r>
      <w:r>
        <w:rPr>
          <w:rFonts w:ascii="Times New Roman" w:eastAsia="Times New Roman" w:hAnsi="Times New Roman" w:cs="Times New Roman"/>
          <w:i/>
          <w:iCs/>
        </w:rPr>
        <w:t>Convenio Colectivo para Docentes de las Instituciones Universitarias Nacionales de Argentina</w:t>
      </w:r>
      <w:r>
        <w:rPr>
          <w:rFonts w:ascii="Times New Roman" w:eastAsia="Times New Roman" w:hAnsi="Times New Roman" w:cs="Times New Roman"/>
        </w:rPr>
        <w:t xml:space="preserve">. [Decreto 1246]. Boletín Oficial </w:t>
      </w:r>
      <w:hyperlink r:id="rId15">
        <w:r>
          <w:rPr>
            <w:rFonts w:ascii="Times New Roman" w:eastAsia="Times New Roman" w:hAnsi="Times New Roman" w:cs="Times New Roman"/>
            <w:color w:val="1155CC"/>
            <w:u w:val="single"/>
          </w:rPr>
          <w:t>https://servicios.infoleg.gob.ar/infolegInternet/anexos/245000-249999/248779/norma.htm</w:t>
        </w:r>
      </w:hyperlink>
      <w:r>
        <w:rPr>
          <w:rFonts w:ascii="Times New Roman" w:eastAsia="Times New Roman" w:hAnsi="Times New Roman" w:cs="Times New Roman"/>
        </w:rPr>
        <w:t xml:space="preserve">  </w:t>
      </w:r>
    </w:p>
    <w:p w14:paraId="7C157262" w14:textId="77777777" w:rsidR="00B7097E" w:rsidRDefault="00B7097E" w:rsidP="00B7097E">
      <w:pPr>
        <w:spacing w:after="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Universidad Nacional del Nordeste (2025, 10 de diciembre) Ordenanza para el Personal Docente de la Universidad Nacional del Nordeste. Consejo Superior de la Universidad Nacional del Nordeste. </w:t>
      </w:r>
    </w:p>
    <w:sectPr w:rsidR="00B7097E">
      <w:headerReference w:type="default" r:id="rId16"/>
      <w:footerReference w:type="default" r:id="rId17"/>
      <w:pgSz w:w="11906" w:h="16838"/>
      <w:pgMar w:top="2410" w:right="1701" w:bottom="1843" w:left="1701" w:header="28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7692755" w14:textId="77777777" w:rsidR="001C0910" w:rsidRDefault="001C0910">
      <w:pPr>
        <w:spacing w:after="0" w:line="240" w:lineRule="auto"/>
      </w:pPr>
      <w:r>
        <w:separator/>
      </w:r>
    </w:p>
  </w:endnote>
  <w:endnote w:type="continuationSeparator" w:id="0">
    <w:p w14:paraId="1F11FEFD" w14:textId="77777777" w:rsidR="001C0910" w:rsidRDefault="001C09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embedRegular r:id="rId1" w:fontKey="{D56AB392-B75A-7C44-A105-38DA667C35CB}"/>
    <w:embedItalic r:id="rId2" w:fontKey="{7A8547E6-E78A-624F-ADA5-23E874E48965}"/>
  </w:font>
  <w:font w:name="Times New Roman">
    <w:panose1 w:val="02020603050405020304"/>
    <w:charset w:val="00"/>
    <w:family w:val="roman"/>
    <w:pitch w:val="variable"/>
    <w:sig w:usb0="E0002EFF" w:usb1="C000785B" w:usb2="00000009" w:usb3="00000000" w:csb0="000001FF" w:csb1="00000000"/>
    <w:embedRegular r:id="rId3" w:fontKey="{C93AD624-5CC8-2544-BBF8-24BE53982930}"/>
    <w:embedBold r:id="rId4" w:fontKey="{42D2F943-7047-7141-940A-8BE595D1EEC5}"/>
    <w:embedItalic r:id="rId5" w:fontKey="{EAB0A7AE-53D2-6B49-AE56-E7719D1F2403}"/>
  </w:font>
  <w:font w:name="Arial">
    <w:panose1 w:val="020B0604020202020204"/>
    <w:charset w:val="00"/>
    <w:family w:val="swiss"/>
    <w:pitch w:val="variable"/>
    <w:sig w:usb0="E0002AFF" w:usb1="C0007843" w:usb2="00000009" w:usb3="00000000" w:csb0="000001FF" w:csb1="00000000"/>
    <w:embedRegular r:id="rId6" w:fontKey="{76E76581-9AA4-0D47-B9CD-296B1CBCC71B}"/>
  </w:font>
  <w:font w:name="Cambria">
    <w:panose1 w:val="02040503050406030204"/>
    <w:charset w:val="00"/>
    <w:family w:val="roman"/>
    <w:notTrueType/>
    <w:pitch w:val="default"/>
    <w:embedRegular r:id="rId7" w:fontKey="{9C79558F-B2CD-5744-98A2-E74675FB1DE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47FCFB" w14:textId="77777777" w:rsidR="005D78FD" w:rsidRDefault="001C0910">
    <w:pPr>
      <w:pBdr>
        <w:top w:val="nil"/>
        <w:left w:val="nil"/>
        <w:bottom w:val="nil"/>
        <w:right w:val="nil"/>
        <w:between w:val="nil"/>
      </w:pBdr>
      <w:tabs>
        <w:tab w:val="center" w:pos="4252"/>
        <w:tab w:val="right" w:pos="8504"/>
      </w:tabs>
      <w:spacing w:after="0" w:line="240" w:lineRule="auto"/>
      <w:rPr>
        <w:color w:val="000000"/>
      </w:rPr>
    </w:pPr>
    <w:r>
      <w:rPr>
        <w:noProof/>
        <w:color w:val="000000"/>
      </w:rPr>
      <w:drawing>
        <wp:inline distT="0" distB="0" distL="0" distR="0" wp14:anchorId="33BA43CF" wp14:editId="0BC8385D">
          <wp:extent cx="5400040" cy="4286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400040" cy="428625"/>
                  </a:xfrm>
                  <a:prstGeom prst="rect">
                    <a:avLst/>
                  </a:prstGeom>
                  <a:ln/>
                </pic:spPr>
              </pic:pic>
            </a:graphicData>
          </a:graphic>
        </wp:inline>
      </w:drawing>
    </w:r>
  </w:p>
  <w:p w14:paraId="21C10559" w14:textId="77777777" w:rsidR="005D78FD" w:rsidRDefault="005D78FD">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253A6AF" w14:textId="77777777" w:rsidR="001C0910" w:rsidRDefault="001C0910">
      <w:pPr>
        <w:spacing w:after="0" w:line="240" w:lineRule="auto"/>
      </w:pPr>
      <w:r>
        <w:separator/>
      </w:r>
    </w:p>
  </w:footnote>
  <w:footnote w:type="continuationSeparator" w:id="0">
    <w:p w14:paraId="149E0E35" w14:textId="77777777" w:rsidR="001C0910" w:rsidRDefault="001C09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FBA8AA" w14:textId="77777777" w:rsidR="005D78FD" w:rsidRDefault="001C0910">
    <w:pPr>
      <w:pBdr>
        <w:top w:val="nil"/>
        <w:left w:val="nil"/>
        <w:bottom w:val="nil"/>
        <w:right w:val="nil"/>
        <w:between w:val="nil"/>
      </w:pBdr>
      <w:tabs>
        <w:tab w:val="center" w:pos="4252"/>
        <w:tab w:val="right" w:pos="8504"/>
      </w:tabs>
      <w:spacing w:after="0" w:line="240" w:lineRule="auto"/>
      <w:jc w:val="center"/>
      <w:rPr>
        <w:color w:val="000000"/>
      </w:rPr>
    </w:pPr>
    <w:r>
      <w:rPr>
        <w:noProof/>
        <w:color w:val="000000"/>
      </w:rPr>
      <w:drawing>
        <wp:inline distT="0" distB="0" distL="0" distR="0" wp14:anchorId="757EB100" wp14:editId="1859450A">
          <wp:extent cx="2617939" cy="109132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617939" cy="1091320"/>
                  </a:xfrm>
                  <a:prstGeom prst="rect">
                    <a:avLst/>
                  </a:prstGeom>
                  <a:ln/>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2"/>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8FD"/>
    <w:rsid w:val="001C0910"/>
    <w:rsid w:val="005D78FD"/>
    <w:rsid w:val="00AF4B34"/>
    <w:rsid w:val="00B7097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14:docId w14:val="43E92F56"/>
  <w15:docId w15:val="{48FBB7A0-C618-EE4E-B270-64E279D2C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4"/>
        <w:szCs w:val="24"/>
        <w:lang w:val="es-419" w:eastAsia="es-MX"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leana.rz@gmail.com" TargetMode="External"/><Relationship Id="rId13" Type="http://schemas.openxmlformats.org/officeDocument/2006/relationships/hyperlink" Target="https://doi.org/10.24215/23468866e183"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h.mdp.edu.ar/revistas/index.php/r_educ/article/view/9569/9835"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s2018mas5.org/wp-content/uploads/2024/05/EJE-7-Documento-Base-FINAL.pdf" TargetMode="External"/><Relationship Id="rId5" Type="http://schemas.openxmlformats.org/officeDocument/2006/relationships/webSettings" Target="webSettings.xml"/><Relationship Id="rId15" Type="http://schemas.openxmlformats.org/officeDocument/2006/relationships/hyperlink" Target="https://servicios.infoleg.gob.ar/infolegInternet/anexos/245000-249999/248779/norma.htm" TargetMode="External"/><Relationship Id="rId10" Type="http://schemas.openxmlformats.org/officeDocument/2006/relationships/hyperlink" Target="https://www.pensamientouniversitario.com.ar/wp-content/uploads/PENSAMIENTO-UNIVERSITARIO-19.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nicolasfedericocaceres@gamil.com" TargetMode="External"/><Relationship Id="rId14" Type="http://schemas.openxmlformats.org/officeDocument/2006/relationships/hyperlink" Target="https://servicios.infoleg.gob.ar/infolegInternet/anexos/25000-29999/25394/texact.ht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bk1OrrPKYRrqJtSOt+elJHq/pw==">CgMxLjAaHwoBMBIaChgICVIUChJ0YWJsZS5yeGp5MmN6aGE5aDc4AHIhMU9YN2lpaXV2VEh0TFVsVnV0MzJtTmo4NFdqTGhWemVX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A8D3283-0EBF-444C-B968-7A47602D2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14</Pages>
  <Words>6772</Words>
  <Characters>37246</Characters>
  <Application>Microsoft Office Word</Application>
  <DocSecurity>0</DocSecurity>
  <Lines>310</Lines>
  <Paragraphs>87</Paragraphs>
  <ScaleCrop>false</ScaleCrop>
  <Company/>
  <LinksUpToDate>false</LinksUpToDate>
  <CharactersWithSpaces>43931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Ileana Ramirez</cp:lastModifiedBy>
  <cp:revision>2</cp:revision>
  <dcterms:created xsi:type="dcterms:W3CDTF">2026-06-30T12:36:00Z</dcterms:created>
  <dcterms:modified xsi:type="dcterms:W3CDTF">2026-06-30T12:36:00Z</dcterms:modified>
</cp:coreProperties>
</file>