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49903D" w14:textId="77777777" w:rsidR="002B1C35" w:rsidRDefault="002B1C35" w:rsidP="002B1C35">
      <w:pPr>
        <w:spacing w:line="240" w:lineRule="auto"/>
        <w:jc w:val="center"/>
        <w:rPr>
          <w:rFonts w:ascii="Times New Roman" w:hAnsi="Times New Roman" w:cs="Times New Roman"/>
          <w:b/>
        </w:rPr>
      </w:pPr>
      <w:r w:rsidRPr="002B1C35">
        <w:rPr>
          <w:rFonts w:ascii="Times New Roman" w:hAnsi="Times New Roman" w:cs="Times New Roman"/>
          <w:b/>
        </w:rPr>
        <w:t>Cierre social, acreditaciones y autonomización del campo académico: una revisión crítica de la segmentación profesional en la universidad uruguaya</w:t>
      </w:r>
    </w:p>
    <w:p w14:paraId="29D5A20C" w14:textId="77777777" w:rsidR="002B1C35" w:rsidRPr="002B1C35" w:rsidRDefault="002B1C35" w:rsidP="002B1C35">
      <w:pPr>
        <w:spacing w:line="240" w:lineRule="auto"/>
        <w:jc w:val="center"/>
        <w:rPr>
          <w:rFonts w:ascii="Times New Roman" w:hAnsi="Times New Roman" w:cs="Times New Roman"/>
          <w:b/>
        </w:rPr>
      </w:pPr>
    </w:p>
    <w:p w14:paraId="5A2F3E0A" w14:textId="77777777" w:rsidR="002B1C35" w:rsidRPr="002B1C35" w:rsidRDefault="002B1C35" w:rsidP="002B1C35">
      <w:pPr>
        <w:spacing w:line="240" w:lineRule="auto"/>
        <w:jc w:val="right"/>
        <w:rPr>
          <w:rFonts w:ascii="Times New Roman" w:hAnsi="Times New Roman" w:cs="Times New Roman"/>
          <w:b/>
        </w:rPr>
      </w:pPr>
      <w:r w:rsidRPr="002B1C35">
        <w:rPr>
          <w:rFonts w:ascii="Times New Roman" w:hAnsi="Times New Roman" w:cs="Times New Roman"/>
          <w:b/>
        </w:rPr>
        <w:t xml:space="preserve">Errandonea, Gabriel </w:t>
      </w:r>
    </w:p>
    <w:p w14:paraId="616BE337" w14:textId="77777777" w:rsidR="002B1C35" w:rsidRPr="002B1C35" w:rsidRDefault="002B1C35" w:rsidP="002B1C35">
      <w:pPr>
        <w:spacing w:line="240" w:lineRule="auto"/>
        <w:jc w:val="right"/>
        <w:rPr>
          <w:rFonts w:ascii="Times New Roman" w:hAnsi="Times New Roman" w:cs="Times New Roman"/>
        </w:rPr>
      </w:pPr>
      <w:r w:rsidRPr="002B1C35">
        <w:rPr>
          <w:rFonts w:ascii="Times New Roman" w:hAnsi="Times New Roman" w:cs="Times New Roman"/>
        </w:rPr>
        <w:t xml:space="preserve">Unidad Académica - Área de Evaluación de Políticas de Enseñanza, </w:t>
      </w:r>
      <w:proofErr w:type="spellStart"/>
      <w:r w:rsidRPr="002B1C35">
        <w:rPr>
          <w:rFonts w:ascii="Times New Roman" w:hAnsi="Times New Roman" w:cs="Times New Roman"/>
        </w:rPr>
        <w:t>Prorrectorado</w:t>
      </w:r>
      <w:proofErr w:type="spellEnd"/>
      <w:r w:rsidRPr="002B1C35">
        <w:rPr>
          <w:rFonts w:ascii="Times New Roman" w:hAnsi="Times New Roman" w:cs="Times New Roman"/>
        </w:rPr>
        <w:t xml:space="preserve"> de Enseñanza – Universidad de la República </w:t>
      </w:r>
    </w:p>
    <w:p w14:paraId="198B066A" w14:textId="03B67F74" w:rsidR="002B1C35" w:rsidRPr="002B1C35" w:rsidRDefault="002B1C35" w:rsidP="002B1C35">
      <w:pPr>
        <w:spacing w:line="240" w:lineRule="auto"/>
        <w:jc w:val="right"/>
        <w:rPr>
          <w:rFonts w:ascii="Times New Roman" w:hAnsi="Times New Roman" w:cs="Times New Roman"/>
        </w:rPr>
      </w:pPr>
      <w:r w:rsidRPr="002B1C35">
        <w:rPr>
          <w:rFonts w:ascii="Times New Roman" w:hAnsi="Times New Roman" w:cs="Times New Roman"/>
        </w:rPr>
        <w:t xml:space="preserve">gabriel.errandonea@gmail.com  </w:t>
      </w:r>
    </w:p>
    <w:p w14:paraId="0581CB1C" w14:textId="77777777" w:rsidR="002B1C35" w:rsidRPr="002B1C35" w:rsidRDefault="002B1C35" w:rsidP="002B1C35">
      <w:pPr>
        <w:spacing w:line="240" w:lineRule="auto"/>
        <w:jc w:val="right"/>
        <w:rPr>
          <w:rFonts w:ascii="Times New Roman" w:hAnsi="Times New Roman" w:cs="Times New Roman"/>
          <w:b/>
        </w:rPr>
      </w:pPr>
      <w:r w:rsidRPr="002B1C35">
        <w:rPr>
          <w:rFonts w:ascii="Times New Roman" w:hAnsi="Times New Roman" w:cs="Times New Roman"/>
          <w:b/>
        </w:rPr>
        <w:t xml:space="preserve">Amarilla, Diego </w:t>
      </w:r>
    </w:p>
    <w:p w14:paraId="5F5996EF" w14:textId="77777777" w:rsidR="002B1C35" w:rsidRPr="002B1C35" w:rsidRDefault="002B1C35" w:rsidP="002B1C35">
      <w:pPr>
        <w:spacing w:line="240" w:lineRule="auto"/>
        <w:jc w:val="right"/>
        <w:rPr>
          <w:rFonts w:ascii="Times New Roman" w:hAnsi="Times New Roman" w:cs="Times New Roman"/>
        </w:rPr>
      </w:pPr>
      <w:r w:rsidRPr="002B1C35">
        <w:rPr>
          <w:rFonts w:ascii="Times New Roman" w:hAnsi="Times New Roman" w:cs="Times New Roman"/>
        </w:rPr>
        <w:t xml:space="preserve">Unidad Académica – Área Pedagógica, </w:t>
      </w:r>
      <w:proofErr w:type="spellStart"/>
      <w:r w:rsidRPr="002B1C35">
        <w:rPr>
          <w:rFonts w:ascii="Times New Roman" w:hAnsi="Times New Roman" w:cs="Times New Roman"/>
        </w:rPr>
        <w:t>Prorrectorado</w:t>
      </w:r>
      <w:proofErr w:type="spellEnd"/>
      <w:r w:rsidRPr="002B1C35">
        <w:rPr>
          <w:rFonts w:ascii="Times New Roman" w:hAnsi="Times New Roman" w:cs="Times New Roman"/>
        </w:rPr>
        <w:t xml:space="preserve"> de Enseñanza - Universidad de la República  </w:t>
      </w:r>
    </w:p>
    <w:p w14:paraId="0B003DA6" w14:textId="77777777" w:rsidR="002B1C35" w:rsidRPr="002B1C35" w:rsidRDefault="002B1C35" w:rsidP="002B1C35">
      <w:pPr>
        <w:spacing w:line="240" w:lineRule="auto"/>
        <w:jc w:val="right"/>
        <w:rPr>
          <w:rFonts w:ascii="Times New Roman" w:hAnsi="Times New Roman" w:cs="Times New Roman"/>
        </w:rPr>
      </w:pPr>
      <w:r w:rsidRPr="002B1C35">
        <w:rPr>
          <w:rFonts w:ascii="Times New Roman" w:hAnsi="Times New Roman" w:cs="Times New Roman"/>
        </w:rPr>
        <w:t xml:space="preserve">amarilladiego7@gmail.com </w:t>
      </w:r>
    </w:p>
    <w:p w14:paraId="2349AF38" w14:textId="77777777" w:rsidR="002B1C35" w:rsidRPr="002B1C35" w:rsidRDefault="002B1C35" w:rsidP="002B1C35">
      <w:pPr>
        <w:spacing w:line="240" w:lineRule="auto"/>
        <w:jc w:val="both"/>
        <w:rPr>
          <w:rFonts w:ascii="Times New Roman" w:hAnsi="Times New Roman" w:cs="Times New Roman"/>
        </w:rPr>
      </w:pPr>
    </w:p>
    <w:p w14:paraId="5CD3CDBC" w14:textId="77777777" w:rsidR="002B1C35" w:rsidRPr="002B1C35" w:rsidRDefault="002B1C35" w:rsidP="002B1C35">
      <w:pPr>
        <w:spacing w:line="240" w:lineRule="auto"/>
        <w:jc w:val="both"/>
        <w:rPr>
          <w:rFonts w:ascii="Times New Roman" w:hAnsi="Times New Roman" w:cs="Times New Roman"/>
          <w:b/>
        </w:rPr>
      </w:pPr>
      <w:r w:rsidRPr="002B1C35">
        <w:rPr>
          <w:rFonts w:ascii="Times New Roman" w:hAnsi="Times New Roman" w:cs="Times New Roman"/>
          <w:b/>
        </w:rPr>
        <w:t xml:space="preserve">Resumen </w:t>
      </w:r>
    </w:p>
    <w:p w14:paraId="44888FB2" w14:textId="2B7C7CE5" w:rsidR="002B1C35" w:rsidRPr="002B1C35" w:rsidRDefault="002B1C35" w:rsidP="002B1C35">
      <w:pPr>
        <w:spacing w:line="240" w:lineRule="auto"/>
        <w:jc w:val="both"/>
        <w:rPr>
          <w:rFonts w:ascii="Times New Roman" w:hAnsi="Times New Roman" w:cs="Times New Roman"/>
        </w:rPr>
      </w:pPr>
      <w:r w:rsidRPr="002B1C35">
        <w:rPr>
          <w:rFonts w:ascii="Times New Roman" w:hAnsi="Times New Roman" w:cs="Times New Roman"/>
        </w:rPr>
        <w:t>Las investigaciones desarrolladas por Errandonea (2003; 2004</w:t>
      </w:r>
      <w:r w:rsidR="008A5F9D">
        <w:rPr>
          <w:rFonts w:ascii="Times New Roman" w:hAnsi="Times New Roman" w:cs="Times New Roman"/>
        </w:rPr>
        <w:t>; 2005</w:t>
      </w:r>
      <w:r w:rsidRPr="002B1C35">
        <w:rPr>
          <w:rFonts w:ascii="Times New Roman" w:hAnsi="Times New Roman" w:cs="Times New Roman"/>
        </w:rPr>
        <w:t xml:space="preserve">) sostuvieron que la universidad </w:t>
      </w:r>
      <w:r w:rsidR="00A1113B">
        <w:rPr>
          <w:rFonts w:ascii="Times New Roman" w:hAnsi="Times New Roman" w:cs="Times New Roman"/>
        </w:rPr>
        <w:t>no solo</w:t>
      </w:r>
      <w:r w:rsidRPr="002B1C35">
        <w:rPr>
          <w:rFonts w:ascii="Times New Roman" w:hAnsi="Times New Roman" w:cs="Times New Roman"/>
        </w:rPr>
        <w:t xml:space="preserve"> certifica saberes, sino que ejerce un monopolio legítimo sobre la producción de credenciales que operan como mecanismos de cierre social. </w:t>
      </w:r>
      <w:r w:rsidR="008A5F9D" w:rsidRPr="008A5F9D">
        <w:rPr>
          <w:rFonts w:ascii="Times New Roman" w:hAnsi="Times New Roman" w:cs="Times New Roman"/>
        </w:rPr>
        <w:t>Los títulos delimitan fronteras ocupacionales, distribuyen diferencialmente autonomía y reconocimiento, fijan posiciones relativamente estables en la estructura social y contribuyen a estructurar mecanismos diferenciados de legitimación profesional</w:t>
      </w:r>
      <w:r w:rsidRPr="002B1C35">
        <w:rPr>
          <w:rFonts w:ascii="Times New Roman" w:hAnsi="Times New Roman" w:cs="Times New Roman"/>
        </w:rPr>
        <w:t>. Sin embargo, el análisis actual del cuerpo docente de la Universidad de la República obliga a revisar esa formulación (Amarilla, 2025). Los datos censales muestran una diferenciación persistente entre áreas disciplinares: en campos científicos predominan dedicaciones altas, doctorado e integración plena a la investigación; en áreas profesionales y aplicadas, dedicaciones parciales y mayor ejercicio extrauniversitario. Estas diferencias remiten a configuraciones históricas de las profesiones</w:t>
      </w:r>
      <w:r w:rsidR="003D5DDD">
        <w:rPr>
          <w:rFonts w:ascii="Times New Roman" w:hAnsi="Times New Roman" w:cs="Times New Roman"/>
        </w:rPr>
        <w:t xml:space="preserve"> y</w:t>
      </w:r>
      <w:r w:rsidRPr="002B1C35">
        <w:rPr>
          <w:rFonts w:ascii="Times New Roman" w:hAnsi="Times New Roman" w:cs="Times New Roman"/>
        </w:rPr>
        <w:t xml:space="preserve"> también a culturas disciplinares con distintos grados de consenso cognitivo y orientación práctica, tal como han señalado los estudios sobre “tribus académicas” y la distinción entre campos duros/blandos y puros/aplicados (Becher, 2001). Se plantea aquí la hipótesis de una creciente autonomización del campo académico. En un contexto de crisis fiscal, expansión de dispositivos de evaluación, financiamiento competitivo e internacionalización asimétrica, la universidad produce jerarquías internas relativamente autónomas del mercado profesional externo. La distribución desigual de tiempo institucional, estabilidad contractual, acceso a proyectos y capital científico configura posiciones académicas que no coinciden plenamente con los perfiles de estatus de las profesiones de origen. En diálogo con los aportes sobre profesionalización y regulación social del trabajo especializado (Diniz, 2001), se argumenta que el espacio universitario contemporáneo combina dos lógicas: por un lado, continúa operando como instancia central de acreditación y cierre social; por otro, se convierte en productor de nuevas estratificaci</w:t>
      </w:r>
      <w:r w:rsidR="00A469C1">
        <w:rPr>
          <w:rFonts w:ascii="Times New Roman" w:hAnsi="Times New Roman" w:cs="Times New Roman"/>
        </w:rPr>
        <w:t>ones</w:t>
      </w:r>
      <w:r w:rsidRPr="002B1C35">
        <w:rPr>
          <w:rFonts w:ascii="Times New Roman" w:hAnsi="Times New Roman" w:cs="Times New Roman"/>
        </w:rPr>
        <w:t xml:space="preserve"> </w:t>
      </w:r>
      <w:proofErr w:type="spellStart"/>
      <w:r w:rsidRPr="002B1C35">
        <w:rPr>
          <w:rFonts w:ascii="Times New Roman" w:hAnsi="Times New Roman" w:cs="Times New Roman"/>
        </w:rPr>
        <w:t>intraacadémica</w:t>
      </w:r>
      <w:r w:rsidR="00A469C1">
        <w:rPr>
          <w:rFonts w:ascii="Times New Roman" w:hAnsi="Times New Roman" w:cs="Times New Roman"/>
        </w:rPr>
        <w:t>s</w:t>
      </w:r>
      <w:proofErr w:type="spellEnd"/>
      <w:r w:rsidRPr="002B1C35">
        <w:rPr>
          <w:rFonts w:ascii="Times New Roman" w:hAnsi="Times New Roman" w:cs="Times New Roman"/>
        </w:rPr>
        <w:t xml:space="preserve">. Metodológicamente, se aplican técnicas de reducción dimensional </w:t>
      </w:r>
      <w:r w:rsidRPr="002B1C35">
        <w:rPr>
          <w:rFonts w:ascii="Times New Roman" w:hAnsi="Times New Roman" w:cs="Times New Roman"/>
        </w:rPr>
        <w:lastRenderedPageBreak/>
        <w:t xml:space="preserve">(Análisis de Componentes Principales) para mapear posiciones relativas en el espacio académico a partir de variables de dedicación, credenciales y vinculación, permitiendo visualizar configuraciones disciplinares diferenciadas. La ponencia propone, así, reformular la hipótesis estructural inicial: </w:t>
      </w:r>
      <w:r w:rsidR="003D5DDD">
        <w:rPr>
          <w:rFonts w:ascii="Times New Roman" w:hAnsi="Times New Roman" w:cs="Times New Roman"/>
        </w:rPr>
        <w:t xml:space="preserve">a la vez que </w:t>
      </w:r>
      <w:r w:rsidRPr="002B1C35">
        <w:rPr>
          <w:rFonts w:ascii="Times New Roman" w:hAnsi="Times New Roman" w:cs="Times New Roman"/>
        </w:rPr>
        <w:t xml:space="preserve">la universidad reproduce desigualdades profesionales preexistentes, redefine activamente los criterios de estatus en la sociedad del conocimiento. Esta doble dinámica resulta clave para comprender las transformaciones del trabajo docente y la carrera académica en América Latina bajo condiciones de crisis global. </w:t>
      </w:r>
    </w:p>
    <w:p w14:paraId="45FD76CE" w14:textId="77777777" w:rsidR="002B1C35" w:rsidRPr="002B1C35" w:rsidRDefault="002B1C35" w:rsidP="002B1C35">
      <w:pPr>
        <w:spacing w:line="240" w:lineRule="auto"/>
        <w:jc w:val="both"/>
        <w:rPr>
          <w:rFonts w:ascii="Times New Roman" w:hAnsi="Times New Roman" w:cs="Times New Roman"/>
        </w:rPr>
      </w:pPr>
      <w:r w:rsidRPr="002B1C35">
        <w:rPr>
          <w:rFonts w:ascii="Times New Roman" w:hAnsi="Times New Roman" w:cs="Times New Roman"/>
          <w:b/>
        </w:rPr>
        <w:t>Palabras clave</w:t>
      </w:r>
      <w:r w:rsidRPr="002B1C35">
        <w:rPr>
          <w:rFonts w:ascii="Times New Roman" w:hAnsi="Times New Roman" w:cs="Times New Roman"/>
        </w:rPr>
        <w:t xml:space="preserve">: PROFESIÓN ACADÉMICA, ESTRATIFICACIÓN, ESTATUS, COMUNIDADES DISCIPLINARES </w:t>
      </w:r>
    </w:p>
    <w:p w14:paraId="27C3A031" w14:textId="77777777" w:rsidR="002B1C35" w:rsidRPr="002B1C35" w:rsidRDefault="002B1C35" w:rsidP="002B1C35">
      <w:pPr>
        <w:spacing w:line="240" w:lineRule="auto"/>
        <w:jc w:val="both"/>
        <w:rPr>
          <w:rFonts w:ascii="Times New Roman" w:hAnsi="Times New Roman" w:cs="Times New Roman"/>
          <w:b/>
        </w:rPr>
      </w:pPr>
      <w:r w:rsidRPr="002B1C35">
        <w:rPr>
          <w:rFonts w:ascii="Times New Roman" w:hAnsi="Times New Roman" w:cs="Times New Roman"/>
          <w:b/>
        </w:rPr>
        <w:t>Introducción</w:t>
      </w:r>
    </w:p>
    <w:p w14:paraId="16E54C19" w14:textId="77777777" w:rsidR="002B1C35" w:rsidRPr="002B1C35" w:rsidRDefault="002B1C35" w:rsidP="002B1C35">
      <w:pPr>
        <w:spacing w:line="240" w:lineRule="auto"/>
        <w:jc w:val="both"/>
        <w:rPr>
          <w:rFonts w:ascii="Times New Roman" w:hAnsi="Times New Roman" w:cs="Times New Roman"/>
        </w:rPr>
      </w:pPr>
      <w:r w:rsidRPr="002B1C35">
        <w:rPr>
          <w:rFonts w:ascii="Times New Roman" w:hAnsi="Times New Roman" w:cs="Times New Roman"/>
        </w:rPr>
        <w:t xml:space="preserve">La profesión académica ha sido caracterizada de manera consistente en la literatura especializada como un espacio estructuralmente heterogéneo, atravesado por múltiples clivajes que remiten tanto a diferencias disciplinarias como a condiciones institucionales y trayectorias individuales (García de </w:t>
      </w:r>
      <w:proofErr w:type="spellStart"/>
      <w:r w:rsidRPr="002B1C35">
        <w:rPr>
          <w:rFonts w:ascii="Times New Roman" w:hAnsi="Times New Roman" w:cs="Times New Roman"/>
        </w:rPr>
        <w:t>Fanelli</w:t>
      </w:r>
      <w:proofErr w:type="spellEnd"/>
      <w:r w:rsidRPr="002B1C35">
        <w:rPr>
          <w:rFonts w:ascii="Times New Roman" w:hAnsi="Times New Roman" w:cs="Times New Roman"/>
        </w:rPr>
        <w:t xml:space="preserve">, 2009; </w:t>
      </w:r>
      <w:proofErr w:type="spellStart"/>
      <w:r w:rsidRPr="002B1C35">
        <w:rPr>
          <w:rFonts w:ascii="Times New Roman" w:hAnsi="Times New Roman" w:cs="Times New Roman"/>
        </w:rPr>
        <w:t>Enders</w:t>
      </w:r>
      <w:proofErr w:type="spellEnd"/>
      <w:r w:rsidRPr="002B1C35">
        <w:rPr>
          <w:rFonts w:ascii="Times New Roman" w:hAnsi="Times New Roman" w:cs="Times New Roman"/>
        </w:rPr>
        <w:t xml:space="preserve"> &amp; </w:t>
      </w:r>
      <w:proofErr w:type="spellStart"/>
      <w:r w:rsidRPr="002B1C35">
        <w:rPr>
          <w:rFonts w:ascii="Times New Roman" w:hAnsi="Times New Roman" w:cs="Times New Roman"/>
        </w:rPr>
        <w:t>Kaulisch</w:t>
      </w:r>
      <w:proofErr w:type="spellEnd"/>
      <w:r w:rsidRPr="002B1C35">
        <w:rPr>
          <w:rFonts w:ascii="Times New Roman" w:hAnsi="Times New Roman" w:cs="Times New Roman"/>
        </w:rPr>
        <w:t xml:space="preserve">, 2006). Lejos de constituir un colectivo homogéneo, el cuerpo docente universitario se configura como un entramado de posiciones diferenciadas, cuyas lógicas de estructuración no pueden ser comprendidas a partir de una única dimensión analítica. </w:t>
      </w:r>
    </w:p>
    <w:p w14:paraId="5A291EBB" w14:textId="39EE06B1" w:rsidR="002B1C35" w:rsidRPr="002B1C35" w:rsidRDefault="002B1C35" w:rsidP="002B1C35">
      <w:pPr>
        <w:spacing w:line="240" w:lineRule="auto"/>
        <w:jc w:val="both"/>
        <w:rPr>
          <w:rFonts w:ascii="Times New Roman" w:hAnsi="Times New Roman" w:cs="Times New Roman"/>
        </w:rPr>
      </w:pPr>
      <w:r w:rsidRPr="002B1C35">
        <w:rPr>
          <w:rFonts w:ascii="Times New Roman" w:hAnsi="Times New Roman" w:cs="Times New Roman"/>
        </w:rPr>
        <w:t>En este trabajo se sostiene que l</w:t>
      </w:r>
      <w:r w:rsidR="00943999">
        <w:rPr>
          <w:rFonts w:ascii="Times New Roman" w:hAnsi="Times New Roman" w:cs="Times New Roman"/>
        </w:rPr>
        <w:t>o</w:t>
      </w:r>
      <w:r w:rsidRPr="002B1C35">
        <w:rPr>
          <w:rFonts w:ascii="Times New Roman" w:hAnsi="Times New Roman" w:cs="Times New Roman"/>
        </w:rPr>
        <w:t xml:space="preserve">s </w:t>
      </w:r>
      <w:r w:rsidR="00AA7360">
        <w:rPr>
          <w:rFonts w:ascii="Times New Roman" w:hAnsi="Times New Roman" w:cs="Times New Roman"/>
        </w:rPr>
        <w:t>cambios</w:t>
      </w:r>
      <w:r w:rsidRPr="002B1C35">
        <w:rPr>
          <w:rFonts w:ascii="Times New Roman" w:hAnsi="Times New Roman" w:cs="Times New Roman"/>
        </w:rPr>
        <w:t xml:space="preserve"> recientes de la educación superior obligan a revisar parcialmente las hipótesis clásicas sobre profesión y estatus. Si bien la universidad continúa operando como un dispositivo central de acreditación y clausura social, la creciente diferenciación institucional y la expansión de las funciones de investigación han favorecido la emergencia de mecanismos de estratificación específicamente académicos, relativamente autónomos de las jerarquías profesionales externas. Desde esta perspectiva, la profesión académica contemporánea no puede comprenderse únicamente como prolongación de las estructuras ocupacionales tradicionales, sino también como un espacio de producción interna de capital científico, prestigio y reconocimiento. </w:t>
      </w:r>
    </w:p>
    <w:p w14:paraId="768CC4DF" w14:textId="28691571" w:rsidR="002B1C35" w:rsidRPr="002B1C35" w:rsidRDefault="002B1C35" w:rsidP="002B1C35">
      <w:pPr>
        <w:spacing w:line="240" w:lineRule="auto"/>
        <w:jc w:val="both"/>
        <w:rPr>
          <w:rFonts w:ascii="Times New Roman" w:hAnsi="Times New Roman" w:cs="Times New Roman"/>
        </w:rPr>
      </w:pPr>
      <w:r w:rsidRPr="002B1C35">
        <w:rPr>
          <w:rFonts w:ascii="Times New Roman" w:hAnsi="Times New Roman" w:cs="Times New Roman"/>
        </w:rPr>
        <w:t xml:space="preserve">En este sentido, los estudios clásicos sobre profesiones han tendido a enfatizar el papel de las credenciales como mecanismo de regulación del acceso a posiciones ocupacionales y de estructuración del estatus social. </w:t>
      </w:r>
      <w:r w:rsidR="00C8221F">
        <w:rPr>
          <w:rFonts w:ascii="Times New Roman" w:hAnsi="Times New Roman" w:cs="Times New Roman"/>
        </w:rPr>
        <w:t xml:space="preserve">El </w:t>
      </w:r>
      <w:r w:rsidRPr="002B1C35">
        <w:rPr>
          <w:rFonts w:ascii="Times New Roman" w:hAnsi="Times New Roman" w:cs="Times New Roman"/>
        </w:rPr>
        <w:t>título universitario no se limita a certificar saberes, sino que opera como un activo estratégico que habilita el control sobre mercados de trabajo específicos, delimitando fronteras ocupacionales y produciendo mecanismos de clausura social (Errandonea, 2004</w:t>
      </w:r>
      <w:r w:rsidR="0042363E">
        <w:rPr>
          <w:rFonts w:ascii="Times New Roman" w:hAnsi="Times New Roman" w:cs="Times New Roman"/>
        </w:rPr>
        <w:t>; 2005</w:t>
      </w:r>
      <w:r w:rsidRPr="002B1C35">
        <w:rPr>
          <w:rFonts w:ascii="Times New Roman" w:hAnsi="Times New Roman" w:cs="Times New Roman"/>
        </w:rPr>
        <w:t xml:space="preserve">). Este enfoque, de raigambre weberiana, permite comprender a los colectivos profesionales como grupos de estatus, definidos no únicamente por su función técnica, sino por su capacidad de monopolizar recursos simbólicos y materiales en el </w:t>
      </w:r>
      <w:r w:rsidR="00704C31">
        <w:rPr>
          <w:rFonts w:ascii="Times New Roman" w:hAnsi="Times New Roman" w:cs="Times New Roman"/>
        </w:rPr>
        <w:t>contexto</w:t>
      </w:r>
      <w:r w:rsidRPr="002B1C35">
        <w:rPr>
          <w:rFonts w:ascii="Times New Roman" w:hAnsi="Times New Roman" w:cs="Times New Roman"/>
        </w:rPr>
        <w:t xml:space="preserve"> de estructuras de oportunidades históricamente configuradas. </w:t>
      </w:r>
    </w:p>
    <w:p w14:paraId="11699028" w14:textId="2801BD29" w:rsidR="002B1C35" w:rsidRPr="002B1C35" w:rsidRDefault="002B1C35" w:rsidP="002B1C35">
      <w:pPr>
        <w:spacing w:line="240" w:lineRule="auto"/>
        <w:jc w:val="both"/>
        <w:rPr>
          <w:rFonts w:ascii="Times New Roman" w:hAnsi="Times New Roman" w:cs="Times New Roman"/>
        </w:rPr>
      </w:pPr>
      <w:r w:rsidRPr="002B1C35">
        <w:rPr>
          <w:rFonts w:ascii="Times New Roman" w:hAnsi="Times New Roman" w:cs="Times New Roman"/>
        </w:rPr>
        <w:t xml:space="preserve">Sin embargo, este tipo de abordajes presenta límites cuando se enfrenta a la creciente complejidad de la profesión académica contemporánea. En particular, la expansión de la educación superior, la diversificación institucional y la transformación de las condiciones de trabajo académico han introducido nuevas </w:t>
      </w:r>
      <w:r w:rsidR="0081374F">
        <w:rPr>
          <w:rFonts w:ascii="Times New Roman" w:hAnsi="Times New Roman" w:cs="Times New Roman"/>
        </w:rPr>
        <w:t>dinámicas</w:t>
      </w:r>
      <w:r w:rsidRPr="002B1C35">
        <w:rPr>
          <w:rFonts w:ascii="Times New Roman" w:hAnsi="Times New Roman" w:cs="Times New Roman"/>
        </w:rPr>
        <w:t xml:space="preserve"> de diferenciación que no pueden ser plenamente captadas por un</w:t>
      </w:r>
      <w:r w:rsidR="001C45DC">
        <w:rPr>
          <w:rFonts w:ascii="Times New Roman" w:hAnsi="Times New Roman" w:cs="Times New Roman"/>
        </w:rPr>
        <w:t>a</w:t>
      </w:r>
      <w:r w:rsidRPr="002B1C35">
        <w:rPr>
          <w:rFonts w:ascii="Times New Roman" w:hAnsi="Times New Roman" w:cs="Times New Roman"/>
        </w:rPr>
        <w:t xml:space="preserve"> </w:t>
      </w:r>
      <w:r w:rsidR="001C45DC">
        <w:rPr>
          <w:rFonts w:ascii="Times New Roman" w:hAnsi="Times New Roman" w:cs="Times New Roman"/>
        </w:rPr>
        <w:t xml:space="preserve">línea de argumentación </w:t>
      </w:r>
      <w:r w:rsidRPr="002B1C35">
        <w:rPr>
          <w:rFonts w:ascii="Times New Roman" w:hAnsi="Times New Roman" w:cs="Times New Roman"/>
        </w:rPr>
        <w:t>centrad</w:t>
      </w:r>
      <w:r w:rsidR="001C45DC">
        <w:rPr>
          <w:rFonts w:ascii="Times New Roman" w:hAnsi="Times New Roman" w:cs="Times New Roman"/>
        </w:rPr>
        <w:t>a</w:t>
      </w:r>
      <w:r w:rsidRPr="002B1C35">
        <w:rPr>
          <w:rFonts w:ascii="Times New Roman" w:hAnsi="Times New Roman" w:cs="Times New Roman"/>
        </w:rPr>
        <w:t xml:space="preserve"> exclusivamente en el </w:t>
      </w:r>
      <w:r w:rsidRPr="002B1C35">
        <w:rPr>
          <w:rFonts w:ascii="Times New Roman" w:hAnsi="Times New Roman" w:cs="Times New Roman"/>
        </w:rPr>
        <w:lastRenderedPageBreak/>
        <w:t xml:space="preserve">mercado profesional externo. Como ha sido ampliamente documentado para América Latina, la masificación reconfigura la distribución de estudiantes entre instituciones, </w:t>
      </w:r>
      <w:r w:rsidR="006D62E5">
        <w:rPr>
          <w:rFonts w:ascii="Times New Roman" w:hAnsi="Times New Roman" w:cs="Times New Roman"/>
        </w:rPr>
        <w:t>y</w:t>
      </w:r>
      <w:r w:rsidRPr="002B1C35">
        <w:rPr>
          <w:rFonts w:ascii="Times New Roman" w:hAnsi="Times New Roman" w:cs="Times New Roman"/>
        </w:rPr>
        <w:t xml:space="preserve"> también la distribución de las capacidades de producción de conocimiento, generando brechas epistémicas estructurales entre segmentos del sistema (Brunner</w:t>
      </w:r>
      <w:r w:rsidR="00292610">
        <w:rPr>
          <w:rFonts w:ascii="Times New Roman" w:hAnsi="Times New Roman" w:cs="Times New Roman"/>
        </w:rPr>
        <w:t xml:space="preserve"> y Ganga</w:t>
      </w:r>
      <w:r w:rsidRPr="002B1C35">
        <w:rPr>
          <w:rFonts w:ascii="Times New Roman" w:hAnsi="Times New Roman" w:cs="Times New Roman"/>
        </w:rPr>
        <w:t xml:space="preserve">, 2016; </w:t>
      </w:r>
      <w:proofErr w:type="spellStart"/>
      <w:r w:rsidRPr="002B1C35">
        <w:rPr>
          <w:rFonts w:ascii="Times New Roman" w:hAnsi="Times New Roman" w:cs="Times New Roman"/>
        </w:rPr>
        <w:t>Marginson</w:t>
      </w:r>
      <w:proofErr w:type="spellEnd"/>
      <w:r w:rsidRPr="002B1C35">
        <w:rPr>
          <w:rFonts w:ascii="Times New Roman" w:hAnsi="Times New Roman" w:cs="Times New Roman"/>
        </w:rPr>
        <w:t xml:space="preserve">, 2016; </w:t>
      </w:r>
      <w:proofErr w:type="spellStart"/>
      <w:r w:rsidRPr="002B1C35">
        <w:rPr>
          <w:rFonts w:ascii="Times New Roman" w:hAnsi="Times New Roman" w:cs="Times New Roman"/>
        </w:rPr>
        <w:t>Landinelli</w:t>
      </w:r>
      <w:proofErr w:type="spellEnd"/>
      <w:r w:rsidRPr="002B1C35">
        <w:rPr>
          <w:rFonts w:ascii="Times New Roman" w:hAnsi="Times New Roman" w:cs="Times New Roman"/>
        </w:rPr>
        <w:t xml:space="preserve">, 2011). </w:t>
      </w:r>
    </w:p>
    <w:p w14:paraId="4413C5C7" w14:textId="6AD110D1" w:rsidR="002B1C35" w:rsidRPr="002B1C35" w:rsidRDefault="002B1C35" w:rsidP="002B1C35">
      <w:pPr>
        <w:spacing w:line="240" w:lineRule="auto"/>
        <w:jc w:val="both"/>
        <w:rPr>
          <w:rFonts w:ascii="Times New Roman" w:hAnsi="Times New Roman" w:cs="Times New Roman"/>
        </w:rPr>
      </w:pPr>
      <w:r w:rsidRPr="002B1C35">
        <w:rPr>
          <w:rFonts w:ascii="Times New Roman" w:hAnsi="Times New Roman" w:cs="Times New Roman"/>
        </w:rPr>
        <w:t xml:space="preserve">En este contexto, la diversificación institucional se articula con una segmentación creciente de la profesión académica. Como señalan Schwartzman y Balbachevsky (1995), en sistemas masificados solo una fracción de las instituciones concentra docentes con dedicación plena, formación doctoral y participación sistemática en investigación, mientras que amplios segmentos del sistema se sostienen sobre figuras docentes precarizadas o desvinculadas de comunidades epistémicas activas. Esta diferenciación interna del trabajo académico limita estructuralmente las posibilidades de acceso al conocimiento avanzado y refuerza </w:t>
      </w:r>
      <w:r w:rsidR="00604819">
        <w:rPr>
          <w:rFonts w:ascii="Times New Roman" w:hAnsi="Times New Roman" w:cs="Times New Roman"/>
        </w:rPr>
        <w:t>la diferencia</w:t>
      </w:r>
      <w:r w:rsidRPr="002B1C35">
        <w:rPr>
          <w:rFonts w:ascii="Times New Roman" w:hAnsi="Times New Roman" w:cs="Times New Roman"/>
        </w:rPr>
        <w:t xml:space="preserve"> no solo entre instituciones, sino también en el tipo de experiencia académica que estas pueden ofrecer. </w:t>
      </w:r>
      <w:r w:rsidR="00F26568">
        <w:rPr>
          <w:rFonts w:ascii="Times New Roman" w:hAnsi="Times New Roman" w:cs="Times New Roman"/>
        </w:rPr>
        <w:t>L</w:t>
      </w:r>
      <w:r w:rsidRPr="002B1C35">
        <w:rPr>
          <w:rFonts w:ascii="Times New Roman" w:hAnsi="Times New Roman" w:cs="Times New Roman"/>
        </w:rPr>
        <w:t xml:space="preserve">a desigualdad universitaria contemporánea no refiere únicamente al acceso diferencial a instituciones o credenciales, sino también a formas desiguales de acceso a comunidades epistémicas activas, circuitos de investigación y condiciones efectivas de producción de conocimiento. La segmentación de la profesión académica implica, por tanto, una distribución </w:t>
      </w:r>
      <w:r w:rsidR="00E30D0C">
        <w:rPr>
          <w:rFonts w:ascii="Times New Roman" w:hAnsi="Times New Roman" w:cs="Times New Roman"/>
        </w:rPr>
        <w:t>diferenciada</w:t>
      </w:r>
      <w:r w:rsidRPr="002B1C35">
        <w:rPr>
          <w:rFonts w:ascii="Times New Roman" w:hAnsi="Times New Roman" w:cs="Times New Roman"/>
        </w:rPr>
        <w:t xml:space="preserve"> de las posibilidades de participación en la vida científica y en los procesos de acumulación de capital académico. </w:t>
      </w:r>
    </w:p>
    <w:p w14:paraId="534DF2D6" w14:textId="70A42517" w:rsidR="002B1C35" w:rsidRPr="002B1C35" w:rsidRDefault="002B1C35" w:rsidP="002B1C35">
      <w:pPr>
        <w:spacing w:line="240" w:lineRule="auto"/>
        <w:jc w:val="both"/>
        <w:rPr>
          <w:rFonts w:ascii="Times New Roman" w:hAnsi="Times New Roman" w:cs="Times New Roman"/>
        </w:rPr>
      </w:pPr>
      <w:r w:rsidRPr="002B1C35">
        <w:rPr>
          <w:rFonts w:ascii="Times New Roman" w:hAnsi="Times New Roman" w:cs="Times New Roman"/>
        </w:rPr>
        <w:t xml:space="preserve">En consecuencia, se vuelve necesario incorporar una segunda dimensión analítica que permita dar cuenta de la organización interna del trabajo académico y de </w:t>
      </w:r>
      <w:r w:rsidR="0081374F">
        <w:rPr>
          <w:rFonts w:ascii="Times New Roman" w:hAnsi="Times New Roman" w:cs="Times New Roman"/>
        </w:rPr>
        <w:t>los modos específicos</w:t>
      </w:r>
      <w:r w:rsidRPr="002B1C35">
        <w:rPr>
          <w:rFonts w:ascii="Times New Roman" w:hAnsi="Times New Roman" w:cs="Times New Roman"/>
        </w:rPr>
        <w:t xml:space="preserve"> que asume la producción de estatus dentro del propio campo universitario. </w:t>
      </w:r>
      <w:r w:rsidR="00A3653B" w:rsidRPr="00A3653B">
        <w:rPr>
          <w:rFonts w:ascii="Times New Roman" w:hAnsi="Times New Roman" w:cs="Times New Roman"/>
        </w:rPr>
        <w:t>Esta dimensión remite tanto a jerarquías profesionales externas como a</w:t>
      </w:r>
      <w:r w:rsidR="00A3653B">
        <w:rPr>
          <w:rFonts w:ascii="Times New Roman" w:hAnsi="Times New Roman" w:cs="Times New Roman"/>
        </w:rPr>
        <w:t xml:space="preserve"> </w:t>
      </w:r>
      <w:r w:rsidRPr="002B1C35">
        <w:rPr>
          <w:rFonts w:ascii="Times New Roman" w:hAnsi="Times New Roman" w:cs="Times New Roman"/>
        </w:rPr>
        <w:t>la estructura interna de distribución del prestigio, los recursos y las oportunidades de participación en la producción de conocimiento, que operan como mecanismos centrales de diferenciación en sistemas de educación superior crecientemente heterogéneos (</w:t>
      </w:r>
      <w:r w:rsidR="00B74218">
        <w:rPr>
          <w:rFonts w:ascii="Times New Roman" w:hAnsi="Times New Roman" w:cs="Times New Roman"/>
        </w:rPr>
        <w:t>Clark, 1987</w:t>
      </w:r>
      <w:r w:rsidRPr="002B1C35">
        <w:rPr>
          <w:rFonts w:ascii="Times New Roman" w:hAnsi="Times New Roman" w:cs="Times New Roman"/>
        </w:rPr>
        <w:t xml:space="preserve">). </w:t>
      </w:r>
    </w:p>
    <w:p w14:paraId="7069E577" w14:textId="36DA5F5A" w:rsidR="002B1C35" w:rsidRPr="002B1C35" w:rsidRDefault="002B1C35" w:rsidP="002B1C35">
      <w:pPr>
        <w:spacing w:line="240" w:lineRule="auto"/>
        <w:jc w:val="both"/>
        <w:rPr>
          <w:rFonts w:ascii="Times New Roman" w:hAnsi="Times New Roman" w:cs="Times New Roman"/>
        </w:rPr>
      </w:pPr>
      <w:r w:rsidRPr="002B1C35">
        <w:rPr>
          <w:rFonts w:ascii="Times New Roman" w:hAnsi="Times New Roman" w:cs="Times New Roman"/>
        </w:rPr>
        <w:t xml:space="preserve">En este marco, el presente trabajo analiza </w:t>
      </w:r>
      <w:r w:rsidR="00AE12A8">
        <w:rPr>
          <w:rFonts w:ascii="Times New Roman" w:hAnsi="Times New Roman" w:cs="Times New Roman"/>
        </w:rPr>
        <w:t>l</w:t>
      </w:r>
      <w:r w:rsidR="00136D96">
        <w:rPr>
          <w:rFonts w:ascii="Times New Roman" w:hAnsi="Times New Roman" w:cs="Times New Roman"/>
        </w:rPr>
        <w:t>a</w:t>
      </w:r>
      <w:r w:rsidR="00AE12A8">
        <w:rPr>
          <w:rFonts w:ascii="Times New Roman" w:hAnsi="Times New Roman" w:cs="Times New Roman"/>
        </w:rPr>
        <w:t>s mod</w:t>
      </w:r>
      <w:r w:rsidR="00136D96">
        <w:rPr>
          <w:rFonts w:ascii="Times New Roman" w:hAnsi="Times New Roman" w:cs="Times New Roman"/>
        </w:rPr>
        <w:t>alidade</w:t>
      </w:r>
      <w:r w:rsidR="00AE12A8">
        <w:rPr>
          <w:rFonts w:ascii="Times New Roman" w:hAnsi="Times New Roman" w:cs="Times New Roman"/>
        </w:rPr>
        <w:t>s</w:t>
      </w:r>
      <w:r w:rsidR="00136D96">
        <w:rPr>
          <w:rFonts w:ascii="Times New Roman" w:hAnsi="Times New Roman" w:cs="Times New Roman"/>
        </w:rPr>
        <w:t xml:space="preserve"> </w:t>
      </w:r>
      <w:r w:rsidRPr="002B1C35">
        <w:rPr>
          <w:rFonts w:ascii="Times New Roman" w:hAnsi="Times New Roman" w:cs="Times New Roman"/>
        </w:rPr>
        <w:t>contemporáne</w:t>
      </w:r>
      <w:r w:rsidR="00136D96">
        <w:rPr>
          <w:rFonts w:ascii="Times New Roman" w:hAnsi="Times New Roman" w:cs="Times New Roman"/>
        </w:rPr>
        <w:t>a</w:t>
      </w:r>
      <w:r w:rsidRPr="002B1C35">
        <w:rPr>
          <w:rFonts w:ascii="Times New Roman" w:hAnsi="Times New Roman" w:cs="Times New Roman"/>
        </w:rPr>
        <w:t>s de segmentación de la profesión académica en la Universidad de la República</w:t>
      </w:r>
      <w:r w:rsidR="00331080">
        <w:rPr>
          <w:rFonts w:ascii="Times New Roman" w:hAnsi="Times New Roman" w:cs="Times New Roman"/>
        </w:rPr>
        <w:t xml:space="preserve"> (en adelante Udelar)</w:t>
      </w:r>
      <w:r w:rsidRPr="002B1C35">
        <w:rPr>
          <w:rFonts w:ascii="Times New Roman" w:hAnsi="Times New Roman" w:cs="Times New Roman"/>
        </w:rPr>
        <w:t xml:space="preserve">, explorando cómo la distribución diferencial de tiempo institucional, funciones universitarias, acceso a investigación y capital académico contribuye a la configuración de perfiles docentes heterogéneos. </w:t>
      </w:r>
      <w:r w:rsidR="00DA0CC9">
        <w:rPr>
          <w:rFonts w:ascii="Times New Roman" w:hAnsi="Times New Roman" w:cs="Times New Roman"/>
        </w:rPr>
        <w:t>De este modo</w:t>
      </w:r>
      <w:r w:rsidRPr="002B1C35">
        <w:rPr>
          <w:rFonts w:ascii="Times New Roman" w:hAnsi="Times New Roman" w:cs="Times New Roman"/>
        </w:rPr>
        <w:t xml:space="preserve"> se sostiene que la universidad no opera únicamente como un espacio de acreditación profesional, sino también como un ámbito relativamente autónomo de producción de jerarquías </w:t>
      </w:r>
      <w:proofErr w:type="spellStart"/>
      <w:r w:rsidRPr="002B1C35">
        <w:rPr>
          <w:rFonts w:ascii="Times New Roman" w:hAnsi="Times New Roman" w:cs="Times New Roman"/>
        </w:rPr>
        <w:t>intraacadémicas</w:t>
      </w:r>
      <w:proofErr w:type="spellEnd"/>
      <w:r w:rsidRPr="002B1C35">
        <w:rPr>
          <w:rFonts w:ascii="Times New Roman" w:hAnsi="Times New Roman" w:cs="Times New Roman"/>
        </w:rPr>
        <w:t xml:space="preserve"> y </w:t>
      </w:r>
      <w:r w:rsidR="00292048">
        <w:rPr>
          <w:rFonts w:ascii="Times New Roman" w:hAnsi="Times New Roman" w:cs="Times New Roman"/>
        </w:rPr>
        <w:t>formas</w:t>
      </w:r>
      <w:r w:rsidR="00D50633">
        <w:rPr>
          <w:rFonts w:ascii="Times New Roman" w:hAnsi="Times New Roman" w:cs="Times New Roman"/>
        </w:rPr>
        <w:t xml:space="preserve"> </w:t>
      </w:r>
      <w:r w:rsidRPr="002B1C35">
        <w:rPr>
          <w:rFonts w:ascii="Times New Roman" w:hAnsi="Times New Roman" w:cs="Times New Roman"/>
        </w:rPr>
        <w:t>diferenciadas de integración al campo científico.</w:t>
      </w:r>
    </w:p>
    <w:p w14:paraId="2994EB63" w14:textId="7651C08B" w:rsidR="002B1C35" w:rsidRPr="002B1C35" w:rsidRDefault="00073F72" w:rsidP="002B1C35">
      <w:pPr>
        <w:spacing w:line="240" w:lineRule="auto"/>
        <w:jc w:val="both"/>
        <w:rPr>
          <w:rFonts w:ascii="Times New Roman" w:hAnsi="Times New Roman" w:cs="Times New Roman"/>
          <w:b/>
        </w:rPr>
      </w:pPr>
      <w:r>
        <w:rPr>
          <w:rFonts w:ascii="Times New Roman" w:hAnsi="Times New Roman" w:cs="Times New Roman"/>
          <w:b/>
        </w:rPr>
        <w:t xml:space="preserve">Fundamentación </w:t>
      </w:r>
      <w:r w:rsidR="002B1C35" w:rsidRPr="002B1C35">
        <w:rPr>
          <w:rFonts w:ascii="Times New Roman" w:hAnsi="Times New Roman" w:cs="Times New Roman"/>
          <w:b/>
        </w:rPr>
        <w:t>teóric</w:t>
      </w:r>
      <w:r>
        <w:rPr>
          <w:rFonts w:ascii="Times New Roman" w:hAnsi="Times New Roman" w:cs="Times New Roman"/>
          <w:b/>
        </w:rPr>
        <w:t>a</w:t>
      </w:r>
      <w:r w:rsidR="002B1C35" w:rsidRPr="002B1C35">
        <w:rPr>
          <w:rFonts w:ascii="Times New Roman" w:hAnsi="Times New Roman" w:cs="Times New Roman"/>
          <w:b/>
        </w:rPr>
        <w:t xml:space="preserve"> </w:t>
      </w:r>
    </w:p>
    <w:p w14:paraId="5116F0D5" w14:textId="73FD4966" w:rsidR="002B1C35" w:rsidRPr="002B1C35" w:rsidRDefault="002B1C35" w:rsidP="002B1C35">
      <w:pPr>
        <w:spacing w:line="240" w:lineRule="auto"/>
        <w:jc w:val="both"/>
        <w:rPr>
          <w:rFonts w:ascii="Times New Roman" w:hAnsi="Times New Roman" w:cs="Times New Roman"/>
        </w:rPr>
      </w:pPr>
      <w:r w:rsidRPr="002B1C35">
        <w:rPr>
          <w:rFonts w:ascii="Times New Roman" w:hAnsi="Times New Roman" w:cs="Times New Roman"/>
        </w:rPr>
        <w:t>En esta línea, la sociología de la educación superior ha destacado el papel de las disciplinas como uno de los principales principios organizadores de la vida académica. Tal como señala Clark (1987), las bases disciplinarias organizan el conocimiento</w:t>
      </w:r>
      <w:r w:rsidR="00FB5F0E">
        <w:rPr>
          <w:rFonts w:ascii="Times New Roman" w:hAnsi="Times New Roman" w:cs="Times New Roman"/>
        </w:rPr>
        <w:t xml:space="preserve"> y </w:t>
      </w:r>
      <w:r w:rsidRPr="002B1C35">
        <w:rPr>
          <w:rFonts w:ascii="Times New Roman" w:hAnsi="Times New Roman" w:cs="Times New Roman"/>
        </w:rPr>
        <w:t xml:space="preserve">también los modos de trabajo, los criterios de evaluación y las trayectorias profesionales dentro de las instituciones universitarias. Complementariamente, Becher (2001) propone comprender a las disciplinas como “tribus académicas”, esto es, comunidades que </w:t>
      </w:r>
      <w:r w:rsidRPr="002B1C35">
        <w:rPr>
          <w:rFonts w:ascii="Times New Roman" w:hAnsi="Times New Roman" w:cs="Times New Roman"/>
        </w:rPr>
        <w:lastRenderedPageBreak/>
        <w:t xml:space="preserve">combinan dimensiones epistémicas y sociales, estructurando </w:t>
      </w:r>
      <w:r w:rsidR="00D50633">
        <w:rPr>
          <w:rFonts w:ascii="Times New Roman" w:hAnsi="Times New Roman" w:cs="Times New Roman"/>
        </w:rPr>
        <w:t>especificidades relativas a</w:t>
      </w:r>
      <w:r w:rsidRPr="002B1C35">
        <w:rPr>
          <w:rFonts w:ascii="Times New Roman" w:hAnsi="Times New Roman" w:cs="Times New Roman"/>
        </w:rPr>
        <w:t xml:space="preserve"> pertenencia, reconocimiento y prestigio. Su conocida tipología —que distingue entre disciplinas duras y blandas, así como puras y aplicadas— permite identificar diferencias sistemáticas en las culturas académicas, las cuales se traducen en jerarquías simbólicas y en </w:t>
      </w:r>
      <w:r w:rsidR="00136D96">
        <w:rPr>
          <w:rFonts w:ascii="Times New Roman" w:hAnsi="Times New Roman" w:cs="Times New Roman"/>
        </w:rPr>
        <w:t>divergencias</w:t>
      </w:r>
      <w:r w:rsidRPr="002B1C35">
        <w:rPr>
          <w:rFonts w:ascii="Times New Roman" w:hAnsi="Times New Roman" w:cs="Times New Roman"/>
        </w:rPr>
        <w:t xml:space="preserve"> de producción y validación del conocimiento. </w:t>
      </w:r>
    </w:p>
    <w:p w14:paraId="7821FA3C" w14:textId="373FFDD8" w:rsidR="002B1C35" w:rsidRPr="002B1C35" w:rsidRDefault="002B1C35" w:rsidP="002B1C35">
      <w:pPr>
        <w:spacing w:line="240" w:lineRule="auto"/>
        <w:jc w:val="both"/>
        <w:rPr>
          <w:rFonts w:ascii="Times New Roman" w:hAnsi="Times New Roman" w:cs="Times New Roman"/>
        </w:rPr>
      </w:pPr>
      <w:r w:rsidRPr="002B1C35">
        <w:rPr>
          <w:rFonts w:ascii="Times New Roman" w:hAnsi="Times New Roman" w:cs="Times New Roman"/>
        </w:rPr>
        <w:t xml:space="preserve">Desde </w:t>
      </w:r>
      <w:r w:rsidR="00922350">
        <w:rPr>
          <w:rFonts w:ascii="Times New Roman" w:hAnsi="Times New Roman" w:cs="Times New Roman"/>
        </w:rPr>
        <w:t>un marco</w:t>
      </w:r>
      <w:r w:rsidRPr="002B1C35">
        <w:rPr>
          <w:rFonts w:ascii="Times New Roman" w:hAnsi="Times New Roman" w:cs="Times New Roman"/>
        </w:rPr>
        <w:t xml:space="preserve"> más general, estos procesos pueden ser interpretados </w:t>
      </w:r>
      <w:r w:rsidR="00715986">
        <w:rPr>
          <w:rFonts w:ascii="Times New Roman" w:hAnsi="Times New Roman" w:cs="Times New Roman"/>
        </w:rPr>
        <w:t>a partir</w:t>
      </w:r>
      <w:r w:rsidRPr="002B1C35">
        <w:rPr>
          <w:rFonts w:ascii="Times New Roman" w:hAnsi="Times New Roman" w:cs="Times New Roman"/>
        </w:rPr>
        <w:t xml:space="preserve"> del concepto de campo académico desarrollado por Bourdieu (2008), entendido como un espacio de relaciones de fuerza en el que los agentes ocupan posiciones diferenciadas en función del capital científico y simbólico que logran acumular. En este campo, las disciplinas constituyen áreas de conocimiento, </w:t>
      </w:r>
      <w:r w:rsidR="00154EF6">
        <w:rPr>
          <w:rFonts w:ascii="Times New Roman" w:hAnsi="Times New Roman" w:cs="Times New Roman"/>
        </w:rPr>
        <w:t>pero</w:t>
      </w:r>
      <w:r w:rsidRPr="002B1C35">
        <w:rPr>
          <w:rFonts w:ascii="Times New Roman" w:hAnsi="Times New Roman" w:cs="Times New Roman"/>
        </w:rPr>
        <w:t xml:space="preserve"> también posiciones relativas en una estructura jerárquica, donde se disputan recursos, reconocimiento y legitimidad. </w:t>
      </w:r>
    </w:p>
    <w:p w14:paraId="4A89CE5A" w14:textId="7C927BC0" w:rsidR="002B1C35" w:rsidRPr="002B1C35" w:rsidRDefault="002B1C35" w:rsidP="002B1C35">
      <w:pPr>
        <w:spacing w:line="240" w:lineRule="auto"/>
        <w:jc w:val="both"/>
        <w:rPr>
          <w:rFonts w:ascii="Times New Roman" w:hAnsi="Times New Roman" w:cs="Times New Roman"/>
        </w:rPr>
      </w:pPr>
      <w:r w:rsidRPr="002B1C35">
        <w:rPr>
          <w:rFonts w:ascii="Times New Roman" w:hAnsi="Times New Roman" w:cs="Times New Roman"/>
        </w:rPr>
        <w:t xml:space="preserve">Esta perspectiva permite introducir una distinción analíticamente relevante entre capital profesional y capital académico. Mientras el primero se encuentra asociado al reconocimiento ocupacional externo y al control sobre mercados de trabajo especializados, el segundo remite a formas de legitimidad producidas dentro del propio campo universitario, vinculadas a la investigación, la publicación científica, la inserción en redes académicas y el acceso diferencial a tiempo institucional. En contextos de expansión y evaluación permanente, </w:t>
      </w:r>
      <w:r w:rsidR="002A37C2">
        <w:rPr>
          <w:rFonts w:ascii="Times New Roman" w:hAnsi="Times New Roman" w:cs="Times New Roman"/>
        </w:rPr>
        <w:t>ambos tipos</w:t>
      </w:r>
      <w:r w:rsidRPr="002B1C35">
        <w:rPr>
          <w:rFonts w:ascii="Times New Roman" w:hAnsi="Times New Roman" w:cs="Times New Roman"/>
        </w:rPr>
        <w:t xml:space="preserve"> de capital no necesariamente coinciden, generando tensiones crecientes entre prestigio profesional y prestigio académico. </w:t>
      </w:r>
    </w:p>
    <w:p w14:paraId="23BE2498" w14:textId="3AFE1F12" w:rsidR="002B1C35" w:rsidRPr="002B1C35" w:rsidRDefault="002B1C35" w:rsidP="002B1C35">
      <w:pPr>
        <w:spacing w:line="240" w:lineRule="auto"/>
        <w:jc w:val="both"/>
        <w:rPr>
          <w:rFonts w:ascii="Times New Roman" w:hAnsi="Times New Roman" w:cs="Times New Roman"/>
        </w:rPr>
      </w:pPr>
      <w:r w:rsidRPr="002B1C35">
        <w:rPr>
          <w:rFonts w:ascii="Times New Roman" w:hAnsi="Times New Roman" w:cs="Times New Roman"/>
        </w:rPr>
        <w:t>Sobre esta base, los desarrollos recientes han avanzado en la operacionalización empírica de estas diferencias, proponiendo instrumentos analíticos capaces de captar la heterogeneidad interna del profesorado universitario. En particular, Amarilla (2025) introduce el concepto de vinculación institucional como eje organizador de la diferenciación académica, definido a partir de la combinación de variables como la dedicación horaria, las funciones sustantivas (enseñanza, investigación, extensión), la inserción laboral externa y la formación doctoral. Est</w:t>
      </w:r>
      <w:r w:rsidR="00570144">
        <w:rPr>
          <w:rFonts w:ascii="Times New Roman" w:hAnsi="Times New Roman" w:cs="Times New Roman"/>
        </w:rPr>
        <w:t xml:space="preserve">a deriva conceptual </w:t>
      </w:r>
      <w:r w:rsidRPr="002B1C35">
        <w:rPr>
          <w:rFonts w:ascii="Times New Roman" w:hAnsi="Times New Roman" w:cs="Times New Roman"/>
        </w:rPr>
        <w:t xml:space="preserve">permite desplazar el foco desde la pertenencia disciplinar en abstracto hacia </w:t>
      </w:r>
      <w:r w:rsidR="002A37C2">
        <w:rPr>
          <w:rFonts w:ascii="Times New Roman" w:hAnsi="Times New Roman" w:cs="Times New Roman"/>
        </w:rPr>
        <w:t>dinámicas</w:t>
      </w:r>
      <w:r w:rsidRPr="002B1C35">
        <w:rPr>
          <w:rFonts w:ascii="Times New Roman" w:hAnsi="Times New Roman" w:cs="Times New Roman"/>
        </w:rPr>
        <w:t xml:space="preserve"> concretas en que los docentes se articulan con la institución universitaria. </w:t>
      </w:r>
    </w:p>
    <w:p w14:paraId="0B15D109" w14:textId="0FB8B23D" w:rsidR="002B1C35" w:rsidRPr="002B1C35" w:rsidRDefault="0031055A" w:rsidP="00EE0FBE">
      <w:pPr>
        <w:spacing w:line="240" w:lineRule="auto"/>
        <w:jc w:val="both"/>
        <w:rPr>
          <w:rFonts w:ascii="Times New Roman" w:hAnsi="Times New Roman" w:cs="Times New Roman"/>
        </w:rPr>
      </w:pPr>
      <w:r>
        <w:rPr>
          <w:rFonts w:ascii="Times New Roman" w:hAnsi="Times New Roman" w:cs="Times New Roman"/>
        </w:rPr>
        <w:t>En términos conceptuales</w:t>
      </w:r>
      <w:r w:rsidR="002B1C35" w:rsidRPr="002B1C35">
        <w:rPr>
          <w:rFonts w:ascii="Times New Roman" w:hAnsi="Times New Roman" w:cs="Times New Roman"/>
        </w:rPr>
        <w:t>, la vinculación institucional no constituye únicamente un indicador administrativo o laboral, sino una expresión de las condiciones estructurales de acceso al campo académico. La disponibilidad diferencial de tiempo institucional, dedicación horaria y participación en actividades de investigación configura oportunidades desiguales de acumulación de capital científico y de integración efectiva a comunidades académicas legitimadas. Amarilla propone</w:t>
      </w:r>
      <w:r w:rsidR="00EE0FBE">
        <w:rPr>
          <w:rFonts w:ascii="Times New Roman" w:hAnsi="Times New Roman" w:cs="Times New Roman"/>
        </w:rPr>
        <w:t>,</w:t>
      </w:r>
      <w:r w:rsidR="002B1C35" w:rsidRPr="002B1C35">
        <w:rPr>
          <w:rFonts w:ascii="Times New Roman" w:hAnsi="Times New Roman" w:cs="Times New Roman"/>
        </w:rPr>
        <w:t xml:space="preserve"> </w:t>
      </w:r>
      <w:r w:rsidR="00EE0FBE">
        <w:rPr>
          <w:rFonts w:ascii="Times New Roman" w:hAnsi="Times New Roman" w:cs="Times New Roman"/>
        </w:rPr>
        <w:t xml:space="preserve">entonces, </w:t>
      </w:r>
      <w:r w:rsidR="002B1C35" w:rsidRPr="002B1C35">
        <w:rPr>
          <w:rFonts w:ascii="Times New Roman" w:hAnsi="Times New Roman" w:cs="Times New Roman"/>
        </w:rPr>
        <w:t>la construcción de núcleos disciplinares como tipología empírica de perfiles docentes, distinguiendo entre un núcleo académico —caracterizado por altas dedicaciones, fuerte involucramiento en la investigación y formación doctoral—, un núcleo profesional —definido por dedicaciones parciales, centralidad de la enseñanza y elevada inserción en el mercado laboral externo—, y un núcleo mixto que combina rasgos de ambos polos. Esta tipología permite visualizar la coexistencia de configuraciones diferenciadas del trabajo académico, evidenciando que las trayectorias docentes</w:t>
      </w:r>
      <w:r w:rsidR="00F75CD6">
        <w:rPr>
          <w:rFonts w:ascii="Times New Roman" w:hAnsi="Times New Roman" w:cs="Times New Roman"/>
        </w:rPr>
        <w:t xml:space="preserve"> </w:t>
      </w:r>
      <w:r w:rsidR="002B1C35" w:rsidRPr="002B1C35">
        <w:rPr>
          <w:rFonts w:ascii="Times New Roman" w:hAnsi="Times New Roman" w:cs="Times New Roman"/>
        </w:rPr>
        <w:t xml:space="preserve">dependen de factores individuales </w:t>
      </w:r>
      <w:r w:rsidR="00F75CD6">
        <w:rPr>
          <w:rFonts w:ascii="Times New Roman" w:hAnsi="Times New Roman" w:cs="Times New Roman"/>
        </w:rPr>
        <w:t>y</w:t>
      </w:r>
      <w:r w:rsidR="002B1C35" w:rsidRPr="002B1C35">
        <w:rPr>
          <w:rFonts w:ascii="Times New Roman" w:hAnsi="Times New Roman" w:cs="Times New Roman"/>
        </w:rPr>
        <w:t xml:space="preserve"> también de estructuras disciplinares e institucionales que condicionan las oportunidades de desarrollo y reconocimiento. </w:t>
      </w:r>
    </w:p>
    <w:p w14:paraId="5F00ECC8" w14:textId="3920BA6C" w:rsidR="002B1C35" w:rsidRPr="002B1C35" w:rsidRDefault="002B1C35" w:rsidP="002B1C35">
      <w:pPr>
        <w:spacing w:line="240" w:lineRule="auto"/>
        <w:jc w:val="both"/>
        <w:rPr>
          <w:rFonts w:ascii="Times New Roman" w:hAnsi="Times New Roman" w:cs="Times New Roman"/>
        </w:rPr>
      </w:pPr>
      <w:r w:rsidRPr="002B1C35">
        <w:rPr>
          <w:rFonts w:ascii="Times New Roman" w:hAnsi="Times New Roman" w:cs="Times New Roman"/>
        </w:rPr>
        <w:lastRenderedPageBreak/>
        <w:t xml:space="preserve">La articulación entre estos enfoques permite avanzar hacia una comprensión más compleja de la profesión académica contemporánea. Por un lado, </w:t>
      </w:r>
      <w:r w:rsidR="009D5CEE">
        <w:rPr>
          <w:rFonts w:ascii="Times New Roman" w:hAnsi="Times New Roman" w:cs="Times New Roman"/>
        </w:rPr>
        <w:t>el enfoque</w:t>
      </w:r>
      <w:r w:rsidRPr="002B1C35">
        <w:rPr>
          <w:rFonts w:ascii="Times New Roman" w:hAnsi="Times New Roman" w:cs="Times New Roman"/>
        </w:rPr>
        <w:t xml:space="preserve"> del credencialismo y la clausura social pone de relieve el papel histórico de la universidad como instancia central en la producción y distribución de credenciales que estructuran el estatus profesional en la sociedad. Por otro, el análisis de la vinculación institucional y de los núcleos disciplinares muestra que la universidad no se limita a reproducir desigualdades externas, sino que produce activamente </w:t>
      </w:r>
      <w:r w:rsidR="00AE12A8">
        <w:rPr>
          <w:rFonts w:ascii="Times New Roman" w:hAnsi="Times New Roman" w:cs="Times New Roman"/>
        </w:rPr>
        <w:t>diferenciaciones internas</w:t>
      </w:r>
      <w:r w:rsidRPr="002B1C35">
        <w:rPr>
          <w:rFonts w:ascii="Times New Roman" w:hAnsi="Times New Roman" w:cs="Times New Roman"/>
        </w:rPr>
        <w:t xml:space="preserve">, basadas en la distribución </w:t>
      </w:r>
      <w:r w:rsidR="00B92ABD">
        <w:rPr>
          <w:rFonts w:ascii="Times New Roman" w:hAnsi="Times New Roman" w:cs="Times New Roman"/>
        </w:rPr>
        <w:t xml:space="preserve">en </w:t>
      </w:r>
      <w:r w:rsidRPr="002B1C35">
        <w:rPr>
          <w:rFonts w:ascii="Times New Roman" w:hAnsi="Times New Roman" w:cs="Times New Roman"/>
        </w:rPr>
        <w:t xml:space="preserve">el acceso a la investigación, la estabilidad contractual y el capital científico. </w:t>
      </w:r>
    </w:p>
    <w:p w14:paraId="30E617C1" w14:textId="0D930A4C" w:rsidR="002B1C35" w:rsidRPr="002B1C35" w:rsidRDefault="001D0205" w:rsidP="002B1C35">
      <w:pPr>
        <w:spacing w:line="240" w:lineRule="auto"/>
        <w:jc w:val="both"/>
        <w:rPr>
          <w:rFonts w:ascii="Times New Roman" w:hAnsi="Times New Roman" w:cs="Times New Roman"/>
        </w:rPr>
      </w:pPr>
      <w:r>
        <w:rPr>
          <w:rFonts w:ascii="Times New Roman" w:hAnsi="Times New Roman" w:cs="Times New Roman"/>
        </w:rPr>
        <w:t>Desde este punto de vista</w:t>
      </w:r>
      <w:r w:rsidR="002B1C35" w:rsidRPr="002B1C35">
        <w:rPr>
          <w:rFonts w:ascii="Times New Roman" w:hAnsi="Times New Roman" w:cs="Times New Roman"/>
        </w:rPr>
        <w:t>, el aporte central del presente trabajo consiste en mostrar que la segmentación contemporánea de la profesión académica ya no puede interpretarse únicamente como una derivación de las jerarquías profesionales externas o de las estructuras tradicionales de estatus asociadas a cada disciplina. Por el contrario, el análisis sugiere que la propia universidad participa activamente en la producción de mecanismos internos de diferenciación, vinculados a la distribución desigual de tiempo institucional, acceso a investigación, capital científico</w:t>
      </w:r>
      <w:r w:rsidR="001C1F34">
        <w:rPr>
          <w:rFonts w:ascii="Times New Roman" w:hAnsi="Times New Roman" w:cs="Times New Roman"/>
        </w:rPr>
        <w:t xml:space="preserve"> e </w:t>
      </w:r>
      <w:r w:rsidR="002B1C35" w:rsidRPr="002B1C35">
        <w:rPr>
          <w:rFonts w:ascii="Times New Roman" w:hAnsi="Times New Roman" w:cs="Times New Roman"/>
        </w:rPr>
        <w:t xml:space="preserve">integración a comunidades académicas legitimadas. </w:t>
      </w:r>
      <w:r w:rsidR="00B73C74">
        <w:rPr>
          <w:rFonts w:ascii="Times New Roman" w:hAnsi="Times New Roman" w:cs="Times New Roman"/>
        </w:rPr>
        <w:t>La</w:t>
      </w:r>
      <w:r w:rsidR="002B1C35" w:rsidRPr="002B1C35">
        <w:rPr>
          <w:rFonts w:ascii="Times New Roman" w:hAnsi="Times New Roman" w:cs="Times New Roman"/>
        </w:rPr>
        <w:t xml:space="preserve"> creciente autonomización del campo académico transforma a la universidad </w:t>
      </w:r>
      <w:r w:rsidR="00A1113B">
        <w:rPr>
          <w:rFonts w:ascii="Times New Roman" w:hAnsi="Times New Roman" w:cs="Times New Roman"/>
        </w:rPr>
        <w:t>no solo</w:t>
      </w:r>
      <w:r w:rsidR="002B1C35" w:rsidRPr="002B1C35">
        <w:rPr>
          <w:rFonts w:ascii="Times New Roman" w:hAnsi="Times New Roman" w:cs="Times New Roman"/>
        </w:rPr>
        <w:t xml:space="preserve"> en una instancia de acreditación profesional, sino también en un espacio relativamente autónomo de producción de jerarquías </w:t>
      </w:r>
      <w:proofErr w:type="spellStart"/>
      <w:r w:rsidR="002B1C35" w:rsidRPr="002B1C35">
        <w:rPr>
          <w:rFonts w:ascii="Times New Roman" w:hAnsi="Times New Roman" w:cs="Times New Roman"/>
        </w:rPr>
        <w:t>intraacadémicas</w:t>
      </w:r>
      <w:proofErr w:type="spellEnd"/>
      <w:r w:rsidR="002B1C35" w:rsidRPr="002B1C35">
        <w:rPr>
          <w:rFonts w:ascii="Times New Roman" w:hAnsi="Times New Roman" w:cs="Times New Roman"/>
        </w:rPr>
        <w:t xml:space="preserve">. </w:t>
      </w:r>
    </w:p>
    <w:p w14:paraId="062A2142" w14:textId="012B3C85" w:rsidR="002B1C35" w:rsidRDefault="002B1C35" w:rsidP="002B1C35">
      <w:pPr>
        <w:spacing w:line="240" w:lineRule="auto"/>
        <w:jc w:val="both"/>
        <w:rPr>
          <w:rFonts w:ascii="Times New Roman" w:hAnsi="Times New Roman" w:cs="Times New Roman"/>
        </w:rPr>
      </w:pPr>
      <w:r w:rsidRPr="002B1C35">
        <w:rPr>
          <w:rFonts w:ascii="Times New Roman" w:hAnsi="Times New Roman" w:cs="Times New Roman"/>
        </w:rPr>
        <w:t xml:space="preserve">La articulación entre la perspectiva de la clausura social y el análisis de la vinculación institucional permite, así, construir una lectura integrada de las transformaciones recientes de la profesión académica. Mientras </w:t>
      </w:r>
      <w:r w:rsidR="00C875F2">
        <w:rPr>
          <w:rFonts w:ascii="Times New Roman" w:hAnsi="Times New Roman" w:cs="Times New Roman"/>
        </w:rPr>
        <w:t>las clásicas conceptualizaciones</w:t>
      </w:r>
      <w:r w:rsidRPr="002B1C35">
        <w:rPr>
          <w:rFonts w:ascii="Times New Roman" w:hAnsi="Times New Roman" w:cs="Times New Roman"/>
        </w:rPr>
        <w:t xml:space="preserve"> permiten comprender cómo la universidad participa en la regulación del acceso al estatus profesional, el análisis de las formas de inserción académica muestra que la propia institución universitaria produce mecanismos internos de diferenciación que reorganizan las condiciones de reconocimiento y legitimid</w:t>
      </w:r>
      <w:r w:rsidR="00C47188">
        <w:rPr>
          <w:rFonts w:ascii="Times New Roman" w:hAnsi="Times New Roman" w:cs="Times New Roman"/>
        </w:rPr>
        <w:t>ad dentro del campo científico.</w:t>
      </w:r>
    </w:p>
    <w:p w14:paraId="72BD743C" w14:textId="240B2FD8" w:rsidR="00C47188" w:rsidRDefault="00C47188" w:rsidP="002B1C35">
      <w:pPr>
        <w:spacing w:line="240" w:lineRule="auto"/>
        <w:jc w:val="both"/>
        <w:rPr>
          <w:rFonts w:ascii="Times New Roman" w:hAnsi="Times New Roman" w:cs="Times New Roman"/>
        </w:rPr>
      </w:pPr>
      <w:r w:rsidRPr="00C47188">
        <w:rPr>
          <w:rFonts w:ascii="Times New Roman" w:hAnsi="Times New Roman" w:cs="Times New Roman"/>
        </w:rPr>
        <w:t xml:space="preserve">El aporte central de esta investigación consiste en mostrar que la segmentación contemporánea de la profesión académica ya no puede explicarse únicamente por las jerarquías históricas entre profesiones, sino también por mecanismos </w:t>
      </w:r>
      <w:proofErr w:type="spellStart"/>
      <w:r w:rsidRPr="00C47188">
        <w:rPr>
          <w:rFonts w:ascii="Times New Roman" w:hAnsi="Times New Roman" w:cs="Times New Roman"/>
        </w:rPr>
        <w:t>intrauniversitarios</w:t>
      </w:r>
      <w:proofErr w:type="spellEnd"/>
      <w:r w:rsidRPr="00C47188">
        <w:rPr>
          <w:rFonts w:ascii="Times New Roman" w:hAnsi="Times New Roman" w:cs="Times New Roman"/>
        </w:rPr>
        <w:t xml:space="preserve"> de producción de legitimidad científica, acceso diferencial a tiempo institucional y acumulación de capital académico.</w:t>
      </w:r>
    </w:p>
    <w:p w14:paraId="5DF91FFD" w14:textId="64A44C68" w:rsidR="008A5F9D" w:rsidRPr="002B1C35" w:rsidRDefault="008A5F9D" w:rsidP="002B1C35">
      <w:pPr>
        <w:spacing w:line="240" w:lineRule="auto"/>
        <w:jc w:val="both"/>
        <w:rPr>
          <w:rFonts w:ascii="Times New Roman" w:hAnsi="Times New Roman" w:cs="Times New Roman"/>
        </w:rPr>
      </w:pPr>
      <w:r w:rsidRPr="008A5F9D">
        <w:rPr>
          <w:rFonts w:ascii="Times New Roman" w:hAnsi="Times New Roman" w:cs="Times New Roman"/>
        </w:rPr>
        <w:t>Estas diferencias históricas entre profesiones universitarias no remiten únicamente a variaciones funcionales u ocupacionales, sino también a configuraciones heterogéneas de prestigio, legitimidad y reconocimiento social entre agrupamientos profesionales (Errandonea, 2013).</w:t>
      </w:r>
    </w:p>
    <w:p w14:paraId="194A81CC" w14:textId="77777777" w:rsidR="002B1C35" w:rsidRPr="002B1C35" w:rsidRDefault="002B1C35" w:rsidP="002B1C35">
      <w:pPr>
        <w:spacing w:line="240" w:lineRule="auto"/>
        <w:jc w:val="both"/>
        <w:rPr>
          <w:rFonts w:ascii="Times New Roman" w:hAnsi="Times New Roman" w:cs="Times New Roman"/>
          <w:b/>
        </w:rPr>
      </w:pPr>
      <w:r w:rsidRPr="002B1C35">
        <w:rPr>
          <w:rFonts w:ascii="Times New Roman" w:hAnsi="Times New Roman" w:cs="Times New Roman"/>
          <w:b/>
        </w:rPr>
        <w:t xml:space="preserve">Hipótesis de investigación </w:t>
      </w:r>
    </w:p>
    <w:p w14:paraId="5A623803" w14:textId="50B229C4" w:rsidR="002B1C35" w:rsidRPr="002B1C35" w:rsidRDefault="002B1C35" w:rsidP="002B1C35">
      <w:pPr>
        <w:spacing w:line="240" w:lineRule="auto"/>
        <w:jc w:val="both"/>
        <w:rPr>
          <w:rFonts w:ascii="Times New Roman" w:hAnsi="Times New Roman" w:cs="Times New Roman"/>
        </w:rPr>
      </w:pPr>
      <w:r w:rsidRPr="002B1C35">
        <w:rPr>
          <w:rFonts w:ascii="Times New Roman" w:hAnsi="Times New Roman" w:cs="Times New Roman"/>
        </w:rPr>
        <w:t>La hipótesis central de este trabajo es que el campo académico contemporáneo se organiza en torno a una doble lógica parcialmente tensionada. Por un lado, como ha señalado Errandonea (2003; 2004</w:t>
      </w:r>
      <w:r w:rsidR="008A5F9D">
        <w:rPr>
          <w:rFonts w:ascii="Times New Roman" w:hAnsi="Times New Roman" w:cs="Times New Roman"/>
        </w:rPr>
        <w:t>; 2005</w:t>
      </w:r>
      <w:r w:rsidRPr="002B1C35">
        <w:rPr>
          <w:rFonts w:ascii="Times New Roman" w:hAnsi="Times New Roman" w:cs="Times New Roman"/>
        </w:rPr>
        <w:t>), continúa operando como un espacio de acreditación y clausura profesional</w:t>
      </w:r>
      <w:r w:rsidR="008A5F9D">
        <w:rPr>
          <w:rFonts w:ascii="Times New Roman" w:hAnsi="Times New Roman" w:cs="Times New Roman"/>
        </w:rPr>
        <w:t xml:space="preserve"> </w:t>
      </w:r>
      <w:r w:rsidR="008A5F9D" w:rsidRPr="008A5F9D">
        <w:rPr>
          <w:rFonts w:ascii="Times New Roman" w:hAnsi="Times New Roman" w:cs="Times New Roman"/>
        </w:rPr>
        <w:t>y diferenciación desigual del reconocimiento ocupacional</w:t>
      </w:r>
      <w:r w:rsidRPr="002B1C35">
        <w:rPr>
          <w:rFonts w:ascii="Times New Roman" w:hAnsi="Times New Roman" w:cs="Times New Roman"/>
        </w:rPr>
        <w:t xml:space="preserve">, en el que los títulos delimitan el acceso a posiciones ocupacionales y configuran jerarquías sociales relativamente estables. Por otro, se constituye como un espacio relativamente autónomo </w:t>
      </w:r>
      <w:r w:rsidRPr="002B1C35">
        <w:rPr>
          <w:rFonts w:ascii="Times New Roman" w:hAnsi="Times New Roman" w:cs="Times New Roman"/>
        </w:rPr>
        <w:lastRenderedPageBreak/>
        <w:t xml:space="preserve">de producción de estatus, en el que las posiciones de los agentes se definen crecientemente por su grado de integración institucional, su inserción en comunidades disciplinarias específicas y su capacidad de acumular capital académico (Amarilla, 2025). </w:t>
      </w:r>
    </w:p>
    <w:p w14:paraId="050BC12E" w14:textId="3B9A8BFA" w:rsidR="002B1C35" w:rsidRPr="002B1C35" w:rsidRDefault="002B1C35" w:rsidP="002B1C35">
      <w:pPr>
        <w:spacing w:line="240" w:lineRule="auto"/>
        <w:jc w:val="both"/>
        <w:rPr>
          <w:rFonts w:ascii="Times New Roman" w:hAnsi="Times New Roman" w:cs="Times New Roman"/>
        </w:rPr>
      </w:pPr>
      <w:r w:rsidRPr="002B1C35">
        <w:rPr>
          <w:rFonts w:ascii="Times New Roman" w:hAnsi="Times New Roman" w:cs="Times New Roman"/>
        </w:rPr>
        <w:t xml:space="preserve">La expansión de dispositivos de evaluación, internacionalización y financiamiento competitivo ha fortalecido progresivamente esta segunda lógica, incrementando el peso de mecanismos internos de diferenciación académica relativamente independientes del prestigio histórico de las profesiones de origen. Como resultado, la universidad contemporánea certifica posiciones sociales externas </w:t>
      </w:r>
      <w:r w:rsidR="003416BD">
        <w:rPr>
          <w:rFonts w:ascii="Times New Roman" w:hAnsi="Times New Roman" w:cs="Times New Roman"/>
        </w:rPr>
        <w:t>pero</w:t>
      </w:r>
      <w:r w:rsidRPr="002B1C35">
        <w:rPr>
          <w:rFonts w:ascii="Times New Roman" w:hAnsi="Times New Roman" w:cs="Times New Roman"/>
        </w:rPr>
        <w:t xml:space="preserve"> produce nuevas jerarquías basadas en</w:t>
      </w:r>
      <w:r w:rsidR="000A4270">
        <w:rPr>
          <w:rFonts w:ascii="Times New Roman" w:hAnsi="Times New Roman" w:cs="Times New Roman"/>
        </w:rPr>
        <w:t xml:space="preserve"> diferentes </w:t>
      </w:r>
      <w:r w:rsidR="006215AA">
        <w:rPr>
          <w:rFonts w:ascii="Times New Roman" w:hAnsi="Times New Roman" w:cs="Times New Roman"/>
        </w:rPr>
        <w:t>tipos</w:t>
      </w:r>
      <w:r w:rsidRPr="002B1C35">
        <w:rPr>
          <w:rFonts w:ascii="Times New Roman" w:hAnsi="Times New Roman" w:cs="Times New Roman"/>
        </w:rPr>
        <w:t xml:space="preserve"> de capital académico. </w:t>
      </w:r>
    </w:p>
    <w:p w14:paraId="2EFEBF61" w14:textId="20536ACC" w:rsidR="002B1C35" w:rsidRPr="002B1C35" w:rsidRDefault="002B1C35" w:rsidP="002B1C35">
      <w:pPr>
        <w:spacing w:line="240" w:lineRule="auto"/>
        <w:jc w:val="both"/>
        <w:rPr>
          <w:rFonts w:ascii="Times New Roman" w:hAnsi="Times New Roman" w:cs="Times New Roman"/>
        </w:rPr>
      </w:pPr>
      <w:r w:rsidRPr="002B1C35">
        <w:rPr>
          <w:rFonts w:ascii="Times New Roman" w:hAnsi="Times New Roman" w:cs="Times New Roman"/>
        </w:rPr>
        <w:t xml:space="preserve">Esta doble dinámica resulta particularmente relevante en contextos de </w:t>
      </w:r>
      <w:r w:rsidR="000A4270">
        <w:rPr>
          <w:rFonts w:ascii="Times New Roman" w:hAnsi="Times New Roman" w:cs="Times New Roman"/>
        </w:rPr>
        <w:t>cambios</w:t>
      </w:r>
      <w:r w:rsidRPr="002B1C35">
        <w:rPr>
          <w:rFonts w:ascii="Times New Roman" w:hAnsi="Times New Roman" w:cs="Times New Roman"/>
        </w:rPr>
        <w:t xml:space="preserve"> del sistema de educación superior, caracterizados por la expansión de dispositivos de evaluación, el financiamiento competitivo y la diversificación de las trayectorias académicas. En estos escenarios, las diferencias disciplinarias y de vinculación institucional adquieren un peso creciente en la estructuración del campo académico, generando configuraciones híbridas en las que coexisten lógicas profesionales y académicas. </w:t>
      </w:r>
    </w:p>
    <w:p w14:paraId="7E00B284" w14:textId="5BD3211E" w:rsidR="002B1C35" w:rsidRPr="002B1C35" w:rsidRDefault="008A5F9D" w:rsidP="002B1C35">
      <w:pPr>
        <w:spacing w:line="240" w:lineRule="auto"/>
        <w:jc w:val="both"/>
        <w:rPr>
          <w:rFonts w:ascii="Times New Roman" w:hAnsi="Times New Roman" w:cs="Times New Roman"/>
        </w:rPr>
      </w:pPr>
      <w:r w:rsidRPr="008A5F9D">
        <w:rPr>
          <w:rFonts w:ascii="Times New Roman" w:hAnsi="Times New Roman" w:cs="Times New Roman"/>
        </w:rPr>
        <w:t xml:space="preserve">Aunque el análisis se centra en la </w:t>
      </w:r>
      <w:proofErr w:type="spellStart"/>
      <w:r w:rsidRPr="008A5F9D">
        <w:rPr>
          <w:rFonts w:ascii="Times New Roman" w:hAnsi="Times New Roman" w:cs="Times New Roman"/>
        </w:rPr>
        <w:t>Udelar</w:t>
      </w:r>
      <w:proofErr w:type="spellEnd"/>
      <w:r w:rsidRPr="008A5F9D">
        <w:rPr>
          <w:rFonts w:ascii="Times New Roman" w:hAnsi="Times New Roman" w:cs="Times New Roman"/>
        </w:rPr>
        <w:t xml:space="preserve">, el caso uruguayo resulta particularmente relevante para observar tendencias más amplias presentes en los sistemas de educación superior latinoamericanos, caracterizados por procesos simultáneos de expansión, diferenciación institucional y creciente segmentación del trabajo académico. La trayectoria histórica de la </w:t>
      </w:r>
      <w:proofErr w:type="spellStart"/>
      <w:r w:rsidRPr="008A5F9D">
        <w:rPr>
          <w:rFonts w:ascii="Times New Roman" w:hAnsi="Times New Roman" w:cs="Times New Roman"/>
        </w:rPr>
        <w:t>Udelar</w:t>
      </w:r>
      <w:proofErr w:type="spellEnd"/>
      <w:r w:rsidRPr="008A5F9D">
        <w:rPr>
          <w:rFonts w:ascii="Times New Roman" w:hAnsi="Times New Roman" w:cs="Times New Roman"/>
        </w:rPr>
        <w:t xml:space="preserve"> como </w:t>
      </w:r>
      <w:proofErr w:type="spellStart"/>
      <w:r w:rsidRPr="008A5F9D">
        <w:rPr>
          <w:rFonts w:ascii="Times New Roman" w:hAnsi="Times New Roman" w:cs="Times New Roman"/>
        </w:rPr>
        <w:t>macrouniversidad</w:t>
      </w:r>
      <w:proofErr w:type="spellEnd"/>
      <w:r w:rsidRPr="008A5F9D">
        <w:rPr>
          <w:rFonts w:ascii="Times New Roman" w:hAnsi="Times New Roman" w:cs="Times New Roman"/>
        </w:rPr>
        <w:t xml:space="preserve"> pública, autónoma y de acceso abierto —con una fuerte concentración de matrícula, funciones académicas y producción científica— configura un escenario institucional singular dentro del contexto regional (Errandonea, en prensa). En este marco, la universidad uruguaya constituye un observatorio privilegiado para analizar cómo las transformaciones contemporáneas de la educación superior reconfiguran simultáneamente las relaciones entre profesión, conocimiento y formas de legitimación dentro del campo académico.</w:t>
      </w:r>
    </w:p>
    <w:p w14:paraId="7BCD80B0" w14:textId="1D4A73DD" w:rsidR="002B1C35" w:rsidRPr="002B1C35" w:rsidRDefault="002B1C35" w:rsidP="002B1C35">
      <w:pPr>
        <w:spacing w:line="240" w:lineRule="auto"/>
        <w:jc w:val="both"/>
        <w:rPr>
          <w:rFonts w:ascii="Times New Roman" w:hAnsi="Times New Roman" w:cs="Times New Roman"/>
        </w:rPr>
      </w:pPr>
      <w:r w:rsidRPr="002B1C35">
        <w:rPr>
          <w:rFonts w:ascii="Times New Roman" w:hAnsi="Times New Roman" w:cs="Times New Roman"/>
        </w:rPr>
        <w:t>De este modo, se busca contribuir a la reformulación de las hipótesis clásicas sobre el papel de la universidad en la reproducción de desigualdades sociales, mostrando que, en las condiciones actuales, la institución reproduce estructuras preexistentes</w:t>
      </w:r>
      <w:r w:rsidR="0079159D">
        <w:rPr>
          <w:rFonts w:ascii="Times New Roman" w:hAnsi="Times New Roman" w:cs="Times New Roman"/>
        </w:rPr>
        <w:t xml:space="preserve"> y </w:t>
      </w:r>
      <w:r w:rsidRPr="002B1C35">
        <w:rPr>
          <w:rFonts w:ascii="Times New Roman" w:hAnsi="Times New Roman" w:cs="Times New Roman"/>
        </w:rPr>
        <w:t xml:space="preserve">participa activamente en la redefinición de los criterios de estatus en la sociedad del conocimiento. </w:t>
      </w:r>
    </w:p>
    <w:p w14:paraId="15CEE131" w14:textId="77777777" w:rsidR="002B1C35" w:rsidRPr="002B1C35" w:rsidRDefault="002B1C35" w:rsidP="002B1C35">
      <w:pPr>
        <w:spacing w:line="240" w:lineRule="auto"/>
        <w:jc w:val="both"/>
        <w:rPr>
          <w:rFonts w:ascii="Times New Roman" w:hAnsi="Times New Roman" w:cs="Times New Roman"/>
          <w:b/>
        </w:rPr>
      </w:pPr>
      <w:r w:rsidRPr="002B1C35">
        <w:rPr>
          <w:rFonts w:ascii="Times New Roman" w:hAnsi="Times New Roman" w:cs="Times New Roman"/>
          <w:b/>
        </w:rPr>
        <w:t xml:space="preserve">Estrategia metodológica </w:t>
      </w:r>
    </w:p>
    <w:p w14:paraId="3CA1D504" w14:textId="0D7CAC53" w:rsidR="002B1C35" w:rsidRPr="002B1C35" w:rsidRDefault="002B1C35" w:rsidP="002B1C35">
      <w:pPr>
        <w:spacing w:line="240" w:lineRule="auto"/>
        <w:jc w:val="both"/>
        <w:rPr>
          <w:rFonts w:ascii="Times New Roman" w:hAnsi="Times New Roman" w:cs="Times New Roman"/>
        </w:rPr>
      </w:pPr>
      <w:r w:rsidRPr="002B1C35">
        <w:rPr>
          <w:rFonts w:ascii="Times New Roman" w:hAnsi="Times New Roman" w:cs="Times New Roman"/>
        </w:rPr>
        <w:t xml:space="preserve">El presente trabajo se basa en un análisis cuantitativo de carácter descriptivo y exploratorio realizado a partir de los microdatos provenientes de los Censos Docentes de la Udelar correspondientes a 2021 y 2023. El objetivo metodológico central consiste en identificar patrones de diferenciación </w:t>
      </w:r>
      <w:r w:rsidR="00125BC5">
        <w:rPr>
          <w:rFonts w:ascii="Times New Roman" w:hAnsi="Times New Roman" w:cs="Times New Roman"/>
        </w:rPr>
        <w:t>en la</w:t>
      </w:r>
      <w:r w:rsidRPr="002B1C35">
        <w:rPr>
          <w:rFonts w:ascii="Times New Roman" w:hAnsi="Times New Roman" w:cs="Times New Roman"/>
        </w:rPr>
        <w:t xml:space="preserve"> vinculación institucional de los docentes universitarios, así como explorar la configuración de núcleos disciplinares asociados a distintas </w:t>
      </w:r>
      <w:r w:rsidR="00292048">
        <w:rPr>
          <w:rFonts w:ascii="Times New Roman" w:hAnsi="Times New Roman" w:cs="Times New Roman"/>
        </w:rPr>
        <w:t xml:space="preserve">formas </w:t>
      </w:r>
      <w:r w:rsidRPr="002B1C35">
        <w:rPr>
          <w:rFonts w:ascii="Times New Roman" w:hAnsi="Times New Roman" w:cs="Times New Roman"/>
        </w:rPr>
        <w:t xml:space="preserve">de integración al campo académico. </w:t>
      </w:r>
    </w:p>
    <w:p w14:paraId="2775C77B" w14:textId="5360F0A3" w:rsidR="002B1C35" w:rsidRPr="002B1C35" w:rsidRDefault="002B1C35" w:rsidP="002B1C35">
      <w:pPr>
        <w:spacing w:line="240" w:lineRule="auto"/>
        <w:jc w:val="both"/>
        <w:rPr>
          <w:rFonts w:ascii="Times New Roman" w:hAnsi="Times New Roman" w:cs="Times New Roman"/>
        </w:rPr>
      </w:pPr>
      <w:r w:rsidRPr="002B1C35">
        <w:rPr>
          <w:rFonts w:ascii="Times New Roman" w:hAnsi="Times New Roman" w:cs="Times New Roman"/>
        </w:rPr>
        <w:t xml:space="preserve">La fuente principal de información corresponde al acervo de bases de datos del Área de Evaluación de Políticas de Enseñanza del </w:t>
      </w:r>
      <w:proofErr w:type="spellStart"/>
      <w:r w:rsidRPr="002B1C35">
        <w:rPr>
          <w:rFonts w:ascii="Times New Roman" w:hAnsi="Times New Roman" w:cs="Times New Roman"/>
        </w:rPr>
        <w:t>Prorrectorado</w:t>
      </w:r>
      <w:proofErr w:type="spellEnd"/>
      <w:r w:rsidRPr="002B1C35">
        <w:rPr>
          <w:rFonts w:ascii="Times New Roman" w:hAnsi="Times New Roman" w:cs="Times New Roman"/>
        </w:rPr>
        <w:t xml:space="preserve"> de Enseñanza. Los relevamientos censales incluyen </w:t>
      </w:r>
      <w:r w:rsidR="00BA6EC5">
        <w:rPr>
          <w:rFonts w:ascii="Times New Roman" w:hAnsi="Times New Roman" w:cs="Times New Roman"/>
        </w:rPr>
        <w:t>datos</w:t>
      </w:r>
      <w:r w:rsidRPr="002B1C35">
        <w:rPr>
          <w:rFonts w:ascii="Times New Roman" w:hAnsi="Times New Roman" w:cs="Times New Roman"/>
        </w:rPr>
        <w:t xml:space="preserve"> relativ</w:t>
      </w:r>
      <w:r w:rsidR="00BA6EC5">
        <w:rPr>
          <w:rFonts w:ascii="Times New Roman" w:hAnsi="Times New Roman" w:cs="Times New Roman"/>
        </w:rPr>
        <w:t>os</w:t>
      </w:r>
      <w:r w:rsidRPr="002B1C35">
        <w:rPr>
          <w:rFonts w:ascii="Times New Roman" w:hAnsi="Times New Roman" w:cs="Times New Roman"/>
        </w:rPr>
        <w:t xml:space="preserve"> a dedicación horaria, funciones sustantivas </w:t>
      </w:r>
      <w:r w:rsidRPr="002B1C35">
        <w:rPr>
          <w:rFonts w:ascii="Times New Roman" w:hAnsi="Times New Roman" w:cs="Times New Roman"/>
        </w:rPr>
        <w:lastRenderedPageBreak/>
        <w:t xml:space="preserve">desempeñadas, inserción laboral externa, formación académica y características generales de los cargos docentes. </w:t>
      </w:r>
    </w:p>
    <w:p w14:paraId="6C728908" w14:textId="622CB789" w:rsidR="002B1C35" w:rsidRPr="002B1C35" w:rsidRDefault="002B1C35" w:rsidP="002B1C35">
      <w:pPr>
        <w:spacing w:line="240" w:lineRule="auto"/>
        <w:jc w:val="both"/>
        <w:rPr>
          <w:rFonts w:ascii="Times New Roman" w:hAnsi="Times New Roman" w:cs="Times New Roman"/>
        </w:rPr>
      </w:pPr>
      <w:r w:rsidRPr="002B1C35">
        <w:rPr>
          <w:rFonts w:ascii="Times New Roman" w:hAnsi="Times New Roman" w:cs="Times New Roman"/>
        </w:rPr>
        <w:t>Dado que una misma persona puede desempeñar simultáneamente más de un cargo con diferentes dedicaciones</w:t>
      </w:r>
      <w:r w:rsidR="002E4FD2">
        <w:rPr>
          <w:rFonts w:ascii="Times New Roman" w:hAnsi="Times New Roman" w:cs="Times New Roman"/>
        </w:rPr>
        <w:t xml:space="preserve"> y</w:t>
      </w:r>
      <w:r w:rsidRPr="002B1C35">
        <w:rPr>
          <w:rFonts w:ascii="Times New Roman" w:hAnsi="Times New Roman" w:cs="Times New Roman"/>
        </w:rPr>
        <w:t xml:space="preserve"> funciones, la unidad de análisis adoptada en este estudio son los cargos docentes y no las personas. Esta decisión metodológica busca captar con mayor precisión la heterogeneidad de las modalidades de vinculación académica presentes en la estructura universitaria. </w:t>
      </w:r>
    </w:p>
    <w:p w14:paraId="00FFDF76" w14:textId="77777777" w:rsidR="002B1C35" w:rsidRPr="002B1C35" w:rsidRDefault="002B1C35" w:rsidP="002B1C35">
      <w:pPr>
        <w:spacing w:line="240" w:lineRule="auto"/>
        <w:jc w:val="both"/>
        <w:rPr>
          <w:rFonts w:ascii="Times New Roman" w:hAnsi="Times New Roman" w:cs="Times New Roman"/>
        </w:rPr>
      </w:pPr>
      <w:r w:rsidRPr="002B1C35">
        <w:rPr>
          <w:rFonts w:ascii="Times New Roman" w:hAnsi="Times New Roman" w:cs="Times New Roman"/>
        </w:rPr>
        <w:t xml:space="preserve">El análisis se organiza en dos niveles complementarios. En primer lugar, se desarrolla una descripción comparada de las funciones sustantivas desempeñadas por los docentes según servicio universitario, considerando particularmente las actividades de enseñanza, investigación y la inserción laboral remunerada fuera de la Udelar. Este primer nivel permite identificar patrones generales de segmentación entre perfiles académicos y profesionales. </w:t>
      </w:r>
    </w:p>
    <w:p w14:paraId="732C668A" w14:textId="77777777" w:rsidR="002B1C35" w:rsidRPr="002B1C35" w:rsidRDefault="002B1C35" w:rsidP="002B1C35">
      <w:pPr>
        <w:spacing w:line="240" w:lineRule="auto"/>
        <w:jc w:val="both"/>
        <w:rPr>
          <w:rFonts w:ascii="Times New Roman" w:hAnsi="Times New Roman" w:cs="Times New Roman"/>
        </w:rPr>
      </w:pPr>
      <w:r w:rsidRPr="002B1C35">
        <w:rPr>
          <w:rFonts w:ascii="Times New Roman" w:hAnsi="Times New Roman" w:cs="Times New Roman"/>
        </w:rPr>
        <w:t xml:space="preserve">En segundo lugar, se implementa un Análisis de Componentes Principales (ACP) con el objetivo de sintetizar la estructura de relaciones existente entre variables asociadas a la vinculación institucional docente. El modelo incorpora indicadores relativos a dedicación horaria, régimen de dedicación total (RDT), realización de actividades de enseñanza e investigación, inserción laboral externa y formación doctoral completa. La utilización del ACP permite representar los servicios universitarios en un espacio factorial reducido, facilitando la identificación de proximidades y contrastes entre perfiles docentes. Según Jolliffe (2002), Abdi y Williams (2010) y Greenacre et al. (2023), el ACP permite sintetizar la variabilidad de un conjunto de variables cuantitativas en un espacio factorial definido por combinaciones lineales. </w:t>
      </w:r>
    </w:p>
    <w:p w14:paraId="0966B094" w14:textId="6C89C59D" w:rsidR="002B1C35" w:rsidRPr="002B1C35" w:rsidRDefault="002B1C35" w:rsidP="002B1C35">
      <w:pPr>
        <w:spacing w:line="240" w:lineRule="auto"/>
        <w:jc w:val="both"/>
        <w:rPr>
          <w:rFonts w:ascii="Times New Roman" w:hAnsi="Times New Roman" w:cs="Times New Roman"/>
        </w:rPr>
      </w:pPr>
      <w:r w:rsidRPr="002B1C35">
        <w:rPr>
          <w:rFonts w:ascii="Times New Roman" w:hAnsi="Times New Roman" w:cs="Times New Roman"/>
        </w:rPr>
        <w:t xml:space="preserve">Complementariamente, se aplica un procedimiento de </w:t>
      </w:r>
      <w:proofErr w:type="spellStart"/>
      <w:r w:rsidRPr="002B1C35">
        <w:rPr>
          <w:rFonts w:ascii="Times New Roman" w:hAnsi="Times New Roman" w:cs="Times New Roman"/>
        </w:rPr>
        <w:t>clusterización</w:t>
      </w:r>
      <w:proofErr w:type="spellEnd"/>
      <w:r w:rsidRPr="002B1C35">
        <w:rPr>
          <w:rFonts w:ascii="Times New Roman" w:hAnsi="Times New Roman" w:cs="Times New Roman"/>
        </w:rPr>
        <w:t xml:space="preserve"> sobre las coordenadas factoriales obtenidas mediante el ACP. Para determinar el número óptimo de agrupamientos se utiliza el índice de silueta, priorizando posteriormente criterios de interpretabilidad sociológica en la construcción de una tipología de núcleos disciplinares. A partir de este procedimiento se distinguen tres configuraciones predominantes —académica, profesional y mixta—, entendidas no como categorías rígidas, sino como </w:t>
      </w:r>
      <w:r w:rsidR="00236A65">
        <w:rPr>
          <w:rFonts w:ascii="Times New Roman" w:hAnsi="Times New Roman" w:cs="Times New Roman"/>
        </w:rPr>
        <w:t>tipos</w:t>
      </w:r>
      <w:r w:rsidRPr="002B1C35">
        <w:rPr>
          <w:rFonts w:ascii="Times New Roman" w:hAnsi="Times New Roman" w:cs="Times New Roman"/>
        </w:rPr>
        <w:t xml:space="preserve"> predominantes de articulación entre dedicación institucional, capital académico e inserción profesional externa. </w:t>
      </w:r>
    </w:p>
    <w:p w14:paraId="4390C0C2" w14:textId="36F17C33" w:rsidR="002B1C35" w:rsidRPr="002B1C35" w:rsidRDefault="00831FD5" w:rsidP="002B1C35">
      <w:pPr>
        <w:spacing w:line="240" w:lineRule="auto"/>
        <w:jc w:val="both"/>
        <w:rPr>
          <w:rFonts w:ascii="Times New Roman" w:hAnsi="Times New Roman" w:cs="Times New Roman"/>
        </w:rPr>
      </w:pPr>
      <w:r>
        <w:rPr>
          <w:rFonts w:ascii="Times New Roman" w:hAnsi="Times New Roman" w:cs="Times New Roman"/>
        </w:rPr>
        <w:t>En síntesis</w:t>
      </w:r>
      <w:r w:rsidR="002B1C35" w:rsidRPr="002B1C35">
        <w:rPr>
          <w:rFonts w:ascii="Times New Roman" w:hAnsi="Times New Roman" w:cs="Times New Roman"/>
        </w:rPr>
        <w:t xml:space="preserve">, esta estrategia metodológica permite desplazar el foco desde las características individuales de los docentes hacia </w:t>
      </w:r>
      <w:r w:rsidR="00292048" w:rsidRPr="002B1C35">
        <w:rPr>
          <w:rFonts w:ascii="Times New Roman" w:hAnsi="Times New Roman" w:cs="Times New Roman"/>
        </w:rPr>
        <w:t>los contextos estructurales</w:t>
      </w:r>
      <w:r w:rsidR="002B1C35" w:rsidRPr="002B1C35">
        <w:rPr>
          <w:rFonts w:ascii="Times New Roman" w:hAnsi="Times New Roman" w:cs="Times New Roman"/>
        </w:rPr>
        <w:t xml:space="preserve"> de organización del trabajo académico, posibilitando examinar cómo distintas modalidades de vinculación institucional se asocian a configuraciones diferenciadas de producción de prestigio, reconocimiento y capital académico dentro del campo universitario.</w:t>
      </w:r>
    </w:p>
    <w:p w14:paraId="233FA5A6" w14:textId="77777777" w:rsidR="002B1C35" w:rsidRPr="002F4E09" w:rsidRDefault="002B1C35" w:rsidP="002B1C35">
      <w:pPr>
        <w:spacing w:line="240" w:lineRule="auto"/>
        <w:jc w:val="both"/>
        <w:rPr>
          <w:rFonts w:ascii="Times New Roman" w:hAnsi="Times New Roman" w:cs="Times New Roman"/>
          <w:b/>
          <w:bCs/>
        </w:rPr>
      </w:pPr>
      <w:r w:rsidRPr="002F4E09">
        <w:rPr>
          <w:rFonts w:ascii="Times New Roman" w:hAnsi="Times New Roman" w:cs="Times New Roman"/>
          <w:b/>
          <w:bCs/>
        </w:rPr>
        <w:t xml:space="preserve">Funciones sustantivas y situación ocupacional de los docentes en la Udelar  </w:t>
      </w:r>
    </w:p>
    <w:p w14:paraId="5BC29C9B" w14:textId="77777777" w:rsidR="002B1C35" w:rsidRPr="002B1C35" w:rsidRDefault="002B1C35" w:rsidP="002B1C35">
      <w:pPr>
        <w:spacing w:line="240" w:lineRule="auto"/>
        <w:jc w:val="both"/>
        <w:rPr>
          <w:rFonts w:ascii="Times New Roman" w:hAnsi="Times New Roman" w:cs="Times New Roman"/>
        </w:rPr>
      </w:pPr>
      <w:r w:rsidRPr="002B1C35">
        <w:rPr>
          <w:rFonts w:ascii="Times New Roman" w:hAnsi="Times New Roman" w:cs="Times New Roman"/>
        </w:rPr>
        <w:t xml:space="preserve">En primer lugar, resulta necesario precisar la unidad de análisis considerada en este trabajo. Los censos docentes de la Udelar relevaron tanto la cantidad de cargos docentes como el total de personas que los ocupan. En 2023 se registraron 11018 cargos docentes, desempeñados por 9890 personas. La gran mayoría de ellas (90 %) cuenta con un único </w:t>
      </w:r>
      <w:r w:rsidRPr="002B1C35">
        <w:rPr>
          <w:rFonts w:ascii="Times New Roman" w:hAnsi="Times New Roman" w:cs="Times New Roman"/>
        </w:rPr>
        <w:lastRenderedPageBreak/>
        <w:t xml:space="preserve">cargo, mientras que un 9 % desempeña dos y un 1 % acumula tres o más. En 2021 los cargos ascendían a 11.315, con una distribución similar: 89 % de los docentes con un cargo, 9 % con dos y 2 % con tres o más. </w:t>
      </w:r>
    </w:p>
    <w:p w14:paraId="53FED534" w14:textId="77777777" w:rsidR="002B1C35" w:rsidRPr="002B1C35" w:rsidRDefault="002B1C35" w:rsidP="002B1C35">
      <w:pPr>
        <w:spacing w:line="240" w:lineRule="auto"/>
        <w:jc w:val="both"/>
        <w:rPr>
          <w:rFonts w:ascii="Times New Roman" w:hAnsi="Times New Roman" w:cs="Times New Roman"/>
        </w:rPr>
      </w:pPr>
      <w:r w:rsidRPr="002B1C35">
        <w:rPr>
          <w:rFonts w:ascii="Times New Roman" w:hAnsi="Times New Roman" w:cs="Times New Roman"/>
        </w:rPr>
        <w:t xml:space="preserve">Dado que un mismo individuo puede desempeñar más de un cargo con dedicaciones, funciones y experiencias diferenciadas, en este artículo se opta por trabajar con la unidad de análisis “cargos docentes”. A efectos de simplificación, en adelante se utilizará la expresión “docentes” para referirse a los cargos, entendiendo que esta elección metodológica no afecta la validez de los análisis ni de los resultados presentados. </w:t>
      </w:r>
    </w:p>
    <w:p w14:paraId="7245FF22" w14:textId="77777777" w:rsidR="002B1C35" w:rsidRPr="002B1C35" w:rsidRDefault="002B1C35" w:rsidP="002B1C35">
      <w:pPr>
        <w:spacing w:line="240" w:lineRule="auto"/>
        <w:jc w:val="both"/>
        <w:rPr>
          <w:rFonts w:ascii="Times New Roman" w:hAnsi="Times New Roman" w:cs="Times New Roman"/>
        </w:rPr>
      </w:pPr>
      <w:r w:rsidRPr="002B1C35">
        <w:rPr>
          <w:rFonts w:ascii="Times New Roman" w:hAnsi="Times New Roman" w:cs="Times New Roman"/>
        </w:rPr>
        <w:t xml:space="preserve">La identificación de cada función se basa en las siguientes variables del Censo Docente 2023: Enseñanza: ¿Durante 2022 realizó actividades de enseñanza en la Udelar?; Investigación: En el período 2021–2022, ¿realizó algún tipo de actividad de investigación en alguno de sus cargos docentes de la Udelar?; En el Censo Docente 2021, las preguntas presentan una ligera variación temporal: la enseñanza y la extensión refieren al año 2020, mientras que la investigación abarca el período 2019–2020. </w:t>
      </w:r>
    </w:p>
    <w:p w14:paraId="0259B3FD" w14:textId="77777777" w:rsidR="002B1C35" w:rsidRPr="002B1C35" w:rsidRDefault="002B1C35" w:rsidP="002B1C35">
      <w:pPr>
        <w:spacing w:line="240" w:lineRule="auto"/>
        <w:jc w:val="both"/>
        <w:rPr>
          <w:rFonts w:ascii="Times New Roman" w:hAnsi="Times New Roman" w:cs="Times New Roman"/>
        </w:rPr>
      </w:pPr>
      <w:r w:rsidRPr="002B1C35">
        <w:rPr>
          <w:rFonts w:ascii="Times New Roman" w:hAnsi="Times New Roman" w:cs="Times New Roman"/>
        </w:rPr>
        <w:t xml:space="preserve">La actividad de enseñanza constituye la función predominante en la gran mayoría de los servicios de Udelar. Tal como muestra la comparación intercensal 2021–2023, más del 75 % de los docentes realiza actividades de enseñanza, con mínimas variaciones entre ambos relevamientos censales. </w:t>
      </w:r>
    </w:p>
    <w:p w14:paraId="465AB578" w14:textId="77777777" w:rsidR="002B1C35" w:rsidRPr="002B1C35" w:rsidRDefault="002B1C35" w:rsidP="002B1C35">
      <w:pPr>
        <w:spacing w:line="240" w:lineRule="auto"/>
        <w:jc w:val="both"/>
        <w:rPr>
          <w:rFonts w:ascii="Times New Roman" w:hAnsi="Times New Roman" w:cs="Times New Roman"/>
        </w:rPr>
      </w:pPr>
      <w:r w:rsidRPr="002B1C35">
        <w:rPr>
          <w:rFonts w:ascii="Times New Roman" w:hAnsi="Times New Roman" w:cs="Times New Roman"/>
        </w:rPr>
        <w:t xml:space="preserve">Destaca especialmente el caso de FDER, donde más del 90 % del plantel docente declaró realizar funciones de enseñanza en ambas mediciones, consolidándose como uno de los servicios más homogéneos en cuanto a la centralidad de dicha función. Por su parte, incluso en los servicios con menor proporción relativa —como FQ y Oficinas Centrales—, el porcentaje de docentes que enseña supera el 75 %, confirmando el peso estructural de esta función en la actividad universitaria. </w:t>
      </w:r>
    </w:p>
    <w:p w14:paraId="20F09E28" w14:textId="7B2C4ED3" w:rsidR="002B1C35" w:rsidRPr="002B1C35" w:rsidRDefault="002B1C35" w:rsidP="002B1C35">
      <w:pPr>
        <w:spacing w:line="240" w:lineRule="auto"/>
        <w:jc w:val="both"/>
        <w:rPr>
          <w:rFonts w:ascii="Times New Roman" w:hAnsi="Times New Roman" w:cs="Times New Roman"/>
        </w:rPr>
      </w:pPr>
      <w:r w:rsidRPr="002B1C35">
        <w:rPr>
          <w:rFonts w:ascii="Times New Roman" w:hAnsi="Times New Roman" w:cs="Times New Roman"/>
        </w:rPr>
        <w:t xml:space="preserve">No obstante, la relativa homogeneidad observada en la función de enseñanza no implica necesariamente una homogeneidad en las formas de integración al campo académico. Por el contrario, detrás de esta aparente convergencia funcional comienzan a perfilarse diferencias relevantes en las condiciones institucionales bajo las cuales la enseñanza se articula con otras funciones sustantivas, particularmente la investigación y la formación académica avanzada. </w:t>
      </w:r>
      <w:r w:rsidR="003E48E4">
        <w:rPr>
          <w:rFonts w:ascii="Times New Roman" w:hAnsi="Times New Roman" w:cs="Times New Roman"/>
        </w:rPr>
        <w:t>La función de enseñanza</w:t>
      </w:r>
      <w:r w:rsidRPr="002B1C35">
        <w:rPr>
          <w:rFonts w:ascii="Times New Roman" w:hAnsi="Times New Roman" w:cs="Times New Roman"/>
        </w:rPr>
        <w:t xml:space="preserve"> no constituye una experiencia uniforme, sino una actividad que adquiere significados y posibilidades diferenciadas según el tipo de inserción disciplinar e institucional de los docentes. </w:t>
      </w:r>
    </w:p>
    <w:p w14:paraId="49F01BAE" w14:textId="47234F63" w:rsidR="002B1C35" w:rsidRPr="002B1C35" w:rsidRDefault="002B1C35" w:rsidP="002B1C35">
      <w:pPr>
        <w:spacing w:line="240" w:lineRule="auto"/>
        <w:jc w:val="both"/>
        <w:rPr>
          <w:rFonts w:ascii="Times New Roman" w:hAnsi="Times New Roman" w:cs="Times New Roman"/>
        </w:rPr>
      </w:pPr>
      <w:r w:rsidRPr="002B1C35">
        <w:rPr>
          <w:rFonts w:ascii="Times New Roman" w:hAnsi="Times New Roman" w:cs="Times New Roman"/>
        </w:rPr>
        <w:lastRenderedPageBreak/>
        <w:t xml:space="preserve">  </w:t>
      </w:r>
      <w:r w:rsidR="00A12414" w:rsidRPr="002638A7">
        <w:rPr>
          <w:rFonts w:ascii="Times New Roman" w:hAnsi="Times New Roman" w:cs="Times New Roman"/>
          <w:noProof/>
          <w:lang w:val="es-UY" w:eastAsia="es-UY"/>
        </w:rPr>
        <w:drawing>
          <wp:inline distT="0" distB="0" distL="0" distR="0" wp14:anchorId="30A95D43" wp14:editId="29600E02">
            <wp:extent cx="5400040" cy="3038475"/>
            <wp:effectExtent l="0" t="0" r="10160" b="9525"/>
            <wp:docPr id="739615492" name="Gráfico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A40488FD-6587-58A2-2982-103892199A8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1B62B010" w14:textId="77777777" w:rsidR="002B1C35" w:rsidRPr="002B1C35" w:rsidRDefault="002B1C35" w:rsidP="002B1C35">
      <w:pPr>
        <w:spacing w:line="240" w:lineRule="auto"/>
        <w:jc w:val="both"/>
        <w:rPr>
          <w:rFonts w:ascii="Times New Roman" w:hAnsi="Times New Roman" w:cs="Times New Roman"/>
        </w:rPr>
      </w:pPr>
      <w:r w:rsidRPr="002B1C35">
        <w:rPr>
          <w:rFonts w:ascii="Times New Roman" w:hAnsi="Times New Roman" w:cs="Times New Roman"/>
        </w:rPr>
        <w:t xml:space="preserve">Fuente: Elaboración propia en base a datos provenientes de los </w:t>
      </w:r>
      <w:proofErr w:type="spellStart"/>
      <w:r w:rsidRPr="002B1C35">
        <w:rPr>
          <w:rFonts w:ascii="Times New Roman" w:hAnsi="Times New Roman" w:cs="Times New Roman"/>
        </w:rPr>
        <w:t>FormA</w:t>
      </w:r>
      <w:proofErr w:type="spellEnd"/>
      <w:r w:rsidRPr="002B1C35">
        <w:rPr>
          <w:rFonts w:ascii="Times New Roman" w:hAnsi="Times New Roman" w:cs="Times New Roman"/>
        </w:rPr>
        <w:t xml:space="preserve"> Docente 2021 y 2023. (DGPLAN - Udelar). </w:t>
      </w:r>
    </w:p>
    <w:p w14:paraId="34092516" w14:textId="77777777" w:rsidR="002B1C35" w:rsidRPr="002B1C35" w:rsidRDefault="002B1C35" w:rsidP="002B1C35">
      <w:pPr>
        <w:spacing w:line="240" w:lineRule="auto"/>
        <w:jc w:val="both"/>
        <w:rPr>
          <w:rFonts w:ascii="Times New Roman" w:hAnsi="Times New Roman" w:cs="Times New Roman"/>
        </w:rPr>
      </w:pPr>
      <w:r w:rsidRPr="002B1C35">
        <w:rPr>
          <w:rFonts w:ascii="Times New Roman" w:hAnsi="Times New Roman" w:cs="Times New Roman"/>
        </w:rPr>
        <w:t xml:space="preserve">A diferencia de la función de enseñanza, la actividad de investigación muestra mayores diferencias entre servicios, lo que permite identificar clivajes claros según el perfil académico o profesional predominante. En términos generales, se observa una leve caída o estabilización en la proporción de docentes que declaran realizar investigación entre ambos censos. </w:t>
      </w:r>
    </w:p>
    <w:p w14:paraId="5DE09D93" w14:textId="77777777" w:rsidR="002B1C35" w:rsidRPr="002B1C35" w:rsidRDefault="002B1C35" w:rsidP="002B1C35">
      <w:pPr>
        <w:spacing w:line="240" w:lineRule="auto"/>
        <w:jc w:val="both"/>
        <w:rPr>
          <w:rFonts w:ascii="Times New Roman" w:hAnsi="Times New Roman" w:cs="Times New Roman"/>
        </w:rPr>
      </w:pPr>
      <w:r w:rsidRPr="002B1C35">
        <w:rPr>
          <w:rFonts w:ascii="Times New Roman" w:hAnsi="Times New Roman" w:cs="Times New Roman"/>
        </w:rPr>
        <w:t xml:space="preserve">Los servicios del núcleo académico, y en particular FCIEN y FQ, presentan los porcentajes más altos de actividad investigadora, superando en ambos cortes censales el 85 %. A ellos se suman FHCE y FCS. </w:t>
      </w:r>
    </w:p>
    <w:p w14:paraId="0D09EF6A" w14:textId="77777777" w:rsidR="002B1C35" w:rsidRPr="002B1C35" w:rsidRDefault="002B1C35" w:rsidP="002B1C35">
      <w:pPr>
        <w:spacing w:line="240" w:lineRule="auto"/>
        <w:jc w:val="both"/>
        <w:rPr>
          <w:rFonts w:ascii="Times New Roman" w:hAnsi="Times New Roman" w:cs="Times New Roman"/>
        </w:rPr>
      </w:pPr>
      <w:r w:rsidRPr="002B1C35">
        <w:rPr>
          <w:rFonts w:ascii="Times New Roman" w:hAnsi="Times New Roman" w:cs="Times New Roman"/>
        </w:rPr>
        <w:t xml:space="preserve">En cambio, en servicios como FODON, FCEA, FDER y FENF, menos del 40 % del plantel docente realiza actividades de investigación, con niveles que apenas superan el 25 % en algunos casos. Este patrón refuerza la hipótesis de una segmentación estructural entre funciones académicas y profesionales en la Udelar. </w:t>
      </w:r>
    </w:p>
    <w:p w14:paraId="17C9C803" w14:textId="6511E3F0" w:rsidR="002B1C35" w:rsidRDefault="002B1C35" w:rsidP="002B1C35">
      <w:pPr>
        <w:spacing w:line="240" w:lineRule="auto"/>
        <w:jc w:val="both"/>
        <w:rPr>
          <w:rFonts w:ascii="Times New Roman" w:hAnsi="Times New Roman" w:cs="Times New Roman"/>
        </w:rPr>
      </w:pPr>
      <w:r w:rsidRPr="002B1C35">
        <w:rPr>
          <w:rFonts w:ascii="Times New Roman" w:hAnsi="Times New Roman" w:cs="Times New Roman"/>
        </w:rPr>
        <w:t xml:space="preserve">Desde una </w:t>
      </w:r>
      <w:r w:rsidR="001D0205">
        <w:rPr>
          <w:rFonts w:ascii="Times New Roman" w:hAnsi="Times New Roman" w:cs="Times New Roman"/>
        </w:rPr>
        <w:t>mirada</w:t>
      </w:r>
      <w:r w:rsidRPr="002B1C35">
        <w:rPr>
          <w:rFonts w:ascii="Times New Roman" w:hAnsi="Times New Roman" w:cs="Times New Roman"/>
        </w:rPr>
        <w:t xml:space="preserve"> sociológica, estas diferencias no remiten únicamente a distribuciones funcionales del trabajo docente, sino también a </w:t>
      </w:r>
      <w:r w:rsidR="00EA1007">
        <w:rPr>
          <w:rFonts w:ascii="Times New Roman" w:hAnsi="Times New Roman" w:cs="Times New Roman"/>
        </w:rPr>
        <w:t>desigualdades en el</w:t>
      </w:r>
      <w:r w:rsidRPr="002B1C35">
        <w:rPr>
          <w:rFonts w:ascii="Times New Roman" w:hAnsi="Times New Roman" w:cs="Times New Roman"/>
        </w:rPr>
        <w:t xml:space="preserve"> acceso a condiciones institucionales de producción de conocimiento. La concentración de investigación, formación doctoral y dedicaciones institucionales altas en determinados servicios sugiere la existencia de configuraciones disciplinares donde la integración al campo académico se encuentra más estrechamente asociada a la acumulación de capital científico y a la participación en comunidades epistémicas activas. En contraste, otros servicios mantienen vínculos más estrechos con lógicas profesionales externas, donde la enseñanza y el ejercicio ocupacional fuera de la universidad continúan organizando gran parte de las trayectorias docentes.   </w:t>
      </w:r>
    </w:p>
    <w:p w14:paraId="46B7ECC5" w14:textId="25706E6E" w:rsidR="00A12414" w:rsidRDefault="00A12414" w:rsidP="002B1C35">
      <w:pPr>
        <w:spacing w:line="240" w:lineRule="auto"/>
        <w:jc w:val="both"/>
        <w:rPr>
          <w:rFonts w:ascii="Times New Roman" w:hAnsi="Times New Roman" w:cs="Times New Roman"/>
        </w:rPr>
      </w:pPr>
      <w:r w:rsidRPr="002638A7">
        <w:rPr>
          <w:rFonts w:ascii="Times New Roman" w:hAnsi="Times New Roman" w:cs="Times New Roman"/>
          <w:noProof/>
          <w:lang w:val="es-UY" w:eastAsia="es-UY"/>
        </w:rPr>
        <w:lastRenderedPageBreak/>
        <w:drawing>
          <wp:inline distT="0" distB="0" distL="0" distR="0" wp14:anchorId="615DC65B" wp14:editId="7427555C">
            <wp:extent cx="5400040" cy="3009900"/>
            <wp:effectExtent l="0" t="0" r="10160" b="0"/>
            <wp:docPr id="2013610075" name="Gráfico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330ADCCE" w14:textId="77777777" w:rsidR="002B1C35" w:rsidRPr="002B1C35" w:rsidRDefault="002B1C35" w:rsidP="002B1C35">
      <w:pPr>
        <w:spacing w:line="240" w:lineRule="auto"/>
        <w:jc w:val="both"/>
        <w:rPr>
          <w:rFonts w:ascii="Times New Roman" w:hAnsi="Times New Roman" w:cs="Times New Roman"/>
        </w:rPr>
      </w:pPr>
      <w:r w:rsidRPr="002B1C35">
        <w:rPr>
          <w:rFonts w:ascii="Times New Roman" w:hAnsi="Times New Roman" w:cs="Times New Roman"/>
        </w:rPr>
        <w:t xml:space="preserve">Fuente: Elaboración propia en base a datos provenientes de los </w:t>
      </w:r>
      <w:proofErr w:type="spellStart"/>
      <w:r w:rsidRPr="002B1C35">
        <w:rPr>
          <w:rFonts w:ascii="Times New Roman" w:hAnsi="Times New Roman" w:cs="Times New Roman"/>
        </w:rPr>
        <w:t>FormA</w:t>
      </w:r>
      <w:proofErr w:type="spellEnd"/>
      <w:r w:rsidRPr="002B1C35">
        <w:rPr>
          <w:rFonts w:ascii="Times New Roman" w:hAnsi="Times New Roman" w:cs="Times New Roman"/>
        </w:rPr>
        <w:t xml:space="preserve"> Docente 2021 y 2023. (DGPLAN - Udelar). </w:t>
      </w:r>
    </w:p>
    <w:p w14:paraId="42C589C7" w14:textId="77777777" w:rsidR="002B1C35" w:rsidRDefault="002B1C35" w:rsidP="002B1C35">
      <w:pPr>
        <w:spacing w:line="240" w:lineRule="auto"/>
        <w:jc w:val="both"/>
        <w:rPr>
          <w:rFonts w:ascii="Times New Roman" w:hAnsi="Times New Roman" w:cs="Times New Roman"/>
        </w:rPr>
      </w:pPr>
      <w:r w:rsidRPr="002B1C35">
        <w:rPr>
          <w:rFonts w:ascii="Times New Roman" w:hAnsi="Times New Roman" w:cs="Times New Roman"/>
        </w:rPr>
        <w:t xml:space="preserve">La proporción de docentes con funciones de enseñanza que tienen al menos una ocupación remunerada fuera de la Udelar presenta una distribución inversa a la observada en las funciones académicas sustantivas como investigación o extensión. En este caso, el Hospital de Clínicas, FDER, FCEA, FODON y FMED concentran los niveles más altos de ocupación externa, superando en todos los casos el 70 % de su plantel docente. </w:t>
      </w:r>
    </w:p>
    <w:p w14:paraId="2F4360F3" w14:textId="5A8B2AA3" w:rsidR="002B1C35" w:rsidRPr="002B1C35" w:rsidRDefault="00A12414" w:rsidP="002B1C35">
      <w:pPr>
        <w:spacing w:line="240" w:lineRule="auto"/>
        <w:jc w:val="both"/>
        <w:rPr>
          <w:rFonts w:ascii="Times New Roman" w:hAnsi="Times New Roman" w:cs="Times New Roman"/>
        </w:rPr>
      </w:pPr>
      <w:r w:rsidRPr="002638A7">
        <w:rPr>
          <w:rFonts w:ascii="Times New Roman" w:hAnsi="Times New Roman" w:cs="Times New Roman"/>
          <w:noProof/>
          <w:lang w:val="es-UY" w:eastAsia="es-UY"/>
        </w:rPr>
        <w:lastRenderedPageBreak/>
        <w:drawing>
          <wp:inline distT="0" distB="0" distL="0" distR="0" wp14:anchorId="6FFF5212" wp14:editId="089EB7E1">
            <wp:extent cx="5400040" cy="3495675"/>
            <wp:effectExtent l="0" t="0" r="10160" b="9525"/>
            <wp:docPr id="1048097395" name="Gráfico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5D1402FC-47B8-12E2-C46B-4C29741424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sidR="002B1C35" w:rsidRPr="002B1C35">
        <w:rPr>
          <w:rFonts w:ascii="Times New Roman" w:hAnsi="Times New Roman" w:cs="Times New Roman"/>
        </w:rPr>
        <w:t xml:space="preserve"> </w:t>
      </w:r>
    </w:p>
    <w:p w14:paraId="46EB12F5" w14:textId="679BC3EF" w:rsidR="002B1C35" w:rsidRDefault="002B1C35" w:rsidP="002B1C35">
      <w:pPr>
        <w:spacing w:line="240" w:lineRule="auto"/>
        <w:jc w:val="both"/>
        <w:rPr>
          <w:rFonts w:ascii="Times New Roman" w:hAnsi="Times New Roman" w:cs="Times New Roman"/>
        </w:rPr>
      </w:pPr>
      <w:r w:rsidRPr="002B1C35">
        <w:rPr>
          <w:rFonts w:ascii="Times New Roman" w:hAnsi="Times New Roman" w:cs="Times New Roman"/>
        </w:rPr>
        <w:t xml:space="preserve">Fuente: Elaboración propia en base a datos provenientes de los </w:t>
      </w:r>
      <w:proofErr w:type="spellStart"/>
      <w:r w:rsidRPr="002B1C35">
        <w:rPr>
          <w:rFonts w:ascii="Times New Roman" w:hAnsi="Times New Roman" w:cs="Times New Roman"/>
        </w:rPr>
        <w:t>FormA</w:t>
      </w:r>
      <w:proofErr w:type="spellEnd"/>
      <w:r w:rsidRPr="002B1C35">
        <w:rPr>
          <w:rFonts w:ascii="Times New Roman" w:hAnsi="Times New Roman" w:cs="Times New Roman"/>
        </w:rPr>
        <w:t xml:space="preserve"> Docente 2021 y 2023. (DGPL</w:t>
      </w:r>
      <w:r w:rsidR="004E73B5">
        <w:rPr>
          <w:rFonts w:ascii="Times New Roman" w:hAnsi="Times New Roman" w:cs="Times New Roman"/>
        </w:rPr>
        <w:t xml:space="preserve">AN - </w:t>
      </w:r>
      <w:proofErr w:type="spellStart"/>
      <w:r w:rsidR="004E73B5">
        <w:rPr>
          <w:rFonts w:ascii="Times New Roman" w:hAnsi="Times New Roman" w:cs="Times New Roman"/>
        </w:rPr>
        <w:t>Udelar</w:t>
      </w:r>
      <w:proofErr w:type="spellEnd"/>
      <w:r w:rsidR="004E73B5">
        <w:rPr>
          <w:rFonts w:ascii="Times New Roman" w:hAnsi="Times New Roman" w:cs="Times New Roman"/>
        </w:rPr>
        <w:t>).</w:t>
      </w:r>
    </w:p>
    <w:p w14:paraId="5DB8A900" w14:textId="1B5F6E3E" w:rsidR="004E73B5" w:rsidRPr="004E73B5" w:rsidRDefault="004E73B5" w:rsidP="002B1C35">
      <w:pPr>
        <w:spacing w:line="240" w:lineRule="auto"/>
        <w:jc w:val="both"/>
        <w:rPr>
          <w:rFonts w:ascii="Times New Roman" w:hAnsi="Times New Roman" w:cs="Times New Roman"/>
          <w:b/>
        </w:rPr>
      </w:pPr>
      <w:r w:rsidRPr="004E73B5">
        <w:rPr>
          <w:rFonts w:ascii="Times New Roman" w:hAnsi="Times New Roman" w:cs="Times New Roman"/>
          <w:b/>
        </w:rPr>
        <w:t>Principales hallazgos</w:t>
      </w:r>
    </w:p>
    <w:p w14:paraId="003FD52E" w14:textId="77777777" w:rsidR="004E73B5" w:rsidRPr="004E73B5" w:rsidRDefault="004E73B5" w:rsidP="004E73B5">
      <w:pPr>
        <w:spacing w:line="240" w:lineRule="auto"/>
        <w:jc w:val="both"/>
        <w:rPr>
          <w:rFonts w:ascii="Times New Roman" w:hAnsi="Times New Roman" w:cs="Times New Roman"/>
        </w:rPr>
      </w:pPr>
      <w:r w:rsidRPr="004E73B5">
        <w:rPr>
          <w:rFonts w:ascii="Times New Roman" w:hAnsi="Times New Roman" w:cs="Times New Roman"/>
        </w:rPr>
        <w:t xml:space="preserve">El análisis comparado de las funciones sustantivas y de las modalidades de inserción docente en la </w:t>
      </w:r>
      <w:proofErr w:type="spellStart"/>
      <w:r w:rsidRPr="004E73B5">
        <w:rPr>
          <w:rFonts w:ascii="Times New Roman" w:hAnsi="Times New Roman" w:cs="Times New Roman"/>
        </w:rPr>
        <w:t>Udelar</w:t>
      </w:r>
      <w:proofErr w:type="spellEnd"/>
      <w:r w:rsidRPr="004E73B5">
        <w:rPr>
          <w:rFonts w:ascii="Times New Roman" w:hAnsi="Times New Roman" w:cs="Times New Roman"/>
        </w:rPr>
        <w:t xml:space="preserve"> permite identificar algunos patrones estructurales de diferenciación académica. En primer lugar, la función de enseñanza presenta altos niveles de participación en prácticamente todos los servicios universitarios, configurándose como la dimensión más homogénea del trabajo docente. En segundo lugar, las actividades de investigación muestran una distribución significativamente más segmentada, concentrándose especialmente en servicios con mayores niveles de dedicación institucional, presencia de RDT y formación doctoral avanzada.</w:t>
      </w:r>
    </w:p>
    <w:p w14:paraId="13DA34DF" w14:textId="77777777" w:rsidR="004E73B5" w:rsidRPr="004E73B5" w:rsidRDefault="004E73B5" w:rsidP="004E73B5">
      <w:pPr>
        <w:spacing w:line="240" w:lineRule="auto"/>
        <w:jc w:val="both"/>
        <w:rPr>
          <w:rFonts w:ascii="Times New Roman" w:hAnsi="Times New Roman" w:cs="Times New Roman"/>
        </w:rPr>
      </w:pPr>
      <w:r w:rsidRPr="004E73B5">
        <w:rPr>
          <w:rFonts w:ascii="Times New Roman" w:hAnsi="Times New Roman" w:cs="Times New Roman"/>
        </w:rPr>
        <w:t xml:space="preserve">Complementariamente, la inserción laboral remunerada fuera de la </w:t>
      </w:r>
      <w:proofErr w:type="spellStart"/>
      <w:r w:rsidRPr="004E73B5">
        <w:rPr>
          <w:rFonts w:ascii="Times New Roman" w:hAnsi="Times New Roman" w:cs="Times New Roman"/>
        </w:rPr>
        <w:t>Udelar</w:t>
      </w:r>
      <w:proofErr w:type="spellEnd"/>
      <w:r w:rsidRPr="004E73B5">
        <w:rPr>
          <w:rFonts w:ascii="Times New Roman" w:hAnsi="Times New Roman" w:cs="Times New Roman"/>
        </w:rPr>
        <w:t xml:space="preserve"> presenta una distribución inversa a la observada en las actividades de investigación, alcanzando sus valores más elevados en servicios con perfiles predominantemente profesionales y dedicaciones parciales. Asimismo, los datos muestran una concentración diferencial de docentes con doctorado completo y regímenes de dedicación total en determinados espacios disciplinares, particularmente asociados a la consolidación de comunidades académicas con fuerte integración a la investigación.</w:t>
      </w:r>
    </w:p>
    <w:p w14:paraId="3714FA4B" w14:textId="2F4CE0D5" w:rsidR="004E73B5" w:rsidRPr="002B1C35" w:rsidRDefault="004E73B5" w:rsidP="004E73B5">
      <w:pPr>
        <w:spacing w:line="240" w:lineRule="auto"/>
        <w:jc w:val="both"/>
        <w:rPr>
          <w:rFonts w:ascii="Times New Roman" w:hAnsi="Times New Roman" w:cs="Times New Roman"/>
        </w:rPr>
      </w:pPr>
      <w:r w:rsidRPr="004E73B5">
        <w:rPr>
          <w:rFonts w:ascii="Times New Roman" w:hAnsi="Times New Roman" w:cs="Times New Roman"/>
        </w:rPr>
        <w:t xml:space="preserve">Estos resultados sugieren la existencia de configuraciones diferenciadas de vinculación institucional dentro de la universidad, permitiendo distinguir perfiles predominantemente académicos, profesionales y mixtos. Sobre esta base se desarrolla, a continuación, el </w:t>
      </w:r>
      <w:r w:rsidRPr="004E73B5">
        <w:rPr>
          <w:rFonts w:ascii="Times New Roman" w:hAnsi="Times New Roman" w:cs="Times New Roman"/>
        </w:rPr>
        <w:lastRenderedPageBreak/>
        <w:t xml:space="preserve">análisis factorial orientado a reconstruir empíricamente la estructura de estas diferenciaciones </w:t>
      </w:r>
      <w:proofErr w:type="spellStart"/>
      <w:r w:rsidRPr="004E73B5">
        <w:rPr>
          <w:rFonts w:ascii="Times New Roman" w:hAnsi="Times New Roman" w:cs="Times New Roman"/>
        </w:rPr>
        <w:t>intraacadémicas</w:t>
      </w:r>
      <w:proofErr w:type="spellEnd"/>
      <w:r w:rsidRPr="004E73B5">
        <w:rPr>
          <w:rFonts w:ascii="Times New Roman" w:hAnsi="Times New Roman" w:cs="Times New Roman"/>
        </w:rPr>
        <w:t>.</w:t>
      </w:r>
    </w:p>
    <w:p w14:paraId="43432230" w14:textId="33961739" w:rsidR="002B1C35" w:rsidRPr="00A12414" w:rsidRDefault="002B1C35" w:rsidP="002B1C35">
      <w:pPr>
        <w:spacing w:line="240" w:lineRule="auto"/>
        <w:jc w:val="both"/>
        <w:rPr>
          <w:rFonts w:ascii="Times New Roman" w:hAnsi="Times New Roman" w:cs="Times New Roman"/>
          <w:b/>
        </w:rPr>
      </w:pPr>
      <w:r w:rsidRPr="00A12414">
        <w:rPr>
          <w:rFonts w:ascii="Times New Roman" w:hAnsi="Times New Roman" w:cs="Times New Roman"/>
          <w:b/>
        </w:rPr>
        <w:t xml:space="preserve">Hacia una tipología de </w:t>
      </w:r>
      <w:r w:rsidR="00E52644">
        <w:rPr>
          <w:rFonts w:ascii="Times New Roman" w:hAnsi="Times New Roman" w:cs="Times New Roman"/>
          <w:b/>
        </w:rPr>
        <w:t>vinculación docente</w:t>
      </w:r>
      <w:r w:rsidRPr="00A12414">
        <w:rPr>
          <w:rFonts w:ascii="Times New Roman" w:hAnsi="Times New Roman" w:cs="Times New Roman"/>
          <w:b/>
        </w:rPr>
        <w:t xml:space="preserve"> en la Udelar </w:t>
      </w:r>
    </w:p>
    <w:p w14:paraId="01835579" w14:textId="77777777" w:rsidR="002B1C35" w:rsidRPr="002B1C35" w:rsidRDefault="002B1C35" w:rsidP="002B1C35">
      <w:pPr>
        <w:spacing w:line="240" w:lineRule="auto"/>
        <w:jc w:val="both"/>
        <w:rPr>
          <w:rFonts w:ascii="Times New Roman" w:hAnsi="Times New Roman" w:cs="Times New Roman"/>
        </w:rPr>
      </w:pPr>
      <w:r w:rsidRPr="002B1C35">
        <w:rPr>
          <w:rFonts w:ascii="Times New Roman" w:hAnsi="Times New Roman" w:cs="Times New Roman"/>
        </w:rPr>
        <w:t xml:space="preserve">Una forma de abordar conceptual y empíricamente la heterogeneidad docente en la Udelar consiste en indagar cómo docentes se vinculan con la institución a través de dedicaciones horarias, realización de actividades sustantivas que definen el quehacer académico, como enseñar e investigar, la inserción laboral externa y trayectorias de formación en posgrados académicos, particularmente en doctorados. </w:t>
      </w:r>
    </w:p>
    <w:p w14:paraId="2672A1C1" w14:textId="0F548DBC" w:rsidR="002B1C35" w:rsidRPr="002B1C35" w:rsidRDefault="002B1C35" w:rsidP="002B1C35">
      <w:pPr>
        <w:spacing w:line="240" w:lineRule="auto"/>
        <w:jc w:val="both"/>
        <w:rPr>
          <w:rFonts w:ascii="Times New Roman" w:hAnsi="Times New Roman" w:cs="Times New Roman"/>
        </w:rPr>
      </w:pPr>
      <w:r w:rsidRPr="002B1C35">
        <w:rPr>
          <w:rFonts w:ascii="Times New Roman" w:hAnsi="Times New Roman" w:cs="Times New Roman"/>
        </w:rPr>
        <w:t xml:space="preserve">En este trabajo, la noción de integración al campo académico refiere al grado en que las trayectorias docentes logran articularse de manera estable con las estructuras institucionales de producción y validación del conocimiento universitario. Esto incluye </w:t>
      </w:r>
      <w:r w:rsidR="00A1113B">
        <w:rPr>
          <w:rFonts w:ascii="Times New Roman" w:hAnsi="Times New Roman" w:cs="Times New Roman"/>
        </w:rPr>
        <w:t>no solo</w:t>
      </w:r>
      <w:r w:rsidRPr="002B1C35">
        <w:rPr>
          <w:rFonts w:ascii="Times New Roman" w:hAnsi="Times New Roman" w:cs="Times New Roman"/>
        </w:rPr>
        <w:t xml:space="preserve"> la dedicación horaria o la permanencia administrativa en la institución, sino también el acceso diferencial a investigación, formación avanzada, tiempo institucional y participación en comunidades académicas legitimadas.</w:t>
      </w:r>
    </w:p>
    <w:p w14:paraId="16B435B2" w14:textId="466C3853" w:rsidR="002B1C35" w:rsidRPr="002B1C35" w:rsidRDefault="002B1C35" w:rsidP="002B1C35">
      <w:pPr>
        <w:spacing w:line="240" w:lineRule="auto"/>
        <w:jc w:val="both"/>
        <w:rPr>
          <w:rFonts w:ascii="Times New Roman" w:hAnsi="Times New Roman" w:cs="Times New Roman"/>
        </w:rPr>
      </w:pPr>
      <w:r w:rsidRPr="002B1C35">
        <w:rPr>
          <w:rFonts w:ascii="Times New Roman" w:hAnsi="Times New Roman" w:cs="Times New Roman"/>
        </w:rPr>
        <w:t xml:space="preserve"> Desde un punto de vista teórico, la dedicación horaria constituye un indicador central de vínculo entre los docentes y la institución: no es lo mismo desempeñarse con dedicaciones horarias bajas, donde el vínculo se concentra esencialmente en la enseñanza, que hacerlo con dedicaciones altas o en RDT, que suelen asociarse a un fuerte desarrollo de actividades de investigación. Por esta razón, el modelo de ACP incorpora las variables de dedicación horaria baja, media, alta y RDT entre quienes realizan enseñanza, como un </w:t>
      </w:r>
      <w:r w:rsidR="00EA1007">
        <w:rPr>
          <w:rFonts w:ascii="Times New Roman" w:hAnsi="Times New Roman" w:cs="Times New Roman"/>
        </w:rPr>
        <w:t>medio</w:t>
      </w:r>
      <w:r w:rsidRPr="002B1C35">
        <w:rPr>
          <w:rFonts w:ascii="Times New Roman" w:hAnsi="Times New Roman" w:cs="Times New Roman"/>
        </w:rPr>
        <w:t xml:space="preserve"> de captar distintos niveles de inserción y compromiso académico.  </w:t>
      </w:r>
    </w:p>
    <w:p w14:paraId="1A7C9EB5" w14:textId="533DA2BF" w:rsidR="002B1C35" w:rsidRPr="002B1C35" w:rsidRDefault="002B1C35" w:rsidP="002B1C35">
      <w:pPr>
        <w:spacing w:line="240" w:lineRule="auto"/>
        <w:jc w:val="both"/>
        <w:rPr>
          <w:rFonts w:ascii="Times New Roman" w:hAnsi="Times New Roman" w:cs="Times New Roman"/>
        </w:rPr>
      </w:pPr>
      <w:r w:rsidRPr="002B1C35">
        <w:rPr>
          <w:rFonts w:ascii="Times New Roman" w:hAnsi="Times New Roman" w:cs="Times New Roman"/>
        </w:rPr>
        <w:t>Por otra parte, se incorpora la variable relativa a la tenencia de un doctorado académico completo, en tanto este título representa el principal hito formativo de la carrera académica y suele estar asociado a la consolidación de la actividad de investigación. El doctorado académico marca un tipo de relación con la institución donde la investigación adquiere un peso estructural</w:t>
      </w:r>
      <w:r w:rsidR="00061DD4">
        <w:rPr>
          <w:rFonts w:ascii="Times New Roman" w:hAnsi="Times New Roman" w:cs="Times New Roman"/>
        </w:rPr>
        <w:t xml:space="preserve"> y de alta calificación</w:t>
      </w:r>
      <w:r w:rsidRPr="002B1C35">
        <w:rPr>
          <w:rFonts w:ascii="Times New Roman" w:hAnsi="Times New Roman" w:cs="Times New Roman"/>
        </w:rPr>
        <w:t xml:space="preserve">, diferenciando a estos docentes de quienes orientan su carrera primordialmente a la enseñanza. </w:t>
      </w:r>
    </w:p>
    <w:p w14:paraId="39E147F4" w14:textId="77777777" w:rsidR="002B1C35" w:rsidRPr="002B1C35" w:rsidRDefault="002B1C35" w:rsidP="002B1C35">
      <w:pPr>
        <w:spacing w:line="240" w:lineRule="auto"/>
        <w:jc w:val="both"/>
        <w:rPr>
          <w:rFonts w:ascii="Times New Roman" w:hAnsi="Times New Roman" w:cs="Times New Roman"/>
        </w:rPr>
      </w:pPr>
      <w:r w:rsidRPr="002B1C35">
        <w:rPr>
          <w:rFonts w:ascii="Times New Roman" w:hAnsi="Times New Roman" w:cs="Times New Roman"/>
        </w:rPr>
        <w:t xml:space="preserve">En un trabajo previo (Amarilla, 2025), utilizando datos del Censo Docente 2021, se exploran estas dimensiones mediante un ACP que identifica diferencias significativas en los perfiles docentes, destacando la tensión entre dedicaciones horarias bajas vinculadas a la docencia y altos niveles de inserción laboral externa, y dedicaciones altas o RDT asociadas a la investigación y formación de posgrado a nivel de doctorado académico finalizado. Sin embargo, dicho análisis se limita a describir grandes contrastes en la vinculación institucional sin avanzar en una tipología explícita de núcleos disciplinares. El presente trabajo profundiza esa línea de investigación, proponiendo una clasificación de los servicios universitarios en los núcleos académico, profesional y mixto, a partir de los datos del Censo Docente 2023. </w:t>
      </w:r>
    </w:p>
    <w:p w14:paraId="129234B2" w14:textId="77777777" w:rsidR="002B1C35" w:rsidRPr="002B1C35" w:rsidRDefault="002B1C35" w:rsidP="002B1C35">
      <w:pPr>
        <w:spacing w:line="240" w:lineRule="auto"/>
        <w:jc w:val="both"/>
        <w:rPr>
          <w:rFonts w:ascii="Times New Roman" w:hAnsi="Times New Roman" w:cs="Times New Roman"/>
        </w:rPr>
      </w:pPr>
      <w:r w:rsidRPr="002B1C35">
        <w:rPr>
          <w:rFonts w:ascii="Times New Roman" w:hAnsi="Times New Roman" w:cs="Times New Roman"/>
        </w:rPr>
        <w:t xml:space="preserve">En conjunto, estas variables permiten construir una tipología empírica de los núcleos disciplinares docentes, revelando diferencias entre quienes mantienen vínculos centrados en la enseñanza y dedicaciones horarias bajas o medias y quienes sostienen trayectorias docentes más ancladas en la investigación, altas dedicaciones horarias o RDT. La Tabla 1 </w:t>
      </w:r>
      <w:r w:rsidRPr="002B1C35">
        <w:rPr>
          <w:rFonts w:ascii="Times New Roman" w:hAnsi="Times New Roman" w:cs="Times New Roman"/>
        </w:rPr>
        <w:lastRenderedPageBreak/>
        <w:t xml:space="preserve">ilustra la distribución de los docentes de acuerdo con las variables clave de vinculación institucional dentro de cada servicio. Esta matriz de datos se toma como base para el ACP. </w:t>
      </w:r>
    </w:p>
    <w:p w14:paraId="4C67B652" w14:textId="77777777" w:rsidR="00A12414" w:rsidRPr="00EF6E4D" w:rsidRDefault="00A12414" w:rsidP="00A12414">
      <w:pPr>
        <w:spacing w:line="240" w:lineRule="auto"/>
        <w:jc w:val="both"/>
        <w:rPr>
          <w:rFonts w:ascii="Times New Roman" w:hAnsi="Times New Roman" w:cs="Times New Roman"/>
          <w:lang w:val="es-UY"/>
        </w:rPr>
      </w:pPr>
      <w:r w:rsidRPr="00EF6E4D">
        <w:rPr>
          <w:rFonts w:ascii="Times New Roman" w:hAnsi="Times New Roman" w:cs="Times New Roman"/>
          <w:b/>
          <w:bCs/>
          <w:u w:val="single"/>
          <w:lang w:val="es-UY"/>
        </w:rPr>
        <w:t>Tabla 1. Matriz de datos utilizada para el Análisis de Componentes Principales</w:t>
      </w:r>
      <w:r w:rsidRPr="00EF6E4D">
        <w:rPr>
          <w:rFonts w:ascii="Times New Roman" w:hAnsi="Times New Roman" w:cs="Times New Roman"/>
          <w:b/>
          <w:bCs/>
          <w:u w:val="single"/>
          <w:vertAlign w:val="superscript"/>
          <w:lang w:val="es-UY"/>
        </w:rPr>
        <w:t>1</w:t>
      </w:r>
      <w:r w:rsidRPr="00EF6E4D">
        <w:rPr>
          <w:rFonts w:ascii="Times New Roman" w:hAnsi="Times New Roman" w:cs="Times New Roman"/>
          <w:lang w:val="es-UY"/>
        </w:rPr>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114"/>
        <w:gridCol w:w="1065"/>
        <w:gridCol w:w="1066"/>
        <w:gridCol w:w="1066"/>
        <w:gridCol w:w="746"/>
        <w:gridCol w:w="1172"/>
        <w:gridCol w:w="1232"/>
        <w:gridCol w:w="1027"/>
      </w:tblGrid>
      <w:tr w:rsidR="00A12414" w:rsidRPr="00EF6E4D" w14:paraId="0AE2159F" w14:textId="77777777" w:rsidTr="001869FF">
        <w:trPr>
          <w:trHeight w:val="1350"/>
        </w:trPr>
        <w:tc>
          <w:tcPr>
            <w:tcW w:w="1440" w:type="dxa"/>
            <w:tcBorders>
              <w:top w:val="single" w:sz="6" w:space="0" w:color="000000"/>
              <w:left w:val="single" w:sz="6" w:space="0" w:color="000000"/>
              <w:bottom w:val="single" w:sz="6" w:space="0" w:color="000000"/>
              <w:right w:val="single" w:sz="6" w:space="0" w:color="000000"/>
            </w:tcBorders>
            <w:hideMark/>
          </w:tcPr>
          <w:p w14:paraId="41CA5197"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b/>
                <w:bCs/>
                <w:sz w:val="20"/>
                <w:szCs w:val="20"/>
              </w:rPr>
              <w:t>Servicio</w:t>
            </w:r>
          </w:p>
        </w:tc>
        <w:tc>
          <w:tcPr>
            <w:tcW w:w="1155" w:type="dxa"/>
            <w:tcBorders>
              <w:top w:val="single" w:sz="6" w:space="0" w:color="000000"/>
              <w:left w:val="single" w:sz="6" w:space="0" w:color="000000"/>
              <w:bottom w:val="single" w:sz="6" w:space="0" w:color="000000"/>
              <w:right w:val="single" w:sz="6" w:space="0" w:color="000000"/>
            </w:tcBorders>
            <w:hideMark/>
          </w:tcPr>
          <w:p w14:paraId="09A8D39E"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b/>
                <w:bCs/>
                <w:sz w:val="20"/>
                <w:szCs w:val="20"/>
              </w:rPr>
              <w:t>Dedicación baja: 0 a 15 horas</w:t>
            </w:r>
          </w:p>
        </w:tc>
        <w:tc>
          <w:tcPr>
            <w:tcW w:w="1155" w:type="dxa"/>
            <w:tcBorders>
              <w:top w:val="single" w:sz="6" w:space="0" w:color="000000"/>
              <w:left w:val="single" w:sz="6" w:space="0" w:color="000000"/>
              <w:bottom w:val="single" w:sz="6" w:space="0" w:color="000000"/>
              <w:right w:val="single" w:sz="6" w:space="0" w:color="000000"/>
            </w:tcBorders>
            <w:hideMark/>
          </w:tcPr>
          <w:p w14:paraId="2CCB0BFF"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b/>
                <w:bCs/>
                <w:sz w:val="20"/>
                <w:szCs w:val="20"/>
              </w:rPr>
              <w:t>Dedicación media: 16 a 29 horas</w:t>
            </w:r>
          </w:p>
        </w:tc>
        <w:tc>
          <w:tcPr>
            <w:tcW w:w="1155" w:type="dxa"/>
            <w:tcBorders>
              <w:top w:val="single" w:sz="6" w:space="0" w:color="000000"/>
              <w:left w:val="single" w:sz="6" w:space="0" w:color="000000"/>
              <w:bottom w:val="single" w:sz="6" w:space="0" w:color="000000"/>
              <w:right w:val="single" w:sz="6" w:space="0" w:color="000000"/>
            </w:tcBorders>
            <w:hideMark/>
          </w:tcPr>
          <w:p w14:paraId="049806F0"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b/>
                <w:bCs/>
                <w:sz w:val="20"/>
                <w:szCs w:val="20"/>
              </w:rPr>
              <w:t>Dedicación alta: 30 o más horas</w:t>
            </w:r>
          </w:p>
        </w:tc>
        <w:tc>
          <w:tcPr>
            <w:tcW w:w="1035" w:type="dxa"/>
            <w:tcBorders>
              <w:top w:val="single" w:sz="6" w:space="0" w:color="000000"/>
              <w:left w:val="single" w:sz="6" w:space="0" w:color="000000"/>
              <w:bottom w:val="single" w:sz="6" w:space="0" w:color="000000"/>
              <w:right w:val="single" w:sz="6" w:space="0" w:color="000000"/>
            </w:tcBorders>
            <w:hideMark/>
          </w:tcPr>
          <w:p w14:paraId="574EDBBC"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b/>
                <w:bCs/>
                <w:sz w:val="20"/>
                <w:szCs w:val="20"/>
              </w:rPr>
              <w:t>RDT</w:t>
            </w:r>
          </w:p>
        </w:tc>
        <w:tc>
          <w:tcPr>
            <w:tcW w:w="1260" w:type="dxa"/>
            <w:tcBorders>
              <w:top w:val="single" w:sz="6" w:space="0" w:color="000000"/>
              <w:left w:val="single" w:sz="6" w:space="0" w:color="000000"/>
              <w:bottom w:val="single" w:sz="6" w:space="0" w:color="000000"/>
              <w:right w:val="single" w:sz="6" w:space="0" w:color="000000"/>
            </w:tcBorders>
            <w:hideMark/>
          </w:tcPr>
          <w:p w14:paraId="07509E22"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b/>
                <w:bCs/>
                <w:sz w:val="20"/>
                <w:szCs w:val="20"/>
              </w:rPr>
              <w:t>Tiene al menos un trabajo remunerado fuera de Udelar</w:t>
            </w:r>
          </w:p>
        </w:tc>
        <w:tc>
          <w:tcPr>
            <w:tcW w:w="1320" w:type="dxa"/>
            <w:tcBorders>
              <w:top w:val="single" w:sz="6" w:space="0" w:color="000000"/>
              <w:left w:val="single" w:sz="6" w:space="0" w:color="000000"/>
              <w:bottom w:val="single" w:sz="6" w:space="0" w:color="000000"/>
              <w:right w:val="single" w:sz="6" w:space="0" w:color="000000"/>
            </w:tcBorders>
            <w:hideMark/>
          </w:tcPr>
          <w:p w14:paraId="3ACF21DE"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b/>
                <w:bCs/>
                <w:sz w:val="20"/>
                <w:szCs w:val="20"/>
              </w:rPr>
              <w:t>Realiza actividades de enseñanza en 2022 y de investigación en 2021-2022</w:t>
            </w:r>
          </w:p>
        </w:tc>
        <w:tc>
          <w:tcPr>
            <w:tcW w:w="1155" w:type="dxa"/>
            <w:tcBorders>
              <w:top w:val="single" w:sz="6" w:space="0" w:color="000000"/>
              <w:left w:val="single" w:sz="6" w:space="0" w:color="000000"/>
              <w:bottom w:val="single" w:sz="6" w:space="0" w:color="000000"/>
              <w:right w:val="single" w:sz="6" w:space="0" w:color="000000"/>
            </w:tcBorders>
            <w:hideMark/>
          </w:tcPr>
          <w:p w14:paraId="37531F3C"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b/>
                <w:bCs/>
                <w:sz w:val="20"/>
                <w:szCs w:val="20"/>
              </w:rPr>
              <w:t>Docentes con doctorado completo</w:t>
            </w:r>
          </w:p>
        </w:tc>
      </w:tr>
      <w:tr w:rsidR="00A12414" w:rsidRPr="00EF6E4D" w14:paraId="42D5091C" w14:textId="77777777" w:rsidTr="001869FF">
        <w:trPr>
          <w:trHeight w:val="285"/>
        </w:trPr>
        <w:tc>
          <w:tcPr>
            <w:tcW w:w="1440" w:type="dxa"/>
            <w:tcBorders>
              <w:top w:val="single" w:sz="6" w:space="0" w:color="000000"/>
              <w:left w:val="single" w:sz="6" w:space="0" w:color="000000"/>
              <w:bottom w:val="single" w:sz="6" w:space="0" w:color="000000"/>
              <w:right w:val="single" w:sz="6" w:space="0" w:color="000000"/>
            </w:tcBorders>
            <w:hideMark/>
          </w:tcPr>
          <w:p w14:paraId="1E64198E"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Oficinas Centrales</w:t>
            </w:r>
          </w:p>
        </w:tc>
        <w:tc>
          <w:tcPr>
            <w:tcW w:w="1155" w:type="dxa"/>
            <w:tcBorders>
              <w:top w:val="single" w:sz="6" w:space="0" w:color="000000"/>
              <w:left w:val="single" w:sz="6" w:space="0" w:color="000000"/>
              <w:bottom w:val="single" w:sz="6" w:space="0" w:color="000000"/>
              <w:right w:val="single" w:sz="6" w:space="0" w:color="000000"/>
            </w:tcBorders>
            <w:hideMark/>
          </w:tcPr>
          <w:p w14:paraId="0135172F"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8,4</w:t>
            </w:r>
          </w:p>
        </w:tc>
        <w:tc>
          <w:tcPr>
            <w:tcW w:w="1155" w:type="dxa"/>
            <w:tcBorders>
              <w:top w:val="single" w:sz="6" w:space="0" w:color="000000"/>
              <w:left w:val="single" w:sz="6" w:space="0" w:color="000000"/>
              <w:bottom w:val="single" w:sz="6" w:space="0" w:color="000000"/>
              <w:right w:val="single" w:sz="6" w:space="0" w:color="000000"/>
            </w:tcBorders>
            <w:hideMark/>
          </w:tcPr>
          <w:p w14:paraId="6CC71B32"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19,3</w:t>
            </w:r>
          </w:p>
        </w:tc>
        <w:tc>
          <w:tcPr>
            <w:tcW w:w="1155" w:type="dxa"/>
            <w:tcBorders>
              <w:top w:val="single" w:sz="6" w:space="0" w:color="000000"/>
              <w:left w:val="single" w:sz="6" w:space="0" w:color="000000"/>
              <w:bottom w:val="single" w:sz="6" w:space="0" w:color="000000"/>
              <w:right w:val="single" w:sz="6" w:space="0" w:color="000000"/>
            </w:tcBorders>
            <w:hideMark/>
          </w:tcPr>
          <w:p w14:paraId="2D6B450D"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66,8</w:t>
            </w:r>
          </w:p>
        </w:tc>
        <w:tc>
          <w:tcPr>
            <w:tcW w:w="1035" w:type="dxa"/>
            <w:tcBorders>
              <w:top w:val="single" w:sz="6" w:space="0" w:color="000000"/>
              <w:left w:val="single" w:sz="6" w:space="0" w:color="000000"/>
              <w:bottom w:val="single" w:sz="6" w:space="0" w:color="000000"/>
              <w:right w:val="single" w:sz="6" w:space="0" w:color="000000"/>
            </w:tcBorders>
            <w:hideMark/>
          </w:tcPr>
          <w:p w14:paraId="0744DAB8"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5,4</w:t>
            </w:r>
          </w:p>
        </w:tc>
        <w:tc>
          <w:tcPr>
            <w:tcW w:w="1260" w:type="dxa"/>
            <w:tcBorders>
              <w:top w:val="single" w:sz="6" w:space="0" w:color="000000"/>
              <w:left w:val="single" w:sz="6" w:space="0" w:color="000000"/>
              <w:bottom w:val="single" w:sz="6" w:space="0" w:color="000000"/>
              <w:right w:val="single" w:sz="6" w:space="0" w:color="000000"/>
            </w:tcBorders>
            <w:hideMark/>
          </w:tcPr>
          <w:p w14:paraId="778773E5"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36,9</w:t>
            </w:r>
          </w:p>
        </w:tc>
        <w:tc>
          <w:tcPr>
            <w:tcW w:w="1320" w:type="dxa"/>
            <w:tcBorders>
              <w:top w:val="single" w:sz="6" w:space="0" w:color="000000"/>
              <w:left w:val="single" w:sz="6" w:space="0" w:color="000000"/>
              <w:bottom w:val="single" w:sz="6" w:space="0" w:color="000000"/>
              <w:right w:val="single" w:sz="6" w:space="0" w:color="000000"/>
            </w:tcBorders>
            <w:hideMark/>
          </w:tcPr>
          <w:p w14:paraId="22761B18"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61,1</w:t>
            </w:r>
          </w:p>
        </w:tc>
        <w:tc>
          <w:tcPr>
            <w:tcW w:w="1155" w:type="dxa"/>
            <w:tcBorders>
              <w:top w:val="single" w:sz="6" w:space="0" w:color="000000"/>
              <w:left w:val="single" w:sz="6" w:space="0" w:color="000000"/>
              <w:bottom w:val="single" w:sz="6" w:space="0" w:color="000000"/>
              <w:right w:val="single" w:sz="6" w:space="0" w:color="000000"/>
            </w:tcBorders>
            <w:hideMark/>
          </w:tcPr>
          <w:p w14:paraId="27FA27C9"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6,4</w:t>
            </w:r>
          </w:p>
        </w:tc>
      </w:tr>
      <w:tr w:rsidR="00A12414" w:rsidRPr="00EF6E4D" w14:paraId="20B144F8" w14:textId="77777777" w:rsidTr="001869FF">
        <w:trPr>
          <w:trHeight w:val="285"/>
        </w:trPr>
        <w:tc>
          <w:tcPr>
            <w:tcW w:w="1440" w:type="dxa"/>
            <w:tcBorders>
              <w:top w:val="single" w:sz="6" w:space="0" w:color="000000"/>
              <w:left w:val="single" w:sz="6" w:space="0" w:color="000000"/>
              <w:bottom w:val="single" w:sz="6" w:space="0" w:color="000000"/>
              <w:right w:val="single" w:sz="6" w:space="0" w:color="000000"/>
            </w:tcBorders>
            <w:hideMark/>
          </w:tcPr>
          <w:p w14:paraId="01CB4EC4"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FAGRO</w:t>
            </w:r>
          </w:p>
        </w:tc>
        <w:tc>
          <w:tcPr>
            <w:tcW w:w="1155" w:type="dxa"/>
            <w:tcBorders>
              <w:top w:val="single" w:sz="6" w:space="0" w:color="000000"/>
              <w:left w:val="single" w:sz="6" w:space="0" w:color="000000"/>
              <w:bottom w:val="single" w:sz="6" w:space="0" w:color="000000"/>
              <w:right w:val="single" w:sz="6" w:space="0" w:color="000000"/>
            </w:tcBorders>
            <w:hideMark/>
          </w:tcPr>
          <w:p w14:paraId="6F9975A4"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8,9</w:t>
            </w:r>
          </w:p>
        </w:tc>
        <w:tc>
          <w:tcPr>
            <w:tcW w:w="1155" w:type="dxa"/>
            <w:tcBorders>
              <w:top w:val="single" w:sz="6" w:space="0" w:color="000000"/>
              <w:left w:val="single" w:sz="6" w:space="0" w:color="000000"/>
              <w:bottom w:val="single" w:sz="6" w:space="0" w:color="000000"/>
              <w:right w:val="single" w:sz="6" w:space="0" w:color="000000"/>
            </w:tcBorders>
            <w:hideMark/>
          </w:tcPr>
          <w:p w14:paraId="6D42F682"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19,7</w:t>
            </w:r>
          </w:p>
        </w:tc>
        <w:tc>
          <w:tcPr>
            <w:tcW w:w="1155" w:type="dxa"/>
            <w:tcBorders>
              <w:top w:val="single" w:sz="6" w:space="0" w:color="000000"/>
              <w:left w:val="single" w:sz="6" w:space="0" w:color="000000"/>
              <w:bottom w:val="single" w:sz="6" w:space="0" w:color="000000"/>
              <w:right w:val="single" w:sz="6" w:space="0" w:color="000000"/>
            </w:tcBorders>
            <w:hideMark/>
          </w:tcPr>
          <w:p w14:paraId="3CF7D994"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47,7</w:t>
            </w:r>
          </w:p>
        </w:tc>
        <w:tc>
          <w:tcPr>
            <w:tcW w:w="1035" w:type="dxa"/>
            <w:tcBorders>
              <w:top w:val="single" w:sz="6" w:space="0" w:color="000000"/>
              <w:left w:val="single" w:sz="6" w:space="0" w:color="000000"/>
              <w:bottom w:val="single" w:sz="6" w:space="0" w:color="000000"/>
              <w:right w:val="single" w:sz="6" w:space="0" w:color="000000"/>
            </w:tcBorders>
            <w:hideMark/>
          </w:tcPr>
          <w:p w14:paraId="0B62E274"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23,7</w:t>
            </w:r>
          </w:p>
        </w:tc>
        <w:tc>
          <w:tcPr>
            <w:tcW w:w="1260" w:type="dxa"/>
            <w:tcBorders>
              <w:top w:val="single" w:sz="6" w:space="0" w:color="000000"/>
              <w:left w:val="single" w:sz="6" w:space="0" w:color="000000"/>
              <w:bottom w:val="single" w:sz="6" w:space="0" w:color="000000"/>
              <w:right w:val="single" w:sz="6" w:space="0" w:color="000000"/>
            </w:tcBorders>
            <w:hideMark/>
          </w:tcPr>
          <w:p w14:paraId="6B962DE4"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27,4</w:t>
            </w:r>
          </w:p>
        </w:tc>
        <w:tc>
          <w:tcPr>
            <w:tcW w:w="1320" w:type="dxa"/>
            <w:tcBorders>
              <w:top w:val="single" w:sz="6" w:space="0" w:color="000000"/>
              <w:left w:val="single" w:sz="6" w:space="0" w:color="000000"/>
              <w:bottom w:val="single" w:sz="6" w:space="0" w:color="000000"/>
              <w:right w:val="single" w:sz="6" w:space="0" w:color="000000"/>
            </w:tcBorders>
            <w:hideMark/>
          </w:tcPr>
          <w:p w14:paraId="7B6B750B"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71,7</w:t>
            </w:r>
          </w:p>
        </w:tc>
        <w:tc>
          <w:tcPr>
            <w:tcW w:w="1155" w:type="dxa"/>
            <w:tcBorders>
              <w:top w:val="single" w:sz="6" w:space="0" w:color="000000"/>
              <w:left w:val="single" w:sz="6" w:space="0" w:color="000000"/>
              <w:bottom w:val="single" w:sz="6" w:space="0" w:color="000000"/>
              <w:right w:val="single" w:sz="6" w:space="0" w:color="000000"/>
            </w:tcBorders>
            <w:hideMark/>
          </w:tcPr>
          <w:p w14:paraId="64761284"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16,0</w:t>
            </w:r>
          </w:p>
        </w:tc>
      </w:tr>
      <w:tr w:rsidR="00A12414" w:rsidRPr="00EF6E4D" w14:paraId="54169E89" w14:textId="77777777" w:rsidTr="001869FF">
        <w:trPr>
          <w:trHeight w:val="285"/>
        </w:trPr>
        <w:tc>
          <w:tcPr>
            <w:tcW w:w="1440" w:type="dxa"/>
            <w:tcBorders>
              <w:top w:val="single" w:sz="6" w:space="0" w:color="000000"/>
              <w:left w:val="single" w:sz="6" w:space="0" w:color="000000"/>
              <w:bottom w:val="single" w:sz="6" w:space="0" w:color="000000"/>
              <w:right w:val="single" w:sz="6" w:space="0" w:color="000000"/>
            </w:tcBorders>
            <w:hideMark/>
          </w:tcPr>
          <w:p w14:paraId="4BAFB0F7"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FADU</w:t>
            </w:r>
          </w:p>
        </w:tc>
        <w:tc>
          <w:tcPr>
            <w:tcW w:w="1155" w:type="dxa"/>
            <w:tcBorders>
              <w:top w:val="single" w:sz="6" w:space="0" w:color="000000"/>
              <w:left w:val="single" w:sz="6" w:space="0" w:color="000000"/>
              <w:bottom w:val="single" w:sz="6" w:space="0" w:color="000000"/>
              <w:right w:val="single" w:sz="6" w:space="0" w:color="000000"/>
            </w:tcBorders>
            <w:hideMark/>
          </w:tcPr>
          <w:p w14:paraId="2E24C986"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44,0</w:t>
            </w:r>
          </w:p>
        </w:tc>
        <w:tc>
          <w:tcPr>
            <w:tcW w:w="1155" w:type="dxa"/>
            <w:tcBorders>
              <w:top w:val="single" w:sz="6" w:space="0" w:color="000000"/>
              <w:left w:val="single" w:sz="6" w:space="0" w:color="000000"/>
              <w:bottom w:val="single" w:sz="6" w:space="0" w:color="000000"/>
              <w:right w:val="single" w:sz="6" w:space="0" w:color="000000"/>
            </w:tcBorders>
            <w:hideMark/>
          </w:tcPr>
          <w:p w14:paraId="5453F2B2"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43,3</w:t>
            </w:r>
          </w:p>
        </w:tc>
        <w:tc>
          <w:tcPr>
            <w:tcW w:w="1155" w:type="dxa"/>
            <w:tcBorders>
              <w:top w:val="single" w:sz="6" w:space="0" w:color="000000"/>
              <w:left w:val="single" w:sz="6" w:space="0" w:color="000000"/>
              <w:bottom w:val="single" w:sz="6" w:space="0" w:color="000000"/>
              <w:right w:val="single" w:sz="6" w:space="0" w:color="000000"/>
            </w:tcBorders>
            <w:hideMark/>
          </w:tcPr>
          <w:p w14:paraId="33926869"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11,2</w:t>
            </w:r>
          </w:p>
        </w:tc>
        <w:tc>
          <w:tcPr>
            <w:tcW w:w="1035" w:type="dxa"/>
            <w:tcBorders>
              <w:top w:val="single" w:sz="6" w:space="0" w:color="000000"/>
              <w:left w:val="single" w:sz="6" w:space="0" w:color="000000"/>
              <w:bottom w:val="single" w:sz="6" w:space="0" w:color="000000"/>
              <w:right w:val="single" w:sz="6" w:space="0" w:color="000000"/>
            </w:tcBorders>
            <w:hideMark/>
          </w:tcPr>
          <w:p w14:paraId="12BC6481"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1,5</w:t>
            </w:r>
          </w:p>
        </w:tc>
        <w:tc>
          <w:tcPr>
            <w:tcW w:w="1260" w:type="dxa"/>
            <w:tcBorders>
              <w:top w:val="single" w:sz="6" w:space="0" w:color="000000"/>
              <w:left w:val="single" w:sz="6" w:space="0" w:color="000000"/>
              <w:bottom w:val="single" w:sz="6" w:space="0" w:color="000000"/>
              <w:right w:val="single" w:sz="6" w:space="0" w:color="000000"/>
            </w:tcBorders>
            <w:hideMark/>
          </w:tcPr>
          <w:p w14:paraId="606872F7"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67,4</w:t>
            </w:r>
          </w:p>
        </w:tc>
        <w:tc>
          <w:tcPr>
            <w:tcW w:w="1320" w:type="dxa"/>
            <w:tcBorders>
              <w:top w:val="single" w:sz="6" w:space="0" w:color="000000"/>
              <w:left w:val="single" w:sz="6" w:space="0" w:color="000000"/>
              <w:bottom w:val="single" w:sz="6" w:space="0" w:color="000000"/>
              <w:right w:val="single" w:sz="6" w:space="0" w:color="000000"/>
            </w:tcBorders>
            <w:hideMark/>
          </w:tcPr>
          <w:p w14:paraId="220F6039"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34,7</w:t>
            </w:r>
          </w:p>
        </w:tc>
        <w:tc>
          <w:tcPr>
            <w:tcW w:w="1155" w:type="dxa"/>
            <w:tcBorders>
              <w:top w:val="single" w:sz="6" w:space="0" w:color="000000"/>
              <w:left w:val="single" w:sz="6" w:space="0" w:color="000000"/>
              <w:bottom w:val="single" w:sz="6" w:space="0" w:color="000000"/>
              <w:right w:val="single" w:sz="6" w:space="0" w:color="000000"/>
            </w:tcBorders>
            <w:hideMark/>
          </w:tcPr>
          <w:p w14:paraId="42EB332A"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4,3</w:t>
            </w:r>
          </w:p>
        </w:tc>
      </w:tr>
      <w:tr w:rsidR="00A12414" w:rsidRPr="00EF6E4D" w14:paraId="6C563E47" w14:textId="77777777" w:rsidTr="001869FF">
        <w:trPr>
          <w:trHeight w:val="285"/>
        </w:trPr>
        <w:tc>
          <w:tcPr>
            <w:tcW w:w="1440" w:type="dxa"/>
            <w:tcBorders>
              <w:top w:val="single" w:sz="6" w:space="0" w:color="000000"/>
              <w:left w:val="single" w:sz="6" w:space="0" w:color="000000"/>
              <w:bottom w:val="single" w:sz="6" w:space="0" w:color="000000"/>
              <w:right w:val="single" w:sz="6" w:space="0" w:color="000000"/>
            </w:tcBorders>
            <w:hideMark/>
          </w:tcPr>
          <w:p w14:paraId="02CCC42A"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FCEA</w:t>
            </w:r>
          </w:p>
        </w:tc>
        <w:tc>
          <w:tcPr>
            <w:tcW w:w="1155" w:type="dxa"/>
            <w:tcBorders>
              <w:top w:val="single" w:sz="6" w:space="0" w:color="000000"/>
              <w:left w:val="single" w:sz="6" w:space="0" w:color="000000"/>
              <w:bottom w:val="single" w:sz="6" w:space="0" w:color="000000"/>
              <w:right w:val="single" w:sz="6" w:space="0" w:color="000000"/>
            </w:tcBorders>
            <w:hideMark/>
          </w:tcPr>
          <w:p w14:paraId="048E434C"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48,9</w:t>
            </w:r>
          </w:p>
        </w:tc>
        <w:tc>
          <w:tcPr>
            <w:tcW w:w="1155" w:type="dxa"/>
            <w:tcBorders>
              <w:top w:val="single" w:sz="6" w:space="0" w:color="000000"/>
              <w:left w:val="single" w:sz="6" w:space="0" w:color="000000"/>
              <w:bottom w:val="single" w:sz="6" w:space="0" w:color="000000"/>
              <w:right w:val="single" w:sz="6" w:space="0" w:color="000000"/>
            </w:tcBorders>
            <w:hideMark/>
          </w:tcPr>
          <w:p w14:paraId="60B86B63"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27,1</w:t>
            </w:r>
          </w:p>
        </w:tc>
        <w:tc>
          <w:tcPr>
            <w:tcW w:w="1155" w:type="dxa"/>
            <w:tcBorders>
              <w:top w:val="single" w:sz="6" w:space="0" w:color="000000"/>
              <w:left w:val="single" w:sz="6" w:space="0" w:color="000000"/>
              <w:bottom w:val="single" w:sz="6" w:space="0" w:color="000000"/>
              <w:right w:val="single" w:sz="6" w:space="0" w:color="000000"/>
            </w:tcBorders>
            <w:hideMark/>
          </w:tcPr>
          <w:p w14:paraId="1DFCAF51"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17,0</w:t>
            </w:r>
          </w:p>
        </w:tc>
        <w:tc>
          <w:tcPr>
            <w:tcW w:w="1035" w:type="dxa"/>
            <w:tcBorders>
              <w:top w:val="single" w:sz="6" w:space="0" w:color="000000"/>
              <w:left w:val="single" w:sz="6" w:space="0" w:color="000000"/>
              <w:bottom w:val="single" w:sz="6" w:space="0" w:color="000000"/>
              <w:right w:val="single" w:sz="6" w:space="0" w:color="000000"/>
            </w:tcBorders>
            <w:hideMark/>
          </w:tcPr>
          <w:p w14:paraId="01DE725F"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7,0</w:t>
            </w:r>
          </w:p>
        </w:tc>
        <w:tc>
          <w:tcPr>
            <w:tcW w:w="1260" w:type="dxa"/>
            <w:tcBorders>
              <w:top w:val="single" w:sz="6" w:space="0" w:color="000000"/>
              <w:left w:val="single" w:sz="6" w:space="0" w:color="000000"/>
              <w:bottom w:val="single" w:sz="6" w:space="0" w:color="000000"/>
              <w:right w:val="single" w:sz="6" w:space="0" w:color="000000"/>
            </w:tcBorders>
            <w:hideMark/>
          </w:tcPr>
          <w:p w14:paraId="4DD665FA"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75,6</w:t>
            </w:r>
          </w:p>
        </w:tc>
        <w:tc>
          <w:tcPr>
            <w:tcW w:w="1320" w:type="dxa"/>
            <w:tcBorders>
              <w:top w:val="single" w:sz="6" w:space="0" w:color="000000"/>
              <w:left w:val="single" w:sz="6" w:space="0" w:color="000000"/>
              <w:bottom w:val="single" w:sz="6" w:space="0" w:color="000000"/>
              <w:right w:val="single" w:sz="6" w:space="0" w:color="000000"/>
            </w:tcBorders>
            <w:hideMark/>
          </w:tcPr>
          <w:p w14:paraId="3512FBE5"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29,4</w:t>
            </w:r>
          </w:p>
        </w:tc>
        <w:tc>
          <w:tcPr>
            <w:tcW w:w="1155" w:type="dxa"/>
            <w:tcBorders>
              <w:top w:val="single" w:sz="6" w:space="0" w:color="000000"/>
              <w:left w:val="single" w:sz="6" w:space="0" w:color="000000"/>
              <w:bottom w:val="single" w:sz="6" w:space="0" w:color="000000"/>
              <w:right w:val="single" w:sz="6" w:space="0" w:color="000000"/>
            </w:tcBorders>
            <w:hideMark/>
          </w:tcPr>
          <w:p w14:paraId="34564307"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5,3</w:t>
            </w:r>
          </w:p>
        </w:tc>
      </w:tr>
      <w:tr w:rsidR="00A12414" w:rsidRPr="00EF6E4D" w14:paraId="233A530A" w14:textId="77777777" w:rsidTr="001869FF">
        <w:trPr>
          <w:trHeight w:val="285"/>
        </w:trPr>
        <w:tc>
          <w:tcPr>
            <w:tcW w:w="1440" w:type="dxa"/>
            <w:tcBorders>
              <w:top w:val="single" w:sz="6" w:space="0" w:color="000000"/>
              <w:left w:val="single" w:sz="6" w:space="0" w:color="000000"/>
              <w:bottom w:val="single" w:sz="6" w:space="0" w:color="000000"/>
              <w:right w:val="single" w:sz="6" w:space="0" w:color="000000"/>
            </w:tcBorders>
            <w:hideMark/>
          </w:tcPr>
          <w:p w14:paraId="43A028B9"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FDER</w:t>
            </w:r>
          </w:p>
        </w:tc>
        <w:tc>
          <w:tcPr>
            <w:tcW w:w="1155" w:type="dxa"/>
            <w:tcBorders>
              <w:top w:val="single" w:sz="6" w:space="0" w:color="000000"/>
              <w:left w:val="single" w:sz="6" w:space="0" w:color="000000"/>
              <w:bottom w:val="single" w:sz="6" w:space="0" w:color="000000"/>
              <w:right w:val="single" w:sz="6" w:space="0" w:color="000000"/>
            </w:tcBorders>
            <w:hideMark/>
          </w:tcPr>
          <w:p w14:paraId="72470FA7"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53,6</w:t>
            </w:r>
          </w:p>
        </w:tc>
        <w:tc>
          <w:tcPr>
            <w:tcW w:w="1155" w:type="dxa"/>
            <w:tcBorders>
              <w:top w:val="single" w:sz="6" w:space="0" w:color="000000"/>
              <w:left w:val="single" w:sz="6" w:space="0" w:color="000000"/>
              <w:bottom w:val="single" w:sz="6" w:space="0" w:color="000000"/>
              <w:right w:val="single" w:sz="6" w:space="0" w:color="000000"/>
            </w:tcBorders>
            <w:hideMark/>
          </w:tcPr>
          <w:p w14:paraId="2B3080B1"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34,5</w:t>
            </w:r>
          </w:p>
        </w:tc>
        <w:tc>
          <w:tcPr>
            <w:tcW w:w="1155" w:type="dxa"/>
            <w:tcBorders>
              <w:top w:val="single" w:sz="6" w:space="0" w:color="000000"/>
              <w:left w:val="single" w:sz="6" w:space="0" w:color="000000"/>
              <w:bottom w:val="single" w:sz="6" w:space="0" w:color="000000"/>
              <w:right w:val="single" w:sz="6" w:space="0" w:color="000000"/>
            </w:tcBorders>
            <w:hideMark/>
          </w:tcPr>
          <w:p w14:paraId="7EC5C610"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10,8</w:t>
            </w:r>
          </w:p>
        </w:tc>
        <w:tc>
          <w:tcPr>
            <w:tcW w:w="1035" w:type="dxa"/>
            <w:tcBorders>
              <w:top w:val="single" w:sz="6" w:space="0" w:color="000000"/>
              <w:left w:val="single" w:sz="6" w:space="0" w:color="000000"/>
              <w:bottom w:val="single" w:sz="6" w:space="0" w:color="000000"/>
              <w:right w:val="single" w:sz="6" w:space="0" w:color="000000"/>
            </w:tcBorders>
            <w:hideMark/>
          </w:tcPr>
          <w:p w14:paraId="044C43C2"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1,1</w:t>
            </w:r>
          </w:p>
        </w:tc>
        <w:tc>
          <w:tcPr>
            <w:tcW w:w="1260" w:type="dxa"/>
            <w:tcBorders>
              <w:top w:val="single" w:sz="6" w:space="0" w:color="000000"/>
              <w:left w:val="single" w:sz="6" w:space="0" w:color="000000"/>
              <w:bottom w:val="single" w:sz="6" w:space="0" w:color="000000"/>
              <w:right w:val="single" w:sz="6" w:space="0" w:color="000000"/>
            </w:tcBorders>
            <w:hideMark/>
          </w:tcPr>
          <w:p w14:paraId="7CD02B56"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81,5</w:t>
            </w:r>
          </w:p>
        </w:tc>
        <w:tc>
          <w:tcPr>
            <w:tcW w:w="1320" w:type="dxa"/>
            <w:tcBorders>
              <w:top w:val="single" w:sz="6" w:space="0" w:color="000000"/>
              <w:left w:val="single" w:sz="6" w:space="0" w:color="000000"/>
              <w:bottom w:val="single" w:sz="6" w:space="0" w:color="000000"/>
              <w:right w:val="single" w:sz="6" w:space="0" w:color="000000"/>
            </w:tcBorders>
            <w:hideMark/>
          </w:tcPr>
          <w:p w14:paraId="591B757B"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34,7</w:t>
            </w:r>
          </w:p>
        </w:tc>
        <w:tc>
          <w:tcPr>
            <w:tcW w:w="1155" w:type="dxa"/>
            <w:tcBorders>
              <w:top w:val="single" w:sz="6" w:space="0" w:color="000000"/>
              <w:left w:val="single" w:sz="6" w:space="0" w:color="000000"/>
              <w:bottom w:val="single" w:sz="6" w:space="0" w:color="000000"/>
              <w:right w:val="single" w:sz="6" w:space="0" w:color="000000"/>
            </w:tcBorders>
            <w:hideMark/>
          </w:tcPr>
          <w:p w14:paraId="0D76D79D"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4,8</w:t>
            </w:r>
          </w:p>
        </w:tc>
      </w:tr>
      <w:tr w:rsidR="00A12414" w:rsidRPr="00EF6E4D" w14:paraId="5EEE61D2" w14:textId="77777777" w:rsidTr="001869FF">
        <w:trPr>
          <w:trHeight w:val="285"/>
        </w:trPr>
        <w:tc>
          <w:tcPr>
            <w:tcW w:w="1440" w:type="dxa"/>
            <w:tcBorders>
              <w:top w:val="single" w:sz="6" w:space="0" w:color="000000"/>
              <w:left w:val="single" w:sz="6" w:space="0" w:color="000000"/>
              <w:bottom w:val="single" w:sz="6" w:space="0" w:color="000000"/>
              <w:right w:val="single" w:sz="6" w:space="0" w:color="000000"/>
            </w:tcBorders>
            <w:hideMark/>
          </w:tcPr>
          <w:p w14:paraId="0F907888"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FING</w:t>
            </w:r>
          </w:p>
        </w:tc>
        <w:tc>
          <w:tcPr>
            <w:tcW w:w="1155" w:type="dxa"/>
            <w:tcBorders>
              <w:top w:val="single" w:sz="6" w:space="0" w:color="000000"/>
              <w:left w:val="single" w:sz="6" w:space="0" w:color="000000"/>
              <w:bottom w:val="single" w:sz="6" w:space="0" w:color="000000"/>
              <w:right w:val="single" w:sz="6" w:space="0" w:color="000000"/>
            </w:tcBorders>
            <w:hideMark/>
          </w:tcPr>
          <w:p w14:paraId="346CC157"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26,2</w:t>
            </w:r>
          </w:p>
        </w:tc>
        <w:tc>
          <w:tcPr>
            <w:tcW w:w="1155" w:type="dxa"/>
            <w:tcBorders>
              <w:top w:val="single" w:sz="6" w:space="0" w:color="000000"/>
              <w:left w:val="single" w:sz="6" w:space="0" w:color="000000"/>
              <w:bottom w:val="single" w:sz="6" w:space="0" w:color="000000"/>
              <w:right w:val="single" w:sz="6" w:space="0" w:color="000000"/>
            </w:tcBorders>
            <w:hideMark/>
          </w:tcPr>
          <w:p w14:paraId="4B41E878"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28,1</w:t>
            </w:r>
          </w:p>
        </w:tc>
        <w:tc>
          <w:tcPr>
            <w:tcW w:w="1155" w:type="dxa"/>
            <w:tcBorders>
              <w:top w:val="single" w:sz="6" w:space="0" w:color="000000"/>
              <w:left w:val="single" w:sz="6" w:space="0" w:color="000000"/>
              <w:bottom w:val="single" w:sz="6" w:space="0" w:color="000000"/>
              <w:right w:val="single" w:sz="6" w:space="0" w:color="000000"/>
            </w:tcBorders>
            <w:hideMark/>
          </w:tcPr>
          <w:p w14:paraId="3A801079"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19,5</w:t>
            </w:r>
          </w:p>
        </w:tc>
        <w:tc>
          <w:tcPr>
            <w:tcW w:w="1035" w:type="dxa"/>
            <w:tcBorders>
              <w:top w:val="single" w:sz="6" w:space="0" w:color="000000"/>
              <w:left w:val="single" w:sz="6" w:space="0" w:color="000000"/>
              <w:bottom w:val="single" w:sz="6" w:space="0" w:color="000000"/>
              <w:right w:val="single" w:sz="6" w:space="0" w:color="000000"/>
            </w:tcBorders>
            <w:hideMark/>
          </w:tcPr>
          <w:p w14:paraId="5E04B35E"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26,3</w:t>
            </w:r>
          </w:p>
        </w:tc>
        <w:tc>
          <w:tcPr>
            <w:tcW w:w="1260" w:type="dxa"/>
            <w:tcBorders>
              <w:top w:val="single" w:sz="6" w:space="0" w:color="000000"/>
              <w:left w:val="single" w:sz="6" w:space="0" w:color="000000"/>
              <w:bottom w:val="single" w:sz="6" w:space="0" w:color="000000"/>
              <w:right w:val="single" w:sz="6" w:space="0" w:color="000000"/>
            </w:tcBorders>
            <w:hideMark/>
          </w:tcPr>
          <w:p w14:paraId="75620CF0"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46,3</w:t>
            </w:r>
          </w:p>
        </w:tc>
        <w:tc>
          <w:tcPr>
            <w:tcW w:w="1320" w:type="dxa"/>
            <w:tcBorders>
              <w:top w:val="single" w:sz="6" w:space="0" w:color="000000"/>
              <w:left w:val="single" w:sz="6" w:space="0" w:color="000000"/>
              <w:bottom w:val="single" w:sz="6" w:space="0" w:color="000000"/>
              <w:right w:val="single" w:sz="6" w:space="0" w:color="000000"/>
            </w:tcBorders>
            <w:hideMark/>
          </w:tcPr>
          <w:p w14:paraId="4D9753B0"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60,4</w:t>
            </w:r>
          </w:p>
        </w:tc>
        <w:tc>
          <w:tcPr>
            <w:tcW w:w="1155" w:type="dxa"/>
            <w:tcBorders>
              <w:top w:val="single" w:sz="6" w:space="0" w:color="000000"/>
              <w:left w:val="single" w:sz="6" w:space="0" w:color="000000"/>
              <w:bottom w:val="single" w:sz="6" w:space="0" w:color="000000"/>
              <w:right w:val="single" w:sz="6" w:space="0" w:color="000000"/>
            </w:tcBorders>
            <w:hideMark/>
          </w:tcPr>
          <w:p w14:paraId="4172748F"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17,6</w:t>
            </w:r>
          </w:p>
        </w:tc>
      </w:tr>
      <w:tr w:rsidR="00A12414" w:rsidRPr="00EF6E4D" w14:paraId="39848E77" w14:textId="77777777" w:rsidTr="001869FF">
        <w:trPr>
          <w:trHeight w:val="285"/>
        </w:trPr>
        <w:tc>
          <w:tcPr>
            <w:tcW w:w="1440" w:type="dxa"/>
            <w:tcBorders>
              <w:top w:val="single" w:sz="6" w:space="0" w:color="000000"/>
              <w:left w:val="single" w:sz="6" w:space="0" w:color="000000"/>
              <w:bottom w:val="single" w:sz="6" w:space="0" w:color="000000"/>
              <w:right w:val="single" w:sz="6" w:space="0" w:color="000000"/>
            </w:tcBorders>
            <w:hideMark/>
          </w:tcPr>
          <w:p w14:paraId="7A2BA740"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FMED</w:t>
            </w:r>
          </w:p>
        </w:tc>
        <w:tc>
          <w:tcPr>
            <w:tcW w:w="1155" w:type="dxa"/>
            <w:tcBorders>
              <w:top w:val="single" w:sz="6" w:space="0" w:color="000000"/>
              <w:left w:val="single" w:sz="6" w:space="0" w:color="000000"/>
              <w:bottom w:val="single" w:sz="6" w:space="0" w:color="000000"/>
              <w:right w:val="single" w:sz="6" w:space="0" w:color="000000"/>
            </w:tcBorders>
            <w:hideMark/>
          </w:tcPr>
          <w:p w14:paraId="77BC4D04"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14,2</w:t>
            </w:r>
          </w:p>
        </w:tc>
        <w:tc>
          <w:tcPr>
            <w:tcW w:w="1155" w:type="dxa"/>
            <w:tcBorders>
              <w:top w:val="single" w:sz="6" w:space="0" w:color="000000"/>
              <w:left w:val="single" w:sz="6" w:space="0" w:color="000000"/>
              <w:bottom w:val="single" w:sz="6" w:space="0" w:color="000000"/>
              <w:right w:val="single" w:sz="6" w:space="0" w:color="000000"/>
            </w:tcBorders>
            <w:hideMark/>
          </w:tcPr>
          <w:p w14:paraId="0DE37B95"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66,6</w:t>
            </w:r>
          </w:p>
        </w:tc>
        <w:tc>
          <w:tcPr>
            <w:tcW w:w="1155" w:type="dxa"/>
            <w:tcBorders>
              <w:top w:val="single" w:sz="6" w:space="0" w:color="000000"/>
              <w:left w:val="single" w:sz="6" w:space="0" w:color="000000"/>
              <w:bottom w:val="single" w:sz="6" w:space="0" w:color="000000"/>
              <w:right w:val="single" w:sz="6" w:space="0" w:color="000000"/>
            </w:tcBorders>
            <w:hideMark/>
          </w:tcPr>
          <w:p w14:paraId="6B08B09C"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10,5</w:t>
            </w:r>
          </w:p>
        </w:tc>
        <w:tc>
          <w:tcPr>
            <w:tcW w:w="1035" w:type="dxa"/>
            <w:tcBorders>
              <w:top w:val="single" w:sz="6" w:space="0" w:color="000000"/>
              <w:left w:val="single" w:sz="6" w:space="0" w:color="000000"/>
              <w:bottom w:val="single" w:sz="6" w:space="0" w:color="000000"/>
              <w:right w:val="single" w:sz="6" w:space="0" w:color="000000"/>
            </w:tcBorders>
            <w:hideMark/>
          </w:tcPr>
          <w:p w14:paraId="476C3454"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8,7</w:t>
            </w:r>
          </w:p>
        </w:tc>
        <w:tc>
          <w:tcPr>
            <w:tcW w:w="1260" w:type="dxa"/>
            <w:tcBorders>
              <w:top w:val="single" w:sz="6" w:space="0" w:color="000000"/>
              <w:left w:val="single" w:sz="6" w:space="0" w:color="000000"/>
              <w:bottom w:val="single" w:sz="6" w:space="0" w:color="000000"/>
              <w:right w:val="single" w:sz="6" w:space="0" w:color="000000"/>
            </w:tcBorders>
            <w:hideMark/>
          </w:tcPr>
          <w:p w14:paraId="1D204479"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69,6</w:t>
            </w:r>
          </w:p>
        </w:tc>
        <w:tc>
          <w:tcPr>
            <w:tcW w:w="1320" w:type="dxa"/>
            <w:tcBorders>
              <w:top w:val="single" w:sz="6" w:space="0" w:color="000000"/>
              <w:left w:val="single" w:sz="6" w:space="0" w:color="000000"/>
              <w:bottom w:val="single" w:sz="6" w:space="0" w:color="000000"/>
              <w:right w:val="single" w:sz="6" w:space="0" w:color="000000"/>
            </w:tcBorders>
            <w:hideMark/>
          </w:tcPr>
          <w:p w14:paraId="79EF9425"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53,8</w:t>
            </w:r>
          </w:p>
        </w:tc>
        <w:tc>
          <w:tcPr>
            <w:tcW w:w="1155" w:type="dxa"/>
            <w:tcBorders>
              <w:top w:val="single" w:sz="6" w:space="0" w:color="000000"/>
              <w:left w:val="single" w:sz="6" w:space="0" w:color="000000"/>
              <w:bottom w:val="single" w:sz="6" w:space="0" w:color="000000"/>
              <w:right w:val="single" w:sz="6" w:space="0" w:color="000000"/>
            </w:tcBorders>
            <w:hideMark/>
          </w:tcPr>
          <w:p w14:paraId="77134680"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8,7</w:t>
            </w:r>
          </w:p>
        </w:tc>
      </w:tr>
      <w:tr w:rsidR="00A12414" w:rsidRPr="00EF6E4D" w14:paraId="1CFEEB29" w14:textId="77777777" w:rsidTr="001869FF">
        <w:trPr>
          <w:trHeight w:val="285"/>
        </w:trPr>
        <w:tc>
          <w:tcPr>
            <w:tcW w:w="1440" w:type="dxa"/>
            <w:tcBorders>
              <w:top w:val="single" w:sz="6" w:space="0" w:color="000000"/>
              <w:left w:val="single" w:sz="6" w:space="0" w:color="000000"/>
              <w:bottom w:val="single" w:sz="6" w:space="0" w:color="000000"/>
              <w:right w:val="single" w:sz="6" w:space="0" w:color="000000"/>
            </w:tcBorders>
            <w:hideMark/>
          </w:tcPr>
          <w:p w14:paraId="2D5A4FB6"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FODON</w:t>
            </w:r>
          </w:p>
        </w:tc>
        <w:tc>
          <w:tcPr>
            <w:tcW w:w="1155" w:type="dxa"/>
            <w:tcBorders>
              <w:top w:val="single" w:sz="6" w:space="0" w:color="000000"/>
              <w:left w:val="single" w:sz="6" w:space="0" w:color="000000"/>
              <w:bottom w:val="single" w:sz="6" w:space="0" w:color="000000"/>
              <w:right w:val="single" w:sz="6" w:space="0" w:color="000000"/>
            </w:tcBorders>
            <w:hideMark/>
          </w:tcPr>
          <w:p w14:paraId="7CB0C2D8"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27,0</w:t>
            </w:r>
          </w:p>
        </w:tc>
        <w:tc>
          <w:tcPr>
            <w:tcW w:w="1155" w:type="dxa"/>
            <w:tcBorders>
              <w:top w:val="single" w:sz="6" w:space="0" w:color="000000"/>
              <w:left w:val="single" w:sz="6" w:space="0" w:color="000000"/>
              <w:bottom w:val="single" w:sz="6" w:space="0" w:color="000000"/>
              <w:right w:val="single" w:sz="6" w:space="0" w:color="000000"/>
            </w:tcBorders>
            <w:hideMark/>
          </w:tcPr>
          <w:p w14:paraId="242FCE7C"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56,0</w:t>
            </w:r>
          </w:p>
        </w:tc>
        <w:tc>
          <w:tcPr>
            <w:tcW w:w="1155" w:type="dxa"/>
            <w:tcBorders>
              <w:top w:val="single" w:sz="6" w:space="0" w:color="000000"/>
              <w:left w:val="single" w:sz="6" w:space="0" w:color="000000"/>
              <w:bottom w:val="single" w:sz="6" w:space="0" w:color="000000"/>
              <w:right w:val="single" w:sz="6" w:space="0" w:color="000000"/>
            </w:tcBorders>
            <w:hideMark/>
          </w:tcPr>
          <w:p w14:paraId="591121D1"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16,2</w:t>
            </w:r>
          </w:p>
        </w:tc>
        <w:tc>
          <w:tcPr>
            <w:tcW w:w="1035" w:type="dxa"/>
            <w:tcBorders>
              <w:top w:val="single" w:sz="6" w:space="0" w:color="000000"/>
              <w:left w:val="single" w:sz="6" w:space="0" w:color="000000"/>
              <w:bottom w:val="single" w:sz="6" w:space="0" w:color="000000"/>
              <w:right w:val="single" w:sz="6" w:space="0" w:color="000000"/>
            </w:tcBorders>
            <w:hideMark/>
          </w:tcPr>
          <w:p w14:paraId="014B46AA"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0,9</w:t>
            </w:r>
          </w:p>
        </w:tc>
        <w:tc>
          <w:tcPr>
            <w:tcW w:w="1260" w:type="dxa"/>
            <w:tcBorders>
              <w:top w:val="single" w:sz="6" w:space="0" w:color="000000"/>
              <w:left w:val="single" w:sz="6" w:space="0" w:color="000000"/>
              <w:bottom w:val="single" w:sz="6" w:space="0" w:color="000000"/>
              <w:right w:val="single" w:sz="6" w:space="0" w:color="000000"/>
            </w:tcBorders>
            <w:hideMark/>
          </w:tcPr>
          <w:p w14:paraId="3FE2A546"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71,3</w:t>
            </w:r>
          </w:p>
        </w:tc>
        <w:tc>
          <w:tcPr>
            <w:tcW w:w="1320" w:type="dxa"/>
            <w:tcBorders>
              <w:top w:val="single" w:sz="6" w:space="0" w:color="000000"/>
              <w:left w:val="single" w:sz="6" w:space="0" w:color="000000"/>
              <w:bottom w:val="single" w:sz="6" w:space="0" w:color="000000"/>
              <w:right w:val="single" w:sz="6" w:space="0" w:color="000000"/>
            </w:tcBorders>
            <w:hideMark/>
          </w:tcPr>
          <w:p w14:paraId="74EB4D23"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26,6</w:t>
            </w:r>
          </w:p>
        </w:tc>
        <w:tc>
          <w:tcPr>
            <w:tcW w:w="1155" w:type="dxa"/>
            <w:tcBorders>
              <w:top w:val="single" w:sz="6" w:space="0" w:color="000000"/>
              <w:left w:val="single" w:sz="6" w:space="0" w:color="000000"/>
              <w:bottom w:val="single" w:sz="6" w:space="0" w:color="000000"/>
              <w:right w:val="single" w:sz="6" w:space="0" w:color="000000"/>
            </w:tcBorders>
            <w:hideMark/>
          </w:tcPr>
          <w:p w14:paraId="01FB33CD"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4,0</w:t>
            </w:r>
          </w:p>
        </w:tc>
      </w:tr>
      <w:tr w:rsidR="00A12414" w:rsidRPr="00EF6E4D" w14:paraId="6B106B26" w14:textId="77777777" w:rsidTr="001869FF">
        <w:trPr>
          <w:trHeight w:val="285"/>
        </w:trPr>
        <w:tc>
          <w:tcPr>
            <w:tcW w:w="1440" w:type="dxa"/>
            <w:tcBorders>
              <w:top w:val="single" w:sz="6" w:space="0" w:color="000000"/>
              <w:left w:val="single" w:sz="6" w:space="0" w:color="000000"/>
              <w:bottom w:val="single" w:sz="6" w:space="0" w:color="000000"/>
              <w:right w:val="single" w:sz="6" w:space="0" w:color="000000"/>
            </w:tcBorders>
            <w:hideMark/>
          </w:tcPr>
          <w:p w14:paraId="7A903366"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FQ</w:t>
            </w:r>
          </w:p>
        </w:tc>
        <w:tc>
          <w:tcPr>
            <w:tcW w:w="1155" w:type="dxa"/>
            <w:tcBorders>
              <w:top w:val="single" w:sz="6" w:space="0" w:color="000000"/>
              <w:left w:val="single" w:sz="6" w:space="0" w:color="000000"/>
              <w:bottom w:val="single" w:sz="6" w:space="0" w:color="000000"/>
              <w:right w:val="single" w:sz="6" w:space="0" w:color="000000"/>
            </w:tcBorders>
            <w:hideMark/>
          </w:tcPr>
          <w:p w14:paraId="0910C70B"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9,2</w:t>
            </w:r>
          </w:p>
        </w:tc>
        <w:tc>
          <w:tcPr>
            <w:tcW w:w="1155" w:type="dxa"/>
            <w:tcBorders>
              <w:top w:val="single" w:sz="6" w:space="0" w:color="000000"/>
              <w:left w:val="single" w:sz="6" w:space="0" w:color="000000"/>
              <w:bottom w:val="single" w:sz="6" w:space="0" w:color="000000"/>
              <w:right w:val="single" w:sz="6" w:space="0" w:color="000000"/>
            </w:tcBorders>
            <w:hideMark/>
          </w:tcPr>
          <w:p w14:paraId="63B0B58E"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23,5</w:t>
            </w:r>
          </w:p>
        </w:tc>
        <w:tc>
          <w:tcPr>
            <w:tcW w:w="1155" w:type="dxa"/>
            <w:tcBorders>
              <w:top w:val="single" w:sz="6" w:space="0" w:color="000000"/>
              <w:left w:val="single" w:sz="6" w:space="0" w:color="000000"/>
              <w:bottom w:val="single" w:sz="6" w:space="0" w:color="000000"/>
              <w:right w:val="single" w:sz="6" w:space="0" w:color="000000"/>
            </w:tcBorders>
            <w:hideMark/>
          </w:tcPr>
          <w:p w14:paraId="0D31EA25"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29,7</w:t>
            </w:r>
          </w:p>
        </w:tc>
        <w:tc>
          <w:tcPr>
            <w:tcW w:w="1035" w:type="dxa"/>
            <w:tcBorders>
              <w:top w:val="single" w:sz="6" w:space="0" w:color="000000"/>
              <w:left w:val="single" w:sz="6" w:space="0" w:color="000000"/>
              <w:bottom w:val="single" w:sz="6" w:space="0" w:color="000000"/>
              <w:right w:val="single" w:sz="6" w:space="0" w:color="000000"/>
            </w:tcBorders>
            <w:hideMark/>
          </w:tcPr>
          <w:p w14:paraId="4EF053F3"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37,5</w:t>
            </w:r>
          </w:p>
        </w:tc>
        <w:tc>
          <w:tcPr>
            <w:tcW w:w="1260" w:type="dxa"/>
            <w:tcBorders>
              <w:top w:val="single" w:sz="6" w:space="0" w:color="000000"/>
              <w:left w:val="single" w:sz="6" w:space="0" w:color="000000"/>
              <w:bottom w:val="single" w:sz="6" w:space="0" w:color="000000"/>
              <w:right w:val="single" w:sz="6" w:space="0" w:color="000000"/>
            </w:tcBorders>
            <w:hideMark/>
          </w:tcPr>
          <w:p w14:paraId="74D16831"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25,4</w:t>
            </w:r>
          </w:p>
        </w:tc>
        <w:tc>
          <w:tcPr>
            <w:tcW w:w="1320" w:type="dxa"/>
            <w:tcBorders>
              <w:top w:val="single" w:sz="6" w:space="0" w:color="000000"/>
              <w:left w:val="single" w:sz="6" w:space="0" w:color="000000"/>
              <w:bottom w:val="single" w:sz="6" w:space="0" w:color="000000"/>
              <w:right w:val="single" w:sz="6" w:space="0" w:color="000000"/>
            </w:tcBorders>
            <w:hideMark/>
          </w:tcPr>
          <w:p w14:paraId="2097149E"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76,3</w:t>
            </w:r>
          </w:p>
        </w:tc>
        <w:tc>
          <w:tcPr>
            <w:tcW w:w="1155" w:type="dxa"/>
            <w:tcBorders>
              <w:top w:val="single" w:sz="6" w:space="0" w:color="000000"/>
              <w:left w:val="single" w:sz="6" w:space="0" w:color="000000"/>
              <w:bottom w:val="single" w:sz="6" w:space="0" w:color="000000"/>
              <w:right w:val="single" w:sz="6" w:space="0" w:color="000000"/>
            </w:tcBorders>
            <w:hideMark/>
          </w:tcPr>
          <w:p w14:paraId="5EFEABC4"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55,6</w:t>
            </w:r>
          </w:p>
        </w:tc>
      </w:tr>
      <w:tr w:rsidR="00A12414" w:rsidRPr="00EF6E4D" w14:paraId="6B2DF45A" w14:textId="77777777" w:rsidTr="001869FF">
        <w:trPr>
          <w:trHeight w:val="285"/>
        </w:trPr>
        <w:tc>
          <w:tcPr>
            <w:tcW w:w="1440" w:type="dxa"/>
            <w:tcBorders>
              <w:top w:val="single" w:sz="6" w:space="0" w:color="000000"/>
              <w:left w:val="single" w:sz="6" w:space="0" w:color="000000"/>
              <w:bottom w:val="single" w:sz="6" w:space="0" w:color="000000"/>
              <w:right w:val="single" w:sz="6" w:space="0" w:color="000000"/>
            </w:tcBorders>
            <w:hideMark/>
          </w:tcPr>
          <w:p w14:paraId="6FEB6EB0"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FVET</w:t>
            </w:r>
          </w:p>
        </w:tc>
        <w:tc>
          <w:tcPr>
            <w:tcW w:w="1155" w:type="dxa"/>
            <w:tcBorders>
              <w:top w:val="single" w:sz="6" w:space="0" w:color="000000"/>
              <w:left w:val="single" w:sz="6" w:space="0" w:color="000000"/>
              <w:bottom w:val="single" w:sz="6" w:space="0" w:color="000000"/>
              <w:right w:val="single" w:sz="6" w:space="0" w:color="000000"/>
            </w:tcBorders>
            <w:hideMark/>
          </w:tcPr>
          <w:p w14:paraId="360246B5"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3,7</w:t>
            </w:r>
          </w:p>
        </w:tc>
        <w:tc>
          <w:tcPr>
            <w:tcW w:w="1155" w:type="dxa"/>
            <w:tcBorders>
              <w:top w:val="single" w:sz="6" w:space="0" w:color="000000"/>
              <w:left w:val="single" w:sz="6" w:space="0" w:color="000000"/>
              <w:bottom w:val="single" w:sz="6" w:space="0" w:color="000000"/>
              <w:right w:val="single" w:sz="6" w:space="0" w:color="000000"/>
            </w:tcBorders>
            <w:hideMark/>
          </w:tcPr>
          <w:p w14:paraId="105F4F78"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29,2</w:t>
            </w:r>
          </w:p>
        </w:tc>
        <w:tc>
          <w:tcPr>
            <w:tcW w:w="1155" w:type="dxa"/>
            <w:tcBorders>
              <w:top w:val="single" w:sz="6" w:space="0" w:color="000000"/>
              <w:left w:val="single" w:sz="6" w:space="0" w:color="000000"/>
              <w:bottom w:val="single" w:sz="6" w:space="0" w:color="000000"/>
              <w:right w:val="single" w:sz="6" w:space="0" w:color="000000"/>
            </w:tcBorders>
            <w:hideMark/>
          </w:tcPr>
          <w:p w14:paraId="33786D89"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53,4</w:t>
            </w:r>
          </w:p>
        </w:tc>
        <w:tc>
          <w:tcPr>
            <w:tcW w:w="1035" w:type="dxa"/>
            <w:tcBorders>
              <w:top w:val="single" w:sz="6" w:space="0" w:color="000000"/>
              <w:left w:val="single" w:sz="6" w:space="0" w:color="000000"/>
              <w:bottom w:val="single" w:sz="6" w:space="0" w:color="000000"/>
              <w:right w:val="single" w:sz="6" w:space="0" w:color="000000"/>
            </w:tcBorders>
            <w:hideMark/>
          </w:tcPr>
          <w:p w14:paraId="2E0EEA6D"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13,7</w:t>
            </w:r>
          </w:p>
        </w:tc>
        <w:tc>
          <w:tcPr>
            <w:tcW w:w="1260" w:type="dxa"/>
            <w:tcBorders>
              <w:top w:val="single" w:sz="6" w:space="0" w:color="000000"/>
              <w:left w:val="single" w:sz="6" w:space="0" w:color="000000"/>
              <w:bottom w:val="single" w:sz="6" w:space="0" w:color="000000"/>
              <w:right w:val="single" w:sz="6" w:space="0" w:color="000000"/>
            </w:tcBorders>
            <w:hideMark/>
          </w:tcPr>
          <w:p w14:paraId="0D442048"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31,4</w:t>
            </w:r>
          </w:p>
        </w:tc>
        <w:tc>
          <w:tcPr>
            <w:tcW w:w="1320" w:type="dxa"/>
            <w:tcBorders>
              <w:top w:val="single" w:sz="6" w:space="0" w:color="000000"/>
              <w:left w:val="single" w:sz="6" w:space="0" w:color="000000"/>
              <w:bottom w:val="single" w:sz="6" w:space="0" w:color="000000"/>
              <w:right w:val="single" w:sz="6" w:space="0" w:color="000000"/>
            </w:tcBorders>
            <w:hideMark/>
          </w:tcPr>
          <w:p w14:paraId="099724FB"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67,9</w:t>
            </w:r>
          </w:p>
        </w:tc>
        <w:tc>
          <w:tcPr>
            <w:tcW w:w="1155" w:type="dxa"/>
            <w:tcBorders>
              <w:top w:val="single" w:sz="6" w:space="0" w:color="000000"/>
              <w:left w:val="single" w:sz="6" w:space="0" w:color="000000"/>
              <w:bottom w:val="single" w:sz="6" w:space="0" w:color="000000"/>
              <w:right w:val="single" w:sz="6" w:space="0" w:color="000000"/>
            </w:tcBorders>
            <w:hideMark/>
          </w:tcPr>
          <w:p w14:paraId="067254DA"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9,6</w:t>
            </w:r>
          </w:p>
        </w:tc>
      </w:tr>
      <w:tr w:rsidR="00A12414" w:rsidRPr="00EF6E4D" w14:paraId="290AF7BF" w14:textId="77777777" w:rsidTr="001869FF">
        <w:trPr>
          <w:trHeight w:val="285"/>
        </w:trPr>
        <w:tc>
          <w:tcPr>
            <w:tcW w:w="1440" w:type="dxa"/>
            <w:tcBorders>
              <w:top w:val="single" w:sz="6" w:space="0" w:color="000000"/>
              <w:left w:val="single" w:sz="6" w:space="0" w:color="000000"/>
              <w:bottom w:val="single" w:sz="6" w:space="0" w:color="000000"/>
              <w:right w:val="single" w:sz="6" w:space="0" w:color="000000"/>
            </w:tcBorders>
            <w:hideMark/>
          </w:tcPr>
          <w:p w14:paraId="5D0413A2"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FHCE</w:t>
            </w:r>
          </w:p>
        </w:tc>
        <w:tc>
          <w:tcPr>
            <w:tcW w:w="1155" w:type="dxa"/>
            <w:tcBorders>
              <w:top w:val="single" w:sz="6" w:space="0" w:color="000000"/>
              <w:left w:val="single" w:sz="6" w:space="0" w:color="000000"/>
              <w:bottom w:val="single" w:sz="6" w:space="0" w:color="000000"/>
              <w:right w:val="single" w:sz="6" w:space="0" w:color="000000"/>
            </w:tcBorders>
            <w:hideMark/>
          </w:tcPr>
          <w:p w14:paraId="00722045"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14,7</w:t>
            </w:r>
          </w:p>
        </w:tc>
        <w:tc>
          <w:tcPr>
            <w:tcW w:w="1155" w:type="dxa"/>
            <w:tcBorders>
              <w:top w:val="single" w:sz="6" w:space="0" w:color="000000"/>
              <w:left w:val="single" w:sz="6" w:space="0" w:color="000000"/>
              <w:bottom w:val="single" w:sz="6" w:space="0" w:color="000000"/>
              <w:right w:val="single" w:sz="6" w:space="0" w:color="000000"/>
            </w:tcBorders>
            <w:hideMark/>
          </w:tcPr>
          <w:p w14:paraId="354CB88E"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43,7</w:t>
            </w:r>
          </w:p>
        </w:tc>
        <w:tc>
          <w:tcPr>
            <w:tcW w:w="1155" w:type="dxa"/>
            <w:tcBorders>
              <w:top w:val="single" w:sz="6" w:space="0" w:color="000000"/>
              <w:left w:val="single" w:sz="6" w:space="0" w:color="000000"/>
              <w:bottom w:val="single" w:sz="6" w:space="0" w:color="000000"/>
              <w:right w:val="single" w:sz="6" w:space="0" w:color="000000"/>
            </w:tcBorders>
            <w:hideMark/>
          </w:tcPr>
          <w:p w14:paraId="5B50EFFC"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22,6</w:t>
            </w:r>
          </w:p>
        </w:tc>
        <w:tc>
          <w:tcPr>
            <w:tcW w:w="1035" w:type="dxa"/>
            <w:tcBorders>
              <w:top w:val="single" w:sz="6" w:space="0" w:color="000000"/>
              <w:left w:val="single" w:sz="6" w:space="0" w:color="000000"/>
              <w:bottom w:val="single" w:sz="6" w:space="0" w:color="000000"/>
              <w:right w:val="single" w:sz="6" w:space="0" w:color="000000"/>
            </w:tcBorders>
            <w:hideMark/>
          </w:tcPr>
          <w:p w14:paraId="4B137811"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19,0</w:t>
            </w:r>
          </w:p>
        </w:tc>
        <w:tc>
          <w:tcPr>
            <w:tcW w:w="1260" w:type="dxa"/>
            <w:tcBorders>
              <w:top w:val="single" w:sz="6" w:space="0" w:color="000000"/>
              <w:left w:val="single" w:sz="6" w:space="0" w:color="000000"/>
              <w:bottom w:val="single" w:sz="6" w:space="0" w:color="000000"/>
              <w:right w:val="single" w:sz="6" w:space="0" w:color="000000"/>
            </w:tcBorders>
            <w:hideMark/>
          </w:tcPr>
          <w:p w14:paraId="44F1FA58"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44,4</w:t>
            </w:r>
          </w:p>
        </w:tc>
        <w:tc>
          <w:tcPr>
            <w:tcW w:w="1320" w:type="dxa"/>
            <w:tcBorders>
              <w:top w:val="single" w:sz="6" w:space="0" w:color="000000"/>
              <w:left w:val="single" w:sz="6" w:space="0" w:color="000000"/>
              <w:bottom w:val="single" w:sz="6" w:space="0" w:color="000000"/>
              <w:right w:val="single" w:sz="6" w:space="0" w:color="000000"/>
            </w:tcBorders>
            <w:hideMark/>
          </w:tcPr>
          <w:p w14:paraId="121DD777"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75,5</w:t>
            </w:r>
          </w:p>
        </w:tc>
        <w:tc>
          <w:tcPr>
            <w:tcW w:w="1155" w:type="dxa"/>
            <w:tcBorders>
              <w:top w:val="single" w:sz="6" w:space="0" w:color="000000"/>
              <w:left w:val="single" w:sz="6" w:space="0" w:color="000000"/>
              <w:bottom w:val="single" w:sz="6" w:space="0" w:color="000000"/>
              <w:right w:val="single" w:sz="6" w:space="0" w:color="000000"/>
            </w:tcBorders>
            <w:hideMark/>
          </w:tcPr>
          <w:p w14:paraId="1DDFAD60"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22,2</w:t>
            </w:r>
          </w:p>
        </w:tc>
      </w:tr>
      <w:tr w:rsidR="00A12414" w:rsidRPr="00EF6E4D" w14:paraId="43B87904" w14:textId="77777777" w:rsidTr="001869FF">
        <w:trPr>
          <w:trHeight w:val="285"/>
        </w:trPr>
        <w:tc>
          <w:tcPr>
            <w:tcW w:w="1440" w:type="dxa"/>
            <w:tcBorders>
              <w:top w:val="single" w:sz="6" w:space="0" w:color="000000"/>
              <w:left w:val="single" w:sz="6" w:space="0" w:color="000000"/>
              <w:bottom w:val="single" w:sz="6" w:space="0" w:color="000000"/>
              <w:right w:val="single" w:sz="6" w:space="0" w:color="000000"/>
            </w:tcBorders>
            <w:hideMark/>
          </w:tcPr>
          <w:p w14:paraId="24CF12E2"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Hospital de Clínicas</w:t>
            </w:r>
          </w:p>
        </w:tc>
        <w:tc>
          <w:tcPr>
            <w:tcW w:w="1155" w:type="dxa"/>
            <w:tcBorders>
              <w:top w:val="single" w:sz="6" w:space="0" w:color="000000"/>
              <w:left w:val="single" w:sz="6" w:space="0" w:color="000000"/>
              <w:bottom w:val="single" w:sz="6" w:space="0" w:color="000000"/>
              <w:right w:val="single" w:sz="6" w:space="0" w:color="000000"/>
            </w:tcBorders>
            <w:hideMark/>
          </w:tcPr>
          <w:p w14:paraId="3714404B"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1,1</w:t>
            </w:r>
          </w:p>
        </w:tc>
        <w:tc>
          <w:tcPr>
            <w:tcW w:w="1155" w:type="dxa"/>
            <w:tcBorders>
              <w:top w:val="single" w:sz="6" w:space="0" w:color="000000"/>
              <w:left w:val="single" w:sz="6" w:space="0" w:color="000000"/>
              <w:bottom w:val="single" w:sz="6" w:space="0" w:color="000000"/>
              <w:right w:val="single" w:sz="6" w:space="0" w:color="000000"/>
            </w:tcBorders>
            <w:hideMark/>
          </w:tcPr>
          <w:p w14:paraId="1EF34F12"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50,8</w:t>
            </w:r>
          </w:p>
        </w:tc>
        <w:tc>
          <w:tcPr>
            <w:tcW w:w="1155" w:type="dxa"/>
            <w:tcBorders>
              <w:top w:val="single" w:sz="6" w:space="0" w:color="000000"/>
              <w:left w:val="single" w:sz="6" w:space="0" w:color="000000"/>
              <w:bottom w:val="single" w:sz="6" w:space="0" w:color="000000"/>
              <w:right w:val="single" w:sz="6" w:space="0" w:color="000000"/>
            </w:tcBorders>
            <w:hideMark/>
          </w:tcPr>
          <w:p w14:paraId="772D2680"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45,6</w:t>
            </w:r>
          </w:p>
        </w:tc>
        <w:tc>
          <w:tcPr>
            <w:tcW w:w="1035" w:type="dxa"/>
            <w:tcBorders>
              <w:top w:val="single" w:sz="6" w:space="0" w:color="000000"/>
              <w:left w:val="single" w:sz="6" w:space="0" w:color="000000"/>
              <w:bottom w:val="single" w:sz="6" w:space="0" w:color="000000"/>
              <w:right w:val="single" w:sz="6" w:space="0" w:color="000000"/>
            </w:tcBorders>
            <w:hideMark/>
          </w:tcPr>
          <w:p w14:paraId="1A2AE8D9"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2,5</w:t>
            </w:r>
          </w:p>
        </w:tc>
        <w:tc>
          <w:tcPr>
            <w:tcW w:w="1260" w:type="dxa"/>
            <w:tcBorders>
              <w:top w:val="single" w:sz="6" w:space="0" w:color="000000"/>
              <w:left w:val="single" w:sz="6" w:space="0" w:color="000000"/>
              <w:bottom w:val="single" w:sz="6" w:space="0" w:color="000000"/>
              <w:right w:val="single" w:sz="6" w:space="0" w:color="000000"/>
            </w:tcBorders>
            <w:hideMark/>
          </w:tcPr>
          <w:p w14:paraId="7B33997B"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87,1</w:t>
            </w:r>
          </w:p>
        </w:tc>
        <w:tc>
          <w:tcPr>
            <w:tcW w:w="1320" w:type="dxa"/>
            <w:tcBorders>
              <w:top w:val="single" w:sz="6" w:space="0" w:color="000000"/>
              <w:left w:val="single" w:sz="6" w:space="0" w:color="000000"/>
              <w:bottom w:val="single" w:sz="6" w:space="0" w:color="000000"/>
              <w:right w:val="single" w:sz="6" w:space="0" w:color="000000"/>
            </w:tcBorders>
            <w:hideMark/>
          </w:tcPr>
          <w:p w14:paraId="0593FCEC"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48,4</w:t>
            </w:r>
          </w:p>
        </w:tc>
        <w:tc>
          <w:tcPr>
            <w:tcW w:w="1155" w:type="dxa"/>
            <w:tcBorders>
              <w:top w:val="single" w:sz="6" w:space="0" w:color="000000"/>
              <w:left w:val="single" w:sz="6" w:space="0" w:color="000000"/>
              <w:bottom w:val="single" w:sz="6" w:space="0" w:color="000000"/>
              <w:right w:val="single" w:sz="6" w:space="0" w:color="000000"/>
            </w:tcBorders>
            <w:hideMark/>
          </w:tcPr>
          <w:p w14:paraId="195A9951"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3,5</w:t>
            </w:r>
          </w:p>
        </w:tc>
      </w:tr>
      <w:tr w:rsidR="00A12414" w:rsidRPr="00EF6E4D" w14:paraId="41A9F3AA" w14:textId="77777777" w:rsidTr="001869FF">
        <w:trPr>
          <w:trHeight w:val="285"/>
        </w:trPr>
        <w:tc>
          <w:tcPr>
            <w:tcW w:w="1440" w:type="dxa"/>
            <w:tcBorders>
              <w:top w:val="single" w:sz="6" w:space="0" w:color="000000"/>
              <w:left w:val="single" w:sz="6" w:space="0" w:color="000000"/>
              <w:bottom w:val="single" w:sz="6" w:space="0" w:color="000000"/>
              <w:right w:val="single" w:sz="6" w:space="0" w:color="000000"/>
            </w:tcBorders>
            <w:hideMark/>
          </w:tcPr>
          <w:p w14:paraId="170757F6"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Artes</w:t>
            </w:r>
          </w:p>
        </w:tc>
        <w:tc>
          <w:tcPr>
            <w:tcW w:w="1155" w:type="dxa"/>
            <w:tcBorders>
              <w:top w:val="single" w:sz="6" w:space="0" w:color="000000"/>
              <w:left w:val="single" w:sz="6" w:space="0" w:color="000000"/>
              <w:bottom w:val="single" w:sz="6" w:space="0" w:color="000000"/>
              <w:right w:val="single" w:sz="6" w:space="0" w:color="000000"/>
            </w:tcBorders>
            <w:hideMark/>
          </w:tcPr>
          <w:p w14:paraId="0FC6331D"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20,2</w:t>
            </w:r>
          </w:p>
        </w:tc>
        <w:tc>
          <w:tcPr>
            <w:tcW w:w="1155" w:type="dxa"/>
            <w:tcBorders>
              <w:top w:val="single" w:sz="6" w:space="0" w:color="000000"/>
              <w:left w:val="single" w:sz="6" w:space="0" w:color="000000"/>
              <w:bottom w:val="single" w:sz="6" w:space="0" w:color="000000"/>
              <w:right w:val="single" w:sz="6" w:space="0" w:color="000000"/>
            </w:tcBorders>
            <w:hideMark/>
          </w:tcPr>
          <w:p w14:paraId="41A3A299"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36,0</w:t>
            </w:r>
          </w:p>
        </w:tc>
        <w:tc>
          <w:tcPr>
            <w:tcW w:w="1155" w:type="dxa"/>
            <w:tcBorders>
              <w:top w:val="single" w:sz="6" w:space="0" w:color="000000"/>
              <w:left w:val="single" w:sz="6" w:space="0" w:color="000000"/>
              <w:bottom w:val="single" w:sz="6" w:space="0" w:color="000000"/>
              <w:right w:val="single" w:sz="6" w:space="0" w:color="000000"/>
            </w:tcBorders>
            <w:hideMark/>
          </w:tcPr>
          <w:p w14:paraId="3DA190DD"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42,3</w:t>
            </w:r>
          </w:p>
        </w:tc>
        <w:tc>
          <w:tcPr>
            <w:tcW w:w="1035" w:type="dxa"/>
            <w:tcBorders>
              <w:top w:val="single" w:sz="6" w:space="0" w:color="000000"/>
              <w:left w:val="single" w:sz="6" w:space="0" w:color="000000"/>
              <w:bottom w:val="single" w:sz="6" w:space="0" w:color="000000"/>
              <w:right w:val="single" w:sz="6" w:space="0" w:color="000000"/>
            </w:tcBorders>
            <w:hideMark/>
          </w:tcPr>
          <w:p w14:paraId="7A3F3A7C"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1,6</w:t>
            </w:r>
          </w:p>
        </w:tc>
        <w:tc>
          <w:tcPr>
            <w:tcW w:w="1260" w:type="dxa"/>
            <w:tcBorders>
              <w:top w:val="single" w:sz="6" w:space="0" w:color="000000"/>
              <w:left w:val="single" w:sz="6" w:space="0" w:color="000000"/>
              <w:bottom w:val="single" w:sz="6" w:space="0" w:color="000000"/>
              <w:right w:val="single" w:sz="6" w:space="0" w:color="000000"/>
            </w:tcBorders>
            <w:hideMark/>
          </w:tcPr>
          <w:p w14:paraId="66B39CD5"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49,4</w:t>
            </w:r>
          </w:p>
        </w:tc>
        <w:tc>
          <w:tcPr>
            <w:tcW w:w="1320" w:type="dxa"/>
            <w:tcBorders>
              <w:top w:val="single" w:sz="6" w:space="0" w:color="000000"/>
              <w:left w:val="single" w:sz="6" w:space="0" w:color="000000"/>
              <w:bottom w:val="single" w:sz="6" w:space="0" w:color="000000"/>
              <w:right w:val="single" w:sz="6" w:space="0" w:color="000000"/>
            </w:tcBorders>
            <w:hideMark/>
          </w:tcPr>
          <w:p w14:paraId="139485E7"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45,9</w:t>
            </w:r>
          </w:p>
        </w:tc>
        <w:tc>
          <w:tcPr>
            <w:tcW w:w="1155" w:type="dxa"/>
            <w:tcBorders>
              <w:top w:val="single" w:sz="6" w:space="0" w:color="000000"/>
              <w:left w:val="single" w:sz="6" w:space="0" w:color="000000"/>
              <w:bottom w:val="single" w:sz="6" w:space="0" w:color="000000"/>
              <w:right w:val="single" w:sz="6" w:space="0" w:color="000000"/>
            </w:tcBorders>
            <w:hideMark/>
          </w:tcPr>
          <w:p w14:paraId="43E19F52"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1,6</w:t>
            </w:r>
          </w:p>
        </w:tc>
      </w:tr>
      <w:tr w:rsidR="00A12414" w:rsidRPr="00EF6E4D" w14:paraId="49E009D3" w14:textId="77777777" w:rsidTr="001869FF">
        <w:trPr>
          <w:trHeight w:val="285"/>
        </w:trPr>
        <w:tc>
          <w:tcPr>
            <w:tcW w:w="1440" w:type="dxa"/>
            <w:tcBorders>
              <w:top w:val="single" w:sz="6" w:space="0" w:color="000000"/>
              <w:left w:val="single" w:sz="6" w:space="0" w:color="000000"/>
              <w:bottom w:val="single" w:sz="6" w:space="0" w:color="000000"/>
              <w:right w:val="single" w:sz="6" w:space="0" w:color="000000"/>
            </w:tcBorders>
            <w:hideMark/>
          </w:tcPr>
          <w:p w14:paraId="2FF5A9A9"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FPSICO</w:t>
            </w:r>
          </w:p>
        </w:tc>
        <w:tc>
          <w:tcPr>
            <w:tcW w:w="1155" w:type="dxa"/>
            <w:tcBorders>
              <w:top w:val="single" w:sz="6" w:space="0" w:color="000000"/>
              <w:left w:val="single" w:sz="6" w:space="0" w:color="000000"/>
              <w:bottom w:val="single" w:sz="6" w:space="0" w:color="000000"/>
              <w:right w:val="single" w:sz="6" w:space="0" w:color="000000"/>
            </w:tcBorders>
            <w:hideMark/>
          </w:tcPr>
          <w:p w14:paraId="7E7A7742"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6,2</w:t>
            </w:r>
          </w:p>
        </w:tc>
        <w:tc>
          <w:tcPr>
            <w:tcW w:w="1155" w:type="dxa"/>
            <w:tcBorders>
              <w:top w:val="single" w:sz="6" w:space="0" w:color="000000"/>
              <w:left w:val="single" w:sz="6" w:space="0" w:color="000000"/>
              <w:bottom w:val="single" w:sz="6" w:space="0" w:color="000000"/>
              <w:right w:val="single" w:sz="6" w:space="0" w:color="000000"/>
            </w:tcBorders>
            <w:hideMark/>
          </w:tcPr>
          <w:p w14:paraId="3B3E0807"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33,5</w:t>
            </w:r>
          </w:p>
        </w:tc>
        <w:tc>
          <w:tcPr>
            <w:tcW w:w="1155" w:type="dxa"/>
            <w:tcBorders>
              <w:top w:val="single" w:sz="6" w:space="0" w:color="000000"/>
              <w:left w:val="single" w:sz="6" w:space="0" w:color="000000"/>
              <w:bottom w:val="single" w:sz="6" w:space="0" w:color="000000"/>
              <w:right w:val="single" w:sz="6" w:space="0" w:color="000000"/>
            </w:tcBorders>
            <w:hideMark/>
          </w:tcPr>
          <w:p w14:paraId="55C6C17E"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43,2</w:t>
            </w:r>
          </w:p>
        </w:tc>
        <w:tc>
          <w:tcPr>
            <w:tcW w:w="1035" w:type="dxa"/>
            <w:tcBorders>
              <w:top w:val="single" w:sz="6" w:space="0" w:color="000000"/>
              <w:left w:val="single" w:sz="6" w:space="0" w:color="000000"/>
              <w:bottom w:val="single" w:sz="6" w:space="0" w:color="000000"/>
              <w:right w:val="single" w:sz="6" w:space="0" w:color="000000"/>
            </w:tcBorders>
            <w:hideMark/>
          </w:tcPr>
          <w:p w14:paraId="44F9ED84"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17,1</w:t>
            </w:r>
          </w:p>
        </w:tc>
        <w:tc>
          <w:tcPr>
            <w:tcW w:w="1260" w:type="dxa"/>
            <w:tcBorders>
              <w:top w:val="single" w:sz="6" w:space="0" w:color="000000"/>
              <w:left w:val="single" w:sz="6" w:space="0" w:color="000000"/>
              <w:bottom w:val="single" w:sz="6" w:space="0" w:color="000000"/>
              <w:right w:val="single" w:sz="6" w:space="0" w:color="000000"/>
            </w:tcBorders>
            <w:hideMark/>
          </w:tcPr>
          <w:p w14:paraId="4319CCA0"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50,2</w:t>
            </w:r>
          </w:p>
        </w:tc>
        <w:tc>
          <w:tcPr>
            <w:tcW w:w="1320" w:type="dxa"/>
            <w:tcBorders>
              <w:top w:val="single" w:sz="6" w:space="0" w:color="000000"/>
              <w:left w:val="single" w:sz="6" w:space="0" w:color="000000"/>
              <w:bottom w:val="single" w:sz="6" w:space="0" w:color="000000"/>
              <w:right w:val="single" w:sz="6" w:space="0" w:color="000000"/>
            </w:tcBorders>
            <w:hideMark/>
          </w:tcPr>
          <w:p w14:paraId="4FCBF0A3"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70,5</w:t>
            </w:r>
          </w:p>
        </w:tc>
        <w:tc>
          <w:tcPr>
            <w:tcW w:w="1155" w:type="dxa"/>
            <w:tcBorders>
              <w:top w:val="single" w:sz="6" w:space="0" w:color="000000"/>
              <w:left w:val="single" w:sz="6" w:space="0" w:color="000000"/>
              <w:bottom w:val="single" w:sz="6" w:space="0" w:color="000000"/>
              <w:right w:val="single" w:sz="6" w:space="0" w:color="000000"/>
            </w:tcBorders>
            <w:hideMark/>
          </w:tcPr>
          <w:p w14:paraId="5DDB873D"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13,6</w:t>
            </w:r>
          </w:p>
        </w:tc>
      </w:tr>
      <w:tr w:rsidR="00A12414" w:rsidRPr="00EF6E4D" w14:paraId="7A0B4B67" w14:textId="77777777" w:rsidTr="001869FF">
        <w:trPr>
          <w:trHeight w:val="285"/>
        </w:trPr>
        <w:tc>
          <w:tcPr>
            <w:tcW w:w="1440" w:type="dxa"/>
            <w:tcBorders>
              <w:top w:val="single" w:sz="6" w:space="0" w:color="000000"/>
              <w:left w:val="single" w:sz="6" w:space="0" w:color="000000"/>
              <w:bottom w:val="single" w:sz="6" w:space="0" w:color="000000"/>
              <w:right w:val="single" w:sz="6" w:space="0" w:color="000000"/>
            </w:tcBorders>
            <w:hideMark/>
          </w:tcPr>
          <w:p w14:paraId="32E5B540"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FENF</w:t>
            </w:r>
          </w:p>
        </w:tc>
        <w:tc>
          <w:tcPr>
            <w:tcW w:w="1155" w:type="dxa"/>
            <w:tcBorders>
              <w:top w:val="single" w:sz="6" w:space="0" w:color="000000"/>
              <w:left w:val="single" w:sz="6" w:space="0" w:color="000000"/>
              <w:bottom w:val="single" w:sz="6" w:space="0" w:color="000000"/>
              <w:right w:val="single" w:sz="6" w:space="0" w:color="000000"/>
            </w:tcBorders>
            <w:hideMark/>
          </w:tcPr>
          <w:p w14:paraId="31672AAC"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13,1</w:t>
            </w:r>
          </w:p>
        </w:tc>
        <w:tc>
          <w:tcPr>
            <w:tcW w:w="1155" w:type="dxa"/>
            <w:tcBorders>
              <w:top w:val="single" w:sz="6" w:space="0" w:color="000000"/>
              <w:left w:val="single" w:sz="6" w:space="0" w:color="000000"/>
              <w:bottom w:val="single" w:sz="6" w:space="0" w:color="000000"/>
              <w:right w:val="single" w:sz="6" w:space="0" w:color="000000"/>
            </w:tcBorders>
            <w:hideMark/>
          </w:tcPr>
          <w:p w14:paraId="5DDCDAD4"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50,6</w:t>
            </w:r>
          </w:p>
        </w:tc>
        <w:tc>
          <w:tcPr>
            <w:tcW w:w="1155" w:type="dxa"/>
            <w:tcBorders>
              <w:top w:val="single" w:sz="6" w:space="0" w:color="000000"/>
              <w:left w:val="single" w:sz="6" w:space="0" w:color="000000"/>
              <w:bottom w:val="single" w:sz="6" w:space="0" w:color="000000"/>
              <w:right w:val="single" w:sz="6" w:space="0" w:color="000000"/>
            </w:tcBorders>
            <w:hideMark/>
          </w:tcPr>
          <w:p w14:paraId="7CC3E8C1"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36,3</w:t>
            </w:r>
          </w:p>
        </w:tc>
        <w:tc>
          <w:tcPr>
            <w:tcW w:w="1035" w:type="dxa"/>
            <w:tcBorders>
              <w:top w:val="single" w:sz="6" w:space="0" w:color="000000"/>
              <w:left w:val="single" w:sz="6" w:space="0" w:color="000000"/>
              <w:bottom w:val="single" w:sz="6" w:space="0" w:color="000000"/>
              <w:right w:val="single" w:sz="6" w:space="0" w:color="000000"/>
            </w:tcBorders>
            <w:hideMark/>
          </w:tcPr>
          <w:p w14:paraId="02C529FB"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0,0</w:t>
            </w:r>
          </w:p>
        </w:tc>
        <w:tc>
          <w:tcPr>
            <w:tcW w:w="1260" w:type="dxa"/>
            <w:tcBorders>
              <w:top w:val="single" w:sz="6" w:space="0" w:color="000000"/>
              <w:left w:val="single" w:sz="6" w:space="0" w:color="000000"/>
              <w:bottom w:val="single" w:sz="6" w:space="0" w:color="000000"/>
              <w:right w:val="single" w:sz="6" w:space="0" w:color="000000"/>
            </w:tcBorders>
            <w:hideMark/>
          </w:tcPr>
          <w:p w14:paraId="60E82B05"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56,5</w:t>
            </w:r>
          </w:p>
        </w:tc>
        <w:tc>
          <w:tcPr>
            <w:tcW w:w="1320" w:type="dxa"/>
            <w:tcBorders>
              <w:top w:val="single" w:sz="6" w:space="0" w:color="000000"/>
              <w:left w:val="single" w:sz="6" w:space="0" w:color="000000"/>
              <w:bottom w:val="single" w:sz="6" w:space="0" w:color="000000"/>
              <w:right w:val="single" w:sz="6" w:space="0" w:color="000000"/>
            </w:tcBorders>
            <w:hideMark/>
          </w:tcPr>
          <w:p w14:paraId="45C7386F"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34,8</w:t>
            </w:r>
          </w:p>
        </w:tc>
        <w:tc>
          <w:tcPr>
            <w:tcW w:w="1155" w:type="dxa"/>
            <w:tcBorders>
              <w:top w:val="single" w:sz="6" w:space="0" w:color="000000"/>
              <w:left w:val="single" w:sz="6" w:space="0" w:color="000000"/>
              <w:bottom w:val="single" w:sz="6" w:space="0" w:color="000000"/>
              <w:right w:val="single" w:sz="6" w:space="0" w:color="000000"/>
            </w:tcBorders>
            <w:hideMark/>
          </w:tcPr>
          <w:p w14:paraId="06CCCE19"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2,5</w:t>
            </w:r>
          </w:p>
        </w:tc>
      </w:tr>
      <w:tr w:rsidR="00A12414" w:rsidRPr="00EF6E4D" w14:paraId="2F2D7CDD" w14:textId="77777777" w:rsidTr="001869FF">
        <w:trPr>
          <w:trHeight w:val="285"/>
        </w:trPr>
        <w:tc>
          <w:tcPr>
            <w:tcW w:w="1440" w:type="dxa"/>
            <w:tcBorders>
              <w:top w:val="single" w:sz="6" w:space="0" w:color="000000"/>
              <w:left w:val="single" w:sz="6" w:space="0" w:color="000000"/>
              <w:bottom w:val="single" w:sz="6" w:space="0" w:color="000000"/>
              <w:right w:val="single" w:sz="6" w:space="0" w:color="000000"/>
            </w:tcBorders>
            <w:hideMark/>
          </w:tcPr>
          <w:p w14:paraId="1E58A2B6"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FCS</w:t>
            </w:r>
          </w:p>
        </w:tc>
        <w:tc>
          <w:tcPr>
            <w:tcW w:w="1155" w:type="dxa"/>
            <w:tcBorders>
              <w:top w:val="single" w:sz="6" w:space="0" w:color="000000"/>
              <w:left w:val="single" w:sz="6" w:space="0" w:color="000000"/>
              <w:bottom w:val="single" w:sz="6" w:space="0" w:color="000000"/>
              <w:right w:val="single" w:sz="6" w:space="0" w:color="000000"/>
            </w:tcBorders>
            <w:hideMark/>
          </w:tcPr>
          <w:p w14:paraId="4966CFFF"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23,3</w:t>
            </w:r>
          </w:p>
        </w:tc>
        <w:tc>
          <w:tcPr>
            <w:tcW w:w="1155" w:type="dxa"/>
            <w:tcBorders>
              <w:top w:val="single" w:sz="6" w:space="0" w:color="000000"/>
              <w:left w:val="single" w:sz="6" w:space="0" w:color="000000"/>
              <w:bottom w:val="single" w:sz="6" w:space="0" w:color="000000"/>
              <w:right w:val="single" w:sz="6" w:space="0" w:color="000000"/>
            </w:tcBorders>
            <w:hideMark/>
          </w:tcPr>
          <w:p w14:paraId="0846461A"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30,1</w:t>
            </w:r>
          </w:p>
        </w:tc>
        <w:tc>
          <w:tcPr>
            <w:tcW w:w="1155" w:type="dxa"/>
            <w:tcBorders>
              <w:top w:val="single" w:sz="6" w:space="0" w:color="000000"/>
              <w:left w:val="single" w:sz="6" w:space="0" w:color="000000"/>
              <w:bottom w:val="single" w:sz="6" w:space="0" w:color="000000"/>
              <w:right w:val="single" w:sz="6" w:space="0" w:color="000000"/>
            </w:tcBorders>
            <w:hideMark/>
          </w:tcPr>
          <w:p w14:paraId="0AFC0C78"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20,1</w:t>
            </w:r>
          </w:p>
        </w:tc>
        <w:tc>
          <w:tcPr>
            <w:tcW w:w="1035" w:type="dxa"/>
            <w:tcBorders>
              <w:top w:val="single" w:sz="6" w:space="0" w:color="000000"/>
              <w:left w:val="single" w:sz="6" w:space="0" w:color="000000"/>
              <w:bottom w:val="single" w:sz="6" w:space="0" w:color="000000"/>
              <w:right w:val="single" w:sz="6" w:space="0" w:color="000000"/>
            </w:tcBorders>
            <w:hideMark/>
          </w:tcPr>
          <w:p w14:paraId="027713D7"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26,5</w:t>
            </w:r>
          </w:p>
        </w:tc>
        <w:tc>
          <w:tcPr>
            <w:tcW w:w="1260" w:type="dxa"/>
            <w:tcBorders>
              <w:top w:val="single" w:sz="6" w:space="0" w:color="000000"/>
              <w:left w:val="single" w:sz="6" w:space="0" w:color="000000"/>
              <w:bottom w:val="single" w:sz="6" w:space="0" w:color="000000"/>
              <w:right w:val="single" w:sz="6" w:space="0" w:color="000000"/>
            </w:tcBorders>
            <w:hideMark/>
          </w:tcPr>
          <w:p w14:paraId="2D40D415"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42,0</w:t>
            </w:r>
          </w:p>
        </w:tc>
        <w:tc>
          <w:tcPr>
            <w:tcW w:w="1320" w:type="dxa"/>
            <w:tcBorders>
              <w:top w:val="single" w:sz="6" w:space="0" w:color="000000"/>
              <w:left w:val="single" w:sz="6" w:space="0" w:color="000000"/>
              <w:bottom w:val="single" w:sz="6" w:space="0" w:color="000000"/>
              <w:right w:val="single" w:sz="6" w:space="0" w:color="000000"/>
            </w:tcBorders>
            <w:hideMark/>
          </w:tcPr>
          <w:p w14:paraId="2B14ED38"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73,8</w:t>
            </w:r>
          </w:p>
        </w:tc>
        <w:tc>
          <w:tcPr>
            <w:tcW w:w="1155" w:type="dxa"/>
            <w:tcBorders>
              <w:top w:val="single" w:sz="6" w:space="0" w:color="000000"/>
              <w:left w:val="single" w:sz="6" w:space="0" w:color="000000"/>
              <w:bottom w:val="single" w:sz="6" w:space="0" w:color="000000"/>
              <w:right w:val="single" w:sz="6" w:space="0" w:color="000000"/>
            </w:tcBorders>
            <w:hideMark/>
          </w:tcPr>
          <w:p w14:paraId="5CDD41AD"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17,7</w:t>
            </w:r>
          </w:p>
        </w:tc>
      </w:tr>
      <w:tr w:rsidR="00A12414" w:rsidRPr="00EF6E4D" w14:paraId="41A0BBC8" w14:textId="77777777" w:rsidTr="001869FF">
        <w:trPr>
          <w:trHeight w:val="285"/>
        </w:trPr>
        <w:tc>
          <w:tcPr>
            <w:tcW w:w="1440" w:type="dxa"/>
            <w:tcBorders>
              <w:top w:val="single" w:sz="6" w:space="0" w:color="000000"/>
              <w:left w:val="single" w:sz="6" w:space="0" w:color="000000"/>
              <w:bottom w:val="single" w:sz="6" w:space="0" w:color="000000"/>
              <w:right w:val="single" w:sz="6" w:space="0" w:color="000000"/>
            </w:tcBorders>
            <w:hideMark/>
          </w:tcPr>
          <w:p w14:paraId="7F1BFD27"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FCIEN</w:t>
            </w:r>
          </w:p>
        </w:tc>
        <w:tc>
          <w:tcPr>
            <w:tcW w:w="1155" w:type="dxa"/>
            <w:tcBorders>
              <w:top w:val="single" w:sz="6" w:space="0" w:color="000000"/>
              <w:left w:val="single" w:sz="6" w:space="0" w:color="000000"/>
              <w:bottom w:val="single" w:sz="6" w:space="0" w:color="000000"/>
              <w:right w:val="single" w:sz="6" w:space="0" w:color="000000"/>
            </w:tcBorders>
            <w:hideMark/>
          </w:tcPr>
          <w:p w14:paraId="6FCBBD52"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3,7</w:t>
            </w:r>
          </w:p>
        </w:tc>
        <w:tc>
          <w:tcPr>
            <w:tcW w:w="1155" w:type="dxa"/>
            <w:tcBorders>
              <w:top w:val="single" w:sz="6" w:space="0" w:color="000000"/>
              <w:left w:val="single" w:sz="6" w:space="0" w:color="000000"/>
              <w:bottom w:val="single" w:sz="6" w:space="0" w:color="000000"/>
              <w:right w:val="single" w:sz="6" w:space="0" w:color="000000"/>
            </w:tcBorders>
            <w:hideMark/>
          </w:tcPr>
          <w:p w14:paraId="762AF23D"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30,2</w:t>
            </w:r>
          </w:p>
        </w:tc>
        <w:tc>
          <w:tcPr>
            <w:tcW w:w="1155" w:type="dxa"/>
            <w:tcBorders>
              <w:top w:val="single" w:sz="6" w:space="0" w:color="000000"/>
              <w:left w:val="single" w:sz="6" w:space="0" w:color="000000"/>
              <w:bottom w:val="single" w:sz="6" w:space="0" w:color="000000"/>
              <w:right w:val="single" w:sz="6" w:space="0" w:color="000000"/>
            </w:tcBorders>
            <w:hideMark/>
          </w:tcPr>
          <w:p w14:paraId="689C0D50"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23,1</w:t>
            </w:r>
          </w:p>
        </w:tc>
        <w:tc>
          <w:tcPr>
            <w:tcW w:w="1035" w:type="dxa"/>
            <w:tcBorders>
              <w:top w:val="single" w:sz="6" w:space="0" w:color="000000"/>
              <w:left w:val="single" w:sz="6" w:space="0" w:color="000000"/>
              <w:bottom w:val="single" w:sz="6" w:space="0" w:color="000000"/>
              <w:right w:val="single" w:sz="6" w:space="0" w:color="000000"/>
            </w:tcBorders>
            <w:hideMark/>
          </w:tcPr>
          <w:p w14:paraId="45B79958"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43,0</w:t>
            </w:r>
          </w:p>
        </w:tc>
        <w:tc>
          <w:tcPr>
            <w:tcW w:w="1260" w:type="dxa"/>
            <w:tcBorders>
              <w:top w:val="single" w:sz="6" w:space="0" w:color="000000"/>
              <w:left w:val="single" w:sz="6" w:space="0" w:color="000000"/>
              <w:bottom w:val="single" w:sz="6" w:space="0" w:color="000000"/>
              <w:right w:val="single" w:sz="6" w:space="0" w:color="000000"/>
            </w:tcBorders>
            <w:hideMark/>
          </w:tcPr>
          <w:p w14:paraId="2F82924C"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19,2</w:t>
            </w:r>
          </w:p>
        </w:tc>
        <w:tc>
          <w:tcPr>
            <w:tcW w:w="1320" w:type="dxa"/>
            <w:tcBorders>
              <w:top w:val="single" w:sz="6" w:space="0" w:color="000000"/>
              <w:left w:val="single" w:sz="6" w:space="0" w:color="000000"/>
              <w:bottom w:val="single" w:sz="6" w:space="0" w:color="000000"/>
              <w:right w:val="single" w:sz="6" w:space="0" w:color="000000"/>
            </w:tcBorders>
            <w:hideMark/>
          </w:tcPr>
          <w:p w14:paraId="3F333278"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76,2</w:t>
            </w:r>
          </w:p>
        </w:tc>
        <w:tc>
          <w:tcPr>
            <w:tcW w:w="1155" w:type="dxa"/>
            <w:tcBorders>
              <w:top w:val="single" w:sz="6" w:space="0" w:color="000000"/>
              <w:left w:val="single" w:sz="6" w:space="0" w:color="000000"/>
              <w:bottom w:val="single" w:sz="6" w:space="0" w:color="000000"/>
              <w:right w:val="single" w:sz="6" w:space="0" w:color="000000"/>
            </w:tcBorders>
            <w:hideMark/>
          </w:tcPr>
          <w:p w14:paraId="2A23FCA9"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34,1</w:t>
            </w:r>
          </w:p>
        </w:tc>
      </w:tr>
      <w:tr w:rsidR="00A12414" w:rsidRPr="00EF6E4D" w14:paraId="29598F23" w14:textId="77777777" w:rsidTr="001869FF">
        <w:trPr>
          <w:trHeight w:val="285"/>
        </w:trPr>
        <w:tc>
          <w:tcPr>
            <w:tcW w:w="1440" w:type="dxa"/>
            <w:tcBorders>
              <w:top w:val="single" w:sz="6" w:space="0" w:color="000000"/>
              <w:left w:val="single" w:sz="6" w:space="0" w:color="000000"/>
              <w:bottom w:val="single" w:sz="6" w:space="0" w:color="000000"/>
              <w:right w:val="single" w:sz="6" w:space="0" w:color="000000"/>
            </w:tcBorders>
            <w:hideMark/>
          </w:tcPr>
          <w:p w14:paraId="4E50C012"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FIC</w:t>
            </w:r>
          </w:p>
        </w:tc>
        <w:tc>
          <w:tcPr>
            <w:tcW w:w="1155" w:type="dxa"/>
            <w:tcBorders>
              <w:top w:val="single" w:sz="6" w:space="0" w:color="000000"/>
              <w:left w:val="single" w:sz="6" w:space="0" w:color="000000"/>
              <w:bottom w:val="single" w:sz="6" w:space="0" w:color="000000"/>
              <w:right w:val="single" w:sz="6" w:space="0" w:color="000000"/>
            </w:tcBorders>
            <w:hideMark/>
          </w:tcPr>
          <w:p w14:paraId="0AE55945"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7,8</w:t>
            </w:r>
          </w:p>
        </w:tc>
        <w:tc>
          <w:tcPr>
            <w:tcW w:w="1155" w:type="dxa"/>
            <w:tcBorders>
              <w:top w:val="single" w:sz="6" w:space="0" w:color="000000"/>
              <w:left w:val="single" w:sz="6" w:space="0" w:color="000000"/>
              <w:bottom w:val="single" w:sz="6" w:space="0" w:color="000000"/>
              <w:right w:val="single" w:sz="6" w:space="0" w:color="000000"/>
            </w:tcBorders>
            <w:hideMark/>
          </w:tcPr>
          <w:p w14:paraId="1B9E60AB"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52,3</w:t>
            </w:r>
          </w:p>
        </w:tc>
        <w:tc>
          <w:tcPr>
            <w:tcW w:w="1155" w:type="dxa"/>
            <w:tcBorders>
              <w:top w:val="single" w:sz="6" w:space="0" w:color="000000"/>
              <w:left w:val="single" w:sz="6" w:space="0" w:color="000000"/>
              <w:bottom w:val="single" w:sz="6" w:space="0" w:color="000000"/>
              <w:right w:val="single" w:sz="6" w:space="0" w:color="000000"/>
            </w:tcBorders>
            <w:hideMark/>
          </w:tcPr>
          <w:p w14:paraId="25EF473B"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26,4</w:t>
            </w:r>
          </w:p>
        </w:tc>
        <w:tc>
          <w:tcPr>
            <w:tcW w:w="1035" w:type="dxa"/>
            <w:tcBorders>
              <w:top w:val="single" w:sz="6" w:space="0" w:color="000000"/>
              <w:left w:val="single" w:sz="6" w:space="0" w:color="000000"/>
              <w:bottom w:val="single" w:sz="6" w:space="0" w:color="000000"/>
              <w:right w:val="single" w:sz="6" w:space="0" w:color="000000"/>
            </w:tcBorders>
            <w:hideMark/>
          </w:tcPr>
          <w:p w14:paraId="678C645E"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13,5</w:t>
            </w:r>
          </w:p>
        </w:tc>
        <w:tc>
          <w:tcPr>
            <w:tcW w:w="1260" w:type="dxa"/>
            <w:tcBorders>
              <w:top w:val="single" w:sz="6" w:space="0" w:color="000000"/>
              <w:left w:val="single" w:sz="6" w:space="0" w:color="000000"/>
              <w:bottom w:val="single" w:sz="6" w:space="0" w:color="000000"/>
              <w:right w:val="single" w:sz="6" w:space="0" w:color="000000"/>
            </w:tcBorders>
            <w:hideMark/>
          </w:tcPr>
          <w:p w14:paraId="0FF3645C"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44,3</w:t>
            </w:r>
          </w:p>
        </w:tc>
        <w:tc>
          <w:tcPr>
            <w:tcW w:w="1320" w:type="dxa"/>
            <w:tcBorders>
              <w:top w:val="single" w:sz="6" w:space="0" w:color="000000"/>
              <w:left w:val="single" w:sz="6" w:space="0" w:color="000000"/>
              <w:bottom w:val="single" w:sz="6" w:space="0" w:color="000000"/>
              <w:right w:val="single" w:sz="6" w:space="0" w:color="000000"/>
            </w:tcBorders>
            <w:hideMark/>
          </w:tcPr>
          <w:p w14:paraId="075DDAB8"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68,4</w:t>
            </w:r>
          </w:p>
        </w:tc>
        <w:tc>
          <w:tcPr>
            <w:tcW w:w="1155" w:type="dxa"/>
            <w:tcBorders>
              <w:top w:val="single" w:sz="6" w:space="0" w:color="000000"/>
              <w:left w:val="single" w:sz="6" w:space="0" w:color="000000"/>
              <w:bottom w:val="single" w:sz="6" w:space="0" w:color="000000"/>
              <w:right w:val="single" w:sz="6" w:space="0" w:color="000000"/>
            </w:tcBorders>
            <w:hideMark/>
          </w:tcPr>
          <w:p w14:paraId="369C6849"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8,8</w:t>
            </w:r>
          </w:p>
        </w:tc>
      </w:tr>
      <w:tr w:rsidR="00A12414" w:rsidRPr="00EF6E4D" w14:paraId="6BBE2B9A" w14:textId="77777777" w:rsidTr="001869FF">
        <w:trPr>
          <w:trHeight w:val="285"/>
        </w:trPr>
        <w:tc>
          <w:tcPr>
            <w:tcW w:w="1440" w:type="dxa"/>
            <w:tcBorders>
              <w:top w:val="single" w:sz="6" w:space="0" w:color="000000"/>
              <w:left w:val="single" w:sz="6" w:space="0" w:color="000000"/>
              <w:bottom w:val="single" w:sz="6" w:space="0" w:color="000000"/>
              <w:right w:val="single" w:sz="6" w:space="0" w:color="000000"/>
            </w:tcBorders>
            <w:hideMark/>
          </w:tcPr>
          <w:p w14:paraId="6BD50AA7"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ISEF</w:t>
            </w:r>
          </w:p>
        </w:tc>
        <w:tc>
          <w:tcPr>
            <w:tcW w:w="1155" w:type="dxa"/>
            <w:tcBorders>
              <w:top w:val="single" w:sz="6" w:space="0" w:color="000000"/>
              <w:left w:val="single" w:sz="6" w:space="0" w:color="000000"/>
              <w:bottom w:val="single" w:sz="6" w:space="0" w:color="000000"/>
              <w:right w:val="single" w:sz="6" w:space="0" w:color="000000"/>
            </w:tcBorders>
            <w:hideMark/>
          </w:tcPr>
          <w:p w14:paraId="670699CF"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15,7</w:t>
            </w:r>
          </w:p>
        </w:tc>
        <w:tc>
          <w:tcPr>
            <w:tcW w:w="1155" w:type="dxa"/>
            <w:tcBorders>
              <w:top w:val="single" w:sz="6" w:space="0" w:color="000000"/>
              <w:left w:val="single" w:sz="6" w:space="0" w:color="000000"/>
              <w:bottom w:val="single" w:sz="6" w:space="0" w:color="000000"/>
              <w:right w:val="single" w:sz="6" w:space="0" w:color="000000"/>
            </w:tcBorders>
            <w:hideMark/>
          </w:tcPr>
          <w:p w14:paraId="03477ED5"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52,4</w:t>
            </w:r>
          </w:p>
        </w:tc>
        <w:tc>
          <w:tcPr>
            <w:tcW w:w="1155" w:type="dxa"/>
            <w:tcBorders>
              <w:top w:val="single" w:sz="6" w:space="0" w:color="000000"/>
              <w:left w:val="single" w:sz="6" w:space="0" w:color="000000"/>
              <w:bottom w:val="single" w:sz="6" w:space="0" w:color="000000"/>
              <w:right w:val="single" w:sz="6" w:space="0" w:color="000000"/>
            </w:tcBorders>
            <w:hideMark/>
          </w:tcPr>
          <w:p w14:paraId="68D962AE"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27,6</w:t>
            </w:r>
          </w:p>
        </w:tc>
        <w:tc>
          <w:tcPr>
            <w:tcW w:w="1035" w:type="dxa"/>
            <w:tcBorders>
              <w:top w:val="single" w:sz="6" w:space="0" w:color="000000"/>
              <w:left w:val="single" w:sz="6" w:space="0" w:color="000000"/>
              <w:bottom w:val="single" w:sz="6" w:space="0" w:color="000000"/>
              <w:right w:val="single" w:sz="6" w:space="0" w:color="000000"/>
            </w:tcBorders>
            <w:hideMark/>
          </w:tcPr>
          <w:p w14:paraId="76AB9AFB"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4,2</w:t>
            </w:r>
          </w:p>
        </w:tc>
        <w:tc>
          <w:tcPr>
            <w:tcW w:w="1260" w:type="dxa"/>
            <w:tcBorders>
              <w:top w:val="single" w:sz="6" w:space="0" w:color="000000"/>
              <w:left w:val="single" w:sz="6" w:space="0" w:color="000000"/>
              <w:bottom w:val="single" w:sz="6" w:space="0" w:color="000000"/>
              <w:right w:val="single" w:sz="6" w:space="0" w:color="000000"/>
            </w:tcBorders>
            <w:hideMark/>
          </w:tcPr>
          <w:p w14:paraId="30658400"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63,1</w:t>
            </w:r>
          </w:p>
        </w:tc>
        <w:tc>
          <w:tcPr>
            <w:tcW w:w="1320" w:type="dxa"/>
            <w:tcBorders>
              <w:top w:val="single" w:sz="6" w:space="0" w:color="000000"/>
              <w:left w:val="single" w:sz="6" w:space="0" w:color="000000"/>
              <w:bottom w:val="single" w:sz="6" w:space="0" w:color="000000"/>
              <w:right w:val="single" w:sz="6" w:space="0" w:color="000000"/>
            </w:tcBorders>
            <w:hideMark/>
          </w:tcPr>
          <w:p w14:paraId="4185AE5F"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61,1</w:t>
            </w:r>
          </w:p>
        </w:tc>
        <w:tc>
          <w:tcPr>
            <w:tcW w:w="1155" w:type="dxa"/>
            <w:tcBorders>
              <w:top w:val="single" w:sz="6" w:space="0" w:color="000000"/>
              <w:left w:val="single" w:sz="6" w:space="0" w:color="000000"/>
              <w:bottom w:val="single" w:sz="6" w:space="0" w:color="000000"/>
              <w:right w:val="single" w:sz="6" w:space="0" w:color="000000"/>
            </w:tcBorders>
            <w:hideMark/>
          </w:tcPr>
          <w:p w14:paraId="407F3918"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5,6</w:t>
            </w:r>
          </w:p>
        </w:tc>
      </w:tr>
      <w:tr w:rsidR="00A12414" w:rsidRPr="00EF6E4D" w14:paraId="2C8D867E" w14:textId="77777777" w:rsidTr="001869FF">
        <w:trPr>
          <w:trHeight w:val="285"/>
        </w:trPr>
        <w:tc>
          <w:tcPr>
            <w:tcW w:w="1440" w:type="dxa"/>
            <w:tcBorders>
              <w:top w:val="single" w:sz="6" w:space="0" w:color="000000"/>
              <w:left w:val="single" w:sz="6" w:space="0" w:color="000000"/>
              <w:bottom w:val="single" w:sz="6" w:space="0" w:color="000000"/>
              <w:right w:val="single" w:sz="6" w:space="0" w:color="000000"/>
            </w:tcBorders>
            <w:hideMark/>
          </w:tcPr>
          <w:p w14:paraId="799BA3A2"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NUTR</w:t>
            </w:r>
          </w:p>
        </w:tc>
        <w:tc>
          <w:tcPr>
            <w:tcW w:w="1155" w:type="dxa"/>
            <w:tcBorders>
              <w:top w:val="single" w:sz="6" w:space="0" w:color="000000"/>
              <w:left w:val="single" w:sz="6" w:space="0" w:color="000000"/>
              <w:bottom w:val="single" w:sz="6" w:space="0" w:color="000000"/>
              <w:right w:val="single" w:sz="6" w:space="0" w:color="000000"/>
            </w:tcBorders>
            <w:hideMark/>
          </w:tcPr>
          <w:p w14:paraId="62E1853F"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3,9</w:t>
            </w:r>
          </w:p>
        </w:tc>
        <w:tc>
          <w:tcPr>
            <w:tcW w:w="1155" w:type="dxa"/>
            <w:tcBorders>
              <w:top w:val="single" w:sz="6" w:space="0" w:color="000000"/>
              <w:left w:val="single" w:sz="6" w:space="0" w:color="000000"/>
              <w:bottom w:val="single" w:sz="6" w:space="0" w:color="000000"/>
              <w:right w:val="single" w:sz="6" w:space="0" w:color="000000"/>
            </w:tcBorders>
            <w:hideMark/>
          </w:tcPr>
          <w:p w14:paraId="00C1A46C"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34,6</w:t>
            </w:r>
          </w:p>
        </w:tc>
        <w:tc>
          <w:tcPr>
            <w:tcW w:w="1155" w:type="dxa"/>
            <w:tcBorders>
              <w:top w:val="single" w:sz="6" w:space="0" w:color="000000"/>
              <w:left w:val="single" w:sz="6" w:space="0" w:color="000000"/>
              <w:bottom w:val="single" w:sz="6" w:space="0" w:color="000000"/>
              <w:right w:val="single" w:sz="6" w:space="0" w:color="000000"/>
            </w:tcBorders>
            <w:hideMark/>
          </w:tcPr>
          <w:p w14:paraId="1FCD713E"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58,3</w:t>
            </w:r>
          </w:p>
        </w:tc>
        <w:tc>
          <w:tcPr>
            <w:tcW w:w="1035" w:type="dxa"/>
            <w:tcBorders>
              <w:top w:val="single" w:sz="6" w:space="0" w:color="000000"/>
              <w:left w:val="single" w:sz="6" w:space="0" w:color="000000"/>
              <w:bottom w:val="single" w:sz="6" w:space="0" w:color="000000"/>
              <w:right w:val="single" w:sz="6" w:space="0" w:color="000000"/>
            </w:tcBorders>
            <w:hideMark/>
          </w:tcPr>
          <w:p w14:paraId="277E1F3C"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3,1</w:t>
            </w:r>
          </w:p>
        </w:tc>
        <w:tc>
          <w:tcPr>
            <w:tcW w:w="1260" w:type="dxa"/>
            <w:tcBorders>
              <w:top w:val="single" w:sz="6" w:space="0" w:color="000000"/>
              <w:left w:val="single" w:sz="6" w:space="0" w:color="000000"/>
              <w:bottom w:val="single" w:sz="6" w:space="0" w:color="000000"/>
              <w:right w:val="single" w:sz="6" w:space="0" w:color="000000"/>
            </w:tcBorders>
            <w:hideMark/>
          </w:tcPr>
          <w:p w14:paraId="2C80F942"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47,2</w:t>
            </w:r>
          </w:p>
        </w:tc>
        <w:tc>
          <w:tcPr>
            <w:tcW w:w="1320" w:type="dxa"/>
            <w:tcBorders>
              <w:top w:val="single" w:sz="6" w:space="0" w:color="000000"/>
              <w:left w:val="single" w:sz="6" w:space="0" w:color="000000"/>
              <w:bottom w:val="single" w:sz="6" w:space="0" w:color="000000"/>
              <w:right w:val="single" w:sz="6" w:space="0" w:color="000000"/>
            </w:tcBorders>
            <w:hideMark/>
          </w:tcPr>
          <w:p w14:paraId="6AE71A80"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58,4</w:t>
            </w:r>
          </w:p>
        </w:tc>
        <w:tc>
          <w:tcPr>
            <w:tcW w:w="1155" w:type="dxa"/>
            <w:tcBorders>
              <w:top w:val="single" w:sz="6" w:space="0" w:color="000000"/>
              <w:left w:val="single" w:sz="6" w:space="0" w:color="000000"/>
              <w:bottom w:val="single" w:sz="6" w:space="0" w:color="000000"/>
              <w:right w:val="single" w:sz="6" w:space="0" w:color="000000"/>
            </w:tcBorders>
            <w:hideMark/>
          </w:tcPr>
          <w:p w14:paraId="3EF08790"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5,5</w:t>
            </w:r>
          </w:p>
        </w:tc>
      </w:tr>
      <w:tr w:rsidR="00A12414" w:rsidRPr="00EF6E4D" w14:paraId="1EE2D158" w14:textId="77777777" w:rsidTr="001869FF">
        <w:trPr>
          <w:trHeight w:val="285"/>
        </w:trPr>
        <w:tc>
          <w:tcPr>
            <w:tcW w:w="1440" w:type="dxa"/>
            <w:tcBorders>
              <w:top w:val="single" w:sz="6" w:space="0" w:color="000000"/>
              <w:left w:val="single" w:sz="6" w:space="0" w:color="000000"/>
              <w:bottom w:val="single" w:sz="6" w:space="0" w:color="000000"/>
              <w:right w:val="single" w:sz="6" w:space="0" w:color="000000"/>
            </w:tcBorders>
            <w:hideMark/>
          </w:tcPr>
          <w:p w14:paraId="4C6D47D2"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CENUR Noreste</w:t>
            </w:r>
          </w:p>
        </w:tc>
        <w:tc>
          <w:tcPr>
            <w:tcW w:w="1155" w:type="dxa"/>
            <w:tcBorders>
              <w:top w:val="single" w:sz="6" w:space="0" w:color="000000"/>
              <w:left w:val="single" w:sz="6" w:space="0" w:color="000000"/>
              <w:bottom w:val="single" w:sz="6" w:space="0" w:color="000000"/>
              <w:right w:val="single" w:sz="6" w:space="0" w:color="000000"/>
            </w:tcBorders>
            <w:hideMark/>
          </w:tcPr>
          <w:p w14:paraId="17691809"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4,6</w:t>
            </w:r>
          </w:p>
        </w:tc>
        <w:tc>
          <w:tcPr>
            <w:tcW w:w="1155" w:type="dxa"/>
            <w:tcBorders>
              <w:top w:val="single" w:sz="6" w:space="0" w:color="000000"/>
              <w:left w:val="single" w:sz="6" w:space="0" w:color="000000"/>
              <w:bottom w:val="single" w:sz="6" w:space="0" w:color="000000"/>
              <w:right w:val="single" w:sz="6" w:space="0" w:color="000000"/>
            </w:tcBorders>
            <w:hideMark/>
          </w:tcPr>
          <w:p w14:paraId="35CBD575"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19,5</w:t>
            </w:r>
          </w:p>
        </w:tc>
        <w:tc>
          <w:tcPr>
            <w:tcW w:w="1155" w:type="dxa"/>
            <w:tcBorders>
              <w:top w:val="single" w:sz="6" w:space="0" w:color="000000"/>
              <w:left w:val="single" w:sz="6" w:space="0" w:color="000000"/>
              <w:bottom w:val="single" w:sz="6" w:space="0" w:color="000000"/>
              <w:right w:val="single" w:sz="6" w:space="0" w:color="000000"/>
            </w:tcBorders>
            <w:hideMark/>
          </w:tcPr>
          <w:p w14:paraId="67C8A837"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47,1</w:t>
            </w:r>
          </w:p>
        </w:tc>
        <w:tc>
          <w:tcPr>
            <w:tcW w:w="1035" w:type="dxa"/>
            <w:tcBorders>
              <w:top w:val="single" w:sz="6" w:space="0" w:color="000000"/>
              <w:left w:val="single" w:sz="6" w:space="0" w:color="000000"/>
              <w:bottom w:val="single" w:sz="6" w:space="0" w:color="000000"/>
              <w:right w:val="single" w:sz="6" w:space="0" w:color="000000"/>
            </w:tcBorders>
            <w:hideMark/>
          </w:tcPr>
          <w:p w14:paraId="17EA4776"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28,7</w:t>
            </w:r>
          </w:p>
        </w:tc>
        <w:tc>
          <w:tcPr>
            <w:tcW w:w="1260" w:type="dxa"/>
            <w:tcBorders>
              <w:top w:val="single" w:sz="6" w:space="0" w:color="000000"/>
              <w:left w:val="single" w:sz="6" w:space="0" w:color="000000"/>
              <w:bottom w:val="single" w:sz="6" w:space="0" w:color="000000"/>
              <w:right w:val="single" w:sz="6" w:space="0" w:color="000000"/>
            </w:tcBorders>
            <w:hideMark/>
          </w:tcPr>
          <w:p w14:paraId="11C4288D"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22,7</w:t>
            </w:r>
          </w:p>
        </w:tc>
        <w:tc>
          <w:tcPr>
            <w:tcW w:w="1320" w:type="dxa"/>
            <w:tcBorders>
              <w:top w:val="single" w:sz="6" w:space="0" w:color="000000"/>
              <w:left w:val="single" w:sz="6" w:space="0" w:color="000000"/>
              <w:bottom w:val="single" w:sz="6" w:space="0" w:color="000000"/>
              <w:right w:val="single" w:sz="6" w:space="0" w:color="000000"/>
            </w:tcBorders>
            <w:hideMark/>
          </w:tcPr>
          <w:p w14:paraId="2D5462EB"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73,9</w:t>
            </w:r>
          </w:p>
        </w:tc>
        <w:tc>
          <w:tcPr>
            <w:tcW w:w="1155" w:type="dxa"/>
            <w:tcBorders>
              <w:top w:val="single" w:sz="6" w:space="0" w:color="000000"/>
              <w:left w:val="single" w:sz="6" w:space="0" w:color="000000"/>
              <w:bottom w:val="single" w:sz="6" w:space="0" w:color="000000"/>
              <w:right w:val="single" w:sz="6" w:space="0" w:color="000000"/>
            </w:tcBorders>
            <w:hideMark/>
          </w:tcPr>
          <w:p w14:paraId="1963A5F8"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21,6</w:t>
            </w:r>
          </w:p>
        </w:tc>
      </w:tr>
      <w:tr w:rsidR="00A12414" w:rsidRPr="00EF6E4D" w14:paraId="2A9E32D9" w14:textId="77777777" w:rsidTr="001869FF">
        <w:trPr>
          <w:trHeight w:val="285"/>
        </w:trPr>
        <w:tc>
          <w:tcPr>
            <w:tcW w:w="1440" w:type="dxa"/>
            <w:tcBorders>
              <w:top w:val="single" w:sz="6" w:space="0" w:color="000000"/>
              <w:left w:val="single" w:sz="6" w:space="0" w:color="000000"/>
              <w:bottom w:val="single" w:sz="6" w:space="0" w:color="000000"/>
              <w:right w:val="single" w:sz="6" w:space="0" w:color="000000"/>
            </w:tcBorders>
            <w:hideMark/>
          </w:tcPr>
          <w:p w14:paraId="7E85E3EC"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lastRenderedPageBreak/>
              <w:t>CURE</w:t>
            </w:r>
          </w:p>
        </w:tc>
        <w:tc>
          <w:tcPr>
            <w:tcW w:w="1155" w:type="dxa"/>
            <w:tcBorders>
              <w:top w:val="single" w:sz="6" w:space="0" w:color="000000"/>
              <w:left w:val="single" w:sz="6" w:space="0" w:color="000000"/>
              <w:bottom w:val="single" w:sz="6" w:space="0" w:color="000000"/>
              <w:right w:val="single" w:sz="6" w:space="0" w:color="000000"/>
            </w:tcBorders>
            <w:hideMark/>
          </w:tcPr>
          <w:p w14:paraId="7185D575"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15,4</w:t>
            </w:r>
          </w:p>
        </w:tc>
        <w:tc>
          <w:tcPr>
            <w:tcW w:w="1155" w:type="dxa"/>
            <w:tcBorders>
              <w:top w:val="single" w:sz="6" w:space="0" w:color="000000"/>
              <w:left w:val="single" w:sz="6" w:space="0" w:color="000000"/>
              <w:bottom w:val="single" w:sz="6" w:space="0" w:color="000000"/>
              <w:right w:val="single" w:sz="6" w:space="0" w:color="000000"/>
            </w:tcBorders>
            <w:hideMark/>
          </w:tcPr>
          <w:p w14:paraId="365AEC1B"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33,5</w:t>
            </w:r>
          </w:p>
        </w:tc>
        <w:tc>
          <w:tcPr>
            <w:tcW w:w="1155" w:type="dxa"/>
            <w:tcBorders>
              <w:top w:val="single" w:sz="6" w:space="0" w:color="000000"/>
              <w:left w:val="single" w:sz="6" w:space="0" w:color="000000"/>
              <w:bottom w:val="single" w:sz="6" w:space="0" w:color="000000"/>
              <w:right w:val="single" w:sz="6" w:space="0" w:color="000000"/>
            </w:tcBorders>
            <w:hideMark/>
          </w:tcPr>
          <w:p w14:paraId="5920925C"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29,2</w:t>
            </w:r>
          </w:p>
        </w:tc>
        <w:tc>
          <w:tcPr>
            <w:tcW w:w="1035" w:type="dxa"/>
            <w:tcBorders>
              <w:top w:val="single" w:sz="6" w:space="0" w:color="000000"/>
              <w:left w:val="single" w:sz="6" w:space="0" w:color="000000"/>
              <w:bottom w:val="single" w:sz="6" w:space="0" w:color="000000"/>
              <w:right w:val="single" w:sz="6" w:space="0" w:color="000000"/>
            </w:tcBorders>
            <w:hideMark/>
          </w:tcPr>
          <w:p w14:paraId="519BC95C"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21,9</w:t>
            </w:r>
          </w:p>
        </w:tc>
        <w:tc>
          <w:tcPr>
            <w:tcW w:w="1260" w:type="dxa"/>
            <w:tcBorders>
              <w:top w:val="single" w:sz="6" w:space="0" w:color="000000"/>
              <w:left w:val="single" w:sz="6" w:space="0" w:color="000000"/>
              <w:bottom w:val="single" w:sz="6" w:space="0" w:color="000000"/>
              <w:right w:val="single" w:sz="6" w:space="0" w:color="000000"/>
            </w:tcBorders>
            <w:hideMark/>
          </w:tcPr>
          <w:p w14:paraId="6088A483"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39,3</w:t>
            </w:r>
          </w:p>
        </w:tc>
        <w:tc>
          <w:tcPr>
            <w:tcW w:w="1320" w:type="dxa"/>
            <w:tcBorders>
              <w:top w:val="single" w:sz="6" w:space="0" w:color="000000"/>
              <w:left w:val="single" w:sz="6" w:space="0" w:color="000000"/>
              <w:bottom w:val="single" w:sz="6" w:space="0" w:color="000000"/>
              <w:right w:val="single" w:sz="6" w:space="0" w:color="000000"/>
            </w:tcBorders>
            <w:hideMark/>
          </w:tcPr>
          <w:p w14:paraId="751C2A7A"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58,9</w:t>
            </w:r>
          </w:p>
        </w:tc>
        <w:tc>
          <w:tcPr>
            <w:tcW w:w="1155" w:type="dxa"/>
            <w:tcBorders>
              <w:top w:val="single" w:sz="6" w:space="0" w:color="000000"/>
              <w:left w:val="single" w:sz="6" w:space="0" w:color="000000"/>
              <w:bottom w:val="single" w:sz="6" w:space="0" w:color="000000"/>
              <w:right w:val="single" w:sz="6" w:space="0" w:color="000000"/>
            </w:tcBorders>
            <w:hideMark/>
          </w:tcPr>
          <w:p w14:paraId="549671F2"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14,1</w:t>
            </w:r>
          </w:p>
        </w:tc>
      </w:tr>
      <w:tr w:rsidR="00A12414" w:rsidRPr="00EF6E4D" w14:paraId="67811042" w14:textId="77777777" w:rsidTr="001869FF">
        <w:trPr>
          <w:trHeight w:val="285"/>
        </w:trPr>
        <w:tc>
          <w:tcPr>
            <w:tcW w:w="1440" w:type="dxa"/>
            <w:tcBorders>
              <w:top w:val="single" w:sz="6" w:space="0" w:color="000000"/>
              <w:left w:val="single" w:sz="6" w:space="0" w:color="000000"/>
              <w:bottom w:val="single" w:sz="6" w:space="0" w:color="000000"/>
              <w:right w:val="single" w:sz="6" w:space="0" w:color="000000"/>
            </w:tcBorders>
            <w:hideMark/>
          </w:tcPr>
          <w:p w14:paraId="121171D2"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CENUR Litoral Norte</w:t>
            </w:r>
          </w:p>
        </w:tc>
        <w:tc>
          <w:tcPr>
            <w:tcW w:w="1155" w:type="dxa"/>
            <w:tcBorders>
              <w:top w:val="single" w:sz="6" w:space="0" w:color="000000"/>
              <w:left w:val="single" w:sz="6" w:space="0" w:color="000000"/>
              <w:bottom w:val="single" w:sz="6" w:space="0" w:color="000000"/>
              <w:right w:val="single" w:sz="6" w:space="0" w:color="000000"/>
            </w:tcBorders>
            <w:hideMark/>
          </w:tcPr>
          <w:p w14:paraId="4248479A"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19,0</w:t>
            </w:r>
          </w:p>
        </w:tc>
        <w:tc>
          <w:tcPr>
            <w:tcW w:w="1155" w:type="dxa"/>
            <w:tcBorders>
              <w:top w:val="single" w:sz="6" w:space="0" w:color="000000"/>
              <w:left w:val="single" w:sz="6" w:space="0" w:color="000000"/>
              <w:bottom w:val="single" w:sz="6" w:space="0" w:color="000000"/>
              <w:right w:val="single" w:sz="6" w:space="0" w:color="000000"/>
            </w:tcBorders>
            <w:hideMark/>
          </w:tcPr>
          <w:p w14:paraId="69EFAF44"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30,8</w:t>
            </w:r>
          </w:p>
        </w:tc>
        <w:tc>
          <w:tcPr>
            <w:tcW w:w="1155" w:type="dxa"/>
            <w:tcBorders>
              <w:top w:val="single" w:sz="6" w:space="0" w:color="000000"/>
              <w:left w:val="single" w:sz="6" w:space="0" w:color="000000"/>
              <w:bottom w:val="single" w:sz="6" w:space="0" w:color="000000"/>
              <w:right w:val="single" w:sz="6" w:space="0" w:color="000000"/>
            </w:tcBorders>
            <w:hideMark/>
          </w:tcPr>
          <w:p w14:paraId="2B23B91E"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35,6</w:t>
            </w:r>
          </w:p>
        </w:tc>
        <w:tc>
          <w:tcPr>
            <w:tcW w:w="1035" w:type="dxa"/>
            <w:tcBorders>
              <w:top w:val="single" w:sz="6" w:space="0" w:color="000000"/>
              <w:left w:val="single" w:sz="6" w:space="0" w:color="000000"/>
              <w:bottom w:val="single" w:sz="6" w:space="0" w:color="000000"/>
              <w:right w:val="single" w:sz="6" w:space="0" w:color="000000"/>
            </w:tcBorders>
            <w:hideMark/>
          </w:tcPr>
          <w:p w14:paraId="14817F94"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14,6</w:t>
            </w:r>
          </w:p>
        </w:tc>
        <w:tc>
          <w:tcPr>
            <w:tcW w:w="1260" w:type="dxa"/>
            <w:tcBorders>
              <w:top w:val="single" w:sz="6" w:space="0" w:color="000000"/>
              <w:left w:val="single" w:sz="6" w:space="0" w:color="000000"/>
              <w:bottom w:val="single" w:sz="6" w:space="0" w:color="000000"/>
              <w:right w:val="single" w:sz="6" w:space="0" w:color="000000"/>
            </w:tcBorders>
            <w:hideMark/>
          </w:tcPr>
          <w:p w14:paraId="470815C6"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49,2</w:t>
            </w:r>
          </w:p>
        </w:tc>
        <w:tc>
          <w:tcPr>
            <w:tcW w:w="1320" w:type="dxa"/>
            <w:tcBorders>
              <w:top w:val="single" w:sz="6" w:space="0" w:color="000000"/>
              <w:left w:val="single" w:sz="6" w:space="0" w:color="000000"/>
              <w:bottom w:val="single" w:sz="6" w:space="0" w:color="000000"/>
              <w:right w:val="single" w:sz="6" w:space="0" w:color="000000"/>
            </w:tcBorders>
            <w:hideMark/>
          </w:tcPr>
          <w:p w14:paraId="1C3831EF"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56,5</w:t>
            </w:r>
          </w:p>
        </w:tc>
        <w:tc>
          <w:tcPr>
            <w:tcW w:w="1155" w:type="dxa"/>
            <w:tcBorders>
              <w:top w:val="single" w:sz="6" w:space="0" w:color="000000"/>
              <w:left w:val="single" w:sz="6" w:space="0" w:color="000000"/>
              <w:bottom w:val="single" w:sz="6" w:space="0" w:color="000000"/>
              <w:right w:val="single" w:sz="6" w:space="0" w:color="000000"/>
            </w:tcBorders>
            <w:hideMark/>
          </w:tcPr>
          <w:p w14:paraId="32E071F8"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13,1</w:t>
            </w:r>
          </w:p>
        </w:tc>
      </w:tr>
    </w:tbl>
    <w:p w14:paraId="204A2FF2" w14:textId="77777777" w:rsidR="002B1C35" w:rsidRPr="002B1C35" w:rsidRDefault="002B1C35" w:rsidP="002B1C35">
      <w:pPr>
        <w:spacing w:line="240" w:lineRule="auto"/>
        <w:jc w:val="both"/>
        <w:rPr>
          <w:rFonts w:ascii="Times New Roman" w:hAnsi="Times New Roman" w:cs="Times New Roman"/>
        </w:rPr>
      </w:pPr>
      <w:r w:rsidRPr="002B1C35">
        <w:rPr>
          <w:rFonts w:ascii="Times New Roman" w:hAnsi="Times New Roman" w:cs="Times New Roman"/>
        </w:rPr>
        <w:t xml:space="preserve">Fuente: Elaboración propia en base a datos provenientes del </w:t>
      </w:r>
      <w:proofErr w:type="spellStart"/>
      <w:r w:rsidRPr="002B1C35">
        <w:rPr>
          <w:rFonts w:ascii="Times New Roman" w:hAnsi="Times New Roman" w:cs="Times New Roman"/>
        </w:rPr>
        <w:t>FormA</w:t>
      </w:r>
      <w:proofErr w:type="spellEnd"/>
      <w:r w:rsidRPr="002B1C35">
        <w:rPr>
          <w:rFonts w:ascii="Times New Roman" w:hAnsi="Times New Roman" w:cs="Times New Roman"/>
        </w:rPr>
        <w:t xml:space="preserve"> Docente 2023. (DGPLAN - Udelar). </w:t>
      </w:r>
    </w:p>
    <w:p w14:paraId="591E078B" w14:textId="77777777" w:rsidR="002B1C35" w:rsidRPr="002B1C35" w:rsidRDefault="002B1C35" w:rsidP="002B1C35">
      <w:pPr>
        <w:spacing w:line="240" w:lineRule="auto"/>
        <w:jc w:val="both"/>
        <w:rPr>
          <w:rFonts w:ascii="Times New Roman" w:hAnsi="Times New Roman" w:cs="Times New Roman"/>
        </w:rPr>
      </w:pPr>
      <w:r w:rsidRPr="002B1C35">
        <w:rPr>
          <w:rFonts w:ascii="Times New Roman" w:hAnsi="Times New Roman" w:cs="Times New Roman"/>
        </w:rPr>
        <w:t xml:space="preserve">Para la determinación del número óptimo de </w:t>
      </w:r>
      <w:proofErr w:type="spellStart"/>
      <w:r w:rsidRPr="002B1C35">
        <w:rPr>
          <w:rFonts w:ascii="Times New Roman" w:hAnsi="Times New Roman" w:cs="Times New Roman"/>
        </w:rPr>
        <w:t>clusters</w:t>
      </w:r>
      <w:proofErr w:type="spellEnd"/>
      <w:r w:rsidRPr="002B1C35">
        <w:rPr>
          <w:rFonts w:ascii="Times New Roman" w:hAnsi="Times New Roman" w:cs="Times New Roman"/>
        </w:rPr>
        <w:t xml:space="preserve"> se empleó el índice de silueta, una medida ampliamente utilizada en análisis de clústeres porque evalúa simultáneamente la cohesión interna y la separación externa de cada agrupamiento (</w:t>
      </w:r>
      <w:proofErr w:type="spellStart"/>
      <w:r w:rsidRPr="002B1C35">
        <w:rPr>
          <w:rFonts w:ascii="Times New Roman" w:hAnsi="Times New Roman" w:cs="Times New Roman"/>
        </w:rPr>
        <w:t>Kaufman</w:t>
      </w:r>
      <w:proofErr w:type="spellEnd"/>
      <w:r w:rsidRPr="002B1C35">
        <w:rPr>
          <w:rFonts w:ascii="Times New Roman" w:hAnsi="Times New Roman" w:cs="Times New Roman"/>
        </w:rPr>
        <w:t xml:space="preserve"> y </w:t>
      </w:r>
      <w:proofErr w:type="spellStart"/>
      <w:r w:rsidRPr="002B1C35">
        <w:rPr>
          <w:rFonts w:ascii="Times New Roman" w:hAnsi="Times New Roman" w:cs="Times New Roman"/>
        </w:rPr>
        <w:t>Rousseeuw</w:t>
      </w:r>
      <w:proofErr w:type="spellEnd"/>
      <w:r w:rsidRPr="002B1C35">
        <w:rPr>
          <w:rFonts w:ascii="Times New Roman" w:hAnsi="Times New Roman" w:cs="Times New Roman"/>
        </w:rPr>
        <w:t xml:space="preserve">, 2005). Este coeficiente varía entre –1 y 1: valores cercanos a 1 indican que los elementos están bien asignados a su clúster, mientras que valores bajos sugieren solapamiento entre grupos. </w:t>
      </w:r>
    </w:p>
    <w:p w14:paraId="701434E9" w14:textId="203971A8" w:rsidR="002B1C35" w:rsidRDefault="002B1C35" w:rsidP="002B1C35">
      <w:pPr>
        <w:spacing w:line="240" w:lineRule="auto"/>
        <w:jc w:val="both"/>
        <w:rPr>
          <w:rFonts w:ascii="Times New Roman" w:hAnsi="Times New Roman" w:cs="Times New Roman"/>
        </w:rPr>
      </w:pPr>
      <w:r w:rsidRPr="002B1C35">
        <w:rPr>
          <w:rFonts w:ascii="Times New Roman" w:hAnsi="Times New Roman" w:cs="Times New Roman"/>
        </w:rPr>
        <w:t xml:space="preserve">En el presente caso, los resultados muestran que el mayor valor del índice se alcanza en k = 2. Sin embargo, dado que el interés analítico del trabajo es capturar la diversidad de perfiles docentes y explorar los matices entre el núcleo académico y el profesional, se prioriza un balance entre interpretabilidad y calidad de la clasificación. </w:t>
      </w:r>
      <w:r w:rsidR="00E1799F">
        <w:rPr>
          <w:rFonts w:ascii="Times New Roman" w:hAnsi="Times New Roman" w:cs="Times New Roman"/>
        </w:rPr>
        <w:t>A partir de ello</w:t>
      </w:r>
      <w:r w:rsidRPr="002B1C35">
        <w:rPr>
          <w:rFonts w:ascii="Times New Roman" w:hAnsi="Times New Roman" w:cs="Times New Roman"/>
        </w:rPr>
        <w:t xml:space="preserve">, se observa un segundo punto relevante en k = 5, que combina un buen nivel de silueta con una mayor riqueza tipológica. </w:t>
      </w:r>
    </w:p>
    <w:p w14:paraId="523ED18B" w14:textId="13B3A3C5" w:rsidR="002B1C35" w:rsidRPr="002B1C35" w:rsidRDefault="00A12414" w:rsidP="002B1C35">
      <w:pPr>
        <w:spacing w:line="240" w:lineRule="auto"/>
        <w:jc w:val="both"/>
        <w:rPr>
          <w:rFonts w:ascii="Times New Roman" w:hAnsi="Times New Roman" w:cs="Times New Roman"/>
        </w:rPr>
      </w:pPr>
      <w:r w:rsidRPr="002638A7">
        <w:rPr>
          <w:rFonts w:ascii="Times New Roman" w:hAnsi="Times New Roman" w:cs="Times New Roman"/>
          <w:noProof/>
          <w:lang w:val="es-UY" w:eastAsia="es-UY"/>
        </w:rPr>
        <w:drawing>
          <wp:inline distT="0" distB="0" distL="0" distR="0" wp14:anchorId="16B6F7DA" wp14:editId="6662EAFB">
            <wp:extent cx="5400040" cy="3230880"/>
            <wp:effectExtent l="0" t="0" r="10160" b="7620"/>
            <wp:docPr id="936068893" name="Gráfico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619FCF2F-87BD-6A57-A315-A6C43063DFF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EF9A7EC" w14:textId="77777777" w:rsidR="002B1C35" w:rsidRPr="002B1C35" w:rsidRDefault="002B1C35" w:rsidP="002B1C35">
      <w:pPr>
        <w:spacing w:line="240" w:lineRule="auto"/>
        <w:jc w:val="both"/>
        <w:rPr>
          <w:rFonts w:ascii="Times New Roman" w:hAnsi="Times New Roman" w:cs="Times New Roman"/>
        </w:rPr>
      </w:pPr>
      <w:r w:rsidRPr="002B1C35">
        <w:rPr>
          <w:rFonts w:ascii="Times New Roman" w:hAnsi="Times New Roman" w:cs="Times New Roman"/>
        </w:rPr>
        <w:t xml:space="preserve">Fuente: Elaboración propia. </w:t>
      </w:r>
    </w:p>
    <w:p w14:paraId="5AABEE30" w14:textId="77777777" w:rsidR="002B1C35" w:rsidRPr="002B1C35" w:rsidRDefault="002B1C35" w:rsidP="002B1C35">
      <w:pPr>
        <w:spacing w:line="240" w:lineRule="auto"/>
        <w:jc w:val="both"/>
        <w:rPr>
          <w:rFonts w:ascii="Times New Roman" w:hAnsi="Times New Roman" w:cs="Times New Roman"/>
        </w:rPr>
      </w:pPr>
      <w:r w:rsidRPr="002B1C35">
        <w:rPr>
          <w:rFonts w:ascii="Times New Roman" w:hAnsi="Times New Roman" w:cs="Times New Roman"/>
        </w:rPr>
        <w:t xml:space="preserve">La tabla 2 permite un análisis detallado de las cargas factoriales que surgen de la aplicación del ACP. En el Componente 1 (PC1) se organiza un gradiente que contrapone perfiles docentes de mayor vinculación institucional (cargas negativas) frente a perfiles docentes más profesionales o con menor vinculación institucional (cargas positivas). Toman signo negativo las variables asociadas a capital académico y arraigo institucional </w:t>
      </w:r>
      <w:r w:rsidRPr="002B1C35">
        <w:rPr>
          <w:rFonts w:ascii="Times New Roman" w:hAnsi="Times New Roman" w:cs="Times New Roman"/>
        </w:rPr>
        <w:lastRenderedPageBreak/>
        <w:t xml:space="preserve">—RDT, doctorado académico completo y docentes que realizan actividades de enseñanza e investigación (todas alrededor de −0,4)—, mientras que toma signo positivo la ocupación remunerada fuera de Udelar (+0,5) y, con menor magnitud, la dedicación horaria baja (+0,3) y la dedicación horaria media (+0,3). En términos sustantivos, PC1 puede leerse como un eje que oscila entre un fuerte anclaje institucional académico (−), polarizando con perfiles docentes de orientación ocupacional externa y dedicaciones horarias bajas (+). </w:t>
      </w:r>
    </w:p>
    <w:p w14:paraId="10DD7F08" w14:textId="77777777" w:rsidR="002B1C35" w:rsidRPr="002B1C35" w:rsidRDefault="002B1C35" w:rsidP="002B1C35">
      <w:pPr>
        <w:spacing w:line="240" w:lineRule="auto"/>
        <w:jc w:val="both"/>
        <w:rPr>
          <w:rFonts w:ascii="Times New Roman" w:hAnsi="Times New Roman" w:cs="Times New Roman"/>
        </w:rPr>
      </w:pPr>
      <w:r w:rsidRPr="002B1C35">
        <w:rPr>
          <w:rFonts w:ascii="Times New Roman" w:hAnsi="Times New Roman" w:cs="Times New Roman"/>
        </w:rPr>
        <w:t xml:space="preserve">El Componente 2 (PC2) captura, en cambio, un gradiente de intensidad horaria. La dedicación alta (30 horas o más) carga fuertemente en positivo (+0,7), mientras que la dedicación baja lo hace en negativo (−0,5). Llama la atención que el RDT y el doctorado académico completo presentan cargas negativas moderadas (ambas −0,4) en este eje: esto indica que PC2 cuantifica una tensión entre dedicaciones horarias altas y variables como RDT y doctorado académico completo. Por lo tanto, PC1 ordena los servicios y perfiles docentes de acuerdo a un fuerte vínculo institucional orientado a la investigación polarizando en el mismo continuo con perfiles docentes con menor vinculación institucional orientados fundamentalmente a tareas de enseñanza y ocupaciones externas remuneradas, y PC2 distingue fundamentalmente a los perfiles docentes con dedicaciones horarias altas de aquellos servicios donde predominan docentes con RDT y doctorado académico completo, en PC2, entonces, puede observarse con más claridad el matiz que da lugar al núcleo disciplinar mixto que combina características académicas y profesionales. </w:t>
      </w:r>
    </w:p>
    <w:p w14:paraId="688D91EC" w14:textId="77777777" w:rsidR="00A12414" w:rsidRPr="00EF6E4D" w:rsidRDefault="00A12414" w:rsidP="00A12414">
      <w:pPr>
        <w:spacing w:line="240" w:lineRule="auto"/>
        <w:jc w:val="both"/>
        <w:rPr>
          <w:rFonts w:ascii="Times New Roman" w:hAnsi="Times New Roman" w:cs="Times New Roman"/>
          <w:lang w:val="es-UY"/>
        </w:rPr>
      </w:pPr>
      <w:r w:rsidRPr="00EF6E4D">
        <w:rPr>
          <w:rFonts w:ascii="Times New Roman" w:hAnsi="Times New Roman" w:cs="Times New Roman"/>
          <w:b/>
          <w:bCs/>
          <w:u w:val="single"/>
        </w:rPr>
        <w:t>Tabla 2. Cargas factoriales de las variables en los Componentes</w:t>
      </w:r>
      <w:r w:rsidRPr="00EF6E4D">
        <w:rPr>
          <w:rFonts w:ascii="Times New Roman" w:hAnsi="Times New Roman" w:cs="Times New Roman"/>
          <w:lang w:val="es-UY"/>
        </w:rPr>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745"/>
        <w:gridCol w:w="1320"/>
        <w:gridCol w:w="1260"/>
      </w:tblGrid>
      <w:tr w:rsidR="00A12414" w:rsidRPr="00EF6E4D" w14:paraId="2F926980" w14:textId="77777777" w:rsidTr="001869FF">
        <w:trPr>
          <w:trHeight w:val="840"/>
        </w:trPr>
        <w:tc>
          <w:tcPr>
            <w:tcW w:w="5745" w:type="dxa"/>
            <w:tcBorders>
              <w:top w:val="single" w:sz="6" w:space="0" w:color="000000"/>
              <w:left w:val="single" w:sz="6" w:space="0" w:color="000000"/>
              <w:bottom w:val="single" w:sz="6" w:space="0" w:color="000000"/>
              <w:right w:val="single" w:sz="6" w:space="0" w:color="000000"/>
            </w:tcBorders>
            <w:hideMark/>
          </w:tcPr>
          <w:p w14:paraId="1A2401B9"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b/>
                <w:bCs/>
                <w:sz w:val="20"/>
                <w:szCs w:val="20"/>
              </w:rPr>
              <w:t>Variables</w:t>
            </w:r>
          </w:p>
        </w:tc>
        <w:tc>
          <w:tcPr>
            <w:tcW w:w="1320" w:type="dxa"/>
            <w:tcBorders>
              <w:top w:val="single" w:sz="6" w:space="0" w:color="000000"/>
              <w:left w:val="single" w:sz="6" w:space="0" w:color="000000"/>
              <w:bottom w:val="single" w:sz="6" w:space="0" w:color="000000"/>
              <w:right w:val="single" w:sz="6" w:space="0" w:color="000000"/>
            </w:tcBorders>
            <w:hideMark/>
          </w:tcPr>
          <w:p w14:paraId="7262DAC3"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b/>
                <w:bCs/>
                <w:sz w:val="20"/>
                <w:szCs w:val="20"/>
              </w:rPr>
              <w:t>PC1 (57,8% varianza explicada)</w:t>
            </w:r>
          </w:p>
        </w:tc>
        <w:tc>
          <w:tcPr>
            <w:tcW w:w="1260" w:type="dxa"/>
            <w:tcBorders>
              <w:top w:val="single" w:sz="6" w:space="0" w:color="000000"/>
              <w:left w:val="single" w:sz="6" w:space="0" w:color="000000"/>
              <w:bottom w:val="single" w:sz="6" w:space="0" w:color="000000"/>
              <w:right w:val="single" w:sz="6" w:space="0" w:color="000000"/>
            </w:tcBorders>
            <w:hideMark/>
          </w:tcPr>
          <w:p w14:paraId="556F72C2"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b/>
                <w:bCs/>
                <w:sz w:val="20"/>
                <w:szCs w:val="20"/>
              </w:rPr>
              <w:t>PC2 (21,9% varianza explicada)</w:t>
            </w:r>
          </w:p>
        </w:tc>
      </w:tr>
      <w:tr w:rsidR="00A12414" w:rsidRPr="00EF6E4D" w14:paraId="02FEBC4B" w14:textId="77777777" w:rsidTr="001869FF">
        <w:trPr>
          <w:trHeight w:val="285"/>
        </w:trPr>
        <w:tc>
          <w:tcPr>
            <w:tcW w:w="5745" w:type="dxa"/>
            <w:tcBorders>
              <w:top w:val="single" w:sz="6" w:space="0" w:color="000000"/>
              <w:left w:val="single" w:sz="6" w:space="0" w:color="000000"/>
              <w:bottom w:val="single" w:sz="6" w:space="0" w:color="000000"/>
              <w:right w:val="single" w:sz="6" w:space="0" w:color="000000"/>
            </w:tcBorders>
            <w:hideMark/>
          </w:tcPr>
          <w:p w14:paraId="1EE611FE"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Dedicación horaria alta: 30 o más horas</w:t>
            </w:r>
          </w:p>
        </w:tc>
        <w:tc>
          <w:tcPr>
            <w:tcW w:w="1320" w:type="dxa"/>
            <w:tcBorders>
              <w:top w:val="single" w:sz="6" w:space="0" w:color="000000"/>
              <w:left w:val="single" w:sz="6" w:space="0" w:color="000000"/>
              <w:bottom w:val="single" w:sz="6" w:space="0" w:color="000000"/>
              <w:right w:val="single" w:sz="6" w:space="0" w:color="000000"/>
            </w:tcBorders>
            <w:hideMark/>
          </w:tcPr>
          <w:p w14:paraId="7B4D037A"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-0,2</w:t>
            </w:r>
          </w:p>
        </w:tc>
        <w:tc>
          <w:tcPr>
            <w:tcW w:w="1260" w:type="dxa"/>
            <w:tcBorders>
              <w:top w:val="single" w:sz="6" w:space="0" w:color="000000"/>
              <w:left w:val="single" w:sz="6" w:space="0" w:color="000000"/>
              <w:bottom w:val="single" w:sz="6" w:space="0" w:color="000000"/>
              <w:right w:val="single" w:sz="6" w:space="0" w:color="000000"/>
            </w:tcBorders>
            <w:hideMark/>
          </w:tcPr>
          <w:p w14:paraId="548B6717"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0,7</w:t>
            </w:r>
          </w:p>
        </w:tc>
      </w:tr>
      <w:tr w:rsidR="00A12414" w:rsidRPr="00EF6E4D" w14:paraId="03687067" w14:textId="77777777" w:rsidTr="001869FF">
        <w:trPr>
          <w:trHeight w:val="285"/>
        </w:trPr>
        <w:tc>
          <w:tcPr>
            <w:tcW w:w="5745" w:type="dxa"/>
            <w:tcBorders>
              <w:top w:val="single" w:sz="6" w:space="0" w:color="000000"/>
              <w:left w:val="single" w:sz="6" w:space="0" w:color="000000"/>
              <w:bottom w:val="single" w:sz="6" w:space="0" w:color="000000"/>
              <w:right w:val="single" w:sz="6" w:space="0" w:color="000000"/>
            </w:tcBorders>
            <w:hideMark/>
          </w:tcPr>
          <w:p w14:paraId="018A420C"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Dedicación horaria baja: 0 a 15 horas</w:t>
            </w:r>
          </w:p>
        </w:tc>
        <w:tc>
          <w:tcPr>
            <w:tcW w:w="1320" w:type="dxa"/>
            <w:tcBorders>
              <w:top w:val="single" w:sz="6" w:space="0" w:color="000000"/>
              <w:left w:val="single" w:sz="6" w:space="0" w:color="000000"/>
              <w:bottom w:val="single" w:sz="6" w:space="0" w:color="000000"/>
              <w:right w:val="single" w:sz="6" w:space="0" w:color="000000"/>
            </w:tcBorders>
            <w:hideMark/>
          </w:tcPr>
          <w:p w14:paraId="30146DB3"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0,3</w:t>
            </w:r>
          </w:p>
        </w:tc>
        <w:tc>
          <w:tcPr>
            <w:tcW w:w="1260" w:type="dxa"/>
            <w:tcBorders>
              <w:top w:val="single" w:sz="6" w:space="0" w:color="000000"/>
              <w:left w:val="single" w:sz="6" w:space="0" w:color="000000"/>
              <w:bottom w:val="single" w:sz="6" w:space="0" w:color="000000"/>
              <w:right w:val="single" w:sz="6" w:space="0" w:color="000000"/>
            </w:tcBorders>
            <w:hideMark/>
          </w:tcPr>
          <w:p w14:paraId="1AC1445D"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-0,5</w:t>
            </w:r>
          </w:p>
        </w:tc>
      </w:tr>
      <w:tr w:rsidR="00A12414" w:rsidRPr="00EF6E4D" w14:paraId="654B31C7" w14:textId="77777777" w:rsidTr="001869FF">
        <w:trPr>
          <w:trHeight w:val="285"/>
        </w:trPr>
        <w:tc>
          <w:tcPr>
            <w:tcW w:w="5745" w:type="dxa"/>
            <w:tcBorders>
              <w:top w:val="single" w:sz="6" w:space="0" w:color="000000"/>
              <w:left w:val="single" w:sz="6" w:space="0" w:color="000000"/>
              <w:bottom w:val="single" w:sz="6" w:space="0" w:color="000000"/>
              <w:right w:val="single" w:sz="6" w:space="0" w:color="000000"/>
            </w:tcBorders>
            <w:hideMark/>
          </w:tcPr>
          <w:p w14:paraId="58ACDB9F"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RDT</w:t>
            </w:r>
          </w:p>
        </w:tc>
        <w:tc>
          <w:tcPr>
            <w:tcW w:w="1320" w:type="dxa"/>
            <w:tcBorders>
              <w:top w:val="single" w:sz="6" w:space="0" w:color="000000"/>
              <w:left w:val="single" w:sz="6" w:space="0" w:color="000000"/>
              <w:bottom w:val="single" w:sz="6" w:space="0" w:color="000000"/>
              <w:right w:val="single" w:sz="6" w:space="0" w:color="000000"/>
            </w:tcBorders>
            <w:hideMark/>
          </w:tcPr>
          <w:p w14:paraId="7A724DCB"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-0,4</w:t>
            </w:r>
          </w:p>
        </w:tc>
        <w:tc>
          <w:tcPr>
            <w:tcW w:w="1260" w:type="dxa"/>
            <w:tcBorders>
              <w:top w:val="single" w:sz="6" w:space="0" w:color="000000"/>
              <w:left w:val="single" w:sz="6" w:space="0" w:color="000000"/>
              <w:bottom w:val="single" w:sz="6" w:space="0" w:color="000000"/>
              <w:right w:val="single" w:sz="6" w:space="0" w:color="000000"/>
            </w:tcBorders>
            <w:hideMark/>
          </w:tcPr>
          <w:p w14:paraId="0E1F63FA"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-0,4</w:t>
            </w:r>
          </w:p>
        </w:tc>
      </w:tr>
      <w:tr w:rsidR="00A12414" w:rsidRPr="00EF6E4D" w14:paraId="2EC926ED" w14:textId="77777777" w:rsidTr="001869FF">
        <w:trPr>
          <w:trHeight w:val="285"/>
        </w:trPr>
        <w:tc>
          <w:tcPr>
            <w:tcW w:w="5745" w:type="dxa"/>
            <w:tcBorders>
              <w:top w:val="single" w:sz="6" w:space="0" w:color="000000"/>
              <w:left w:val="single" w:sz="6" w:space="0" w:color="000000"/>
              <w:bottom w:val="single" w:sz="6" w:space="0" w:color="000000"/>
              <w:right w:val="single" w:sz="6" w:space="0" w:color="000000"/>
            </w:tcBorders>
            <w:hideMark/>
          </w:tcPr>
          <w:p w14:paraId="10C195D5"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Docentes con doctorado académico completo</w:t>
            </w:r>
          </w:p>
        </w:tc>
        <w:tc>
          <w:tcPr>
            <w:tcW w:w="1320" w:type="dxa"/>
            <w:tcBorders>
              <w:top w:val="single" w:sz="6" w:space="0" w:color="000000"/>
              <w:left w:val="single" w:sz="6" w:space="0" w:color="000000"/>
              <w:bottom w:val="single" w:sz="6" w:space="0" w:color="000000"/>
              <w:right w:val="single" w:sz="6" w:space="0" w:color="000000"/>
            </w:tcBorders>
            <w:hideMark/>
          </w:tcPr>
          <w:p w14:paraId="6D9DCD7D"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-0,4</w:t>
            </w:r>
          </w:p>
        </w:tc>
        <w:tc>
          <w:tcPr>
            <w:tcW w:w="1260" w:type="dxa"/>
            <w:tcBorders>
              <w:top w:val="single" w:sz="6" w:space="0" w:color="000000"/>
              <w:left w:val="single" w:sz="6" w:space="0" w:color="000000"/>
              <w:bottom w:val="single" w:sz="6" w:space="0" w:color="000000"/>
              <w:right w:val="single" w:sz="6" w:space="0" w:color="000000"/>
            </w:tcBorders>
            <w:hideMark/>
          </w:tcPr>
          <w:p w14:paraId="59E12EB1"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-0,4</w:t>
            </w:r>
          </w:p>
        </w:tc>
      </w:tr>
      <w:tr w:rsidR="00A12414" w:rsidRPr="00EF6E4D" w14:paraId="3DA7309D" w14:textId="77777777" w:rsidTr="001869FF">
        <w:trPr>
          <w:trHeight w:val="285"/>
        </w:trPr>
        <w:tc>
          <w:tcPr>
            <w:tcW w:w="5745" w:type="dxa"/>
            <w:tcBorders>
              <w:top w:val="single" w:sz="6" w:space="0" w:color="000000"/>
              <w:left w:val="single" w:sz="6" w:space="0" w:color="000000"/>
              <w:bottom w:val="single" w:sz="6" w:space="0" w:color="000000"/>
              <w:right w:val="single" w:sz="6" w:space="0" w:color="000000"/>
            </w:tcBorders>
            <w:hideMark/>
          </w:tcPr>
          <w:p w14:paraId="75E717C7"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Docentes con al menos una ocupación remunerada externa a Udelar</w:t>
            </w:r>
          </w:p>
        </w:tc>
        <w:tc>
          <w:tcPr>
            <w:tcW w:w="1320" w:type="dxa"/>
            <w:tcBorders>
              <w:top w:val="single" w:sz="6" w:space="0" w:color="000000"/>
              <w:left w:val="single" w:sz="6" w:space="0" w:color="000000"/>
              <w:bottom w:val="single" w:sz="6" w:space="0" w:color="000000"/>
              <w:right w:val="single" w:sz="6" w:space="0" w:color="000000"/>
            </w:tcBorders>
            <w:hideMark/>
          </w:tcPr>
          <w:p w14:paraId="3D882AA6"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0,5</w:t>
            </w:r>
          </w:p>
        </w:tc>
        <w:tc>
          <w:tcPr>
            <w:tcW w:w="1260" w:type="dxa"/>
            <w:tcBorders>
              <w:top w:val="single" w:sz="6" w:space="0" w:color="000000"/>
              <w:left w:val="single" w:sz="6" w:space="0" w:color="000000"/>
              <w:bottom w:val="single" w:sz="6" w:space="0" w:color="000000"/>
              <w:right w:val="single" w:sz="6" w:space="0" w:color="000000"/>
            </w:tcBorders>
            <w:hideMark/>
          </w:tcPr>
          <w:p w14:paraId="2BD8F7CD"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0,0</w:t>
            </w:r>
          </w:p>
        </w:tc>
      </w:tr>
      <w:tr w:rsidR="00A12414" w:rsidRPr="00EF6E4D" w14:paraId="2D6366B0" w14:textId="77777777" w:rsidTr="001869FF">
        <w:trPr>
          <w:trHeight w:val="285"/>
        </w:trPr>
        <w:tc>
          <w:tcPr>
            <w:tcW w:w="5745" w:type="dxa"/>
            <w:tcBorders>
              <w:top w:val="single" w:sz="6" w:space="0" w:color="000000"/>
              <w:left w:val="single" w:sz="6" w:space="0" w:color="000000"/>
              <w:bottom w:val="single" w:sz="6" w:space="0" w:color="000000"/>
              <w:right w:val="single" w:sz="6" w:space="0" w:color="000000"/>
            </w:tcBorders>
            <w:hideMark/>
          </w:tcPr>
          <w:p w14:paraId="5200D944"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Docentes que realiza actividades de enseñanza en 2022 y de investigación en 2021-2022</w:t>
            </w:r>
          </w:p>
        </w:tc>
        <w:tc>
          <w:tcPr>
            <w:tcW w:w="1320" w:type="dxa"/>
            <w:tcBorders>
              <w:top w:val="single" w:sz="6" w:space="0" w:color="000000"/>
              <w:left w:val="single" w:sz="6" w:space="0" w:color="000000"/>
              <w:bottom w:val="single" w:sz="6" w:space="0" w:color="000000"/>
              <w:right w:val="single" w:sz="6" w:space="0" w:color="000000"/>
            </w:tcBorders>
            <w:hideMark/>
          </w:tcPr>
          <w:p w14:paraId="059BE491"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-0,4</w:t>
            </w:r>
          </w:p>
        </w:tc>
        <w:tc>
          <w:tcPr>
            <w:tcW w:w="1260" w:type="dxa"/>
            <w:tcBorders>
              <w:top w:val="single" w:sz="6" w:space="0" w:color="000000"/>
              <w:left w:val="single" w:sz="6" w:space="0" w:color="000000"/>
              <w:bottom w:val="single" w:sz="6" w:space="0" w:color="000000"/>
              <w:right w:val="single" w:sz="6" w:space="0" w:color="000000"/>
            </w:tcBorders>
            <w:hideMark/>
          </w:tcPr>
          <w:p w14:paraId="489C4081"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0,0</w:t>
            </w:r>
          </w:p>
        </w:tc>
      </w:tr>
      <w:tr w:rsidR="00A12414" w:rsidRPr="00EF6E4D" w14:paraId="7B52172A" w14:textId="77777777" w:rsidTr="001869FF">
        <w:trPr>
          <w:trHeight w:val="285"/>
        </w:trPr>
        <w:tc>
          <w:tcPr>
            <w:tcW w:w="5745" w:type="dxa"/>
            <w:tcBorders>
              <w:top w:val="single" w:sz="6" w:space="0" w:color="000000"/>
              <w:left w:val="single" w:sz="6" w:space="0" w:color="000000"/>
              <w:bottom w:val="single" w:sz="6" w:space="0" w:color="000000"/>
              <w:right w:val="single" w:sz="6" w:space="0" w:color="000000"/>
            </w:tcBorders>
            <w:hideMark/>
          </w:tcPr>
          <w:p w14:paraId="59672EE6"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Dedicación horaria media: 16 a 29 horas</w:t>
            </w:r>
          </w:p>
        </w:tc>
        <w:tc>
          <w:tcPr>
            <w:tcW w:w="1320" w:type="dxa"/>
            <w:tcBorders>
              <w:top w:val="single" w:sz="6" w:space="0" w:color="000000"/>
              <w:left w:val="single" w:sz="6" w:space="0" w:color="000000"/>
              <w:bottom w:val="single" w:sz="6" w:space="0" w:color="000000"/>
              <w:right w:val="single" w:sz="6" w:space="0" w:color="000000"/>
            </w:tcBorders>
            <w:hideMark/>
          </w:tcPr>
          <w:p w14:paraId="667F19E6"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0,3</w:t>
            </w:r>
          </w:p>
        </w:tc>
        <w:tc>
          <w:tcPr>
            <w:tcW w:w="1260" w:type="dxa"/>
            <w:tcBorders>
              <w:top w:val="single" w:sz="6" w:space="0" w:color="000000"/>
              <w:left w:val="single" w:sz="6" w:space="0" w:color="000000"/>
              <w:bottom w:val="single" w:sz="6" w:space="0" w:color="000000"/>
              <w:right w:val="single" w:sz="6" w:space="0" w:color="000000"/>
            </w:tcBorders>
            <w:hideMark/>
          </w:tcPr>
          <w:p w14:paraId="35117F6C" w14:textId="77777777" w:rsidR="00A12414" w:rsidRPr="00EF6E4D" w:rsidRDefault="00A12414" w:rsidP="001869FF">
            <w:pPr>
              <w:spacing w:line="240" w:lineRule="auto"/>
              <w:jc w:val="center"/>
              <w:rPr>
                <w:rFonts w:ascii="Times New Roman" w:hAnsi="Times New Roman" w:cs="Times New Roman"/>
                <w:sz w:val="20"/>
                <w:szCs w:val="20"/>
                <w:lang w:val="es-UY"/>
              </w:rPr>
            </w:pPr>
            <w:r w:rsidRPr="00EF6E4D">
              <w:rPr>
                <w:rFonts w:ascii="Times New Roman" w:hAnsi="Times New Roman" w:cs="Times New Roman"/>
                <w:sz w:val="20"/>
                <w:szCs w:val="20"/>
              </w:rPr>
              <w:t>0,0</w:t>
            </w:r>
          </w:p>
        </w:tc>
      </w:tr>
    </w:tbl>
    <w:p w14:paraId="745747C5" w14:textId="77777777" w:rsidR="002B1C35" w:rsidRPr="002B1C35" w:rsidRDefault="002B1C35" w:rsidP="002B1C35">
      <w:pPr>
        <w:spacing w:line="240" w:lineRule="auto"/>
        <w:jc w:val="both"/>
        <w:rPr>
          <w:rFonts w:ascii="Times New Roman" w:hAnsi="Times New Roman" w:cs="Times New Roman"/>
        </w:rPr>
      </w:pPr>
      <w:r w:rsidRPr="002B1C35">
        <w:rPr>
          <w:rFonts w:ascii="Times New Roman" w:hAnsi="Times New Roman" w:cs="Times New Roman"/>
        </w:rPr>
        <w:t xml:space="preserve">Fuente: Elaboración propia. </w:t>
      </w:r>
    </w:p>
    <w:p w14:paraId="53695018" w14:textId="77777777" w:rsidR="002B1C35" w:rsidRPr="002B1C35" w:rsidRDefault="002B1C35" w:rsidP="002B1C35">
      <w:pPr>
        <w:spacing w:line="240" w:lineRule="auto"/>
        <w:jc w:val="both"/>
        <w:rPr>
          <w:rFonts w:ascii="Times New Roman" w:hAnsi="Times New Roman" w:cs="Times New Roman"/>
        </w:rPr>
      </w:pPr>
      <w:r w:rsidRPr="002B1C35">
        <w:rPr>
          <w:rFonts w:ascii="Times New Roman" w:hAnsi="Times New Roman" w:cs="Times New Roman"/>
        </w:rPr>
        <w:t xml:space="preserve">  </w:t>
      </w:r>
    </w:p>
    <w:p w14:paraId="32E57EBF" w14:textId="293C357D" w:rsidR="002B1C35" w:rsidRDefault="002B1C35" w:rsidP="002B1C35">
      <w:pPr>
        <w:spacing w:line="240" w:lineRule="auto"/>
        <w:jc w:val="both"/>
        <w:rPr>
          <w:rFonts w:ascii="Times New Roman" w:hAnsi="Times New Roman" w:cs="Times New Roman"/>
        </w:rPr>
      </w:pPr>
      <w:r w:rsidRPr="002B1C35">
        <w:rPr>
          <w:rFonts w:ascii="Times New Roman" w:hAnsi="Times New Roman" w:cs="Times New Roman"/>
        </w:rPr>
        <w:t xml:space="preserve"> </w:t>
      </w:r>
    </w:p>
    <w:p w14:paraId="05DCB68F" w14:textId="77777777" w:rsidR="002B1C35" w:rsidRDefault="002B1C35" w:rsidP="002B1C35">
      <w:pPr>
        <w:spacing w:line="240" w:lineRule="auto"/>
        <w:jc w:val="both"/>
        <w:rPr>
          <w:rFonts w:ascii="Times New Roman" w:hAnsi="Times New Roman" w:cs="Times New Roman"/>
        </w:rPr>
      </w:pPr>
    </w:p>
    <w:p w14:paraId="7F543DA0" w14:textId="77777777" w:rsidR="002B1C35" w:rsidRDefault="002B1C35" w:rsidP="002B1C35">
      <w:pPr>
        <w:spacing w:line="240" w:lineRule="auto"/>
        <w:jc w:val="both"/>
        <w:rPr>
          <w:rFonts w:ascii="Times New Roman" w:hAnsi="Times New Roman" w:cs="Times New Roman"/>
        </w:rPr>
        <w:sectPr w:rsidR="002B1C35" w:rsidSect="00701F64">
          <w:headerReference w:type="default" r:id="rId10"/>
          <w:footerReference w:type="default" r:id="rId11"/>
          <w:pgSz w:w="11906" w:h="16838"/>
          <w:pgMar w:top="2410" w:right="1701" w:bottom="1843" w:left="1701" w:header="284" w:footer="0" w:gutter="0"/>
          <w:pgBorders w:offsetFrom="page">
            <w:left w:val="single" w:sz="48" w:space="12" w:color="00B0F0"/>
            <w:right w:val="single" w:sz="48" w:space="12" w:color="00B0F0"/>
          </w:pgBorders>
          <w:cols w:space="708"/>
          <w:docGrid w:linePitch="360"/>
        </w:sectPr>
      </w:pPr>
    </w:p>
    <w:p w14:paraId="6490F8A9" w14:textId="32812FBB" w:rsidR="002B1C35" w:rsidRDefault="002B1C35" w:rsidP="002B1C35">
      <w:pPr>
        <w:spacing w:line="240" w:lineRule="auto"/>
        <w:jc w:val="center"/>
        <w:rPr>
          <w:rFonts w:ascii="Times New Roman" w:hAnsi="Times New Roman" w:cs="Times New Roman"/>
        </w:rPr>
      </w:pPr>
      <w:r w:rsidRPr="002638A7">
        <w:rPr>
          <w:rFonts w:ascii="Times New Roman" w:hAnsi="Times New Roman" w:cs="Times New Roman"/>
          <w:noProof/>
          <w:lang w:val="es-UY" w:eastAsia="es-UY"/>
        </w:rPr>
        <w:lastRenderedPageBreak/>
        <w:drawing>
          <wp:inline distT="0" distB="0" distL="0" distR="0" wp14:anchorId="7FDE4E60" wp14:editId="2803F625">
            <wp:extent cx="7781925" cy="5187353"/>
            <wp:effectExtent l="0" t="0" r="0" b="0"/>
            <wp:docPr id="1496877231" name="Imagen 2" descr="Gráfico, Gráfico de dispers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877231" name="Imagen 2" descr="Gráfico, Gráfico de dispersión&#10;&#10;El contenido generado por IA puede ser incorrecto."/>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789774" cy="5192585"/>
                    </a:xfrm>
                    <a:prstGeom prst="rect">
                      <a:avLst/>
                    </a:prstGeom>
                  </pic:spPr>
                </pic:pic>
              </a:graphicData>
            </a:graphic>
          </wp:inline>
        </w:drawing>
      </w:r>
    </w:p>
    <w:p w14:paraId="1E86E53B" w14:textId="77777777" w:rsidR="002B1C35" w:rsidRDefault="002B1C35" w:rsidP="002B1C35">
      <w:pPr>
        <w:spacing w:line="240" w:lineRule="auto"/>
        <w:jc w:val="both"/>
        <w:rPr>
          <w:rFonts w:ascii="Times New Roman" w:hAnsi="Times New Roman" w:cs="Times New Roman"/>
        </w:rPr>
        <w:sectPr w:rsidR="002B1C35" w:rsidSect="002B1C35">
          <w:pgSz w:w="16838" w:h="11906" w:orient="landscape"/>
          <w:pgMar w:top="1701" w:right="2410" w:bottom="1701" w:left="1843" w:header="284" w:footer="0" w:gutter="0"/>
          <w:pgBorders w:offsetFrom="page">
            <w:left w:val="single" w:sz="48" w:space="12" w:color="00B0F0"/>
            <w:right w:val="single" w:sz="48" w:space="12" w:color="00B0F0"/>
          </w:pgBorders>
          <w:cols w:space="708"/>
          <w:docGrid w:linePitch="360"/>
        </w:sectPr>
      </w:pPr>
    </w:p>
    <w:p w14:paraId="4B92B967" w14:textId="77777777" w:rsidR="002B1C35" w:rsidRPr="002B1C35" w:rsidRDefault="002B1C35" w:rsidP="002B1C35">
      <w:pPr>
        <w:spacing w:line="240" w:lineRule="auto"/>
        <w:jc w:val="both"/>
        <w:rPr>
          <w:rFonts w:ascii="Times New Roman" w:hAnsi="Times New Roman" w:cs="Times New Roman"/>
        </w:rPr>
      </w:pPr>
      <w:r w:rsidRPr="002B1C35">
        <w:rPr>
          <w:rFonts w:ascii="Times New Roman" w:hAnsi="Times New Roman" w:cs="Times New Roman"/>
        </w:rPr>
        <w:lastRenderedPageBreak/>
        <w:t xml:space="preserve">Esta estructura se refleja con claridad en el mapa de servicios. En el cuadrante inferior izquierdo se ubican FCIEN y FQ, que corresponden al núcleo académico más “duro”: su posición está determinada por las cargas negativas en PC1 (predominancia de docentes con RDT, doctorado académico y actividad de investigación) y negativas en PC2 (tienen una menor proporción de docentes con dedicaciones horarias altas en comparación con otros servicios del núcleo disciplinar mixto). En el cuadrante derecho, en cambio, se agrupan servicios como FDER, FCEA, FADU, FODON y FMED, que son representantes típicos del núcleo profesional: tienen una alta proporción de docentes con ocupaciones remuneradas externas y dedicaciones horarias bajas y medias. Finalmente, en posiciones intermedias se encuentran FHCE, FCS, FING, CURE y FIC, con pesos más equilibrados, pero claramente más cercanos al núcleo disciplinar académico “duro”: mantienen una proporción importante de sus docentes trabajando fuera de Udelar. Los </w:t>
      </w:r>
      <w:proofErr w:type="spellStart"/>
      <w:r w:rsidRPr="002B1C35">
        <w:rPr>
          <w:rFonts w:ascii="Times New Roman" w:hAnsi="Times New Roman" w:cs="Times New Roman"/>
        </w:rPr>
        <w:t>Cenures</w:t>
      </w:r>
      <w:proofErr w:type="spellEnd"/>
      <w:r w:rsidRPr="002B1C35">
        <w:rPr>
          <w:rFonts w:ascii="Times New Roman" w:hAnsi="Times New Roman" w:cs="Times New Roman"/>
        </w:rPr>
        <w:t xml:space="preserve"> y servicios como FPSICO, FVET y Oficinas Centrales aparecen en áreas centrales o superiores del mapa, lo que refleja su carácter híbrido y la menor definición de su inserción en el eje académico–profesional. </w:t>
      </w:r>
    </w:p>
    <w:p w14:paraId="56DF909D" w14:textId="6CBB5A8C" w:rsidR="002B1C35" w:rsidRPr="002B1C35" w:rsidRDefault="002B1C35" w:rsidP="002B1C35">
      <w:pPr>
        <w:spacing w:line="240" w:lineRule="auto"/>
        <w:jc w:val="both"/>
        <w:rPr>
          <w:rFonts w:ascii="Times New Roman" w:hAnsi="Times New Roman" w:cs="Times New Roman"/>
        </w:rPr>
      </w:pPr>
      <w:r w:rsidRPr="002B1C35">
        <w:rPr>
          <w:rFonts w:ascii="Times New Roman" w:hAnsi="Times New Roman" w:cs="Times New Roman"/>
        </w:rPr>
        <w:t xml:space="preserve">Lejos de constituir una categoría residual, estas posiciones intermedias expresan configuraciones particularmente relevantes para comprender </w:t>
      </w:r>
      <w:r w:rsidR="00787843">
        <w:rPr>
          <w:rFonts w:ascii="Times New Roman" w:hAnsi="Times New Roman" w:cs="Times New Roman"/>
        </w:rPr>
        <w:t>los cambios</w:t>
      </w:r>
      <w:r w:rsidRPr="002B1C35">
        <w:rPr>
          <w:rFonts w:ascii="Times New Roman" w:hAnsi="Times New Roman" w:cs="Times New Roman"/>
        </w:rPr>
        <w:t xml:space="preserve"> contemporáne</w:t>
      </w:r>
      <w:r w:rsidR="00787843">
        <w:rPr>
          <w:rFonts w:ascii="Times New Roman" w:hAnsi="Times New Roman" w:cs="Times New Roman"/>
        </w:rPr>
        <w:t>o</w:t>
      </w:r>
      <w:r w:rsidRPr="002B1C35">
        <w:rPr>
          <w:rFonts w:ascii="Times New Roman" w:hAnsi="Times New Roman" w:cs="Times New Roman"/>
        </w:rPr>
        <w:t xml:space="preserve">s de la profesión académica. En ellas coexisten, de manera frecuentemente tensionada, lógicas de reconocimiento profesional externo y legitimación académica interna. Este carácter híbrido sugiere que la diferenciación universitaria contemporánea no se organiza exclusivamente a partir de perfiles puros, sino mediante combinaciones variables de capital profesional y capital académico, cuya articulación depende de las características disciplinares e institucionales de cada servicio. </w:t>
      </w:r>
    </w:p>
    <w:p w14:paraId="59BBBBF6" w14:textId="19E4BF8D" w:rsidR="002B1C35" w:rsidRPr="002B1C35" w:rsidRDefault="002B1C35" w:rsidP="002B1C35">
      <w:pPr>
        <w:spacing w:line="240" w:lineRule="auto"/>
        <w:jc w:val="both"/>
        <w:rPr>
          <w:rFonts w:ascii="Times New Roman" w:hAnsi="Times New Roman" w:cs="Times New Roman"/>
        </w:rPr>
      </w:pPr>
      <w:r w:rsidRPr="002B1C35">
        <w:rPr>
          <w:rFonts w:ascii="Times New Roman" w:hAnsi="Times New Roman" w:cs="Times New Roman"/>
        </w:rPr>
        <w:t xml:space="preserve">Desde una </w:t>
      </w:r>
      <w:r w:rsidR="001637AD">
        <w:rPr>
          <w:rFonts w:ascii="Times New Roman" w:hAnsi="Times New Roman" w:cs="Times New Roman"/>
        </w:rPr>
        <w:t>mirada</w:t>
      </w:r>
      <w:r w:rsidRPr="002B1C35">
        <w:rPr>
          <w:rFonts w:ascii="Times New Roman" w:hAnsi="Times New Roman" w:cs="Times New Roman"/>
        </w:rPr>
        <w:t xml:space="preserve"> sociológica, la distribución de los servicios en el espacio factorial permite observar que las diferencias entre perfiles docentes no remiten únicamente a variaciones administrativas u organizacionales, sino a formas diferenciadas de integración al campo académico. En particular, la posición de FQ y FCIEN en el cuadrante asociado a altas dedicaciones, investigación y formación doctoral expresa configuraciones institucionales donde predomina la acumulación de capital académico en el sentido planteado por Bourdieu (2008). En estos espacios, la inserción en comunidades epistémicas activas, la participación sistemática en investigación y la disponibilidad de tiempo institucional aparecen como condiciones estructurales de legitimidad y reconocimiento académico. </w:t>
      </w:r>
    </w:p>
    <w:p w14:paraId="1226BFE9" w14:textId="1917C5FE" w:rsidR="002B1C35" w:rsidRPr="002B1C35" w:rsidRDefault="00782F32" w:rsidP="002B1C35">
      <w:pPr>
        <w:spacing w:line="240" w:lineRule="auto"/>
        <w:jc w:val="both"/>
        <w:rPr>
          <w:rFonts w:ascii="Times New Roman" w:hAnsi="Times New Roman" w:cs="Times New Roman"/>
        </w:rPr>
      </w:pPr>
      <w:r>
        <w:rPr>
          <w:rFonts w:ascii="Times New Roman" w:hAnsi="Times New Roman" w:cs="Times New Roman"/>
        </w:rPr>
        <w:t>Los</w:t>
      </w:r>
      <w:r w:rsidR="002B1C35" w:rsidRPr="002B1C35">
        <w:rPr>
          <w:rFonts w:ascii="Times New Roman" w:hAnsi="Times New Roman" w:cs="Times New Roman"/>
        </w:rPr>
        <w:t xml:space="preserve"> resultados sugieren que ciertas áreas disciplinares han desarrollado </w:t>
      </w:r>
      <w:r w:rsidR="00A60571">
        <w:rPr>
          <w:rFonts w:ascii="Times New Roman" w:hAnsi="Times New Roman" w:cs="Times New Roman"/>
        </w:rPr>
        <w:t>vías</w:t>
      </w:r>
      <w:r w:rsidR="002B1C35" w:rsidRPr="002B1C35">
        <w:rPr>
          <w:rFonts w:ascii="Times New Roman" w:hAnsi="Times New Roman" w:cs="Times New Roman"/>
        </w:rPr>
        <w:t xml:space="preserve"> relativamente autónomas de regulación y valorización interna, donde el acceso diferencial a condiciones de investigación, formación avanzada y producción científica opera como mecanismo específico de estratificación académica.</w:t>
      </w:r>
      <w:r w:rsidR="00F56A53">
        <w:rPr>
          <w:rFonts w:ascii="Times New Roman" w:hAnsi="Times New Roman" w:cs="Times New Roman"/>
        </w:rPr>
        <w:t xml:space="preserve"> L</w:t>
      </w:r>
      <w:r w:rsidR="002B1C35" w:rsidRPr="002B1C35">
        <w:rPr>
          <w:rFonts w:ascii="Times New Roman" w:hAnsi="Times New Roman" w:cs="Times New Roman"/>
        </w:rPr>
        <w:t xml:space="preserve">as dinámicas observadas pueden interpretarse como una reformulación contemporánea de los mecanismos de clausura analizados clásicamente para las profesiones universitarias, aunque desplazados ahora hacia el interior del propio campo académico. La menor dependencia de ocupaciones remuneradas fuera de la universidad y la fuerte presencia de investigación permiten identificar </w:t>
      </w:r>
      <w:r w:rsidR="00C41D9D">
        <w:rPr>
          <w:rFonts w:ascii="Times New Roman" w:hAnsi="Times New Roman" w:cs="Times New Roman"/>
        </w:rPr>
        <w:t>maneras</w:t>
      </w:r>
      <w:r w:rsidR="002B1C35" w:rsidRPr="002B1C35">
        <w:rPr>
          <w:rFonts w:ascii="Times New Roman" w:hAnsi="Times New Roman" w:cs="Times New Roman"/>
        </w:rPr>
        <w:t xml:space="preserve"> de vinculación institucional próximas a lo que Becher (2001) caracteriza como culturas académicas fuertemente cohesionadas, donde la pertenencia </w:t>
      </w:r>
      <w:r w:rsidR="002B1C35" w:rsidRPr="002B1C35">
        <w:rPr>
          <w:rFonts w:ascii="Times New Roman" w:hAnsi="Times New Roman" w:cs="Times New Roman"/>
        </w:rPr>
        <w:lastRenderedPageBreak/>
        <w:t xml:space="preserve">disciplinar y la producción de conocimiento adquieren centralidad en la estructuración del prestigio y del reconocimiento académico. </w:t>
      </w:r>
    </w:p>
    <w:p w14:paraId="739D0490" w14:textId="204B9BAD" w:rsidR="002B1C35" w:rsidRPr="002B1C35" w:rsidRDefault="002B1C35" w:rsidP="002B1C35">
      <w:pPr>
        <w:spacing w:line="240" w:lineRule="auto"/>
        <w:jc w:val="both"/>
        <w:rPr>
          <w:rFonts w:ascii="Times New Roman" w:hAnsi="Times New Roman" w:cs="Times New Roman"/>
        </w:rPr>
      </w:pPr>
      <w:r w:rsidRPr="002B1C35">
        <w:rPr>
          <w:rFonts w:ascii="Times New Roman" w:hAnsi="Times New Roman" w:cs="Times New Roman"/>
        </w:rPr>
        <w:t xml:space="preserve">En contraste, los servicios ubicados en el polo profesional —como FDER, FCEA, FODON o FMED— presentan configuraciones donde el reconocimiento profesional externo y la inserción ocupacional fuera de la universidad continúan desempeñando un papel central en la organización de las trayectorias docentes. En estos casos, la docencia aparece más estrechamente articulada con profesiones reguladas y mercados ocupacionales externos, reforzando </w:t>
      </w:r>
      <w:r w:rsidR="00C41D9D">
        <w:rPr>
          <w:rFonts w:ascii="Times New Roman" w:hAnsi="Times New Roman" w:cs="Times New Roman"/>
        </w:rPr>
        <w:t>patrones</w:t>
      </w:r>
      <w:r w:rsidRPr="002B1C35">
        <w:rPr>
          <w:rFonts w:ascii="Times New Roman" w:hAnsi="Times New Roman" w:cs="Times New Roman"/>
        </w:rPr>
        <w:t xml:space="preserve"> de vinculación institucional menos orientad</w:t>
      </w:r>
      <w:r w:rsidR="00C41D9D">
        <w:rPr>
          <w:rFonts w:ascii="Times New Roman" w:hAnsi="Times New Roman" w:cs="Times New Roman"/>
        </w:rPr>
        <w:t>o</w:t>
      </w:r>
      <w:r w:rsidRPr="002B1C35">
        <w:rPr>
          <w:rFonts w:ascii="Times New Roman" w:hAnsi="Times New Roman" w:cs="Times New Roman"/>
        </w:rPr>
        <w:t xml:space="preserve">s a la investigación y más asociadas a la reproducción de capital profesional. </w:t>
      </w:r>
    </w:p>
    <w:p w14:paraId="69C50DFB" w14:textId="0DCC3B5A" w:rsidR="002B1C35" w:rsidRPr="002B1C35" w:rsidRDefault="002B1C35" w:rsidP="002B1C35">
      <w:pPr>
        <w:spacing w:line="240" w:lineRule="auto"/>
        <w:jc w:val="both"/>
        <w:rPr>
          <w:rFonts w:ascii="Times New Roman" w:hAnsi="Times New Roman" w:cs="Times New Roman"/>
        </w:rPr>
      </w:pPr>
      <w:r w:rsidRPr="002B1C35">
        <w:rPr>
          <w:rFonts w:ascii="Times New Roman" w:hAnsi="Times New Roman" w:cs="Times New Roman"/>
        </w:rPr>
        <w:t xml:space="preserve">La existencia de posiciones intermedias o mixtas resulta particularmente relevante, ya que evidencia que la segmentación académica contemporánea no se organiza como una oposición rígida entre perfiles puros, sino como un continuo de integración institucional y acumulación diferencial de capital académico. Esto permite observar que la creciente autonomización del campo universitario no elimina las jerarquías profesionales históricas, sino que las reconfigura y superpone con nuevas formas de diferenciación </w:t>
      </w:r>
      <w:proofErr w:type="spellStart"/>
      <w:r w:rsidRPr="002B1C35">
        <w:rPr>
          <w:rFonts w:ascii="Times New Roman" w:hAnsi="Times New Roman" w:cs="Times New Roman"/>
        </w:rPr>
        <w:t>intraacadémica</w:t>
      </w:r>
      <w:proofErr w:type="spellEnd"/>
      <w:r w:rsidRPr="002B1C35">
        <w:rPr>
          <w:rFonts w:ascii="Times New Roman" w:hAnsi="Times New Roman" w:cs="Times New Roman"/>
        </w:rPr>
        <w:t xml:space="preserve"> vinculadas a la producción de conocimiento, la investigación y el acceso desigual a condiciones institucionales de desarrollo científico. </w:t>
      </w:r>
      <w:r w:rsidR="000C7D85">
        <w:rPr>
          <w:rFonts w:ascii="Times New Roman" w:hAnsi="Times New Roman" w:cs="Times New Roman"/>
        </w:rPr>
        <w:t>Desde este punto de vista</w:t>
      </w:r>
      <w:r w:rsidRPr="002B1C35">
        <w:rPr>
          <w:rFonts w:ascii="Times New Roman" w:hAnsi="Times New Roman" w:cs="Times New Roman"/>
        </w:rPr>
        <w:t xml:space="preserve">, los mecanismos de acreditación y legitimación ya no operan exclusivamente sobre el acceso a mercados profesionales externos, sino también sobre la distribución diferencial de posiciones y oportunidades dentro de la propia estructura universitaria. </w:t>
      </w:r>
    </w:p>
    <w:p w14:paraId="47B6582F" w14:textId="77777777" w:rsidR="002B1C35" w:rsidRPr="002B1C35" w:rsidRDefault="002B1C35" w:rsidP="002B1C35">
      <w:pPr>
        <w:spacing w:line="240" w:lineRule="auto"/>
        <w:jc w:val="both"/>
        <w:rPr>
          <w:rFonts w:ascii="Times New Roman" w:hAnsi="Times New Roman" w:cs="Times New Roman"/>
        </w:rPr>
      </w:pPr>
      <w:r w:rsidRPr="002B1C35">
        <w:rPr>
          <w:rFonts w:ascii="Times New Roman" w:hAnsi="Times New Roman" w:cs="Times New Roman"/>
        </w:rPr>
        <w:t xml:space="preserve">La conformación de los clústeres permite observar diferencias relevantes entre servicios y, al mismo tiempo, matices </w:t>
      </w:r>
      <w:proofErr w:type="spellStart"/>
      <w:r w:rsidRPr="002B1C35">
        <w:rPr>
          <w:rFonts w:ascii="Times New Roman" w:hAnsi="Times New Roman" w:cs="Times New Roman"/>
        </w:rPr>
        <w:t>intraservicio</w:t>
      </w:r>
      <w:proofErr w:type="spellEnd"/>
      <w:r w:rsidRPr="002B1C35">
        <w:rPr>
          <w:rFonts w:ascii="Times New Roman" w:hAnsi="Times New Roman" w:cs="Times New Roman"/>
        </w:rPr>
        <w:t xml:space="preserve"> que enriquecen la interpretación. El análisis del índice de silueta indicó que una solución de cinco grupos presentaba un equilibrio adecuado entre separación y cohesión, lo que habilita a identificar patrones iniciales de proximidad y distancia entre servicios. </w:t>
      </w:r>
    </w:p>
    <w:p w14:paraId="3961E289" w14:textId="4838B6AE" w:rsidR="002B1C35" w:rsidRPr="002B1C35" w:rsidRDefault="002B1C35" w:rsidP="002B1C35">
      <w:pPr>
        <w:spacing w:line="240" w:lineRule="auto"/>
        <w:jc w:val="both"/>
        <w:rPr>
          <w:rFonts w:ascii="Times New Roman" w:hAnsi="Times New Roman" w:cs="Times New Roman"/>
        </w:rPr>
      </w:pPr>
      <w:r w:rsidRPr="002B1C35">
        <w:rPr>
          <w:rFonts w:ascii="Times New Roman" w:hAnsi="Times New Roman" w:cs="Times New Roman"/>
        </w:rPr>
        <w:t xml:space="preserve">No obstante, la decisión analítica adoptada es teórica: a partir de los resultados del ACP y de la </w:t>
      </w:r>
      <w:proofErr w:type="spellStart"/>
      <w:r w:rsidRPr="002B1C35">
        <w:rPr>
          <w:rFonts w:ascii="Times New Roman" w:hAnsi="Times New Roman" w:cs="Times New Roman"/>
        </w:rPr>
        <w:t>clusterización</w:t>
      </w:r>
      <w:proofErr w:type="spellEnd"/>
      <w:r w:rsidRPr="002B1C35">
        <w:rPr>
          <w:rFonts w:ascii="Times New Roman" w:hAnsi="Times New Roman" w:cs="Times New Roman"/>
        </w:rPr>
        <w:t xml:space="preserve">, se opta por formalizar estas diferencias en tres núcleos disciplinares (Tabla 3). Esta síntesis busca captar de manera más clara y consistente las divisiones estructurales que organizan el campo docente de la Udelar. Cabe subrayar que esta es una </w:t>
      </w:r>
      <w:r w:rsidR="006B2D85">
        <w:rPr>
          <w:rFonts w:ascii="Times New Roman" w:hAnsi="Times New Roman" w:cs="Times New Roman"/>
        </w:rPr>
        <w:t>alternativa</w:t>
      </w:r>
      <w:r w:rsidRPr="002B1C35">
        <w:rPr>
          <w:rFonts w:ascii="Times New Roman" w:hAnsi="Times New Roman" w:cs="Times New Roman"/>
        </w:rPr>
        <w:t xml:space="preserve"> posible de agrupación y no pretende invisibilizar la heterogeneidad interna de los servicios. Dentro de cada facultad o centro pueden coexistir perfiles diversos: por ejemplo, en un servicio identificado con un predominio profesional pueden encontrarse grupos docentes fuertemente orientados a la investigación, y viceversa. Precisamente, el ACP ilustra estos matices: los núcleos disciplinarios no deben entenderse como categorías rígidas, sino como configuraciones predominantes que dejan espacio a variaciones internas. </w:t>
      </w:r>
    </w:p>
    <w:p w14:paraId="11B639FC" w14:textId="77777777" w:rsidR="00A12414" w:rsidRPr="00291738" w:rsidRDefault="00A12414" w:rsidP="00A12414">
      <w:pPr>
        <w:spacing w:line="240" w:lineRule="auto"/>
        <w:jc w:val="both"/>
        <w:rPr>
          <w:rFonts w:ascii="Times New Roman" w:hAnsi="Times New Roman" w:cs="Times New Roman"/>
          <w:lang w:val="es-UY"/>
        </w:rPr>
      </w:pPr>
      <w:r w:rsidRPr="00291738">
        <w:rPr>
          <w:rFonts w:ascii="Times New Roman" w:hAnsi="Times New Roman" w:cs="Times New Roman"/>
          <w:b/>
          <w:bCs/>
          <w:u w:val="single"/>
        </w:rPr>
        <w:t>Tabla 3. Clasificación de servicios universitarios por núcleo disciplinar</w:t>
      </w:r>
      <w:r w:rsidRPr="00291738">
        <w:rPr>
          <w:rFonts w:ascii="Times New Roman" w:hAnsi="Times New Roman" w:cs="Times New Roman"/>
          <w:lang w:val="es-UY"/>
        </w:rPr>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755"/>
        <w:gridCol w:w="6720"/>
      </w:tblGrid>
      <w:tr w:rsidR="00A12414" w:rsidRPr="00291738" w14:paraId="509FC493" w14:textId="77777777" w:rsidTr="001869FF">
        <w:trPr>
          <w:trHeight w:val="300"/>
        </w:trPr>
        <w:tc>
          <w:tcPr>
            <w:tcW w:w="1755" w:type="dxa"/>
            <w:tcBorders>
              <w:top w:val="single" w:sz="6" w:space="0" w:color="999999"/>
              <w:left w:val="single" w:sz="6" w:space="0" w:color="999999"/>
              <w:bottom w:val="single" w:sz="12" w:space="0" w:color="666666"/>
              <w:right w:val="single" w:sz="6" w:space="0" w:color="999999"/>
            </w:tcBorders>
            <w:hideMark/>
          </w:tcPr>
          <w:p w14:paraId="16DB34F1" w14:textId="77777777" w:rsidR="00A12414" w:rsidRPr="00291738" w:rsidRDefault="00A12414" w:rsidP="001869FF">
            <w:pPr>
              <w:spacing w:line="240" w:lineRule="auto"/>
              <w:jc w:val="center"/>
              <w:rPr>
                <w:rFonts w:ascii="Times New Roman" w:hAnsi="Times New Roman" w:cs="Times New Roman"/>
                <w:b/>
                <w:bCs/>
                <w:sz w:val="20"/>
                <w:szCs w:val="20"/>
                <w:lang w:val="es-UY"/>
              </w:rPr>
            </w:pPr>
            <w:r w:rsidRPr="00291738">
              <w:rPr>
                <w:rFonts w:ascii="Times New Roman" w:hAnsi="Times New Roman" w:cs="Times New Roman"/>
                <w:b/>
                <w:bCs/>
                <w:sz w:val="20"/>
                <w:szCs w:val="20"/>
              </w:rPr>
              <w:t>Núcleo disciplinar</w:t>
            </w:r>
          </w:p>
        </w:tc>
        <w:tc>
          <w:tcPr>
            <w:tcW w:w="6720" w:type="dxa"/>
            <w:tcBorders>
              <w:top w:val="single" w:sz="6" w:space="0" w:color="999999"/>
              <w:left w:val="single" w:sz="6" w:space="0" w:color="999999"/>
              <w:bottom w:val="single" w:sz="12" w:space="0" w:color="666666"/>
              <w:right w:val="single" w:sz="6" w:space="0" w:color="999999"/>
            </w:tcBorders>
            <w:hideMark/>
          </w:tcPr>
          <w:p w14:paraId="728AC476" w14:textId="77777777" w:rsidR="00A12414" w:rsidRPr="00291738" w:rsidRDefault="00A12414" w:rsidP="001869FF">
            <w:pPr>
              <w:spacing w:line="240" w:lineRule="auto"/>
              <w:jc w:val="center"/>
              <w:rPr>
                <w:rFonts w:ascii="Times New Roman" w:hAnsi="Times New Roman" w:cs="Times New Roman"/>
                <w:b/>
                <w:bCs/>
                <w:sz w:val="20"/>
                <w:szCs w:val="20"/>
                <w:lang w:val="es-UY"/>
              </w:rPr>
            </w:pPr>
            <w:r w:rsidRPr="00291738">
              <w:rPr>
                <w:rFonts w:ascii="Times New Roman" w:hAnsi="Times New Roman" w:cs="Times New Roman"/>
                <w:b/>
                <w:bCs/>
                <w:sz w:val="20"/>
                <w:szCs w:val="20"/>
              </w:rPr>
              <w:t>Servicios que lo integran</w:t>
            </w:r>
          </w:p>
        </w:tc>
      </w:tr>
      <w:tr w:rsidR="00A12414" w:rsidRPr="00291738" w14:paraId="1435386E" w14:textId="77777777" w:rsidTr="001869FF">
        <w:trPr>
          <w:trHeight w:val="300"/>
        </w:trPr>
        <w:tc>
          <w:tcPr>
            <w:tcW w:w="1755" w:type="dxa"/>
            <w:tcBorders>
              <w:top w:val="single" w:sz="6" w:space="0" w:color="999999"/>
              <w:left w:val="single" w:sz="6" w:space="0" w:color="999999"/>
              <w:bottom w:val="single" w:sz="6" w:space="0" w:color="999999"/>
              <w:right w:val="single" w:sz="6" w:space="0" w:color="999999"/>
            </w:tcBorders>
            <w:hideMark/>
          </w:tcPr>
          <w:p w14:paraId="1C450FD9" w14:textId="77777777" w:rsidR="00A12414" w:rsidRPr="00291738" w:rsidRDefault="00A12414" w:rsidP="001869FF">
            <w:pPr>
              <w:spacing w:line="240" w:lineRule="auto"/>
              <w:jc w:val="center"/>
              <w:rPr>
                <w:rFonts w:ascii="Times New Roman" w:hAnsi="Times New Roman" w:cs="Times New Roman"/>
                <w:b/>
                <w:bCs/>
                <w:sz w:val="20"/>
                <w:szCs w:val="20"/>
                <w:lang w:val="es-UY"/>
              </w:rPr>
            </w:pPr>
            <w:r w:rsidRPr="00291738">
              <w:rPr>
                <w:rFonts w:ascii="Times New Roman" w:hAnsi="Times New Roman" w:cs="Times New Roman"/>
                <w:b/>
                <w:bCs/>
                <w:sz w:val="20"/>
                <w:szCs w:val="20"/>
              </w:rPr>
              <w:t>Profesional</w:t>
            </w:r>
          </w:p>
        </w:tc>
        <w:tc>
          <w:tcPr>
            <w:tcW w:w="6720" w:type="dxa"/>
            <w:tcBorders>
              <w:top w:val="single" w:sz="6" w:space="0" w:color="999999"/>
              <w:left w:val="single" w:sz="6" w:space="0" w:color="999999"/>
              <w:bottom w:val="single" w:sz="6" w:space="0" w:color="999999"/>
              <w:right w:val="single" w:sz="6" w:space="0" w:color="999999"/>
            </w:tcBorders>
            <w:hideMark/>
          </w:tcPr>
          <w:p w14:paraId="207DC682" w14:textId="77777777" w:rsidR="00A12414" w:rsidRPr="00291738" w:rsidRDefault="00A12414" w:rsidP="001869FF">
            <w:pPr>
              <w:spacing w:line="240" w:lineRule="auto"/>
              <w:jc w:val="center"/>
              <w:rPr>
                <w:rFonts w:ascii="Times New Roman" w:hAnsi="Times New Roman" w:cs="Times New Roman"/>
                <w:sz w:val="20"/>
                <w:szCs w:val="20"/>
                <w:lang w:val="es-UY"/>
              </w:rPr>
            </w:pPr>
            <w:r w:rsidRPr="00291738">
              <w:rPr>
                <w:rFonts w:ascii="Times New Roman" w:hAnsi="Times New Roman" w:cs="Times New Roman"/>
                <w:sz w:val="20"/>
                <w:szCs w:val="20"/>
              </w:rPr>
              <w:t>FADU, FODON, FDER, FMED, Hospital de Clínicas, FCEA, ISEF, FENF, Artes</w:t>
            </w:r>
          </w:p>
        </w:tc>
      </w:tr>
      <w:tr w:rsidR="00A12414" w:rsidRPr="00291738" w14:paraId="164B5624" w14:textId="77777777" w:rsidTr="001869FF">
        <w:trPr>
          <w:trHeight w:val="300"/>
        </w:trPr>
        <w:tc>
          <w:tcPr>
            <w:tcW w:w="1755" w:type="dxa"/>
            <w:tcBorders>
              <w:top w:val="single" w:sz="6" w:space="0" w:color="999999"/>
              <w:left w:val="single" w:sz="6" w:space="0" w:color="999999"/>
              <w:bottom w:val="single" w:sz="6" w:space="0" w:color="999999"/>
              <w:right w:val="single" w:sz="6" w:space="0" w:color="999999"/>
            </w:tcBorders>
            <w:hideMark/>
          </w:tcPr>
          <w:p w14:paraId="58C28736" w14:textId="77777777" w:rsidR="00A12414" w:rsidRPr="00291738" w:rsidRDefault="00A12414" w:rsidP="001869FF">
            <w:pPr>
              <w:spacing w:line="240" w:lineRule="auto"/>
              <w:jc w:val="center"/>
              <w:rPr>
                <w:rFonts w:ascii="Times New Roman" w:hAnsi="Times New Roman" w:cs="Times New Roman"/>
                <w:b/>
                <w:bCs/>
                <w:sz w:val="20"/>
                <w:szCs w:val="20"/>
                <w:lang w:val="es-UY"/>
              </w:rPr>
            </w:pPr>
            <w:r w:rsidRPr="00291738">
              <w:rPr>
                <w:rFonts w:ascii="Times New Roman" w:hAnsi="Times New Roman" w:cs="Times New Roman"/>
                <w:b/>
                <w:bCs/>
                <w:sz w:val="20"/>
                <w:szCs w:val="20"/>
              </w:rPr>
              <w:t>Académico</w:t>
            </w:r>
          </w:p>
        </w:tc>
        <w:tc>
          <w:tcPr>
            <w:tcW w:w="6720" w:type="dxa"/>
            <w:tcBorders>
              <w:top w:val="single" w:sz="6" w:space="0" w:color="999999"/>
              <w:left w:val="single" w:sz="6" w:space="0" w:color="999999"/>
              <w:bottom w:val="single" w:sz="6" w:space="0" w:color="999999"/>
              <w:right w:val="single" w:sz="6" w:space="0" w:color="999999"/>
            </w:tcBorders>
            <w:hideMark/>
          </w:tcPr>
          <w:p w14:paraId="39CA05BF" w14:textId="77777777" w:rsidR="00A12414" w:rsidRPr="00291738" w:rsidRDefault="00A12414" w:rsidP="001869FF">
            <w:pPr>
              <w:spacing w:line="240" w:lineRule="auto"/>
              <w:jc w:val="center"/>
              <w:rPr>
                <w:rFonts w:ascii="Times New Roman" w:hAnsi="Times New Roman" w:cs="Times New Roman"/>
                <w:sz w:val="20"/>
                <w:szCs w:val="20"/>
                <w:lang w:val="es-UY"/>
              </w:rPr>
            </w:pPr>
            <w:r w:rsidRPr="00291738">
              <w:rPr>
                <w:rFonts w:ascii="Times New Roman" w:hAnsi="Times New Roman" w:cs="Times New Roman"/>
                <w:sz w:val="20"/>
                <w:szCs w:val="20"/>
              </w:rPr>
              <w:t>FQ, FCIEN, FING, FHCE, FCS, FAGRO, CENUR Noreste</w:t>
            </w:r>
          </w:p>
        </w:tc>
      </w:tr>
      <w:tr w:rsidR="00A12414" w:rsidRPr="00291738" w14:paraId="09D6CEFA" w14:textId="77777777" w:rsidTr="001869FF">
        <w:trPr>
          <w:trHeight w:val="300"/>
        </w:trPr>
        <w:tc>
          <w:tcPr>
            <w:tcW w:w="1755" w:type="dxa"/>
            <w:tcBorders>
              <w:top w:val="single" w:sz="6" w:space="0" w:color="999999"/>
              <w:left w:val="single" w:sz="6" w:space="0" w:color="999999"/>
              <w:bottom w:val="single" w:sz="6" w:space="0" w:color="999999"/>
              <w:right w:val="single" w:sz="6" w:space="0" w:color="999999"/>
            </w:tcBorders>
            <w:hideMark/>
          </w:tcPr>
          <w:p w14:paraId="6334702D" w14:textId="77777777" w:rsidR="00A12414" w:rsidRPr="00291738" w:rsidRDefault="00A12414" w:rsidP="001869FF">
            <w:pPr>
              <w:spacing w:line="240" w:lineRule="auto"/>
              <w:jc w:val="center"/>
              <w:rPr>
                <w:rFonts w:ascii="Times New Roman" w:hAnsi="Times New Roman" w:cs="Times New Roman"/>
                <w:b/>
                <w:bCs/>
                <w:sz w:val="20"/>
                <w:szCs w:val="20"/>
                <w:lang w:val="es-UY"/>
              </w:rPr>
            </w:pPr>
            <w:r w:rsidRPr="00291738">
              <w:rPr>
                <w:rFonts w:ascii="Times New Roman" w:hAnsi="Times New Roman" w:cs="Times New Roman"/>
                <w:b/>
                <w:bCs/>
                <w:sz w:val="20"/>
                <w:szCs w:val="20"/>
              </w:rPr>
              <w:lastRenderedPageBreak/>
              <w:t>Mixto</w:t>
            </w:r>
          </w:p>
        </w:tc>
        <w:tc>
          <w:tcPr>
            <w:tcW w:w="6720" w:type="dxa"/>
            <w:tcBorders>
              <w:top w:val="single" w:sz="6" w:space="0" w:color="999999"/>
              <w:left w:val="single" w:sz="6" w:space="0" w:color="999999"/>
              <w:bottom w:val="single" w:sz="6" w:space="0" w:color="999999"/>
              <w:right w:val="single" w:sz="6" w:space="0" w:color="999999"/>
            </w:tcBorders>
            <w:hideMark/>
          </w:tcPr>
          <w:p w14:paraId="6DC06B07" w14:textId="77777777" w:rsidR="00A12414" w:rsidRPr="00291738" w:rsidRDefault="00A12414" w:rsidP="001869FF">
            <w:pPr>
              <w:spacing w:line="240" w:lineRule="auto"/>
              <w:jc w:val="center"/>
              <w:rPr>
                <w:rFonts w:ascii="Times New Roman" w:hAnsi="Times New Roman" w:cs="Times New Roman"/>
                <w:sz w:val="20"/>
                <w:szCs w:val="20"/>
                <w:lang w:val="es-UY"/>
              </w:rPr>
            </w:pPr>
            <w:r w:rsidRPr="00291738">
              <w:rPr>
                <w:rFonts w:ascii="Times New Roman" w:hAnsi="Times New Roman" w:cs="Times New Roman"/>
                <w:sz w:val="20"/>
                <w:szCs w:val="20"/>
              </w:rPr>
              <w:t>FPSICO, FVET, Oficinas Centrales, NUTR, FIC, CENUR Litoral Norte, CURE</w:t>
            </w:r>
          </w:p>
        </w:tc>
      </w:tr>
    </w:tbl>
    <w:p w14:paraId="168BC66D" w14:textId="174FAAA9" w:rsidR="002B1C35" w:rsidRPr="002B1C35" w:rsidRDefault="002B1C35" w:rsidP="002B1C35">
      <w:pPr>
        <w:spacing w:line="240" w:lineRule="auto"/>
        <w:jc w:val="both"/>
        <w:rPr>
          <w:rFonts w:ascii="Times New Roman" w:hAnsi="Times New Roman" w:cs="Times New Roman"/>
        </w:rPr>
      </w:pPr>
    </w:p>
    <w:p w14:paraId="0B47FF9E" w14:textId="77777777" w:rsidR="002B1C35" w:rsidRPr="002B1C35" w:rsidRDefault="002B1C35" w:rsidP="002B1C35">
      <w:pPr>
        <w:spacing w:line="240" w:lineRule="auto"/>
        <w:jc w:val="both"/>
        <w:rPr>
          <w:rFonts w:ascii="Times New Roman" w:hAnsi="Times New Roman" w:cs="Times New Roman"/>
          <w:b/>
        </w:rPr>
      </w:pPr>
      <w:r w:rsidRPr="002B1C35">
        <w:rPr>
          <w:rFonts w:ascii="Times New Roman" w:hAnsi="Times New Roman" w:cs="Times New Roman"/>
          <w:b/>
        </w:rPr>
        <w:t xml:space="preserve">Conclusiones </w:t>
      </w:r>
    </w:p>
    <w:p w14:paraId="642616D4" w14:textId="2FFE0CB2" w:rsidR="002B1C35" w:rsidRPr="002B1C35" w:rsidRDefault="002B1C35" w:rsidP="002B1C35">
      <w:pPr>
        <w:spacing w:line="240" w:lineRule="auto"/>
        <w:jc w:val="both"/>
        <w:rPr>
          <w:rFonts w:ascii="Times New Roman" w:hAnsi="Times New Roman" w:cs="Times New Roman"/>
        </w:rPr>
      </w:pPr>
      <w:r w:rsidRPr="002B1C35">
        <w:rPr>
          <w:rFonts w:ascii="Times New Roman" w:hAnsi="Times New Roman" w:cs="Times New Roman"/>
        </w:rPr>
        <w:t xml:space="preserve">Los resultados presentados permiten sostener que las transformaciones recientes de la educación superior latinoamericana no pueden comprenderse únicamente como procesos de expansión cuantitativa, diversificación institucional o ampliación del acceso. Más profundamente, </w:t>
      </w:r>
      <w:r w:rsidR="00FC16AC">
        <w:rPr>
          <w:rFonts w:ascii="Times New Roman" w:hAnsi="Times New Roman" w:cs="Times New Roman"/>
        </w:rPr>
        <w:t>estos cambios</w:t>
      </w:r>
      <w:r w:rsidRPr="002B1C35">
        <w:rPr>
          <w:rFonts w:ascii="Times New Roman" w:hAnsi="Times New Roman" w:cs="Times New Roman"/>
        </w:rPr>
        <w:t xml:space="preserve"> han alterado las formas de estructuración interna de la profesión académica, consolidando mecanismos de diferenciación que operan crecientemente dentro del propio campo universitario. </w:t>
      </w:r>
    </w:p>
    <w:p w14:paraId="48409E16" w14:textId="7E8BBB3E" w:rsidR="002B1C35" w:rsidRPr="002B1C35" w:rsidRDefault="002B1C35" w:rsidP="002B1C35">
      <w:pPr>
        <w:spacing w:line="240" w:lineRule="auto"/>
        <w:jc w:val="both"/>
        <w:rPr>
          <w:rFonts w:ascii="Times New Roman" w:hAnsi="Times New Roman" w:cs="Times New Roman"/>
        </w:rPr>
      </w:pPr>
      <w:r w:rsidRPr="002B1C35">
        <w:rPr>
          <w:rFonts w:ascii="Times New Roman" w:hAnsi="Times New Roman" w:cs="Times New Roman"/>
        </w:rPr>
        <w:t xml:space="preserve">El análisis desarrollado para la Udelar muestra que las diferencias entre perfiles docentes no remiten solamente a trayectorias individuales o preferencias ocupacionales, sino a configuraciones disciplinares relativamente estables, asociadas a </w:t>
      </w:r>
      <w:r w:rsidR="003D02C4">
        <w:rPr>
          <w:rFonts w:ascii="Times New Roman" w:hAnsi="Times New Roman" w:cs="Times New Roman"/>
        </w:rPr>
        <w:t>tipos diferentes</w:t>
      </w:r>
      <w:r w:rsidRPr="002B1C35">
        <w:rPr>
          <w:rFonts w:ascii="Times New Roman" w:hAnsi="Times New Roman" w:cs="Times New Roman"/>
        </w:rPr>
        <w:t xml:space="preserve"> de vinculación institucional. La distribución</w:t>
      </w:r>
      <w:r w:rsidR="00DF46DD">
        <w:rPr>
          <w:rFonts w:ascii="Times New Roman" w:hAnsi="Times New Roman" w:cs="Times New Roman"/>
        </w:rPr>
        <w:t xml:space="preserve"> </w:t>
      </w:r>
      <w:r w:rsidRPr="002B1C35">
        <w:rPr>
          <w:rFonts w:ascii="Times New Roman" w:hAnsi="Times New Roman" w:cs="Times New Roman"/>
        </w:rPr>
        <w:t xml:space="preserve">de dedicaciones horarias, participación en investigación, formación doctoral y ocupación laboral externa configura posiciones objetivamente diferenciadas dentro del espacio académico, produciendo oportunidades desiguales de acumulación de capital científico y de integración a comunidades epistémicas activas. </w:t>
      </w:r>
      <w:r w:rsidR="00C110EB">
        <w:rPr>
          <w:rFonts w:ascii="Times New Roman" w:hAnsi="Times New Roman" w:cs="Times New Roman"/>
        </w:rPr>
        <w:t>L</w:t>
      </w:r>
      <w:r w:rsidRPr="002B1C35">
        <w:rPr>
          <w:rFonts w:ascii="Times New Roman" w:hAnsi="Times New Roman" w:cs="Times New Roman"/>
        </w:rPr>
        <w:t xml:space="preserve">os resultados permiten identificar una segmentación estructural entre núcleos académicos fuertemente institucionalizados —caracterizados por altas dedicaciones, investigación y doctorado— y núcleos predominantemente profesionales, donde prevalecen dedicaciones parciales y una mayor inserción en mercados laborales externos. Entre ambos polos emergen configuraciones híbridas o mixtas, que expresan la coexistencia y tensión entre lógicas académicas y profesionales dentro de un mismo sistema universitario. </w:t>
      </w:r>
    </w:p>
    <w:p w14:paraId="71FD9246" w14:textId="598596C5" w:rsidR="002B1C35" w:rsidRPr="002B1C35" w:rsidRDefault="002F4E09" w:rsidP="002B1C35">
      <w:pPr>
        <w:spacing w:line="240" w:lineRule="auto"/>
        <w:jc w:val="both"/>
        <w:rPr>
          <w:rFonts w:ascii="Times New Roman" w:hAnsi="Times New Roman" w:cs="Times New Roman"/>
        </w:rPr>
      </w:pPr>
      <w:r>
        <w:rPr>
          <w:rFonts w:ascii="Times New Roman" w:hAnsi="Times New Roman" w:cs="Times New Roman"/>
        </w:rPr>
        <w:t>E</w:t>
      </w:r>
      <w:r w:rsidR="002B1C35" w:rsidRPr="002B1C35">
        <w:rPr>
          <w:rFonts w:ascii="Times New Roman" w:hAnsi="Times New Roman" w:cs="Times New Roman"/>
        </w:rPr>
        <w:t xml:space="preserve">stos hallazgos sugieren la necesidad de revisar parcialmente las interpretaciones clásicas sobre universidad, profesión y estatus. Las formulaciones centradas en la clausura social y la acreditación profesional continúan siendo relevantes para comprender el papel histórico de la universidad en la regulación del acceso a posiciones ocupacionales y en la distribución diferencial de prestigio social. Sin embargo, resultan insuficientes para explicar </w:t>
      </w:r>
      <w:r w:rsidR="003D02C4">
        <w:rPr>
          <w:rFonts w:ascii="Times New Roman" w:hAnsi="Times New Roman" w:cs="Times New Roman"/>
        </w:rPr>
        <w:t>l</w:t>
      </w:r>
      <w:r w:rsidR="00076416">
        <w:rPr>
          <w:rFonts w:ascii="Times New Roman" w:hAnsi="Times New Roman" w:cs="Times New Roman"/>
        </w:rPr>
        <w:t>as nuevas estratificaciones producidas</w:t>
      </w:r>
      <w:r w:rsidR="002B1C35" w:rsidRPr="002B1C35">
        <w:rPr>
          <w:rFonts w:ascii="Times New Roman" w:hAnsi="Times New Roman" w:cs="Times New Roman"/>
        </w:rPr>
        <w:t xml:space="preserve"> por la expansión contemporánea de la educación superior y por la creciente autonomización del campo académico. </w:t>
      </w:r>
    </w:p>
    <w:p w14:paraId="27E170EE" w14:textId="33934A5A" w:rsidR="002B1C35" w:rsidRPr="002B1C35" w:rsidRDefault="00065C7A" w:rsidP="002B1C35">
      <w:pPr>
        <w:spacing w:line="240" w:lineRule="auto"/>
        <w:jc w:val="both"/>
        <w:rPr>
          <w:rFonts w:ascii="Times New Roman" w:hAnsi="Times New Roman" w:cs="Times New Roman"/>
        </w:rPr>
      </w:pPr>
      <w:r>
        <w:rPr>
          <w:rFonts w:ascii="Times New Roman" w:hAnsi="Times New Roman" w:cs="Times New Roman"/>
        </w:rPr>
        <w:t>A</w:t>
      </w:r>
      <w:r w:rsidR="00353E37">
        <w:rPr>
          <w:rFonts w:ascii="Times New Roman" w:hAnsi="Times New Roman" w:cs="Times New Roman"/>
        </w:rPr>
        <w:t xml:space="preserve"> la luz de estos planteos</w:t>
      </w:r>
      <w:r w:rsidR="002B1C35" w:rsidRPr="002B1C35">
        <w:rPr>
          <w:rFonts w:ascii="Times New Roman" w:hAnsi="Times New Roman" w:cs="Times New Roman"/>
        </w:rPr>
        <w:t xml:space="preserve">, el trabajo permite sostener que la segmentación de la profesión académica ya no responde exclusivamente a diferencias históricas entre profesiones o disciplinas, sino también a mecanismos de diferenciación producidos dentro del propio espacio universitario. La distribución de dedicaciones, tiempo institucional, acceso a investigación y capital académico configura posiciones diferenciadas que adquieren creciente autonomía respecto del prestigio ocupacional externo. De este modo, la universidad contemporánea </w:t>
      </w:r>
      <w:r w:rsidR="00A1113B">
        <w:rPr>
          <w:rFonts w:ascii="Times New Roman" w:hAnsi="Times New Roman" w:cs="Times New Roman"/>
        </w:rPr>
        <w:t>no solo</w:t>
      </w:r>
      <w:r w:rsidR="002B1C35" w:rsidRPr="002B1C35">
        <w:rPr>
          <w:rFonts w:ascii="Times New Roman" w:hAnsi="Times New Roman" w:cs="Times New Roman"/>
        </w:rPr>
        <w:t xml:space="preserve"> reproduce jerarquías sociales preexistentes, sino que redefine activamente las condiciones de reconocimiento y legitimidad en la sociedad del conocimiento. </w:t>
      </w:r>
    </w:p>
    <w:p w14:paraId="0EB62AB6" w14:textId="043F14E3" w:rsidR="002B1C35" w:rsidRPr="002B1C35" w:rsidRDefault="002B1C35" w:rsidP="002B1C35">
      <w:pPr>
        <w:spacing w:line="240" w:lineRule="auto"/>
        <w:jc w:val="both"/>
        <w:rPr>
          <w:rFonts w:ascii="Times New Roman" w:hAnsi="Times New Roman" w:cs="Times New Roman"/>
        </w:rPr>
      </w:pPr>
      <w:r w:rsidRPr="002B1C35">
        <w:rPr>
          <w:rFonts w:ascii="Times New Roman" w:hAnsi="Times New Roman" w:cs="Times New Roman"/>
        </w:rPr>
        <w:t xml:space="preserve">El trabajo sugiere, así, que la universidad contemporánea opera simultáneamente bajo una doble lógica de integración y diferenciación social. Por un lado, continúa funcionando </w:t>
      </w:r>
      <w:r w:rsidRPr="002B1C35">
        <w:rPr>
          <w:rFonts w:ascii="Times New Roman" w:hAnsi="Times New Roman" w:cs="Times New Roman"/>
        </w:rPr>
        <w:lastRenderedPageBreak/>
        <w:t xml:space="preserve">como instancia central de certificación, clausura social y regulación del acceso a posiciones ocupacionales, reproduciendo jerarquías profesionales relativamente estables mediante mecanismos de acreditación diferencial. Por otro, produce </w:t>
      </w:r>
      <w:r w:rsidR="00FD3DE8">
        <w:rPr>
          <w:rFonts w:ascii="Times New Roman" w:hAnsi="Times New Roman" w:cs="Times New Roman"/>
        </w:rPr>
        <w:t>especificidades</w:t>
      </w:r>
      <w:r w:rsidRPr="002B1C35">
        <w:rPr>
          <w:rFonts w:ascii="Times New Roman" w:hAnsi="Times New Roman" w:cs="Times New Roman"/>
        </w:rPr>
        <w:t xml:space="preserve"> de estratificación </w:t>
      </w:r>
      <w:proofErr w:type="spellStart"/>
      <w:r w:rsidRPr="002B1C35">
        <w:rPr>
          <w:rFonts w:ascii="Times New Roman" w:hAnsi="Times New Roman" w:cs="Times New Roman"/>
        </w:rPr>
        <w:t>intraacadémica</w:t>
      </w:r>
      <w:proofErr w:type="spellEnd"/>
      <w:r w:rsidRPr="002B1C35">
        <w:rPr>
          <w:rFonts w:ascii="Times New Roman" w:hAnsi="Times New Roman" w:cs="Times New Roman"/>
        </w:rPr>
        <w:t xml:space="preserve"> basadas en la distribución desigual de tiempo institucional, acceso a investigación, inserción en redes científicas y acumulación de capital académico. Mientras la primera lógica organiza principalmente formas de integración vinculadas al reconocimiento profesional y a la estructuración de mercados ocupacionales, la segunda configura mecanismos de legitimación asociados a la producción de conocimiento y a la integración diferencial en comunidades epistémicas. En este </w:t>
      </w:r>
      <w:r w:rsidR="00704C31">
        <w:rPr>
          <w:rFonts w:ascii="Times New Roman" w:hAnsi="Times New Roman" w:cs="Times New Roman"/>
        </w:rPr>
        <w:t>sentido</w:t>
      </w:r>
      <w:r w:rsidRPr="002B1C35">
        <w:rPr>
          <w:rFonts w:ascii="Times New Roman" w:hAnsi="Times New Roman" w:cs="Times New Roman"/>
        </w:rPr>
        <w:t xml:space="preserve">, prestigio profesional y prestigio académico ya no necesariamente coinciden, generando tensiones crecientes entre reconocimiento ocupacional externo y legitimidad científica interna. </w:t>
      </w:r>
    </w:p>
    <w:p w14:paraId="7D915032" w14:textId="1166BBDB" w:rsidR="002B1C35" w:rsidRPr="002B1C35" w:rsidRDefault="002B1C35" w:rsidP="002B1C35">
      <w:pPr>
        <w:spacing w:line="240" w:lineRule="auto"/>
        <w:jc w:val="both"/>
        <w:rPr>
          <w:rFonts w:ascii="Times New Roman" w:hAnsi="Times New Roman" w:cs="Times New Roman"/>
        </w:rPr>
      </w:pPr>
      <w:r w:rsidRPr="002B1C35">
        <w:rPr>
          <w:rFonts w:ascii="Times New Roman" w:hAnsi="Times New Roman" w:cs="Times New Roman"/>
        </w:rPr>
        <w:t>Esta dinámica adquiere especial relevancia en contextos caracterizados por expansión de dispositivos de evaluación, internacionalización asimétrica, financiamiento competitivo y creciente presión sobre los sistemas públicos de educación superior. Bajo estas condiciones, la universidad reproduce desigualdades sociales preexistentes</w:t>
      </w:r>
      <w:r w:rsidR="00A9601F">
        <w:rPr>
          <w:rFonts w:ascii="Times New Roman" w:hAnsi="Times New Roman" w:cs="Times New Roman"/>
        </w:rPr>
        <w:t xml:space="preserve"> y </w:t>
      </w:r>
      <w:r w:rsidRPr="002B1C35">
        <w:rPr>
          <w:rFonts w:ascii="Times New Roman" w:hAnsi="Times New Roman" w:cs="Times New Roman"/>
        </w:rPr>
        <w:t xml:space="preserve">participa activamente en la redefinición de los criterios de reconocimiento y estatus en la sociedad del conocimiento. </w:t>
      </w:r>
    </w:p>
    <w:p w14:paraId="516760EB" w14:textId="0F7C0FA3" w:rsidR="00A23230" w:rsidRDefault="00BB30C6" w:rsidP="00927439">
      <w:pPr>
        <w:spacing w:line="240" w:lineRule="auto"/>
        <w:jc w:val="both"/>
        <w:rPr>
          <w:rFonts w:ascii="Times New Roman" w:hAnsi="Times New Roman" w:cs="Times New Roman"/>
        </w:rPr>
      </w:pPr>
      <w:r w:rsidRPr="00BB30C6">
        <w:rPr>
          <w:rFonts w:ascii="Times New Roman" w:hAnsi="Times New Roman" w:cs="Times New Roman"/>
        </w:rPr>
        <w:t>En términos más amplios, el caso de la Udelar permite observar tendencias presentes en numerosos sistemas latinoamericanos de educación superior, donde la masificación y la diferenciación institucional han favorecido configuraciones crecientemente heterogéneas del trabajo académico. En este contexto, la segmentación de la profesión académica trasciende un problema meramente organizacional o laboral y funciona, como sugieren Clark (1987) y Becher (2001), como un mecanismo de producción desigual de capacidades científicas, condiciones de investigación y posibilidades efectivas de participación en la vida académica. Desde esta perspectiva, la articulación entre los abordajes clásicos sobre clausura social y acreditación profesional y los enfoques centrados en los modos contemporáneos de vinculación institucional y producción de capital académico permite comprender que las desigualdades actuales de la educación superior ya no se estructuran exclusivamente alrededor del acceso a títulos y posiciones ocupacionales, sino también en torno a la distribución desigual de las condiciones de integración al propio campo académico y de participación en la producción social de conocimiento.</w:t>
      </w:r>
    </w:p>
    <w:p w14:paraId="207C2DB4" w14:textId="51A210B2" w:rsidR="00DD5FCE" w:rsidRPr="00463D8C" w:rsidRDefault="002B1C35" w:rsidP="00927439">
      <w:pPr>
        <w:spacing w:line="240" w:lineRule="auto"/>
        <w:jc w:val="both"/>
        <w:rPr>
          <w:rFonts w:ascii="Times New Roman" w:hAnsi="Times New Roman" w:cs="Times New Roman"/>
          <w:b/>
        </w:rPr>
      </w:pPr>
      <w:r w:rsidRPr="002B1C35">
        <w:rPr>
          <w:rFonts w:ascii="Times New Roman" w:hAnsi="Times New Roman" w:cs="Times New Roman"/>
          <w:b/>
        </w:rPr>
        <w:t>Referencias Bibliográficas</w:t>
      </w:r>
    </w:p>
    <w:p w14:paraId="43509BEF" w14:textId="30503590" w:rsidR="002B1C35" w:rsidRPr="00365E87" w:rsidRDefault="002B1C35" w:rsidP="00927439">
      <w:pPr>
        <w:spacing w:line="240" w:lineRule="auto"/>
        <w:jc w:val="both"/>
        <w:rPr>
          <w:rFonts w:ascii="Times New Roman" w:hAnsi="Times New Roman" w:cs="Times New Roman"/>
          <w:lang w:val="en-GB"/>
        </w:rPr>
      </w:pPr>
      <w:r w:rsidRPr="00365E87">
        <w:rPr>
          <w:rFonts w:ascii="Times New Roman" w:hAnsi="Times New Roman" w:cs="Times New Roman"/>
        </w:rPr>
        <w:t>Abdi, H</w:t>
      </w:r>
      <w:r w:rsidR="0074694B" w:rsidRPr="00365E87">
        <w:rPr>
          <w:rFonts w:ascii="Times New Roman" w:hAnsi="Times New Roman" w:cs="Times New Roman"/>
        </w:rPr>
        <w:t>.,</w:t>
      </w:r>
      <w:r w:rsidRPr="00365E87">
        <w:rPr>
          <w:rFonts w:ascii="Times New Roman" w:hAnsi="Times New Roman" w:cs="Times New Roman"/>
        </w:rPr>
        <w:t xml:space="preserve"> &amp; Williams,</w:t>
      </w:r>
      <w:r w:rsidR="00BA4AD2" w:rsidRPr="00365E87">
        <w:rPr>
          <w:rFonts w:ascii="Times New Roman" w:hAnsi="Times New Roman" w:cs="Times New Roman"/>
        </w:rPr>
        <w:t xml:space="preserve"> L</w:t>
      </w:r>
      <w:r w:rsidRPr="00365E87">
        <w:rPr>
          <w:rFonts w:ascii="Times New Roman" w:hAnsi="Times New Roman" w:cs="Times New Roman"/>
        </w:rPr>
        <w:t xml:space="preserve">. </w:t>
      </w:r>
      <w:r w:rsidRPr="001704A0">
        <w:rPr>
          <w:rFonts w:ascii="Times New Roman" w:hAnsi="Times New Roman" w:cs="Times New Roman"/>
          <w:lang w:val="es-UY"/>
        </w:rPr>
        <w:t xml:space="preserve">(2010). </w:t>
      </w:r>
      <w:r w:rsidRPr="00365E87">
        <w:rPr>
          <w:rFonts w:ascii="Times New Roman" w:hAnsi="Times New Roman" w:cs="Times New Roman"/>
          <w:i/>
          <w:iCs/>
          <w:lang w:val="en-GB"/>
        </w:rPr>
        <w:t>Principal component analysis</w:t>
      </w:r>
      <w:r w:rsidRPr="00365E87">
        <w:rPr>
          <w:rFonts w:ascii="Times New Roman" w:hAnsi="Times New Roman" w:cs="Times New Roman"/>
          <w:lang w:val="en-GB"/>
        </w:rPr>
        <w:t xml:space="preserve">. Wiley Interdisciplinary Reviews: Computational Statistics, 2(4), 433–459. https://doi.org/10.1002/wics.101 </w:t>
      </w:r>
    </w:p>
    <w:p w14:paraId="067AFDA3" w14:textId="77777777" w:rsidR="002B1C35" w:rsidRPr="00365E87" w:rsidRDefault="002B1C35" w:rsidP="00CD3CA6">
      <w:pPr>
        <w:spacing w:line="240" w:lineRule="auto"/>
        <w:jc w:val="both"/>
        <w:rPr>
          <w:rFonts w:ascii="Times New Roman" w:hAnsi="Times New Roman" w:cs="Times New Roman"/>
        </w:rPr>
      </w:pPr>
      <w:r w:rsidRPr="00365E87">
        <w:rPr>
          <w:rFonts w:ascii="Times New Roman" w:hAnsi="Times New Roman" w:cs="Times New Roman"/>
        </w:rPr>
        <w:t xml:space="preserve">Amarilla, D. (2025). </w:t>
      </w:r>
      <w:r w:rsidRPr="00365E87">
        <w:rPr>
          <w:rFonts w:ascii="Times New Roman" w:hAnsi="Times New Roman" w:cs="Times New Roman"/>
          <w:i/>
          <w:iCs/>
        </w:rPr>
        <w:t>Perfiles docentes y vinculación institucional en UDELAR</w:t>
      </w:r>
      <w:r w:rsidRPr="00365E87">
        <w:rPr>
          <w:rFonts w:ascii="Times New Roman" w:hAnsi="Times New Roman" w:cs="Times New Roman"/>
        </w:rPr>
        <w:t xml:space="preserve">. Integración Y Conocimiento, 14(2). https://doi.org/10.61203/2347-0658.v14.n2.49802 </w:t>
      </w:r>
    </w:p>
    <w:p w14:paraId="6009AFB2" w14:textId="41DE8648" w:rsidR="00CD3CA6" w:rsidRPr="00365E87" w:rsidRDefault="00CD3CA6" w:rsidP="00CD3CA6">
      <w:pPr>
        <w:spacing w:line="240" w:lineRule="auto"/>
        <w:jc w:val="both"/>
        <w:rPr>
          <w:rFonts w:ascii="Times New Roman" w:hAnsi="Times New Roman" w:cs="Times New Roman"/>
        </w:rPr>
      </w:pPr>
      <w:r w:rsidRPr="00365E87">
        <w:rPr>
          <w:rFonts w:ascii="Times New Roman" w:hAnsi="Times New Roman" w:cs="Times New Roman"/>
        </w:rPr>
        <w:t xml:space="preserve">Becher, T. (2001). </w:t>
      </w:r>
      <w:r w:rsidRPr="00365E87">
        <w:rPr>
          <w:rFonts w:ascii="Times New Roman" w:hAnsi="Times New Roman" w:cs="Times New Roman"/>
          <w:i/>
        </w:rPr>
        <w:t>Tribus y territorios académicos. La indagación intelectual y las culturas de las disciplinas</w:t>
      </w:r>
      <w:r w:rsidRPr="00365E87">
        <w:rPr>
          <w:rFonts w:ascii="Times New Roman" w:hAnsi="Times New Roman" w:cs="Times New Roman"/>
        </w:rPr>
        <w:t>. Barcelona: Gedisa.</w:t>
      </w:r>
    </w:p>
    <w:p w14:paraId="6A482806" w14:textId="2C6CF651" w:rsidR="00927439" w:rsidRPr="00365E87" w:rsidRDefault="00927439" w:rsidP="00CD3CA6">
      <w:pPr>
        <w:spacing w:line="240" w:lineRule="auto"/>
        <w:jc w:val="both"/>
        <w:rPr>
          <w:rFonts w:ascii="Times New Roman" w:hAnsi="Times New Roman" w:cs="Times New Roman"/>
        </w:rPr>
      </w:pPr>
      <w:r w:rsidRPr="00365E87">
        <w:rPr>
          <w:rFonts w:ascii="Times New Roman" w:hAnsi="Times New Roman" w:cs="Times New Roman"/>
        </w:rPr>
        <w:t xml:space="preserve">Bourdieu, P. (2008). </w:t>
      </w:r>
      <w:r w:rsidRPr="00365E87">
        <w:rPr>
          <w:rStyle w:val="nfasis"/>
          <w:rFonts w:ascii="Times New Roman" w:hAnsi="Times New Roman" w:cs="Times New Roman"/>
        </w:rPr>
        <w:t xml:space="preserve">Homo </w:t>
      </w:r>
      <w:proofErr w:type="spellStart"/>
      <w:r w:rsidRPr="00365E87">
        <w:rPr>
          <w:rStyle w:val="nfasis"/>
          <w:rFonts w:ascii="Times New Roman" w:hAnsi="Times New Roman" w:cs="Times New Roman"/>
        </w:rPr>
        <w:t>academicus</w:t>
      </w:r>
      <w:proofErr w:type="spellEnd"/>
      <w:r w:rsidRPr="00365E87">
        <w:rPr>
          <w:rFonts w:ascii="Times New Roman" w:hAnsi="Times New Roman" w:cs="Times New Roman"/>
        </w:rPr>
        <w:t xml:space="preserve"> (A. Dilon, Trad.). Siglo XXI Editores. (Obra original publicada en 1984).</w:t>
      </w:r>
    </w:p>
    <w:p w14:paraId="231F018F" w14:textId="0310F533" w:rsidR="002B1C35" w:rsidRPr="001704A0" w:rsidRDefault="002B1C35" w:rsidP="00463D8C">
      <w:pPr>
        <w:spacing w:line="240" w:lineRule="auto"/>
        <w:jc w:val="both"/>
        <w:rPr>
          <w:rFonts w:ascii="Times New Roman" w:hAnsi="Times New Roman" w:cs="Times New Roman"/>
          <w:lang w:val="en-GB"/>
        </w:rPr>
      </w:pPr>
      <w:r w:rsidRPr="00365E87">
        <w:rPr>
          <w:rFonts w:ascii="Times New Roman" w:hAnsi="Times New Roman" w:cs="Times New Roman"/>
        </w:rPr>
        <w:lastRenderedPageBreak/>
        <w:t xml:space="preserve">Brunner, </w:t>
      </w:r>
      <w:r w:rsidR="00C2668F" w:rsidRPr="00365E87">
        <w:rPr>
          <w:rFonts w:ascii="Times New Roman" w:hAnsi="Times New Roman" w:cs="Times New Roman"/>
        </w:rPr>
        <w:t>J.,</w:t>
      </w:r>
      <w:r w:rsidRPr="00365E87">
        <w:rPr>
          <w:rFonts w:ascii="Times New Roman" w:hAnsi="Times New Roman" w:cs="Times New Roman"/>
        </w:rPr>
        <w:t xml:space="preserve"> &amp; Ganga, </w:t>
      </w:r>
      <w:r w:rsidR="00C2668F" w:rsidRPr="00365E87">
        <w:rPr>
          <w:rFonts w:ascii="Times New Roman" w:hAnsi="Times New Roman" w:cs="Times New Roman"/>
        </w:rPr>
        <w:t>F.</w:t>
      </w:r>
      <w:r w:rsidRPr="00365E87">
        <w:rPr>
          <w:rFonts w:ascii="Times New Roman" w:hAnsi="Times New Roman" w:cs="Times New Roman"/>
        </w:rPr>
        <w:t xml:space="preserve"> (2016). </w:t>
      </w:r>
      <w:r w:rsidRPr="00365E87">
        <w:rPr>
          <w:rFonts w:ascii="Times New Roman" w:hAnsi="Times New Roman" w:cs="Times New Roman"/>
          <w:i/>
          <w:iCs/>
        </w:rPr>
        <w:t>Dinámicas de transformación en la educación superior latinoamericana: Desafíos para la gobernanza</w:t>
      </w:r>
      <w:r w:rsidRPr="00365E87">
        <w:rPr>
          <w:rFonts w:ascii="Times New Roman" w:hAnsi="Times New Roman" w:cs="Times New Roman"/>
        </w:rPr>
        <w:t xml:space="preserve">. </w:t>
      </w:r>
      <w:proofErr w:type="spellStart"/>
      <w:r w:rsidRPr="001704A0">
        <w:rPr>
          <w:rFonts w:ascii="Times New Roman" w:hAnsi="Times New Roman" w:cs="Times New Roman"/>
          <w:lang w:val="en-GB"/>
        </w:rPr>
        <w:t>Opción</w:t>
      </w:r>
      <w:proofErr w:type="spellEnd"/>
      <w:r w:rsidRPr="001704A0">
        <w:rPr>
          <w:rFonts w:ascii="Times New Roman" w:hAnsi="Times New Roman" w:cs="Times New Roman"/>
          <w:lang w:val="en-GB"/>
        </w:rPr>
        <w:t xml:space="preserve">, </w:t>
      </w:r>
      <w:proofErr w:type="spellStart"/>
      <w:r w:rsidRPr="001704A0">
        <w:rPr>
          <w:rFonts w:ascii="Times New Roman" w:hAnsi="Times New Roman" w:cs="Times New Roman"/>
          <w:lang w:val="en-GB"/>
        </w:rPr>
        <w:t>Año</w:t>
      </w:r>
      <w:proofErr w:type="spellEnd"/>
      <w:r w:rsidRPr="001704A0">
        <w:rPr>
          <w:rFonts w:ascii="Times New Roman" w:hAnsi="Times New Roman" w:cs="Times New Roman"/>
          <w:lang w:val="en-GB"/>
        </w:rPr>
        <w:t xml:space="preserve"> 32, No. 80 (2016): 12 -35. ISSN 1012-1587. </w:t>
      </w:r>
    </w:p>
    <w:p w14:paraId="1C5384B1" w14:textId="4346F44A" w:rsidR="00927439" w:rsidRPr="00365E87" w:rsidRDefault="00927439" w:rsidP="00463D8C">
      <w:pPr>
        <w:spacing w:line="240" w:lineRule="auto"/>
        <w:jc w:val="both"/>
        <w:rPr>
          <w:rFonts w:ascii="Times New Roman" w:hAnsi="Times New Roman" w:cs="Times New Roman"/>
        </w:rPr>
      </w:pPr>
      <w:r w:rsidRPr="00365E87">
        <w:rPr>
          <w:rFonts w:ascii="Times New Roman" w:hAnsi="Times New Roman" w:cs="Times New Roman"/>
          <w:lang w:val="en-GB"/>
        </w:rPr>
        <w:t xml:space="preserve">Clark, B. (1987). </w:t>
      </w:r>
      <w:r w:rsidRPr="00365E87">
        <w:rPr>
          <w:rStyle w:val="nfasis"/>
          <w:rFonts w:ascii="Times New Roman" w:hAnsi="Times New Roman" w:cs="Times New Roman"/>
          <w:lang w:val="en-GB"/>
        </w:rPr>
        <w:t>The academic life: Small worlds, different worlds</w:t>
      </w:r>
      <w:r w:rsidRPr="00365E87">
        <w:rPr>
          <w:rFonts w:ascii="Times New Roman" w:hAnsi="Times New Roman" w:cs="Times New Roman"/>
          <w:lang w:val="en-GB"/>
        </w:rPr>
        <w:t xml:space="preserve">. </w:t>
      </w:r>
      <w:r w:rsidRPr="00365E87">
        <w:rPr>
          <w:rFonts w:ascii="Times New Roman" w:hAnsi="Times New Roman" w:cs="Times New Roman"/>
        </w:rPr>
        <w:t xml:space="preserve">Princeton </w:t>
      </w:r>
      <w:proofErr w:type="spellStart"/>
      <w:r w:rsidRPr="00365E87">
        <w:rPr>
          <w:rFonts w:ascii="Times New Roman" w:hAnsi="Times New Roman" w:cs="Times New Roman"/>
        </w:rPr>
        <w:t>University</w:t>
      </w:r>
      <w:proofErr w:type="spellEnd"/>
      <w:r w:rsidRPr="00365E87">
        <w:rPr>
          <w:rFonts w:ascii="Times New Roman" w:hAnsi="Times New Roman" w:cs="Times New Roman"/>
        </w:rPr>
        <w:t xml:space="preserve"> </w:t>
      </w:r>
      <w:proofErr w:type="spellStart"/>
      <w:r w:rsidRPr="00365E87">
        <w:rPr>
          <w:rFonts w:ascii="Times New Roman" w:hAnsi="Times New Roman" w:cs="Times New Roman"/>
        </w:rPr>
        <w:t>Press</w:t>
      </w:r>
      <w:proofErr w:type="spellEnd"/>
      <w:r w:rsidRPr="00365E87">
        <w:rPr>
          <w:rFonts w:ascii="Times New Roman" w:hAnsi="Times New Roman" w:cs="Times New Roman"/>
        </w:rPr>
        <w:t>.</w:t>
      </w:r>
    </w:p>
    <w:p w14:paraId="00D365A1" w14:textId="77777777" w:rsidR="00E34470" w:rsidRPr="00365E87" w:rsidRDefault="00E34470" w:rsidP="00463D8C">
      <w:pPr>
        <w:spacing w:line="240" w:lineRule="auto"/>
        <w:jc w:val="both"/>
        <w:rPr>
          <w:rFonts w:ascii="Times New Roman" w:hAnsi="Times New Roman" w:cs="Times New Roman"/>
          <w:lang w:val="en-GB"/>
        </w:rPr>
      </w:pPr>
      <w:r w:rsidRPr="00365E87">
        <w:rPr>
          <w:rFonts w:ascii="Times New Roman" w:hAnsi="Times New Roman" w:cs="Times New Roman"/>
        </w:rPr>
        <w:t xml:space="preserve">Diniz, M. (2001). </w:t>
      </w:r>
      <w:r w:rsidRPr="00365E87">
        <w:rPr>
          <w:rFonts w:ascii="Times New Roman" w:hAnsi="Times New Roman" w:cs="Times New Roman"/>
          <w:i/>
          <w:iCs/>
        </w:rPr>
        <w:t xml:space="preserve">Os </w:t>
      </w:r>
      <w:proofErr w:type="spellStart"/>
      <w:r w:rsidRPr="00365E87">
        <w:rPr>
          <w:rFonts w:ascii="Times New Roman" w:hAnsi="Times New Roman" w:cs="Times New Roman"/>
          <w:i/>
          <w:iCs/>
        </w:rPr>
        <w:t>donos</w:t>
      </w:r>
      <w:proofErr w:type="spellEnd"/>
      <w:r w:rsidRPr="00365E87">
        <w:rPr>
          <w:rFonts w:ascii="Times New Roman" w:hAnsi="Times New Roman" w:cs="Times New Roman"/>
          <w:i/>
          <w:iCs/>
        </w:rPr>
        <w:t xml:space="preserve"> do saber: </w:t>
      </w:r>
      <w:proofErr w:type="spellStart"/>
      <w:r w:rsidRPr="00365E87">
        <w:rPr>
          <w:rFonts w:ascii="Times New Roman" w:hAnsi="Times New Roman" w:cs="Times New Roman"/>
          <w:i/>
          <w:iCs/>
        </w:rPr>
        <w:t>profissões</w:t>
      </w:r>
      <w:proofErr w:type="spellEnd"/>
      <w:r w:rsidRPr="00365E87">
        <w:rPr>
          <w:rFonts w:ascii="Times New Roman" w:hAnsi="Times New Roman" w:cs="Times New Roman"/>
          <w:i/>
          <w:iCs/>
        </w:rPr>
        <w:t xml:space="preserve"> e </w:t>
      </w:r>
      <w:proofErr w:type="spellStart"/>
      <w:r w:rsidRPr="00365E87">
        <w:rPr>
          <w:rFonts w:ascii="Times New Roman" w:hAnsi="Times New Roman" w:cs="Times New Roman"/>
          <w:i/>
          <w:iCs/>
        </w:rPr>
        <w:t>monopólios</w:t>
      </w:r>
      <w:proofErr w:type="spellEnd"/>
      <w:r w:rsidRPr="00365E87">
        <w:rPr>
          <w:rFonts w:ascii="Times New Roman" w:hAnsi="Times New Roman" w:cs="Times New Roman"/>
          <w:i/>
          <w:iCs/>
        </w:rPr>
        <w:t xml:space="preserve"> </w:t>
      </w:r>
      <w:proofErr w:type="spellStart"/>
      <w:r w:rsidRPr="00365E87">
        <w:rPr>
          <w:rFonts w:ascii="Times New Roman" w:hAnsi="Times New Roman" w:cs="Times New Roman"/>
          <w:i/>
          <w:iCs/>
        </w:rPr>
        <w:t>profissionais</w:t>
      </w:r>
      <w:proofErr w:type="spellEnd"/>
      <w:r w:rsidRPr="00365E87">
        <w:rPr>
          <w:rFonts w:ascii="Times New Roman" w:hAnsi="Times New Roman" w:cs="Times New Roman"/>
        </w:rPr>
        <w:t xml:space="preserve">. </w:t>
      </w:r>
      <w:r w:rsidRPr="001704A0">
        <w:rPr>
          <w:rFonts w:ascii="Times New Roman" w:hAnsi="Times New Roman" w:cs="Times New Roman"/>
          <w:lang w:val="en-GB"/>
        </w:rPr>
        <w:t>Revan.</w:t>
      </w:r>
      <w:r w:rsidRPr="00365E87">
        <w:rPr>
          <w:rFonts w:ascii="Times New Roman" w:hAnsi="Times New Roman" w:cs="Times New Roman"/>
          <w:lang w:val="en-GB"/>
        </w:rPr>
        <w:t xml:space="preserve"> </w:t>
      </w:r>
    </w:p>
    <w:p w14:paraId="3FBC6F11" w14:textId="3F321EC6" w:rsidR="00463D8C" w:rsidRPr="00365E87" w:rsidRDefault="00463D8C" w:rsidP="00463D8C">
      <w:pPr>
        <w:spacing w:line="240" w:lineRule="auto"/>
        <w:jc w:val="both"/>
        <w:rPr>
          <w:rFonts w:ascii="Times New Roman" w:hAnsi="Times New Roman" w:cs="Times New Roman"/>
        </w:rPr>
      </w:pPr>
      <w:r w:rsidRPr="00365E87">
        <w:rPr>
          <w:rFonts w:ascii="Times New Roman" w:hAnsi="Times New Roman" w:cs="Times New Roman"/>
          <w:lang w:val="en-GB"/>
        </w:rPr>
        <w:t>Enders, J</w:t>
      </w:r>
      <w:r w:rsidR="00BA4AD2" w:rsidRPr="00365E87">
        <w:rPr>
          <w:rFonts w:ascii="Times New Roman" w:hAnsi="Times New Roman" w:cs="Times New Roman"/>
          <w:lang w:val="en-GB"/>
        </w:rPr>
        <w:t>.,</w:t>
      </w:r>
      <w:r w:rsidRPr="00365E87">
        <w:rPr>
          <w:rFonts w:ascii="Times New Roman" w:hAnsi="Times New Roman" w:cs="Times New Roman"/>
          <w:lang w:val="en-GB"/>
        </w:rPr>
        <w:t xml:space="preserve"> &amp; </w:t>
      </w:r>
      <w:proofErr w:type="spellStart"/>
      <w:r w:rsidRPr="00365E87">
        <w:rPr>
          <w:rFonts w:ascii="Times New Roman" w:hAnsi="Times New Roman" w:cs="Times New Roman"/>
          <w:lang w:val="en-GB"/>
        </w:rPr>
        <w:t>Kaulisch</w:t>
      </w:r>
      <w:proofErr w:type="spellEnd"/>
      <w:r w:rsidRPr="00365E87">
        <w:rPr>
          <w:rFonts w:ascii="Times New Roman" w:hAnsi="Times New Roman" w:cs="Times New Roman"/>
          <w:lang w:val="en-GB"/>
        </w:rPr>
        <w:t xml:space="preserve">, M. (2006). </w:t>
      </w:r>
      <w:r w:rsidRPr="00365E87">
        <w:rPr>
          <w:rFonts w:ascii="Times New Roman" w:hAnsi="Times New Roman" w:cs="Times New Roman"/>
          <w:i/>
          <w:lang w:val="en-GB"/>
        </w:rPr>
        <w:t>The binding and unbinding of academic careers</w:t>
      </w:r>
      <w:r w:rsidRPr="00365E87">
        <w:rPr>
          <w:rFonts w:ascii="Times New Roman" w:hAnsi="Times New Roman" w:cs="Times New Roman"/>
          <w:lang w:val="en-GB"/>
        </w:rPr>
        <w:t xml:space="preserve">. </w:t>
      </w:r>
      <w:proofErr w:type="spellStart"/>
      <w:r w:rsidRPr="00365E87">
        <w:rPr>
          <w:rFonts w:ascii="Times New Roman" w:hAnsi="Times New Roman" w:cs="Times New Roman"/>
          <w:lang w:val="en-GB"/>
        </w:rPr>
        <w:t>En</w:t>
      </w:r>
      <w:proofErr w:type="spellEnd"/>
      <w:r w:rsidRPr="00365E87">
        <w:rPr>
          <w:rFonts w:ascii="Times New Roman" w:hAnsi="Times New Roman" w:cs="Times New Roman"/>
          <w:lang w:val="en-GB"/>
        </w:rPr>
        <w:t xml:space="preserve">: </w:t>
      </w:r>
      <w:proofErr w:type="spellStart"/>
      <w:r w:rsidRPr="00365E87">
        <w:rPr>
          <w:rFonts w:ascii="Times New Roman" w:hAnsi="Times New Roman" w:cs="Times New Roman"/>
          <w:lang w:val="en-GB"/>
        </w:rPr>
        <w:t>Teichler</w:t>
      </w:r>
      <w:proofErr w:type="spellEnd"/>
      <w:r w:rsidRPr="00365E87">
        <w:rPr>
          <w:rFonts w:ascii="Times New Roman" w:hAnsi="Times New Roman" w:cs="Times New Roman"/>
          <w:lang w:val="en-GB"/>
        </w:rPr>
        <w:t xml:space="preserve">, U. (Ed.), The Formative Years of Scholars (Wenner-Gren International Series, 83). </w:t>
      </w:r>
      <w:r w:rsidRPr="00365E87">
        <w:rPr>
          <w:rFonts w:ascii="Times New Roman" w:hAnsi="Times New Roman" w:cs="Times New Roman"/>
        </w:rPr>
        <w:t>London, GB: Portland Press, pp. 85-95.</w:t>
      </w:r>
    </w:p>
    <w:p w14:paraId="778B86AA" w14:textId="528EB309" w:rsidR="002B1C35" w:rsidRPr="00365E87" w:rsidRDefault="002B1C35" w:rsidP="00463D8C">
      <w:pPr>
        <w:spacing w:line="240" w:lineRule="auto"/>
        <w:jc w:val="both"/>
        <w:rPr>
          <w:rFonts w:ascii="Times New Roman" w:hAnsi="Times New Roman" w:cs="Times New Roman"/>
        </w:rPr>
      </w:pPr>
      <w:r w:rsidRPr="00365E87">
        <w:rPr>
          <w:rFonts w:ascii="Times New Roman" w:hAnsi="Times New Roman" w:cs="Times New Roman"/>
        </w:rPr>
        <w:t xml:space="preserve">Errandonea, G. (2003). </w:t>
      </w:r>
      <w:r w:rsidRPr="00365E87">
        <w:rPr>
          <w:rFonts w:ascii="Times New Roman" w:hAnsi="Times New Roman" w:cs="Times New Roman"/>
          <w:i/>
          <w:iCs/>
        </w:rPr>
        <w:t>Los profesionales universitarios en Uruguay: Un perfil sociodemográfico, de formación y trabajo</w:t>
      </w:r>
      <w:r w:rsidRPr="00365E87">
        <w:rPr>
          <w:rFonts w:ascii="Times New Roman" w:hAnsi="Times New Roman" w:cs="Times New Roman"/>
        </w:rPr>
        <w:t xml:space="preserve">. Universidad de la República, Unidad de Relaciones y Cooperación con el Sector Productivo. ISBN: 9974-0-0223-0 </w:t>
      </w:r>
    </w:p>
    <w:p w14:paraId="3EBA1F0B" w14:textId="77777777" w:rsidR="002B1C35" w:rsidRPr="00365E87" w:rsidRDefault="002B1C35" w:rsidP="00463D8C">
      <w:pPr>
        <w:spacing w:line="240" w:lineRule="auto"/>
        <w:jc w:val="both"/>
        <w:rPr>
          <w:rFonts w:ascii="Times New Roman" w:hAnsi="Times New Roman" w:cs="Times New Roman"/>
        </w:rPr>
      </w:pPr>
      <w:r w:rsidRPr="00365E87">
        <w:rPr>
          <w:rFonts w:ascii="Times New Roman" w:hAnsi="Times New Roman" w:cs="Times New Roman"/>
        </w:rPr>
        <w:t xml:space="preserve">Errandonea, G. (2004). </w:t>
      </w:r>
      <w:r w:rsidRPr="00365E87">
        <w:rPr>
          <w:rFonts w:ascii="Times New Roman" w:hAnsi="Times New Roman" w:cs="Times New Roman"/>
          <w:i/>
          <w:iCs/>
        </w:rPr>
        <w:t xml:space="preserve">Los profesionales y sus mecanismos de clausura. Las complejidades del </w:t>
      </w:r>
      <w:proofErr w:type="spellStart"/>
      <w:r w:rsidRPr="00365E87">
        <w:rPr>
          <w:rFonts w:ascii="Times New Roman" w:hAnsi="Times New Roman" w:cs="Times New Roman"/>
          <w:i/>
          <w:iCs/>
        </w:rPr>
        <w:t>credencialismo</w:t>
      </w:r>
      <w:proofErr w:type="spellEnd"/>
      <w:r w:rsidRPr="00365E87">
        <w:rPr>
          <w:rFonts w:ascii="Times New Roman" w:hAnsi="Times New Roman" w:cs="Times New Roman"/>
          <w:i/>
          <w:iCs/>
        </w:rPr>
        <w:t xml:space="preserve"> </w:t>
      </w:r>
      <w:proofErr w:type="spellStart"/>
      <w:r w:rsidRPr="00365E87">
        <w:rPr>
          <w:rFonts w:ascii="Times New Roman" w:hAnsi="Times New Roman" w:cs="Times New Roman"/>
          <w:i/>
          <w:iCs/>
        </w:rPr>
        <w:t>exclusionario</w:t>
      </w:r>
      <w:proofErr w:type="spellEnd"/>
      <w:r w:rsidRPr="00365E87">
        <w:rPr>
          <w:rFonts w:ascii="Times New Roman" w:hAnsi="Times New Roman" w:cs="Times New Roman"/>
        </w:rPr>
        <w:t xml:space="preserve">. Montevideo: Udelar. Recuperado el 21 de marzo de 2025, de https://www.colibri.udelar.edu.uy/jspui/bitstream/20.500.12008/8248/1/TMS_ErrandoneaGabriel.pdf </w:t>
      </w:r>
      <w:bookmarkStart w:id="0" w:name="_GoBack"/>
      <w:bookmarkEnd w:id="0"/>
    </w:p>
    <w:p w14:paraId="742585A8" w14:textId="5EAF1A36" w:rsidR="002D1BD7" w:rsidRDefault="002D1BD7" w:rsidP="008D1767">
      <w:pPr>
        <w:spacing w:line="240" w:lineRule="auto"/>
        <w:jc w:val="both"/>
        <w:rPr>
          <w:rFonts w:ascii="Times New Roman" w:hAnsi="Times New Roman" w:cs="Times New Roman"/>
        </w:rPr>
      </w:pPr>
      <w:r w:rsidRPr="002D1BD7">
        <w:rPr>
          <w:rFonts w:ascii="Times New Roman" w:hAnsi="Times New Roman" w:cs="Times New Roman"/>
        </w:rPr>
        <w:t xml:space="preserve">Errandonea, Gabriel. </w:t>
      </w:r>
      <w:r w:rsidR="001704A0">
        <w:rPr>
          <w:rFonts w:ascii="Times New Roman" w:hAnsi="Times New Roman" w:cs="Times New Roman"/>
        </w:rPr>
        <w:t>(</w:t>
      </w:r>
      <w:r w:rsidRPr="002D1BD7">
        <w:rPr>
          <w:rFonts w:ascii="Times New Roman" w:hAnsi="Times New Roman" w:cs="Times New Roman"/>
        </w:rPr>
        <w:t>2005</w:t>
      </w:r>
      <w:r w:rsidR="001704A0">
        <w:rPr>
          <w:rFonts w:ascii="Times New Roman" w:hAnsi="Times New Roman" w:cs="Times New Roman"/>
        </w:rPr>
        <w:t xml:space="preserve">). </w:t>
      </w:r>
      <w:r w:rsidRPr="001704A0">
        <w:rPr>
          <w:rFonts w:ascii="Times New Roman" w:hAnsi="Times New Roman" w:cs="Times New Roman"/>
          <w:i/>
        </w:rPr>
        <w:t>La h</w:t>
      </w:r>
      <w:r w:rsidR="001704A0" w:rsidRPr="001704A0">
        <w:rPr>
          <w:rFonts w:ascii="Times New Roman" w:hAnsi="Times New Roman" w:cs="Times New Roman"/>
          <w:i/>
        </w:rPr>
        <w:t>eterogeneidad de lo profesional</w:t>
      </w:r>
      <w:r w:rsidRPr="002D1BD7">
        <w:rPr>
          <w:rFonts w:ascii="Times New Roman" w:hAnsi="Times New Roman" w:cs="Times New Roman"/>
        </w:rPr>
        <w:t xml:space="preserve">. En: Ulrich </w:t>
      </w:r>
      <w:proofErr w:type="spellStart"/>
      <w:r w:rsidRPr="002D1BD7">
        <w:rPr>
          <w:rFonts w:ascii="Times New Roman" w:hAnsi="Times New Roman" w:cs="Times New Roman"/>
        </w:rPr>
        <w:t>Teichler</w:t>
      </w:r>
      <w:proofErr w:type="spellEnd"/>
      <w:r w:rsidRPr="002D1BD7">
        <w:rPr>
          <w:rFonts w:ascii="Times New Roman" w:hAnsi="Times New Roman" w:cs="Times New Roman"/>
        </w:rPr>
        <w:t xml:space="preserve"> (ed.), Graduados y empleo: investigación, metodología y resultados. Los casos de Europa, Japón, Argentina y Uruguay. </w:t>
      </w:r>
      <w:r w:rsidR="001704A0" w:rsidRPr="002D1BD7">
        <w:rPr>
          <w:rFonts w:ascii="Times New Roman" w:hAnsi="Times New Roman" w:cs="Times New Roman"/>
        </w:rPr>
        <w:t>Pp.271-299</w:t>
      </w:r>
      <w:r w:rsidRPr="002D1BD7">
        <w:rPr>
          <w:rFonts w:ascii="Times New Roman" w:hAnsi="Times New Roman" w:cs="Times New Roman"/>
        </w:rPr>
        <w:t>. Buenos Aires: Miño y Ávila.</w:t>
      </w:r>
    </w:p>
    <w:p w14:paraId="5BF649EA" w14:textId="5E857AEF" w:rsidR="008D1767" w:rsidRPr="00365E87" w:rsidRDefault="002B1C35" w:rsidP="008D1767">
      <w:pPr>
        <w:spacing w:line="240" w:lineRule="auto"/>
        <w:jc w:val="both"/>
        <w:rPr>
          <w:rFonts w:ascii="Times New Roman" w:hAnsi="Times New Roman" w:cs="Times New Roman"/>
        </w:rPr>
      </w:pPr>
      <w:r w:rsidRPr="00365E87">
        <w:rPr>
          <w:rFonts w:ascii="Times New Roman" w:hAnsi="Times New Roman" w:cs="Times New Roman"/>
        </w:rPr>
        <w:t xml:space="preserve">Errandonea, G. (2013). </w:t>
      </w:r>
      <w:r w:rsidRPr="00365E87">
        <w:rPr>
          <w:rFonts w:ascii="Times New Roman" w:hAnsi="Times New Roman" w:cs="Times New Roman"/>
          <w:i/>
          <w:iCs/>
        </w:rPr>
        <w:t>Una tipología de agrupamientos profesionales</w:t>
      </w:r>
      <w:r w:rsidRPr="00365E87">
        <w:rPr>
          <w:rFonts w:ascii="Times New Roman" w:hAnsi="Times New Roman" w:cs="Times New Roman"/>
        </w:rPr>
        <w:t xml:space="preserve">. (J. Passarini, Ed.) Recuperado el 21 de marzo de 2025, de Seminario Internacional de intercambio de experiencias e investigaciones sobre egreso universitario: https://www.fvet.edu.uy/wp-content/uploads/2024/07/I-Seminario-sobre-Egreso-Universitario-2013.pdf </w:t>
      </w:r>
    </w:p>
    <w:p w14:paraId="5A2AEBEC" w14:textId="107447C1" w:rsidR="0071485A" w:rsidRDefault="0071485A" w:rsidP="008D1767">
      <w:pPr>
        <w:spacing w:line="240" w:lineRule="auto"/>
        <w:jc w:val="both"/>
        <w:rPr>
          <w:rFonts w:ascii="Times New Roman" w:hAnsi="Times New Roman" w:cs="Times New Roman"/>
        </w:rPr>
      </w:pPr>
      <w:r w:rsidRPr="0071485A">
        <w:rPr>
          <w:rFonts w:ascii="Times New Roman" w:hAnsi="Times New Roman" w:cs="Times New Roman"/>
        </w:rPr>
        <w:t>Errandonea, G. (</w:t>
      </w:r>
      <w:r>
        <w:rPr>
          <w:rFonts w:ascii="Times New Roman" w:hAnsi="Times New Roman" w:cs="Times New Roman"/>
        </w:rPr>
        <w:t>en prensa</w:t>
      </w:r>
      <w:r w:rsidRPr="0071485A">
        <w:rPr>
          <w:rFonts w:ascii="Times New Roman" w:hAnsi="Times New Roman" w:cs="Times New Roman"/>
        </w:rPr>
        <w:t xml:space="preserve">). </w:t>
      </w:r>
      <w:r w:rsidRPr="001704A0">
        <w:rPr>
          <w:rFonts w:ascii="Times New Roman" w:hAnsi="Times New Roman" w:cs="Times New Roman"/>
          <w:i/>
        </w:rPr>
        <w:t>El sistema de educación superior en Uruguay: Los cambios matriculares y los nuevos formatos institucionales</w:t>
      </w:r>
      <w:r w:rsidRPr="0071485A">
        <w:rPr>
          <w:rFonts w:ascii="Times New Roman" w:hAnsi="Times New Roman" w:cs="Times New Roman"/>
        </w:rPr>
        <w:t>. En Políticas de educación superior en América Latina: expansión, diversificación y equidad. CLACSO.</w:t>
      </w:r>
    </w:p>
    <w:p w14:paraId="171FCECF" w14:textId="3BA9ADC4" w:rsidR="008D1767" w:rsidRPr="00365E87" w:rsidRDefault="008D1767" w:rsidP="008D1767">
      <w:pPr>
        <w:spacing w:line="240" w:lineRule="auto"/>
        <w:jc w:val="both"/>
        <w:rPr>
          <w:rFonts w:ascii="Times New Roman" w:hAnsi="Times New Roman" w:cs="Times New Roman"/>
        </w:rPr>
      </w:pPr>
      <w:r w:rsidRPr="00365E87">
        <w:rPr>
          <w:rFonts w:ascii="Times New Roman" w:hAnsi="Times New Roman" w:cs="Times New Roman"/>
        </w:rPr>
        <w:t xml:space="preserve">García de </w:t>
      </w:r>
      <w:proofErr w:type="spellStart"/>
      <w:r w:rsidRPr="00365E87">
        <w:rPr>
          <w:rFonts w:ascii="Times New Roman" w:hAnsi="Times New Roman" w:cs="Times New Roman"/>
        </w:rPr>
        <w:t>Fanelli</w:t>
      </w:r>
      <w:proofErr w:type="spellEnd"/>
      <w:r w:rsidRPr="00365E87">
        <w:rPr>
          <w:rFonts w:ascii="Times New Roman" w:hAnsi="Times New Roman" w:cs="Times New Roman"/>
        </w:rPr>
        <w:t xml:space="preserve">, A. (2009). </w:t>
      </w:r>
      <w:r w:rsidRPr="00365E87">
        <w:rPr>
          <w:rFonts w:ascii="Times New Roman" w:hAnsi="Times New Roman" w:cs="Times New Roman"/>
          <w:i/>
        </w:rPr>
        <w:t>La docencia universitaria como profesión y su estructura ocupacional y de incentivos</w:t>
      </w:r>
      <w:r w:rsidRPr="00365E87">
        <w:rPr>
          <w:rFonts w:ascii="Times New Roman" w:hAnsi="Times New Roman" w:cs="Times New Roman"/>
        </w:rPr>
        <w:t>. En: Profesión Académica en la Argentina: Carrera e Incentivos de los docentes en las universidades nacionales. Buenos Aires: CEDES.</w:t>
      </w:r>
    </w:p>
    <w:p w14:paraId="6E50EB46" w14:textId="3BB3304F" w:rsidR="002B1C35" w:rsidRPr="00365E87" w:rsidRDefault="002B1C35" w:rsidP="008D1767">
      <w:pPr>
        <w:spacing w:line="240" w:lineRule="auto"/>
        <w:jc w:val="both"/>
        <w:rPr>
          <w:rFonts w:ascii="Times New Roman" w:hAnsi="Times New Roman" w:cs="Times New Roman"/>
          <w:lang w:val="en-GB"/>
        </w:rPr>
      </w:pPr>
      <w:proofErr w:type="spellStart"/>
      <w:r w:rsidRPr="00365E87">
        <w:rPr>
          <w:rFonts w:ascii="Times New Roman" w:hAnsi="Times New Roman" w:cs="Times New Roman"/>
        </w:rPr>
        <w:t>Greenacre</w:t>
      </w:r>
      <w:proofErr w:type="spellEnd"/>
      <w:r w:rsidRPr="00365E87">
        <w:rPr>
          <w:rFonts w:ascii="Times New Roman" w:hAnsi="Times New Roman" w:cs="Times New Roman"/>
        </w:rPr>
        <w:t xml:space="preserve">, </w:t>
      </w:r>
      <w:r w:rsidR="00C2668F" w:rsidRPr="00365E87">
        <w:rPr>
          <w:rFonts w:ascii="Times New Roman" w:hAnsi="Times New Roman" w:cs="Times New Roman"/>
        </w:rPr>
        <w:t>M</w:t>
      </w:r>
      <w:r w:rsidRPr="00365E87">
        <w:rPr>
          <w:rFonts w:ascii="Times New Roman" w:hAnsi="Times New Roman" w:cs="Times New Roman"/>
        </w:rPr>
        <w:t xml:space="preserve">; </w:t>
      </w:r>
      <w:proofErr w:type="spellStart"/>
      <w:r w:rsidRPr="00365E87">
        <w:rPr>
          <w:rFonts w:ascii="Times New Roman" w:hAnsi="Times New Roman" w:cs="Times New Roman"/>
        </w:rPr>
        <w:t>Groenen</w:t>
      </w:r>
      <w:proofErr w:type="spellEnd"/>
      <w:r w:rsidRPr="00365E87">
        <w:rPr>
          <w:rFonts w:ascii="Times New Roman" w:hAnsi="Times New Roman" w:cs="Times New Roman"/>
        </w:rPr>
        <w:t xml:space="preserve">, P; </w:t>
      </w:r>
      <w:proofErr w:type="spellStart"/>
      <w:r w:rsidRPr="00365E87">
        <w:rPr>
          <w:rFonts w:ascii="Times New Roman" w:hAnsi="Times New Roman" w:cs="Times New Roman"/>
        </w:rPr>
        <w:t>Hastie</w:t>
      </w:r>
      <w:proofErr w:type="spellEnd"/>
      <w:r w:rsidRPr="00365E87">
        <w:rPr>
          <w:rFonts w:ascii="Times New Roman" w:hAnsi="Times New Roman" w:cs="Times New Roman"/>
        </w:rPr>
        <w:t xml:space="preserve">, T; </w:t>
      </w:r>
      <w:proofErr w:type="spellStart"/>
      <w:r w:rsidRPr="00365E87">
        <w:rPr>
          <w:rFonts w:ascii="Times New Roman" w:hAnsi="Times New Roman" w:cs="Times New Roman"/>
        </w:rPr>
        <w:t>Iodice</w:t>
      </w:r>
      <w:proofErr w:type="spellEnd"/>
      <w:r w:rsidRPr="00365E87">
        <w:rPr>
          <w:rFonts w:ascii="Times New Roman" w:hAnsi="Times New Roman" w:cs="Times New Roman"/>
        </w:rPr>
        <w:t xml:space="preserve"> </w:t>
      </w:r>
      <w:proofErr w:type="spellStart"/>
      <w:r w:rsidRPr="00365E87">
        <w:rPr>
          <w:rFonts w:ascii="Times New Roman" w:hAnsi="Times New Roman" w:cs="Times New Roman"/>
        </w:rPr>
        <w:t>D’Enza</w:t>
      </w:r>
      <w:proofErr w:type="spellEnd"/>
      <w:r w:rsidRPr="00365E87">
        <w:rPr>
          <w:rFonts w:ascii="Times New Roman" w:hAnsi="Times New Roman" w:cs="Times New Roman"/>
        </w:rPr>
        <w:t xml:space="preserve">, A; </w:t>
      </w:r>
      <w:proofErr w:type="spellStart"/>
      <w:r w:rsidRPr="00365E87">
        <w:rPr>
          <w:rFonts w:ascii="Times New Roman" w:hAnsi="Times New Roman" w:cs="Times New Roman"/>
        </w:rPr>
        <w:t>Markos</w:t>
      </w:r>
      <w:proofErr w:type="spellEnd"/>
      <w:r w:rsidRPr="00365E87">
        <w:rPr>
          <w:rFonts w:ascii="Times New Roman" w:hAnsi="Times New Roman" w:cs="Times New Roman"/>
        </w:rPr>
        <w:t>, A</w:t>
      </w:r>
      <w:r w:rsidR="00C2668F" w:rsidRPr="00365E87">
        <w:rPr>
          <w:rFonts w:ascii="Times New Roman" w:hAnsi="Times New Roman" w:cs="Times New Roman"/>
        </w:rPr>
        <w:t>.,</w:t>
      </w:r>
      <w:r w:rsidRPr="00365E87">
        <w:rPr>
          <w:rFonts w:ascii="Times New Roman" w:hAnsi="Times New Roman" w:cs="Times New Roman"/>
        </w:rPr>
        <w:t xml:space="preserve"> &amp; </w:t>
      </w:r>
      <w:proofErr w:type="spellStart"/>
      <w:r w:rsidRPr="00365E87">
        <w:rPr>
          <w:rFonts w:ascii="Times New Roman" w:hAnsi="Times New Roman" w:cs="Times New Roman"/>
        </w:rPr>
        <w:t>Tuzhilina</w:t>
      </w:r>
      <w:proofErr w:type="spellEnd"/>
      <w:r w:rsidRPr="00365E87">
        <w:rPr>
          <w:rFonts w:ascii="Times New Roman" w:hAnsi="Times New Roman" w:cs="Times New Roman"/>
        </w:rPr>
        <w:t xml:space="preserve">, E. </w:t>
      </w:r>
      <w:r w:rsidRPr="001704A0">
        <w:rPr>
          <w:rFonts w:ascii="Times New Roman" w:hAnsi="Times New Roman" w:cs="Times New Roman"/>
          <w:lang w:val="es-UY"/>
        </w:rPr>
        <w:t xml:space="preserve">(2023). </w:t>
      </w:r>
      <w:r w:rsidRPr="00365E87">
        <w:rPr>
          <w:rFonts w:ascii="Times New Roman" w:hAnsi="Times New Roman" w:cs="Times New Roman"/>
          <w:i/>
          <w:iCs/>
          <w:lang w:val="en-GB"/>
        </w:rPr>
        <w:t>Principal component analysis</w:t>
      </w:r>
      <w:r w:rsidRPr="00365E87">
        <w:rPr>
          <w:rFonts w:ascii="Times New Roman" w:hAnsi="Times New Roman" w:cs="Times New Roman"/>
          <w:lang w:val="en-GB"/>
        </w:rPr>
        <w:t xml:space="preserve">. Nature Reviews Methods Primers, 2(1), 100. https://doi.org/10.1038/s43586-022-00184-w. </w:t>
      </w:r>
    </w:p>
    <w:p w14:paraId="315ECBA0" w14:textId="1599B3FB" w:rsidR="002B1C35" w:rsidRPr="00365E87" w:rsidRDefault="002B1C35" w:rsidP="002B1C35">
      <w:pPr>
        <w:spacing w:line="240" w:lineRule="auto"/>
        <w:jc w:val="both"/>
        <w:rPr>
          <w:rFonts w:ascii="Times New Roman" w:hAnsi="Times New Roman" w:cs="Times New Roman"/>
        </w:rPr>
      </w:pPr>
      <w:r w:rsidRPr="00365E87">
        <w:rPr>
          <w:rFonts w:ascii="Times New Roman" w:hAnsi="Times New Roman" w:cs="Times New Roman"/>
          <w:lang w:val="en-GB"/>
        </w:rPr>
        <w:t xml:space="preserve">Jolliffe, I. (2002). </w:t>
      </w:r>
      <w:r w:rsidRPr="00365E87">
        <w:rPr>
          <w:rFonts w:ascii="Times New Roman" w:hAnsi="Times New Roman" w:cs="Times New Roman"/>
          <w:i/>
          <w:iCs/>
          <w:lang w:val="en-GB"/>
        </w:rPr>
        <w:t>Principal component analysis</w:t>
      </w:r>
      <w:r w:rsidRPr="00365E87">
        <w:rPr>
          <w:rFonts w:ascii="Times New Roman" w:hAnsi="Times New Roman" w:cs="Times New Roman"/>
          <w:lang w:val="en-GB"/>
        </w:rPr>
        <w:t xml:space="preserve"> (2nd ed.). </w:t>
      </w:r>
      <w:r w:rsidRPr="00365E87">
        <w:rPr>
          <w:rFonts w:ascii="Times New Roman" w:hAnsi="Times New Roman" w:cs="Times New Roman"/>
        </w:rPr>
        <w:t xml:space="preserve">Springer. </w:t>
      </w:r>
    </w:p>
    <w:p w14:paraId="1CB681E2" w14:textId="1565D13D" w:rsidR="002B1C35" w:rsidRPr="00365E87" w:rsidRDefault="002B1C35" w:rsidP="002B1C35">
      <w:pPr>
        <w:spacing w:line="240" w:lineRule="auto"/>
        <w:jc w:val="both"/>
        <w:rPr>
          <w:rFonts w:ascii="Times New Roman" w:hAnsi="Times New Roman" w:cs="Times New Roman"/>
        </w:rPr>
      </w:pPr>
      <w:r w:rsidRPr="00365E87">
        <w:rPr>
          <w:rFonts w:ascii="Times New Roman" w:hAnsi="Times New Roman" w:cs="Times New Roman"/>
        </w:rPr>
        <w:t>Landinelli, J</w:t>
      </w:r>
      <w:r w:rsidR="004B238F" w:rsidRPr="00365E87">
        <w:rPr>
          <w:rFonts w:ascii="Times New Roman" w:hAnsi="Times New Roman" w:cs="Times New Roman"/>
        </w:rPr>
        <w:t>.</w:t>
      </w:r>
      <w:r w:rsidRPr="00365E87">
        <w:rPr>
          <w:rFonts w:ascii="Times New Roman" w:hAnsi="Times New Roman" w:cs="Times New Roman"/>
        </w:rPr>
        <w:t xml:space="preserve"> (2011). </w:t>
      </w:r>
      <w:r w:rsidRPr="00365E87">
        <w:rPr>
          <w:rFonts w:ascii="Times New Roman" w:hAnsi="Times New Roman" w:cs="Times New Roman"/>
          <w:i/>
          <w:iCs/>
        </w:rPr>
        <w:t>Notas sobre el desempeño de la educación superior latinoamericana en las evaluaciones comparadas y las clasificaciones mundiales de universidades</w:t>
      </w:r>
      <w:r w:rsidR="00A312DA" w:rsidRPr="00365E87">
        <w:rPr>
          <w:rFonts w:ascii="Times New Roman" w:hAnsi="Times New Roman" w:cs="Times New Roman"/>
        </w:rPr>
        <w:t>.</w:t>
      </w:r>
      <w:r w:rsidRPr="00365E87">
        <w:rPr>
          <w:rFonts w:ascii="Times New Roman" w:hAnsi="Times New Roman" w:cs="Times New Roman"/>
        </w:rPr>
        <w:t xml:space="preserve"> [Ponencia]. X Jornadas de Investigación de la Facultad de Ciencias Sociales, Universidad de la República, Montevideo, Uruguay. </w:t>
      </w:r>
      <w:r w:rsidRPr="00365E87">
        <w:rPr>
          <w:rFonts w:ascii="Times New Roman" w:hAnsi="Times New Roman" w:cs="Times New Roman"/>
        </w:rPr>
        <w:lastRenderedPageBreak/>
        <w:t xml:space="preserve">https://www.colibri.udelar.edu.uy/jspui/bitstream/20.500.12008/39625/1/X%20JICS_Landinelli.pdf </w:t>
      </w:r>
    </w:p>
    <w:p w14:paraId="6E40FCBC" w14:textId="77777777" w:rsidR="002B1C35" w:rsidRPr="00365E87" w:rsidRDefault="002B1C35" w:rsidP="002B1C35">
      <w:pPr>
        <w:spacing w:line="240" w:lineRule="auto"/>
        <w:jc w:val="both"/>
        <w:rPr>
          <w:rFonts w:ascii="Times New Roman" w:hAnsi="Times New Roman" w:cs="Times New Roman"/>
          <w:lang w:val="en-GB"/>
        </w:rPr>
      </w:pPr>
      <w:r w:rsidRPr="00365E87">
        <w:rPr>
          <w:rFonts w:ascii="Times New Roman" w:hAnsi="Times New Roman" w:cs="Times New Roman"/>
          <w:lang w:val="en-GB"/>
        </w:rPr>
        <w:t xml:space="preserve">Marginson, S. (2016). </w:t>
      </w:r>
      <w:r w:rsidRPr="00365E87">
        <w:rPr>
          <w:rFonts w:ascii="Times New Roman" w:hAnsi="Times New Roman" w:cs="Times New Roman"/>
          <w:i/>
          <w:iCs/>
          <w:lang w:val="en-GB"/>
        </w:rPr>
        <w:t>The dream is over: The crisis of Clark Kerr’s California idea of higher education</w:t>
      </w:r>
      <w:r w:rsidRPr="00365E87">
        <w:rPr>
          <w:rFonts w:ascii="Times New Roman" w:hAnsi="Times New Roman" w:cs="Times New Roman"/>
          <w:lang w:val="en-GB"/>
        </w:rPr>
        <w:t xml:space="preserve">. University of California Press. </w:t>
      </w:r>
    </w:p>
    <w:p w14:paraId="21A3DB39" w14:textId="77777777" w:rsidR="002B1C35" w:rsidRPr="00365E87" w:rsidRDefault="002B1C35" w:rsidP="002B1C35">
      <w:pPr>
        <w:spacing w:line="240" w:lineRule="auto"/>
        <w:jc w:val="both"/>
        <w:rPr>
          <w:rFonts w:ascii="Times New Roman" w:hAnsi="Times New Roman" w:cs="Times New Roman"/>
        </w:rPr>
      </w:pPr>
      <w:r w:rsidRPr="00365E87">
        <w:rPr>
          <w:rFonts w:ascii="Times New Roman" w:hAnsi="Times New Roman" w:cs="Times New Roman"/>
          <w:lang w:val="en-GB"/>
        </w:rPr>
        <w:t xml:space="preserve">Schwartzman, S., &amp; </w:t>
      </w:r>
      <w:proofErr w:type="spellStart"/>
      <w:r w:rsidRPr="00365E87">
        <w:rPr>
          <w:rFonts w:ascii="Times New Roman" w:hAnsi="Times New Roman" w:cs="Times New Roman"/>
          <w:lang w:val="en-GB"/>
        </w:rPr>
        <w:t>Balbachevsky</w:t>
      </w:r>
      <w:proofErr w:type="spellEnd"/>
      <w:r w:rsidRPr="00365E87">
        <w:rPr>
          <w:rFonts w:ascii="Times New Roman" w:hAnsi="Times New Roman" w:cs="Times New Roman"/>
          <w:lang w:val="en-GB"/>
        </w:rPr>
        <w:t xml:space="preserve">, E. (1995). </w:t>
      </w:r>
      <w:r w:rsidRPr="001704A0">
        <w:rPr>
          <w:rFonts w:ascii="Times New Roman" w:hAnsi="Times New Roman" w:cs="Times New Roman"/>
          <w:i/>
          <w:iCs/>
          <w:lang w:val="en-GB"/>
        </w:rPr>
        <w:t>The academic profession in Brazil</w:t>
      </w:r>
      <w:r w:rsidRPr="001704A0">
        <w:rPr>
          <w:rFonts w:ascii="Times New Roman" w:hAnsi="Times New Roman" w:cs="Times New Roman"/>
          <w:lang w:val="en-GB"/>
        </w:rPr>
        <w:t xml:space="preserve"> (</w:t>
      </w:r>
      <w:proofErr w:type="spellStart"/>
      <w:r w:rsidRPr="001704A0">
        <w:rPr>
          <w:rFonts w:ascii="Times New Roman" w:hAnsi="Times New Roman" w:cs="Times New Roman"/>
          <w:lang w:val="en-GB"/>
        </w:rPr>
        <w:t>Documento</w:t>
      </w:r>
      <w:proofErr w:type="spellEnd"/>
      <w:r w:rsidRPr="001704A0">
        <w:rPr>
          <w:rFonts w:ascii="Times New Roman" w:hAnsi="Times New Roman" w:cs="Times New Roman"/>
          <w:lang w:val="en-GB"/>
        </w:rPr>
        <w:t xml:space="preserve"> de </w:t>
      </w:r>
      <w:proofErr w:type="spellStart"/>
      <w:r w:rsidRPr="001704A0">
        <w:rPr>
          <w:rFonts w:ascii="Times New Roman" w:hAnsi="Times New Roman" w:cs="Times New Roman"/>
          <w:lang w:val="en-GB"/>
        </w:rPr>
        <w:t>trabajo</w:t>
      </w:r>
      <w:proofErr w:type="spellEnd"/>
      <w:r w:rsidRPr="001704A0">
        <w:rPr>
          <w:rFonts w:ascii="Times New Roman" w:hAnsi="Times New Roman" w:cs="Times New Roman"/>
          <w:lang w:val="en-GB"/>
        </w:rPr>
        <w:t xml:space="preserve">). </w:t>
      </w:r>
      <w:r w:rsidRPr="00365E87">
        <w:rPr>
          <w:rFonts w:ascii="Times New Roman" w:hAnsi="Times New Roman" w:cs="Times New Roman"/>
        </w:rPr>
        <w:t xml:space="preserve">Núcleo de Pesquisas sobre </w:t>
      </w:r>
      <w:proofErr w:type="spellStart"/>
      <w:r w:rsidRPr="00365E87">
        <w:rPr>
          <w:rFonts w:ascii="Times New Roman" w:hAnsi="Times New Roman" w:cs="Times New Roman"/>
        </w:rPr>
        <w:t>Ensino</w:t>
      </w:r>
      <w:proofErr w:type="spellEnd"/>
      <w:r w:rsidRPr="00365E87">
        <w:rPr>
          <w:rFonts w:ascii="Times New Roman" w:hAnsi="Times New Roman" w:cs="Times New Roman"/>
        </w:rPr>
        <w:t xml:space="preserve"> Superior (NUPES), </w:t>
      </w:r>
      <w:proofErr w:type="spellStart"/>
      <w:r w:rsidRPr="00365E87">
        <w:rPr>
          <w:rFonts w:ascii="Times New Roman" w:hAnsi="Times New Roman" w:cs="Times New Roman"/>
        </w:rPr>
        <w:t>Universidade</w:t>
      </w:r>
      <w:proofErr w:type="spellEnd"/>
      <w:r w:rsidRPr="00365E87">
        <w:rPr>
          <w:rFonts w:ascii="Times New Roman" w:hAnsi="Times New Roman" w:cs="Times New Roman"/>
        </w:rPr>
        <w:t xml:space="preserve"> de São Paulo. https://www.academia.edu/35683737/The_academic_profession_in_Brazil </w:t>
      </w:r>
    </w:p>
    <w:p w14:paraId="60E7EF26" w14:textId="6CC599A6" w:rsidR="002B1C35" w:rsidRPr="002B1C35" w:rsidRDefault="002B1C35" w:rsidP="002B1C35">
      <w:pPr>
        <w:spacing w:line="240" w:lineRule="auto"/>
        <w:jc w:val="both"/>
        <w:rPr>
          <w:rFonts w:ascii="Times New Roman" w:hAnsi="Times New Roman" w:cs="Times New Roman"/>
          <w:b/>
        </w:rPr>
      </w:pPr>
      <w:r w:rsidRPr="002B1C35">
        <w:rPr>
          <w:rFonts w:ascii="Times New Roman" w:hAnsi="Times New Roman" w:cs="Times New Roman"/>
          <w:b/>
        </w:rPr>
        <w:t xml:space="preserve">Anexo. Glosario de siglas de los servicios de Udelar </w:t>
      </w:r>
    </w:p>
    <w:tbl>
      <w:tblPr>
        <w:tblW w:w="8728"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610"/>
        <w:gridCol w:w="6118"/>
      </w:tblGrid>
      <w:tr w:rsidR="00A12414" w:rsidRPr="00D90A86" w14:paraId="4502A108" w14:textId="77777777" w:rsidTr="001869FF">
        <w:trPr>
          <w:trHeight w:val="232"/>
        </w:trPr>
        <w:tc>
          <w:tcPr>
            <w:tcW w:w="2610" w:type="dxa"/>
            <w:tcBorders>
              <w:top w:val="single" w:sz="6" w:space="0" w:color="auto"/>
              <w:left w:val="single" w:sz="6" w:space="0" w:color="auto"/>
              <w:bottom w:val="single" w:sz="12" w:space="0" w:color="auto"/>
              <w:right w:val="single" w:sz="6" w:space="0" w:color="auto"/>
            </w:tcBorders>
            <w:hideMark/>
          </w:tcPr>
          <w:p w14:paraId="3888807B" w14:textId="77777777" w:rsidR="00A12414" w:rsidRPr="00D90A86" w:rsidRDefault="00A12414" w:rsidP="001869FF">
            <w:pPr>
              <w:spacing w:line="240" w:lineRule="auto"/>
              <w:jc w:val="center"/>
              <w:rPr>
                <w:rFonts w:ascii="Times New Roman" w:hAnsi="Times New Roman" w:cs="Times New Roman"/>
                <w:b/>
                <w:bCs/>
                <w:sz w:val="20"/>
                <w:szCs w:val="20"/>
                <w:lang w:val="es-ES"/>
              </w:rPr>
            </w:pPr>
            <w:r w:rsidRPr="00D90A86">
              <w:rPr>
                <w:rFonts w:ascii="Times New Roman" w:hAnsi="Times New Roman" w:cs="Times New Roman"/>
                <w:b/>
                <w:bCs/>
                <w:sz w:val="20"/>
                <w:szCs w:val="20"/>
                <w:lang w:val="es-UY"/>
              </w:rPr>
              <w:t>Sigla</w:t>
            </w:r>
          </w:p>
        </w:tc>
        <w:tc>
          <w:tcPr>
            <w:tcW w:w="6118" w:type="dxa"/>
            <w:tcBorders>
              <w:top w:val="single" w:sz="6" w:space="0" w:color="auto"/>
              <w:left w:val="single" w:sz="6" w:space="0" w:color="auto"/>
              <w:bottom w:val="single" w:sz="12" w:space="0" w:color="auto"/>
              <w:right w:val="single" w:sz="6" w:space="0" w:color="auto"/>
            </w:tcBorders>
            <w:hideMark/>
          </w:tcPr>
          <w:p w14:paraId="67B5D03D" w14:textId="77777777" w:rsidR="00A12414" w:rsidRPr="00D90A86" w:rsidRDefault="00A12414" w:rsidP="001869FF">
            <w:pPr>
              <w:spacing w:line="240" w:lineRule="auto"/>
              <w:jc w:val="center"/>
              <w:rPr>
                <w:rFonts w:ascii="Times New Roman" w:hAnsi="Times New Roman" w:cs="Times New Roman"/>
                <w:b/>
                <w:bCs/>
                <w:sz w:val="20"/>
                <w:szCs w:val="20"/>
                <w:lang w:val="es-ES"/>
              </w:rPr>
            </w:pPr>
            <w:r w:rsidRPr="00D90A86">
              <w:rPr>
                <w:rFonts w:ascii="Times New Roman" w:hAnsi="Times New Roman" w:cs="Times New Roman"/>
                <w:b/>
                <w:bCs/>
                <w:sz w:val="20"/>
                <w:szCs w:val="20"/>
                <w:lang w:val="es-UY"/>
              </w:rPr>
              <w:t>Nombre completo del servicio</w:t>
            </w:r>
          </w:p>
        </w:tc>
      </w:tr>
      <w:tr w:rsidR="00A12414" w:rsidRPr="00D90A86" w14:paraId="7DE19519" w14:textId="77777777" w:rsidTr="001869FF">
        <w:trPr>
          <w:trHeight w:val="232"/>
        </w:trPr>
        <w:tc>
          <w:tcPr>
            <w:tcW w:w="2610" w:type="dxa"/>
            <w:tcBorders>
              <w:top w:val="single" w:sz="6" w:space="0" w:color="auto"/>
              <w:left w:val="single" w:sz="6" w:space="0" w:color="auto"/>
              <w:bottom w:val="single" w:sz="6" w:space="0" w:color="auto"/>
              <w:right w:val="single" w:sz="6" w:space="0" w:color="auto"/>
            </w:tcBorders>
            <w:hideMark/>
          </w:tcPr>
          <w:p w14:paraId="10E886D4" w14:textId="77777777" w:rsidR="00A12414" w:rsidRPr="00A12414" w:rsidRDefault="00A12414" w:rsidP="001869FF">
            <w:pPr>
              <w:spacing w:line="240" w:lineRule="auto"/>
              <w:jc w:val="center"/>
              <w:rPr>
                <w:rFonts w:ascii="Times New Roman" w:hAnsi="Times New Roman" w:cs="Times New Roman"/>
                <w:bCs/>
                <w:sz w:val="20"/>
                <w:szCs w:val="20"/>
                <w:lang w:val="es-ES"/>
              </w:rPr>
            </w:pPr>
            <w:r w:rsidRPr="00A12414">
              <w:rPr>
                <w:rFonts w:ascii="Times New Roman" w:hAnsi="Times New Roman" w:cs="Times New Roman"/>
                <w:bCs/>
                <w:sz w:val="20"/>
                <w:szCs w:val="20"/>
                <w:lang w:val="es-UY"/>
              </w:rPr>
              <w:t>FMED (incluye EUTM y Parteras)</w:t>
            </w:r>
          </w:p>
        </w:tc>
        <w:tc>
          <w:tcPr>
            <w:tcW w:w="6118" w:type="dxa"/>
            <w:tcBorders>
              <w:top w:val="single" w:sz="6" w:space="0" w:color="auto"/>
              <w:left w:val="single" w:sz="6" w:space="0" w:color="auto"/>
              <w:bottom w:val="single" w:sz="6" w:space="0" w:color="auto"/>
              <w:right w:val="single" w:sz="6" w:space="0" w:color="auto"/>
            </w:tcBorders>
            <w:hideMark/>
          </w:tcPr>
          <w:p w14:paraId="43891B1A" w14:textId="77777777" w:rsidR="00A12414" w:rsidRPr="00A12414" w:rsidRDefault="00A12414" w:rsidP="001869FF">
            <w:pPr>
              <w:spacing w:line="240" w:lineRule="auto"/>
              <w:jc w:val="center"/>
              <w:rPr>
                <w:rFonts w:ascii="Times New Roman" w:hAnsi="Times New Roman" w:cs="Times New Roman"/>
                <w:bCs/>
                <w:sz w:val="20"/>
                <w:szCs w:val="20"/>
                <w:lang w:val="es-ES"/>
              </w:rPr>
            </w:pPr>
            <w:r w:rsidRPr="00A12414">
              <w:rPr>
                <w:rFonts w:ascii="Times New Roman" w:hAnsi="Times New Roman" w:cs="Times New Roman"/>
                <w:bCs/>
                <w:sz w:val="20"/>
                <w:szCs w:val="20"/>
                <w:lang w:val="es-UY"/>
              </w:rPr>
              <w:t>Facultad de Medicina</w:t>
            </w:r>
          </w:p>
        </w:tc>
      </w:tr>
      <w:tr w:rsidR="00A12414" w:rsidRPr="00D90A86" w14:paraId="610C6D59" w14:textId="77777777" w:rsidTr="001869FF">
        <w:trPr>
          <w:trHeight w:val="232"/>
        </w:trPr>
        <w:tc>
          <w:tcPr>
            <w:tcW w:w="2610" w:type="dxa"/>
            <w:tcBorders>
              <w:top w:val="single" w:sz="6" w:space="0" w:color="auto"/>
              <w:left w:val="single" w:sz="6" w:space="0" w:color="auto"/>
              <w:bottom w:val="single" w:sz="6" w:space="0" w:color="auto"/>
              <w:right w:val="single" w:sz="6" w:space="0" w:color="auto"/>
            </w:tcBorders>
            <w:hideMark/>
          </w:tcPr>
          <w:p w14:paraId="5221EC6C" w14:textId="77777777" w:rsidR="00A12414" w:rsidRPr="00A12414" w:rsidRDefault="00A12414" w:rsidP="001869FF">
            <w:pPr>
              <w:spacing w:line="240" w:lineRule="auto"/>
              <w:jc w:val="center"/>
              <w:rPr>
                <w:rFonts w:ascii="Times New Roman" w:hAnsi="Times New Roman" w:cs="Times New Roman"/>
                <w:bCs/>
                <w:sz w:val="20"/>
                <w:szCs w:val="20"/>
                <w:lang w:val="es-ES"/>
              </w:rPr>
            </w:pPr>
            <w:r w:rsidRPr="00A12414">
              <w:rPr>
                <w:rFonts w:ascii="Times New Roman" w:hAnsi="Times New Roman" w:cs="Times New Roman"/>
                <w:bCs/>
                <w:sz w:val="20"/>
                <w:szCs w:val="20"/>
                <w:lang w:val="es-UY"/>
              </w:rPr>
              <w:t>FDER</w:t>
            </w:r>
          </w:p>
        </w:tc>
        <w:tc>
          <w:tcPr>
            <w:tcW w:w="6118" w:type="dxa"/>
            <w:tcBorders>
              <w:top w:val="single" w:sz="6" w:space="0" w:color="auto"/>
              <w:left w:val="single" w:sz="6" w:space="0" w:color="auto"/>
              <w:bottom w:val="single" w:sz="6" w:space="0" w:color="auto"/>
              <w:right w:val="single" w:sz="6" w:space="0" w:color="auto"/>
            </w:tcBorders>
            <w:hideMark/>
          </w:tcPr>
          <w:p w14:paraId="7A77CD50" w14:textId="77777777" w:rsidR="00A12414" w:rsidRPr="00A12414" w:rsidRDefault="00A12414" w:rsidP="001869FF">
            <w:pPr>
              <w:spacing w:line="240" w:lineRule="auto"/>
              <w:jc w:val="center"/>
              <w:rPr>
                <w:rFonts w:ascii="Times New Roman" w:hAnsi="Times New Roman" w:cs="Times New Roman"/>
                <w:bCs/>
                <w:sz w:val="20"/>
                <w:szCs w:val="20"/>
                <w:lang w:val="es-ES"/>
              </w:rPr>
            </w:pPr>
            <w:r w:rsidRPr="00A12414">
              <w:rPr>
                <w:rFonts w:ascii="Times New Roman" w:hAnsi="Times New Roman" w:cs="Times New Roman"/>
                <w:bCs/>
                <w:sz w:val="20"/>
                <w:szCs w:val="20"/>
                <w:lang w:val="es-UY"/>
              </w:rPr>
              <w:t>Facultad de Derecho</w:t>
            </w:r>
          </w:p>
        </w:tc>
      </w:tr>
      <w:tr w:rsidR="00A12414" w:rsidRPr="00D90A86" w14:paraId="196362CD" w14:textId="77777777" w:rsidTr="001869FF">
        <w:trPr>
          <w:trHeight w:val="232"/>
        </w:trPr>
        <w:tc>
          <w:tcPr>
            <w:tcW w:w="2610" w:type="dxa"/>
            <w:tcBorders>
              <w:top w:val="single" w:sz="6" w:space="0" w:color="auto"/>
              <w:left w:val="single" w:sz="6" w:space="0" w:color="auto"/>
              <w:bottom w:val="single" w:sz="6" w:space="0" w:color="auto"/>
              <w:right w:val="single" w:sz="6" w:space="0" w:color="auto"/>
            </w:tcBorders>
            <w:hideMark/>
          </w:tcPr>
          <w:p w14:paraId="34CBCFC4" w14:textId="77777777" w:rsidR="00A12414" w:rsidRPr="00A12414" w:rsidRDefault="00A12414" w:rsidP="001869FF">
            <w:pPr>
              <w:spacing w:line="240" w:lineRule="auto"/>
              <w:jc w:val="center"/>
              <w:rPr>
                <w:rFonts w:ascii="Times New Roman" w:hAnsi="Times New Roman" w:cs="Times New Roman"/>
                <w:bCs/>
                <w:sz w:val="20"/>
                <w:szCs w:val="20"/>
                <w:lang w:val="es-ES"/>
              </w:rPr>
            </w:pPr>
            <w:r w:rsidRPr="00A12414">
              <w:rPr>
                <w:rFonts w:ascii="Times New Roman" w:hAnsi="Times New Roman" w:cs="Times New Roman"/>
                <w:bCs/>
                <w:sz w:val="20"/>
                <w:szCs w:val="20"/>
                <w:lang w:val="es-UY"/>
              </w:rPr>
              <w:t>FADU</w:t>
            </w:r>
          </w:p>
        </w:tc>
        <w:tc>
          <w:tcPr>
            <w:tcW w:w="6118" w:type="dxa"/>
            <w:tcBorders>
              <w:top w:val="single" w:sz="6" w:space="0" w:color="auto"/>
              <w:left w:val="single" w:sz="6" w:space="0" w:color="auto"/>
              <w:bottom w:val="single" w:sz="6" w:space="0" w:color="auto"/>
              <w:right w:val="single" w:sz="6" w:space="0" w:color="auto"/>
            </w:tcBorders>
            <w:hideMark/>
          </w:tcPr>
          <w:p w14:paraId="09EE6347" w14:textId="77777777" w:rsidR="00A12414" w:rsidRPr="00A12414" w:rsidRDefault="00A12414" w:rsidP="001869FF">
            <w:pPr>
              <w:spacing w:line="240" w:lineRule="auto"/>
              <w:jc w:val="center"/>
              <w:rPr>
                <w:rFonts w:ascii="Times New Roman" w:hAnsi="Times New Roman" w:cs="Times New Roman"/>
                <w:bCs/>
                <w:sz w:val="20"/>
                <w:szCs w:val="20"/>
                <w:lang w:val="es-ES"/>
              </w:rPr>
            </w:pPr>
            <w:r w:rsidRPr="00A12414">
              <w:rPr>
                <w:rFonts w:ascii="Times New Roman" w:hAnsi="Times New Roman" w:cs="Times New Roman"/>
                <w:bCs/>
                <w:sz w:val="20"/>
                <w:szCs w:val="20"/>
                <w:lang w:val="es-UY"/>
              </w:rPr>
              <w:t>Facultad de Arquitectura, Diseño y Urbanismo</w:t>
            </w:r>
          </w:p>
        </w:tc>
      </w:tr>
      <w:tr w:rsidR="00A12414" w:rsidRPr="00D90A86" w14:paraId="30D08282" w14:textId="77777777" w:rsidTr="001869FF">
        <w:trPr>
          <w:trHeight w:val="232"/>
        </w:trPr>
        <w:tc>
          <w:tcPr>
            <w:tcW w:w="2610" w:type="dxa"/>
            <w:tcBorders>
              <w:top w:val="single" w:sz="6" w:space="0" w:color="auto"/>
              <w:left w:val="single" w:sz="6" w:space="0" w:color="auto"/>
              <w:bottom w:val="single" w:sz="6" w:space="0" w:color="auto"/>
              <w:right w:val="single" w:sz="6" w:space="0" w:color="auto"/>
            </w:tcBorders>
            <w:hideMark/>
          </w:tcPr>
          <w:p w14:paraId="14D21B4E" w14:textId="77777777" w:rsidR="00A12414" w:rsidRPr="00A12414" w:rsidRDefault="00A12414" w:rsidP="001869FF">
            <w:pPr>
              <w:spacing w:line="240" w:lineRule="auto"/>
              <w:jc w:val="center"/>
              <w:rPr>
                <w:rFonts w:ascii="Times New Roman" w:hAnsi="Times New Roman" w:cs="Times New Roman"/>
                <w:bCs/>
                <w:sz w:val="20"/>
                <w:szCs w:val="20"/>
                <w:lang w:val="es-ES"/>
              </w:rPr>
            </w:pPr>
            <w:r w:rsidRPr="00A12414">
              <w:rPr>
                <w:rFonts w:ascii="Times New Roman" w:hAnsi="Times New Roman" w:cs="Times New Roman"/>
                <w:bCs/>
                <w:sz w:val="20"/>
                <w:szCs w:val="20"/>
                <w:lang w:val="es-UY"/>
              </w:rPr>
              <w:t>FING</w:t>
            </w:r>
          </w:p>
        </w:tc>
        <w:tc>
          <w:tcPr>
            <w:tcW w:w="6118" w:type="dxa"/>
            <w:tcBorders>
              <w:top w:val="single" w:sz="6" w:space="0" w:color="auto"/>
              <w:left w:val="single" w:sz="6" w:space="0" w:color="auto"/>
              <w:bottom w:val="single" w:sz="6" w:space="0" w:color="auto"/>
              <w:right w:val="single" w:sz="6" w:space="0" w:color="auto"/>
            </w:tcBorders>
            <w:hideMark/>
          </w:tcPr>
          <w:p w14:paraId="5B6E4817" w14:textId="77777777" w:rsidR="00A12414" w:rsidRPr="00A12414" w:rsidRDefault="00A12414" w:rsidP="001869FF">
            <w:pPr>
              <w:spacing w:line="240" w:lineRule="auto"/>
              <w:jc w:val="center"/>
              <w:rPr>
                <w:rFonts w:ascii="Times New Roman" w:hAnsi="Times New Roman" w:cs="Times New Roman"/>
                <w:bCs/>
                <w:sz w:val="20"/>
                <w:szCs w:val="20"/>
                <w:lang w:val="es-ES"/>
              </w:rPr>
            </w:pPr>
            <w:r w:rsidRPr="00A12414">
              <w:rPr>
                <w:rFonts w:ascii="Times New Roman" w:hAnsi="Times New Roman" w:cs="Times New Roman"/>
                <w:bCs/>
                <w:sz w:val="20"/>
                <w:szCs w:val="20"/>
                <w:lang w:val="es-UY"/>
              </w:rPr>
              <w:t>Facultad de Ingeniería</w:t>
            </w:r>
          </w:p>
        </w:tc>
      </w:tr>
      <w:tr w:rsidR="00A12414" w:rsidRPr="00D90A86" w14:paraId="382C674E" w14:textId="77777777" w:rsidTr="001869FF">
        <w:trPr>
          <w:trHeight w:val="232"/>
        </w:trPr>
        <w:tc>
          <w:tcPr>
            <w:tcW w:w="2610" w:type="dxa"/>
            <w:tcBorders>
              <w:top w:val="single" w:sz="6" w:space="0" w:color="auto"/>
              <w:left w:val="single" w:sz="6" w:space="0" w:color="auto"/>
              <w:bottom w:val="single" w:sz="6" w:space="0" w:color="auto"/>
              <w:right w:val="single" w:sz="6" w:space="0" w:color="auto"/>
            </w:tcBorders>
            <w:hideMark/>
          </w:tcPr>
          <w:p w14:paraId="4A2B7B22" w14:textId="77777777" w:rsidR="00A12414" w:rsidRPr="00A12414" w:rsidRDefault="00A12414" w:rsidP="001869FF">
            <w:pPr>
              <w:spacing w:line="240" w:lineRule="auto"/>
              <w:jc w:val="center"/>
              <w:rPr>
                <w:rFonts w:ascii="Times New Roman" w:hAnsi="Times New Roman" w:cs="Times New Roman"/>
                <w:bCs/>
                <w:sz w:val="20"/>
                <w:szCs w:val="20"/>
                <w:lang w:val="es-ES"/>
              </w:rPr>
            </w:pPr>
            <w:r w:rsidRPr="00A12414">
              <w:rPr>
                <w:rFonts w:ascii="Times New Roman" w:hAnsi="Times New Roman" w:cs="Times New Roman"/>
                <w:bCs/>
                <w:sz w:val="20"/>
                <w:szCs w:val="20"/>
                <w:lang w:val="es-UY"/>
              </w:rPr>
              <w:t>FCEA</w:t>
            </w:r>
          </w:p>
        </w:tc>
        <w:tc>
          <w:tcPr>
            <w:tcW w:w="6118" w:type="dxa"/>
            <w:tcBorders>
              <w:top w:val="single" w:sz="6" w:space="0" w:color="auto"/>
              <w:left w:val="single" w:sz="6" w:space="0" w:color="auto"/>
              <w:bottom w:val="single" w:sz="6" w:space="0" w:color="auto"/>
              <w:right w:val="single" w:sz="6" w:space="0" w:color="auto"/>
            </w:tcBorders>
            <w:hideMark/>
          </w:tcPr>
          <w:p w14:paraId="011FB341" w14:textId="77777777" w:rsidR="00A12414" w:rsidRPr="00A12414" w:rsidRDefault="00A12414" w:rsidP="001869FF">
            <w:pPr>
              <w:spacing w:line="240" w:lineRule="auto"/>
              <w:jc w:val="center"/>
              <w:rPr>
                <w:rFonts w:ascii="Times New Roman" w:hAnsi="Times New Roman" w:cs="Times New Roman"/>
                <w:bCs/>
                <w:sz w:val="20"/>
                <w:szCs w:val="20"/>
                <w:lang w:val="es-ES"/>
              </w:rPr>
            </w:pPr>
            <w:r w:rsidRPr="00A12414">
              <w:rPr>
                <w:rFonts w:ascii="Times New Roman" w:hAnsi="Times New Roman" w:cs="Times New Roman"/>
                <w:bCs/>
                <w:sz w:val="20"/>
                <w:szCs w:val="20"/>
                <w:lang w:val="es-UY"/>
              </w:rPr>
              <w:t>Facultad de Ciencias Económicas y de Administración</w:t>
            </w:r>
          </w:p>
        </w:tc>
      </w:tr>
      <w:tr w:rsidR="00A12414" w:rsidRPr="00D90A86" w14:paraId="5AC42AD7" w14:textId="77777777" w:rsidTr="001869FF">
        <w:trPr>
          <w:trHeight w:val="232"/>
        </w:trPr>
        <w:tc>
          <w:tcPr>
            <w:tcW w:w="2610" w:type="dxa"/>
            <w:tcBorders>
              <w:top w:val="single" w:sz="6" w:space="0" w:color="auto"/>
              <w:left w:val="single" w:sz="6" w:space="0" w:color="auto"/>
              <w:bottom w:val="single" w:sz="6" w:space="0" w:color="auto"/>
              <w:right w:val="single" w:sz="6" w:space="0" w:color="auto"/>
            </w:tcBorders>
            <w:hideMark/>
          </w:tcPr>
          <w:p w14:paraId="1A83F900" w14:textId="77777777" w:rsidR="00A12414" w:rsidRPr="00A12414" w:rsidRDefault="00A12414" w:rsidP="001869FF">
            <w:pPr>
              <w:spacing w:line="240" w:lineRule="auto"/>
              <w:jc w:val="center"/>
              <w:rPr>
                <w:rFonts w:ascii="Times New Roman" w:hAnsi="Times New Roman" w:cs="Times New Roman"/>
                <w:bCs/>
                <w:sz w:val="20"/>
                <w:szCs w:val="20"/>
                <w:lang w:val="es-ES"/>
              </w:rPr>
            </w:pPr>
            <w:r w:rsidRPr="00A12414">
              <w:rPr>
                <w:rFonts w:ascii="Times New Roman" w:hAnsi="Times New Roman" w:cs="Times New Roman"/>
                <w:bCs/>
                <w:sz w:val="20"/>
                <w:szCs w:val="20"/>
                <w:lang w:val="es-UY"/>
              </w:rPr>
              <w:t>Hospital de Clínicas</w:t>
            </w:r>
          </w:p>
        </w:tc>
        <w:tc>
          <w:tcPr>
            <w:tcW w:w="6118" w:type="dxa"/>
            <w:tcBorders>
              <w:top w:val="single" w:sz="6" w:space="0" w:color="auto"/>
              <w:left w:val="single" w:sz="6" w:space="0" w:color="auto"/>
              <w:bottom w:val="single" w:sz="6" w:space="0" w:color="auto"/>
              <w:right w:val="single" w:sz="6" w:space="0" w:color="auto"/>
            </w:tcBorders>
            <w:hideMark/>
          </w:tcPr>
          <w:p w14:paraId="53F435E3" w14:textId="77777777" w:rsidR="00A12414" w:rsidRPr="00A12414" w:rsidRDefault="00A12414" w:rsidP="001869FF">
            <w:pPr>
              <w:spacing w:line="240" w:lineRule="auto"/>
              <w:jc w:val="center"/>
              <w:rPr>
                <w:rFonts w:ascii="Times New Roman" w:hAnsi="Times New Roman" w:cs="Times New Roman"/>
                <w:bCs/>
                <w:sz w:val="20"/>
                <w:szCs w:val="20"/>
                <w:lang w:val="es-ES"/>
              </w:rPr>
            </w:pPr>
            <w:r w:rsidRPr="00A12414">
              <w:rPr>
                <w:rFonts w:ascii="Times New Roman" w:hAnsi="Times New Roman" w:cs="Times New Roman"/>
                <w:bCs/>
                <w:sz w:val="20"/>
                <w:szCs w:val="20"/>
                <w:lang w:val="es-UY"/>
              </w:rPr>
              <w:t>Hospital de Clínicas</w:t>
            </w:r>
          </w:p>
        </w:tc>
      </w:tr>
      <w:tr w:rsidR="00A12414" w:rsidRPr="00D90A86" w14:paraId="45A90759" w14:textId="77777777" w:rsidTr="001869FF">
        <w:trPr>
          <w:trHeight w:val="232"/>
        </w:trPr>
        <w:tc>
          <w:tcPr>
            <w:tcW w:w="2610" w:type="dxa"/>
            <w:tcBorders>
              <w:top w:val="single" w:sz="6" w:space="0" w:color="auto"/>
              <w:left w:val="single" w:sz="6" w:space="0" w:color="auto"/>
              <w:bottom w:val="single" w:sz="6" w:space="0" w:color="auto"/>
              <w:right w:val="single" w:sz="6" w:space="0" w:color="auto"/>
            </w:tcBorders>
            <w:hideMark/>
          </w:tcPr>
          <w:p w14:paraId="32AC7118" w14:textId="77777777" w:rsidR="00A12414" w:rsidRPr="00A12414" w:rsidRDefault="00A12414" w:rsidP="001869FF">
            <w:pPr>
              <w:spacing w:line="240" w:lineRule="auto"/>
              <w:jc w:val="center"/>
              <w:rPr>
                <w:rFonts w:ascii="Times New Roman" w:hAnsi="Times New Roman" w:cs="Times New Roman"/>
                <w:bCs/>
                <w:sz w:val="20"/>
                <w:szCs w:val="20"/>
                <w:lang w:val="es-ES"/>
              </w:rPr>
            </w:pPr>
            <w:r w:rsidRPr="00A12414">
              <w:rPr>
                <w:rFonts w:ascii="Times New Roman" w:hAnsi="Times New Roman" w:cs="Times New Roman"/>
                <w:bCs/>
                <w:sz w:val="20"/>
                <w:szCs w:val="20"/>
                <w:lang w:val="es-UY"/>
              </w:rPr>
              <w:t>CENUR Litoral Norte</w:t>
            </w:r>
          </w:p>
        </w:tc>
        <w:tc>
          <w:tcPr>
            <w:tcW w:w="6118" w:type="dxa"/>
            <w:tcBorders>
              <w:top w:val="single" w:sz="6" w:space="0" w:color="auto"/>
              <w:left w:val="single" w:sz="6" w:space="0" w:color="auto"/>
              <w:bottom w:val="single" w:sz="6" w:space="0" w:color="auto"/>
              <w:right w:val="single" w:sz="6" w:space="0" w:color="auto"/>
            </w:tcBorders>
            <w:hideMark/>
          </w:tcPr>
          <w:p w14:paraId="1C7B6A48" w14:textId="77777777" w:rsidR="00A12414" w:rsidRPr="00A12414" w:rsidRDefault="00A12414" w:rsidP="001869FF">
            <w:pPr>
              <w:spacing w:line="240" w:lineRule="auto"/>
              <w:jc w:val="center"/>
              <w:rPr>
                <w:rFonts w:ascii="Times New Roman" w:hAnsi="Times New Roman" w:cs="Times New Roman"/>
                <w:bCs/>
                <w:sz w:val="20"/>
                <w:szCs w:val="20"/>
                <w:lang w:val="es-ES"/>
              </w:rPr>
            </w:pPr>
            <w:r w:rsidRPr="00A12414">
              <w:rPr>
                <w:rFonts w:ascii="Times New Roman" w:hAnsi="Times New Roman" w:cs="Times New Roman"/>
                <w:bCs/>
                <w:sz w:val="20"/>
                <w:szCs w:val="20"/>
                <w:lang w:val="es-UY"/>
              </w:rPr>
              <w:t>Centro Universitario Regional del Litoral Norte</w:t>
            </w:r>
          </w:p>
        </w:tc>
      </w:tr>
      <w:tr w:rsidR="00A12414" w:rsidRPr="00D90A86" w14:paraId="586B0EA6" w14:textId="77777777" w:rsidTr="001869FF">
        <w:trPr>
          <w:trHeight w:val="232"/>
        </w:trPr>
        <w:tc>
          <w:tcPr>
            <w:tcW w:w="2610" w:type="dxa"/>
            <w:tcBorders>
              <w:top w:val="single" w:sz="6" w:space="0" w:color="auto"/>
              <w:left w:val="single" w:sz="6" w:space="0" w:color="auto"/>
              <w:bottom w:val="single" w:sz="6" w:space="0" w:color="auto"/>
              <w:right w:val="single" w:sz="6" w:space="0" w:color="auto"/>
            </w:tcBorders>
            <w:hideMark/>
          </w:tcPr>
          <w:p w14:paraId="008BCE35" w14:textId="77777777" w:rsidR="00A12414" w:rsidRPr="00A12414" w:rsidRDefault="00A12414" w:rsidP="001869FF">
            <w:pPr>
              <w:spacing w:line="240" w:lineRule="auto"/>
              <w:jc w:val="center"/>
              <w:rPr>
                <w:rFonts w:ascii="Times New Roman" w:hAnsi="Times New Roman" w:cs="Times New Roman"/>
                <w:bCs/>
                <w:sz w:val="20"/>
                <w:szCs w:val="20"/>
                <w:lang w:val="es-ES"/>
              </w:rPr>
            </w:pPr>
            <w:r w:rsidRPr="00A12414">
              <w:rPr>
                <w:rFonts w:ascii="Times New Roman" w:hAnsi="Times New Roman" w:cs="Times New Roman"/>
                <w:bCs/>
                <w:sz w:val="20"/>
                <w:szCs w:val="20"/>
                <w:lang w:val="es-UY"/>
              </w:rPr>
              <w:t>FCIEN</w:t>
            </w:r>
          </w:p>
        </w:tc>
        <w:tc>
          <w:tcPr>
            <w:tcW w:w="6118" w:type="dxa"/>
            <w:tcBorders>
              <w:top w:val="single" w:sz="6" w:space="0" w:color="auto"/>
              <w:left w:val="single" w:sz="6" w:space="0" w:color="auto"/>
              <w:bottom w:val="single" w:sz="6" w:space="0" w:color="auto"/>
              <w:right w:val="single" w:sz="6" w:space="0" w:color="auto"/>
            </w:tcBorders>
            <w:hideMark/>
          </w:tcPr>
          <w:p w14:paraId="0E7277D0" w14:textId="77777777" w:rsidR="00A12414" w:rsidRPr="00A12414" w:rsidRDefault="00A12414" w:rsidP="001869FF">
            <w:pPr>
              <w:spacing w:line="240" w:lineRule="auto"/>
              <w:jc w:val="center"/>
              <w:rPr>
                <w:rFonts w:ascii="Times New Roman" w:hAnsi="Times New Roman" w:cs="Times New Roman"/>
                <w:bCs/>
                <w:sz w:val="20"/>
                <w:szCs w:val="20"/>
                <w:lang w:val="es-ES"/>
              </w:rPr>
            </w:pPr>
            <w:r w:rsidRPr="00A12414">
              <w:rPr>
                <w:rFonts w:ascii="Times New Roman" w:hAnsi="Times New Roman" w:cs="Times New Roman"/>
                <w:bCs/>
                <w:sz w:val="20"/>
                <w:szCs w:val="20"/>
                <w:lang w:val="es-UY"/>
              </w:rPr>
              <w:t>Facultad de Ciencias</w:t>
            </w:r>
          </w:p>
        </w:tc>
      </w:tr>
      <w:tr w:rsidR="00A12414" w:rsidRPr="00D90A86" w14:paraId="54C1FD41" w14:textId="77777777" w:rsidTr="001869FF">
        <w:trPr>
          <w:trHeight w:val="232"/>
        </w:trPr>
        <w:tc>
          <w:tcPr>
            <w:tcW w:w="2610" w:type="dxa"/>
            <w:tcBorders>
              <w:top w:val="single" w:sz="6" w:space="0" w:color="auto"/>
              <w:left w:val="single" w:sz="6" w:space="0" w:color="auto"/>
              <w:bottom w:val="single" w:sz="6" w:space="0" w:color="auto"/>
              <w:right w:val="single" w:sz="6" w:space="0" w:color="auto"/>
            </w:tcBorders>
            <w:hideMark/>
          </w:tcPr>
          <w:p w14:paraId="1E1DE277" w14:textId="77777777" w:rsidR="00A12414" w:rsidRPr="00A12414" w:rsidRDefault="00A12414" w:rsidP="001869FF">
            <w:pPr>
              <w:spacing w:line="240" w:lineRule="auto"/>
              <w:jc w:val="center"/>
              <w:rPr>
                <w:rFonts w:ascii="Times New Roman" w:hAnsi="Times New Roman" w:cs="Times New Roman"/>
                <w:bCs/>
                <w:sz w:val="20"/>
                <w:szCs w:val="20"/>
                <w:lang w:val="es-ES"/>
              </w:rPr>
            </w:pPr>
            <w:r w:rsidRPr="00A12414">
              <w:rPr>
                <w:rFonts w:ascii="Times New Roman" w:hAnsi="Times New Roman" w:cs="Times New Roman"/>
                <w:bCs/>
                <w:sz w:val="20"/>
                <w:szCs w:val="20"/>
                <w:lang w:val="es-UY"/>
              </w:rPr>
              <w:t>FQ</w:t>
            </w:r>
          </w:p>
        </w:tc>
        <w:tc>
          <w:tcPr>
            <w:tcW w:w="6118" w:type="dxa"/>
            <w:tcBorders>
              <w:top w:val="single" w:sz="6" w:space="0" w:color="auto"/>
              <w:left w:val="single" w:sz="6" w:space="0" w:color="auto"/>
              <w:bottom w:val="single" w:sz="6" w:space="0" w:color="auto"/>
              <w:right w:val="single" w:sz="6" w:space="0" w:color="auto"/>
            </w:tcBorders>
            <w:hideMark/>
          </w:tcPr>
          <w:p w14:paraId="7B85BD74" w14:textId="77777777" w:rsidR="00A12414" w:rsidRPr="00A12414" w:rsidRDefault="00A12414" w:rsidP="001869FF">
            <w:pPr>
              <w:spacing w:line="240" w:lineRule="auto"/>
              <w:jc w:val="center"/>
              <w:rPr>
                <w:rFonts w:ascii="Times New Roman" w:hAnsi="Times New Roman" w:cs="Times New Roman"/>
                <w:bCs/>
                <w:sz w:val="20"/>
                <w:szCs w:val="20"/>
                <w:lang w:val="es-ES"/>
              </w:rPr>
            </w:pPr>
            <w:r w:rsidRPr="00A12414">
              <w:rPr>
                <w:rFonts w:ascii="Times New Roman" w:hAnsi="Times New Roman" w:cs="Times New Roman"/>
                <w:bCs/>
                <w:sz w:val="20"/>
                <w:szCs w:val="20"/>
                <w:lang w:val="es-UY"/>
              </w:rPr>
              <w:t>Facultad de Química</w:t>
            </w:r>
          </w:p>
        </w:tc>
      </w:tr>
      <w:tr w:rsidR="00A12414" w:rsidRPr="00D90A86" w14:paraId="1297B818" w14:textId="77777777" w:rsidTr="001869FF">
        <w:trPr>
          <w:trHeight w:val="232"/>
        </w:trPr>
        <w:tc>
          <w:tcPr>
            <w:tcW w:w="2610" w:type="dxa"/>
            <w:tcBorders>
              <w:top w:val="single" w:sz="6" w:space="0" w:color="auto"/>
              <w:left w:val="single" w:sz="6" w:space="0" w:color="auto"/>
              <w:bottom w:val="single" w:sz="6" w:space="0" w:color="auto"/>
              <w:right w:val="single" w:sz="6" w:space="0" w:color="auto"/>
            </w:tcBorders>
            <w:hideMark/>
          </w:tcPr>
          <w:p w14:paraId="311D9908" w14:textId="77777777" w:rsidR="00A12414" w:rsidRPr="00A12414" w:rsidRDefault="00A12414" w:rsidP="001869FF">
            <w:pPr>
              <w:spacing w:line="240" w:lineRule="auto"/>
              <w:jc w:val="center"/>
              <w:rPr>
                <w:rFonts w:ascii="Times New Roman" w:hAnsi="Times New Roman" w:cs="Times New Roman"/>
                <w:bCs/>
                <w:sz w:val="20"/>
                <w:szCs w:val="20"/>
                <w:lang w:val="es-ES"/>
              </w:rPr>
            </w:pPr>
            <w:r w:rsidRPr="00A12414">
              <w:rPr>
                <w:rFonts w:ascii="Times New Roman" w:hAnsi="Times New Roman" w:cs="Times New Roman"/>
                <w:bCs/>
                <w:sz w:val="20"/>
                <w:szCs w:val="20"/>
                <w:lang w:val="es-UY"/>
              </w:rPr>
              <w:t>FODON</w:t>
            </w:r>
          </w:p>
        </w:tc>
        <w:tc>
          <w:tcPr>
            <w:tcW w:w="6118" w:type="dxa"/>
            <w:tcBorders>
              <w:top w:val="single" w:sz="6" w:space="0" w:color="auto"/>
              <w:left w:val="single" w:sz="6" w:space="0" w:color="auto"/>
              <w:bottom w:val="single" w:sz="6" w:space="0" w:color="auto"/>
              <w:right w:val="single" w:sz="6" w:space="0" w:color="auto"/>
            </w:tcBorders>
            <w:hideMark/>
          </w:tcPr>
          <w:p w14:paraId="57848964" w14:textId="77777777" w:rsidR="00A12414" w:rsidRPr="00A12414" w:rsidRDefault="00A12414" w:rsidP="001869FF">
            <w:pPr>
              <w:spacing w:line="240" w:lineRule="auto"/>
              <w:jc w:val="center"/>
              <w:rPr>
                <w:rFonts w:ascii="Times New Roman" w:hAnsi="Times New Roman" w:cs="Times New Roman"/>
                <w:bCs/>
                <w:sz w:val="20"/>
                <w:szCs w:val="20"/>
                <w:lang w:val="es-ES"/>
              </w:rPr>
            </w:pPr>
            <w:r w:rsidRPr="00A12414">
              <w:rPr>
                <w:rFonts w:ascii="Times New Roman" w:hAnsi="Times New Roman" w:cs="Times New Roman"/>
                <w:bCs/>
                <w:sz w:val="20"/>
                <w:szCs w:val="20"/>
                <w:lang w:val="es-UY"/>
              </w:rPr>
              <w:t>Facultad de Odontología</w:t>
            </w:r>
          </w:p>
        </w:tc>
      </w:tr>
      <w:tr w:rsidR="00A12414" w:rsidRPr="00D90A86" w14:paraId="05DEC9B6" w14:textId="77777777" w:rsidTr="001869FF">
        <w:trPr>
          <w:trHeight w:val="232"/>
        </w:trPr>
        <w:tc>
          <w:tcPr>
            <w:tcW w:w="2610" w:type="dxa"/>
            <w:tcBorders>
              <w:top w:val="single" w:sz="6" w:space="0" w:color="auto"/>
              <w:left w:val="single" w:sz="6" w:space="0" w:color="auto"/>
              <w:bottom w:val="single" w:sz="6" w:space="0" w:color="auto"/>
              <w:right w:val="single" w:sz="6" w:space="0" w:color="auto"/>
            </w:tcBorders>
            <w:hideMark/>
          </w:tcPr>
          <w:p w14:paraId="617E205F" w14:textId="77777777" w:rsidR="00A12414" w:rsidRPr="00A12414" w:rsidRDefault="00A12414" w:rsidP="001869FF">
            <w:pPr>
              <w:spacing w:line="240" w:lineRule="auto"/>
              <w:jc w:val="center"/>
              <w:rPr>
                <w:rFonts w:ascii="Times New Roman" w:hAnsi="Times New Roman" w:cs="Times New Roman"/>
                <w:bCs/>
                <w:sz w:val="20"/>
                <w:szCs w:val="20"/>
                <w:lang w:val="es-ES"/>
              </w:rPr>
            </w:pPr>
            <w:r w:rsidRPr="00A12414">
              <w:rPr>
                <w:rFonts w:ascii="Times New Roman" w:hAnsi="Times New Roman" w:cs="Times New Roman"/>
                <w:bCs/>
                <w:sz w:val="20"/>
                <w:szCs w:val="20"/>
                <w:lang w:val="es-UY"/>
              </w:rPr>
              <w:t>FAGRO</w:t>
            </w:r>
          </w:p>
        </w:tc>
        <w:tc>
          <w:tcPr>
            <w:tcW w:w="6118" w:type="dxa"/>
            <w:tcBorders>
              <w:top w:val="single" w:sz="6" w:space="0" w:color="auto"/>
              <w:left w:val="single" w:sz="6" w:space="0" w:color="auto"/>
              <w:bottom w:val="single" w:sz="6" w:space="0" w:color="auto"/>
              <w:right w:val="single" w:sz="6" w:space="0" w:color="auto"/>
            </w:tcBorders>
            <w:hideMark/>
          </w:tcPr>
          <w:p w14:paraId="3EACCA6F" w14:textId="77777777" w:rsidR="00A12414" w:rsidRPr="00A12414" w:rsidRDefault="00A12414" w:rsidP="001869FF">
            <w:pPr>
              <w:spacing w:line="240" w:lineRule="auto"/>
              <w:jc w:val="center"/>
              <w:rPr>
                <w:rFonts w:ascii="Times New Roman" w:hAnsi="Times New Roman" w:cs="Times New Roman"/>
                <w:bCs/>
                <w:sz w:val="20"/>
                <w:szCs w:val="20"/>
                <w:lang w:val="es-ES"/>
              </w:rPr>
            </w:pPr>
            <w:r w:rsidRPr="00A12414">
              <w:rPr>
                <w:rFonts w:ascii="Times New Roman" w:hAnsi="Times New Roman" w:cs="Times New Roman"/>
                <w:bCs/>
                <w:sz w:val="20"/>
                <w:szCs w:val="20"/>
                <w:lang w:val="es-UY"/>
              </w:rPr>
              <w:t>Facultad de Agronomía</w:t>
            </w:r>
          </w:p>
        </w:tc>
      </w:tr>
      <w:tr w:rsidR="00A12414" w:rsidRPr="00D90A86" w14:paraId="2154DB11" w14:textId="77777777" w:rsidTr="001869FF">
        <w:trPr>
          <w:trHeight w:val="232"/>
        </w:trPr>
        <w:tc>
          <w:tcPr>
            <w:tcW w:w="2610" w:type="dxa"/>
            <w:tcBorders>
              <w:top w:val="single" w:sz="6" w:space="0" w:color="auto"/>
              <w:left w:val="single" w:sz="6" w:space="0" w:color="auto"/>
              <w:bottom w:val="single" w:sz="6" w:space="0" w:color="auto"/>
              <w:right w:val="single" w:sz="6" w:space="0" w:color="auto"/>
            </w:tcBorders>
            <w:hideMark/>
          </w:tcPr>
          <w:p w14:paraId="4EED063C" w14:textId="77777777" w:rsidR="00A12414" w:rsidRPr="00A12414" w:rsidRDefault="00A12414" w:rsidP="001869FF">
            <w:pPr>
              <w:spacing w:line="240" w:lineRule="auto"/>
              <w:jc w:val="center"/>
              <w:rPr>
                <w:rFonts w:ascii="Times New Roman" w:hAnsi="Times New Roman" w:cs="Times New Roman"/>
                <w:bCs/>
                <w:sz w:val="20"/>
                <w:szCs w:val="20"/>
                <w:lang w:val="es-ES"/>
              </w:rPr>
            </w:pPr>
            <w:r w:rsidRPr="00A12414">
              <w:rPr>
                <w:rFonts w:ascii="Times New Roman" w:hAnsi="Times New Roman" w:cs="Times New Roman"/>
                <w:bCs/>
                <w:sz w:val="20"/>
                <w:szCs w:val="20"/>
                <w:lang w:val="es-UY"/>
              </w:rPr>
              <w:t>FCS</w:t>
            </w:r>
          </w:p>
        </w:tc>
        <w:tc>
          <w:tcPr>
            <w:tcW w:w="6118" w:type="dxa"/>
            <w:tcBorders>
              <w:top w:val="single" w:sz="6" w:space="0" w:color="auto"/>
              <w:left w:val="single" w:sz="6" w:space="0" w:color="auto"/>
              <w:bottom w:val="single" w:sz="6" w:space="0" w:color="auto"/>
              <w:right w:val="single" w:sz="6" w:space="0" w:color="auto"/>
            </w:tcBorders>
            <w:hideMark/>
          </w:tcPr>
          <w:p w14:paraId="761511B2" w14:textId="77777777" w:rsidR="00A12414" w:rsidRPr="00A12414" w:rsidRDefault="00A12414" w:rsidP="001869FF">
            <w:pPr>
              <w:spacing w:line="240" w:lineRule="auto"/>
              <w:jc w:val="center"/>
              <w:rPr>
                <w:rFonts w:ascii="Times New Roman" w:hAnsi="Times New Roman" w:cs="Times New Roman"/>
                <w:bCs/>
                <w:sz w:val="20"/>
                <w:szCs w:val="20"/>
                <w:lang w:val="es-ES"/>
              </w:rPr>
            </w:pPr>
            <w:r w:rsidRPr="00A12414">
              <w:rPr>
                <w:rFonts w:ascii="Times New Roman" w:hAnsi="Times New Roman" w:cs="Times New Roman"/>
                <w:bCs/>
                <w:sz w:val="20"/>
                <w:szCs w:val="20"/>
                <w:lang w:val="es-UY"/>
              </w:rPr>
              <w:t>Facultad de Ciencias Sociales</w:t>
            </w:r>
          </w:p>
        </w:tc>
      </w:tr>
      <w:tr w:rsidR="00A12414" w:rsidRPr="00D90A86" w14:paraId="64105A12" w14:textId="77777777" w:rsidTr="001869FF">
        <w:trPr>
          <w:trHeight w:val="232"/>
        </w:trPr>
        <w:tc>
          <w:tcPr>
            <w:tcW w:w="2610" w:type="dxa"/>
            <w:tcBorders>
              <w:top w:val="single" w:sz="6" w:space="0" w:color="auto"/>
              <w:left w:val="single" w:sz="6" w:space="0" w:color="auto"/>
              <w:bottom w:val="single" w:sz="6" w:space="0" w:color="auto"/>
              <w:right w:val="single" w:sz="6" w:space="0" w:color="auto"/>
            </w:tcBorders>
            <w:hideMark/>
          </w:tcPr>
          <w:p w14:paraId="4F64E953" w14:textId="77777777" w:rsidR="00A12414" w:rsidRPr="00A12414" w:rsidRDefault="00A12414" w:rsidP="001869FF">
            <w:pPr>
              <w:spacing w:line="240" w:lineRule="auto"/>
              <w:jc w:val="center"/>
              <w:rPr>
                <w:rFonts w:ascii="Times New Roman" w:hAnsi="Times New Roman" w:cs="Times New Roman"/>
                <w:bCs/>
                <w:sz w:val="20"/>
                <w:szCs w:val="20"/>
                <w:lang w:val="es-ES"/>
              </w:rPr>
            </w:pPr>
            <w:r w:rsidRPr="00A12414">
              <w:rPr>
                <w:rFonts w:ascii="Times New Roman" w:hAnsi="Times New Roman" w:cs="Times New Roman"/>
                <w:bCs/>
                <w:sz w:val="20"/>
                <w:szCs w:val="20"/>
                <w:lang w:val="es-UY"/>
              </w:rPr>
              <w:t>FVET</w:t>
            </w:r>
          </w:p>
        </w:tc>
        <w:tc>
          <w:tcPr>
            <w:tcW w:w="6118" w:type="dxa"/>
            <w:tcBorders>
              <w:top w:val="single" w:sz="6" w:space="0" w:color="auto"/>
              <w:left w:val="single" w:sz="6" w:space="0" w:color="auto"/>
              <w:bottom w:val="single" w:sz="6" w:space="0" w:color="auto"/>
              <w:right w:val="single" w:sz="6" w:space="0" w:color="auto"/>
            </w:tcBorders>
            <w:hideMark/>
          </w:tcPr>
          <w:p w14:paraId="6D58004C" w14:textId="77777777" w:rsidR="00A12414" w:rsidRPr="00A12414" w:rsidRDefault="00A12414" w:rsidP="001869FF">
            <w:pPr>
              <w:spacing w:line="240" w:lineRule="auto"/>
              <w:jc w:val="center"/>
              <w:rPr>
                <w:rFonts w:ascii="Times New Roman" w:hAnsi="Times New Roman" w:cs="Times New Roman"/>
                <w:bCs/>
                <w:sz w:val="20"/>
                <w:szCs w:val="20"/>
                <w:lang w:val="es-ES"/>
              </w:rPr>
            </w:pPr>
            <w:r w:rsidRPr="00A12414">
              <w:rPr>
                <w:rFonts w:ascii="Times New Roman" w:hAnsi="Times New Roman" w:cs="Times New Roman"/>
                <w:bCs/>
                <w:sz w:val="20"/>
                <w:szCs w:val="20"/>
                <w:lang w:val="es-UY"/>
              </w:rPr>
              <w:t>Facultad de Veterinaria</w:t>
            </w:r>
          </w:p>
        </w:tc>
      </w:tr>
      <w:tr w:rsidR="00A12414" w:rsidRPr="00D90A86" w14:paraId="5E6F5E31" w14:textId="77777777" w:rsidTr="001869FF">
        <w:trPr>
          <w:trHeight w:val="232"/>
        </w:trPr>
        <w:tc>
          <w:tcPr>
            <w:tcW w:w="2610" w:type="dxa"/>
            <w:tcBorders>
              <w:top w:val="single" w:sz="6" w:space="0" w:color="auto"/>
              <w:left w:val="single" w:sz="6" w:space="0" w:color="auto"/>
              <w:bottom w:val="single" w:sz="6" w:space="0" w:color="auto"/>
              <w:right w:val="single" w:sz="6" w:space="0" w:color="auto"/>
            </w:tcBorders>
            <w:hideMark/>
          </w:tcPr>
          <w:p w14:paraId="625C451F" w14:textId="77777777" w:rsidR="00A12414" w:rsidRPr="00A12414" w:rsidRDefault="00A12414" w:rsidP="001869FF">
            <w:pPr>
              <w:spacing w:line="240" w:lineRule="auto"/>
              <w:jc w:val="center"/>
              <w:rPr>
                <w:rFonts w:ascii="Times New Roman" w:hAnsi="Times New Roman" w:cs="Times New Roman"/>
                <w:bCs/>
                <w:sz w:val="20"/>
                <w:szCs w:val="20"/>
                <w:lang w:val="es-ES"/>
              </w:rPr>
            </w:pPr>
            <w:r w:rsidRPr="00A12414">
              <w:rPr>
                <w:rFonts w:ascii="Times New Roman" w:hAnsi="Times New Roman" w:cs="Times New Roman"/>
                <w:bCs/>
                <w:sz w:val="20"/>
                <w:szCs w:val="20"/>
                <w:lang w:val="es-UY"/>
              </w:rPr>
              <w:t>FHCE</w:t>
            </w:r>
          </w:p>
        </w:tc>
        <w:tc>
          <w:tcPr>
            <w:tcW w:w="6118" w:type="dxa"/>
            <w:tcBorders>
              <w:top w:val="single" w:sz="6" w:space="0" w:color="auto"/>
              <w:left w:val="single" w:sz="6" w:space="0" w:color="auto"/>
              <w:bottom w:val="single" w:sz="6" w:space="0" w:color="auto"/>
              <w:right w:val="single" w:sz="6" w:space="0" w:color="auto"/>
            </w:tcBorders>
            <w:hideMark/>
          </w:tcPr>
          <w:p w14:paraId="08D49546" w14:textId="77777777" w:rsidR="00A12414" w:rsidRPr="00A12414" w:rsidRDefault="00A12414" w:rsidP="001869FF">
            <w:pPr>
              <w:spacing w:line="240" w:lineRule="auto"/>
              <w:jc w:val="center"/>
              <w:rPr>
                <w:rFonts w:ascii="Times New Roman" w:hAnsi="Times New Roman" w:cs="Times New Roman"/>
                <w:bCs/>
                <w:sz w:val="20"/>
                <w:szCs w:val="20"/>
                <w:lang w:val="es-ES"/>
              </w:rPr>
            </w:pPr>
            <w:r w:rsidRPr="00A12414">
              <w:rPr>
                <w:rFonts w:ascii="Times New Roman" w:hAnsi="Times New Roman" w:cs="Times New Roman"/>
                <w:bCs/>
                <w:sz w:val="20"/>
                <w:szCs w:val="20"/>
                <w:lang w:val="es-UY"/>
              </w:rPr>
              <w:t>Facultad de Humanidades y Ciencias de la Educación</w:t>
            </w:r>
          </w:p>
        </w:tc>
      </w:tr>
      <w:tr w:rsidR="00A12414" w:rsidRPr="00D90A86" w14:paraId="25727676" w14:textId="77777777" w:rsidTr="001869FF">
        <w:trPr>
          <w:trHeight w:val="232"/>
        </w:trPr>
        <w:tc>
          <w:tcPr>
            <w:tcW w:w="2610" w:type="dxa"/>
            <w:tcBorders>
              <w:top w:val="single" w:sz="6" w:space="0" w:color="auto"/>
              <w:left w:val="single" w:sz="6" w:space="0" w:color="auto"/>
              <w:bottom w:val="single" w:sz="6" w:space="0" w:color="auto"/>
              <w:right w:val="single" w:sz="6" w:space="0" w:color="auto"/>
            </w:tcBorders>
            <w:hideMark/>
          </w:tcPr>
          <w:p w14:paraId="717D6DBE" w14:textId="77777777" w:rsidR="00A12414" w:rsidRPr="00A12414" w:rsidRDefault="00A12414" w:rsidP="001869FF">
            <w:pPr>
              <w:spacing w:line="240" w:lineRule="auto"/>
              <w:jc w:val="center"/>
              <w:rPr>
                <w:rFonts w:ascii="Times New Roman" w:hAnsi="Times New Roman" w:cs="Times New Roman"/>
                <w:bCs/>
                <w:sz w:val="20"/>
                <w:szCs w:val="20"/>
                <w:lang w:val="es-ES"/>
              </w:rPr>
            </w:pPr>
            <w:r w:rsidRPr="00A12414">
              <w:rPr>
                <w:rFonts w:ascii="Times New Roman" w:hAnsi="Times New Roman" w:cs="Times New Roman"/>
                <w:bCs/>
                <w:sz w:val="20"/>
                <w:szCs w:val="20"/>
                <w:lang w:val="es-UY"/>
              </w:rPr>
              <w:t>ISEF</w:t>
            </w:r>
          </w:p>
        </w:tc>
        <w:tc>
          <w:tcPr>
            <w:tcW w:w="6118" w:type="dxa"/>
            <w:tcBorders>
              <w:top w:val="single" w:sz="6" w:space="0" w:color="auto"/>
              <w:left w:val="single" w:sz="6" w:space="0" w:color="auto"/>
              <w:bottom w:val="single" w:sz="6" w:space="0" w:color="auto"/>
              <w:right w:val="single" w:sz="6" w:space="0" w:color="auto"/>
            </w:tcBorders>
            <w:hideMark/>
          </w:tcPr>
          <w:p w14:paraId="73E7FA19" w14:textId="77777777" w:rsidR="00A12414" w:rsidRPr="00A12414" w:rsidRDefault="00A12414" w:rsidP="001869FF">
            <w:pPr>
              <w:spacing w:line="240" w:lineRule="auto"/>
              <w:jc w:val="center"/>
              <w:rPr>
                <w:rFonts w:ascii="Times New Roman" w:hAnsi="Times New Roman" w:cs="Times New Roman"/>
                <w:bCs/>
                <w:sz w:val="20"/>
                <w:szCs w:val="20"/>
                <w:lang w:val="es-ES"/>
              </w:rPr>
            </w:pPr>
            <w:r w:rsidRPr="00A12414">
              <w:rPr>
                <w:rFonts w:ascii="Times New Roman" w:hAnsi="Times New Roman" w:cs="Times New Roman"/>
                <w:bCs/>
                <w:sz w:val="20"/>
                <w:szCs w:val="20"/>
                <w:lang w:val="es-UY"/>
              </w:rPr>
              <w:t>Instituto Superior de Educación Física</w:t>
            </w:r>
          </w:p>
        </w:tc>
      </w:tr>
      <w:tr w:rsidR="00A12414" w:rsidRPr="00D90A86" w14:paraId="0FA45B54" w14:textId="77777777" w:rsidTr="001869FF">
        <w:trPr>
          <w:trHeight w:val="232"/>
        </w:trPr>
        <w:tc>
          <w:tcPr>
            <w:tcW w:w="2610" w:type="dxa"/>
            <w:tcBorders>
              <w:top w:val="single" w:sz="6" w:space="0" w:color="auto"/>
              <w:left w:val="single" w:sz="6" w:space="0" w:color="auto"/>
              <w:bottom w:val="single" w:sz="6" w:space="0" w:color="auto"/>
              <w:right w:val="single" w:sz="6" w:space="0" w:color="auto"/>
            </w:tcBorders>
            <w:hideMark/>
          </w:tcPr>
          <w:p w14:paraId="33375D91" w14:textId="77777777" w:rsidR="00A12414" w:rsidRPr="00A12414" w:rsidRDefault="00A12414" w:rsidP="001869FF">
            <w:pPr>
              <w:spacing w:line="240" w:lineRule="auto"/>
              <w:jc w:val="center"/>
              <w:rPr>
                <w:rFonts w:ascii="Times New Roman" w:hAnsi="Times New Roman" w:cs="Times New Roman"/>
                <w:bCs/>
                <w:sz w:val="20"/>
                <w:szCs w:val="20"/>
                <w:lang w:val="es-ES"/>
              </w:rPr>
            </w:pPr>
            <w:r w:rsidRPr="00A12414">
              <w:rPr>
                <w:rFonts w:ascii="Times New Roman" w:hAnsi="Times New Roman" w:cs="Times New Roman"/>
                <w:bCs/>
                <w:sz w:val="20"/>
                <w:szCs w:val="20"/>
                <w:lang w:val="es-UY"/>
              </w:rPr>
              <w:t>CURE</w:t>
            </w:r>
          </w:p>
        </w:tc>
        <w:tc>
          <w:tcPr>
            <w:tcW w:w="6118" w:type="dxa"/>
            <w:tcBorders>
              <w:top w:val="single" w:sz="6" w:space="0" w:color="auto"/>
              <w:left w:val="single" w:sz="6" w:space="0" w:color="auto"/>
              <w:bottom w:val="single" w:sz="6" w:space="0" w:color="auto"/>
              <w:right w:val="single" w:sz="6" w:space="0" w:color="auto"/>
            </w:tcBorders>
            <w:hideMark/>
          </w:tcPr>
          <w:p w14:paraId="6E0D4F33" w14:textId="77777777" w:rsidR="00A12414" w:rsidRPr="00A12414" w:rsidRDefault="00A12414" w:rsidP="001869FF">
            <w:pPr>
              <w:spacing w:line="240" w:lineRule="auto"/>
              <w:jc w:val="center"/>
              <w:rPr>
                <w:rFonts w:ascii="Times New Roman" w:hAnsi="Times New Roman" w:cs="Times New Roman"/>
                <w:bCs/>
                <w:sz w:val="20"/>
                <w:szCs w:val="20"/>
                <w:lang w:val="es-ES"/>
              </w:rPr>
            </w:pPr>
            <w:r w:rsidRPr="00A12414">
              <w:rPr>
                <w:rFonts w:ascii="Times New Roman" w:hAnsi="Times New Roman" w:cs="Times New Roman"/>
                <w:bCs/>
                <w:sz w:val="20"/>
                <w:szCs w:val="20"/>
                <w:lang w:val="es-UY"/>
              </w:rPr>
              <w:t>Centro Universitario Regional del Este</w:t>
            </w:r>
          </w:p>
        </w:tc>
      </w:tr>
      <w:tr w:rsidR="00A12414" w:rsidRPr="00D90A86" w14:paraId="28A37DE1" w14:textId="77777777" w:rsidTr="001869FF">
        <w:trPr>
          <w:trHeight w:val="232"/>
        </w:trPr>
        <w:tc>
          <w:tcPr>
            <w:tcW w:w="2610" w:type="dxa"/>
            <w:tcBorders>
              <w:top w:val="single" w:sz="6" w:space="0" w:color="auto"/>
              <w:left w:val="single" w:sz="6" w:space="0" w:color="auto"/>
              <w:bottom w:val="single" w:sz="6" w:space="0" w:color="auto"/>
              <w:right w:val="single" w:sz="6" w:space="0" w:color="auto"/>
            </w:tcBorders>
            <w:hideMark/>
          </w:tcPr>
          <w:p w14:paraId="2F506C79" w14:textId="77777777" w:rsidR="00A12414" w:rsidRPr="00A12414" w:rsidRDefault="00A12414" w:rsidP="001869FF">
            <w:pPr>
              <w:spacing w:line="240" w:lineRule="auto"/>
              <w:jc w:val="center"/>
              <w:rPr>
                <w:rFonts w:ascii="Times New Roman" w:hAnsi="Times New Roman" w:cs="Times New Roman"/>
                <w:bCs/>
                <w:sz w:val="20"/>
                <w:szCs w:val="20"/>
                <w:lang w:val="es-ES"/>
              </w:rPr>
            </w:pPr>
            <w:r w:rsidRPr="00A12414">
              <w:rPr>
                <w:rFonts w:ascii="Times New Roman" w:hAnsi="Times New Roman" w:cs="Times New Roman"/>
                <w:bCs/>
                <w:sz w:val="20"/>
                <w:szCs w:val="20"/>
                <w:lang w:val="es-UY"/>
              </w:rPr>
              <w:t>FPSICO</w:t>
            </w:r>
          </w:p>
        </w:tc>
        <w:tc>
          <w:tcPr>
            <w:tcW w:w="6118" w:type="dxa"/>
            <w:tcBorders>
              <w:top w:val="single" w:sz="6" w:space="0" w:color="auto"/>
              <w:left w:val="single" w:sz="6" w:space="0" w:color="auto"/>
              <w:bottom w:val="single" w:sz="6" w:space="0" w:color="auto"/>
              <w:right w:val="single" w:sz="6" w:space="0" w:color="auto"/>
            </w:tcBorders>
            <w:hideMark/>
          </w:tcPr>
          <w:p w14:paraId="3B5E3852" w14:textId="77777777" w:rsidR="00A12414" w:rsidRPr="00A12414" w:rsidRDefault="00A12414" w:rsidP="001869FF">
            <w:pPr>
              <w:spacing w:line="240" w:lineRule="auto"/>
              <w:jc w:val="center"/>
              <w:rPr>
                <w:rFonts w:ascii="Times New Roman" w:hAnsi="Times New Roman" w:cs="Times New Roman"/>
                <w:bCs/>
                <w:sz w:val="20"/>
                <w:szCs w:val="20"/>
                <w:lang w:val="es-ES"/>
              </w:rPr>
            </w:pPr>
            <w:r w:rsidRPr="00A12414">
              <w:rPr>
                <w:rFonts w:ascii="Times New Roman" w:hAnsi="Times New Roman" w:cs="Times New Roman"/>
                <w:bCs/>
                <w:sz w:val="20"/>
                <w:szCs w:val="20"/>
                <w:lang w:val="es-UY"/>
              </w:rPr>
              <w:t>Facultad de Psicología</w:t>
            </w:r>
          </w:p>
        </w:tc>
      </w:tr>
      <w:tr w:rsidR="00A12414" w:rsidRPr="00D90A86" w14:paraId="2E98D3D4" w14:textId="77777777" w:rsidTr="001869FF">
        <w:trPr>
          <w:trHeight w:val="232"/>
        </w:trPr>
        <w:tc>
          <w:tcPr>
            <w:tcW w:w="2610" w:type="dxa"/>
            <w:tcBorders>
              <w:top w:val="single" w:sz="6" w:space="0" w:color="auto"/>
              <w:left w:val="single" w:sz="6" w:space="0" w:color="auto"/>
              <w:bottom w:val="single" w:sz="6" w:space="0" w:color="auto"/>
              <w:right w:val="single" w:sz="6" w:space="0" w:color="auto"/>
            </w:tcBorders>
            <w:hideMark/>
          </w:tcPr>
          <w:p w14:paraId="2320DD48" w14:textId="77777777" w:rsidR="00A12414" w:rsidRPr="00A12414" w:rsidRDefault="00A12414" w:rsidP="001869FF">
            <w:pPr>
              <w:spacing w:line="240" w:lineRule="auto"/>
              <w:jc w:val="center"/>
              <w:rPr>
                <w:rFonts w:ascii="Times New Roman" w:hAnsi="Times New Roman" w:cs="Times New Roman"/>
                <w:bCs/>
                <w:sz w:val="20"/>
                <w:szCs w:val="20"/>
                <w:lang w:val="es-ES"/>
              </w:rPr>
            </w:pPr>
            <w:r w:rsidRPr="00A12414">
              <w:rPr>
                <w:rFonts w:ascii="Times New Roman" w:hAnsi="Times New Roman" w:cs="Times New Roman"/>
                <w:bCs/>
                <w:sz w:val="20"/>
                <w:szCs w:val="20"/>
                <w:lang w:val="es-UY"/>
              </w:rPr>
              <w:t>Artes</w:t>
            </w:r>
          </w:p>
        </w:tc>
        <w:tc>
          <w:tcPr>
            <w:tcW w:w="6118" w:type="dxa"/>
            <w:tcBorders>
              <w:top w:val="single" w:sz="6" w:space="0" w:color="auto"/>
              <w:left w:val="single" w:sz="6" w:space="0" w:color="auto"/>
              <w:bottom w:val="single" w:sz="6" w:space="0" w:color="auto"/>
              <w:right w:val="single" w:sz="6" w:space="0" w:color="auto"/>
            </w:tcBorders>
            <w:hideMark/>
          </w:tcPr>
          <w:p w14:paraId="3ED5E401" w14:textId="77777777" w:rsidR="00A12414" w:rsidRPr="00A12414" w:rsidRDefault="00A12414" w:rsidP="001869FF">
            <w:pPr>
              <w:spacing w:line="240" w:lineRule="auto"/>
              <w:jc w:val="center"/>
              <w:rPr>
                <w:rFonts w:ascii="Times New Roman" w:hAnsi="Times New Roman" w:cs="Times New Roman"/>
                <w:bCs/>
                <w:sz w:val="20"/>
                <w:szCs w:val="20"/>
                <w:lang w:val="es-ES"/>
              </w:rPr>
            </w:pPr>
            <w:r w:rsidRPr="00A12414">
              <w:rPr>
                <w:rFonts w:ascii="Times New Roman" w:hAnsi="Times New Roman" w:cs="Times New Roman"/>
                <w:bCs/>
                <w:sz w:val="20"/>
                <w:szCs w:val="20"/>
                <w:lang w:val="es-UY"/>
              </w:rPr>
              <w:t>Facultad de Artes</w:t>
            </w:r>
          </w:p>
        </w:tc>
      </w:tr>
      <w:tr w:rsidR="00A12414" w:rsidRPr="00D90A86" w14:paraId="6B506F9A" w14:textId="77777777" w:rsidTr="001869FF">
        <w:trPr>
          <w:trHeight w:val="232"/>
        </w:trPr>
        <w:tc>
          <w:tcPr>
            <w:tcW w:w="2610" w:type="dxa"/>
            <w:tcBorders>
              <w:top w:val="single" w:sz="6" w:space="0" w:color="auto"/>
              <w:left w:val="single" w:sz="6" w:space="0" w:color="auto"/>
              <w:bottom w:val="single" w:sz="6" w:space="0" w:color="auto"/>
              <w:right w:val="single" w:sz="6" w:space="0" w:color="auto"/>
            </w:tcBorders>
            <w:hideMark/>
          </w:tcPr>
          <w:p w14:paraId="38034136" w14:textId="77777777" w:rsidR="00A12414" w:rsidRPr="00A12414" w:rsidRDefault="00A12414" w:rsidP="001869FF">
            <w:pPr>
              <w:spacing w:line="240" w:lineRule="auto"/>
              <w:jc w:val="center"/>
              <w:rPr>
                <w:rFonts w:ascii="Times New Roman" w:hAnsi="Times New Roman" w:cs="Times New Roman"/>
                <w:bCs/>
                <w:sz w:val="20"/>
                <w:szCs w:val="20"/>
                <w:lang w:val="es-ES"/>
              </w:rPr>
            </w:pPr>
            <w:r w:rsidRPr="00A12414">
              <w:rPr>
                <w:rFonts w:ascii="Times New Roman" w:hAnsi="Times New Roman" w:cs="Times New Roman"/>
                <w:bCs/>
                <w:sz w:val="20"/>
                <w:szCs w:val="20"/>
                <w:lang w:val="es-UY"/>
              </w:rPr>
              <w:t>FENF</w:t>
            </w:r>
          </w:p>
        </w:tc>
        <w:tc>
          <w:tcPr>
            <w:tcW w:w="6118" w:type="dxa"/>
            <w:tcBorders>
              <w:top w:val="single" w:sz="6" w:space="0" w:color="auto"/>
              <w:left w:val="single" w:sz="6" w:space="0" w:color="auto"/>
              <w:bottom w:val="single" w:sz="6" w:space="0" w:color="auto"/>
              <w:right w:val="single" w:sz="6" w:space="0" w:color="auto"/>
            </w:tcBorders>
            <w:hideMark/>
          </w:tcPr>
          <w:p w14:paraId="6FE97C3F" w14:textId="77777777" w:rsidR="00A12414" w:rsidRPr="00A12414" w:rsidRDefault="00A12414" w:rsidP="001869FF">
            <w:pPr>
              <w:spacing w:line="240" w:lineRule="auto"/>
              <w:jc w:val="center"/>
              <w:rPr>
                <w:rFonts w:ascii="Times New Roman" w:hAnsi="Times New Roman" w:cs="Times New Roman"/>
                <w:bCs/>
                <w:sz w:val="20"/>
                <w:szCs w:val="20"/>
                <w:lang w:val="es-ES"/>
              </w:rPr>
            </w:pPr>
            <w:r w:rsidRPr="00A12414">
              <w:rPr>
                <w:rFonts w:ascii="Times New Roman" w:hAnsi="Times New Roman" w:cs="Times New Roman"/>
                <w:bCs/>
                <w:sz w:val="20"/>
                <w:szCs w:val="20"/>
                <w:lang w:val="es-UY"/>
              </w:rPr>
              <w:t>Facultad de Enfermería</w:t>
            </w:r>
          </w:p>
        </w:tc>
      </w:tr>
      <w:tr w:rsidR="00A12414" w:rsidRPr="00D90A86" w14:paraId="1B0F8A51" w14:textId="77777777" w:rsidTr="001869FF">
        <w:trPr>
          <w:trHeight w:val="232"/>
        </w:trPr>
        <w:tc>
          <w:tcPr>
            <w:tcW w:w="2610" w:type="dxa"/>
            <w:tcBorders>
              <w:top w:val="single" w:sz="6" w:space="0" w:color="auto"/>
              <w:left w:val="single" w:sz="6" w:space="0" w:color="auto"/>
              <w:bottom w:val="single" w:sz="6" w:space="0" w:color="auto"/>
              <w:right w:val="single" w:sz="6" w:space="0" w:color="auto"/>
            </w:tcBorders>
            <w:hideMark/>
          </w:tcPr>
          <w:p w14:paraId="07D64462" w14:textId="77777777" w:rsidR="00A12414" w:rsidRPr="00A12414" w:rsidRDefault="00A12414" w:rsidP="001869FF">
            <w:pPr>
              <w:spacing w:line="240" w:lineRule="auto"/>
              <w:jc w:val="center"/>
              <w:rPr>
                <w:rFonts w:ascii="Times New Roman" w:hAnsi="Times New Roman" w:cs="Times New Roman"/>
                <w:bCs/>
                <w:sz w:val="20"/>
                <w:szCs w:val="20"/>
                <w:lang w:val="es-ES"/>
              </w:rPr>
            </w:pPr>
            <w:r w:rsidRPr="00A12414">
              <w:rPr>
                <w:rFonts w:ascii="Times New Roman" w:hAnsi="Times New Roman" w:cs="Times New Roman"/>
                <w:bCs/>
                <w:sz w:val="20"/>
                <w:szCs w:val="20"/>
                <w:lang w:val="es-UY"/>
              </w:rPr>
              <w:t>Oficinas Centrales</w:t>
            </w:r>
          </w:p>
        </w:tc>
        <w:tc>
          <w:tcPr>
            <w:tcW w:w="6118" w:type="dxa"/>
            <w:tcBorders>
              <w:top w:val="single" w:sz="6" w:space="0" w:color="auto"/>
              <w:left w:val="single" w:sz="6" w:space="0" w:color="auto"/>
              <w:bottom w:val="single" w:sz="6" w:space="0" w:color="auto"/>
              <w:right w:val="single" w:sz="6" w:space="0" w:color="auto"/>
            </w:tcBorders>
            <w:hideMark/>
          </w:tcPr>
          <w:p w14:paraId="420A2A8F" w14:textId="77777777" w:rsidR="00A12414" w:rsidRPr="00A12414" w:rsidRDefault="00A12414" w:rsidP="001869FF">
            <w:pPr>
              <w:spacing w:line="240" w:lineRule="auto"/>
              <w:jc w:val="center"/>
              <w:rPr>
                <w:rFonts w:ascii="Times New Roman" w:hAnsi="Times New Roman" w:cs="Times New Roman"/>
                <w:bCs/>
                <w:sz w:val="20"/>
                <w:szCs w:val="20"/>
                <w:lang w:val="es-ES"/>
              </w:rPr>
            </w:pPr>
            <w:r w:rsidRPr="00A12414">
              <w:rPr>
                <w:rFonts w:ascii="Times New Roman" w:hAnsi="Times New Roman" w:cs="Times New Roman"/>
                <w:bCs/>
                <w:sz w:val="20"/>
                <w:szCs w:val="20"/>
                <w:lang w:val="es-UY"/>
              </w:rPr>
              <w:t>Oficinas Centrales de la Universidad de la República</w:t>
            </w:r>
          </w:p>
        </w:tc>
      </w:tr>
      <w:tr w:rsidR="00A12414" w:rsidRPr="00D90A86" w14:paraId="21B4EDF8" w14:textId="77777777" w:rsidTr="001869FF">
        <w:trPr>
          <w:trHeight w:val="232"/>
        </w:trPr>
        <w:tc>
          <w:tcPr>
            <w:tcW w:w="2610" w:type="dxa"/>
            <w:tcBorders>
              <w:top w:val="single" w:sz="6" w:space="0" w:color="auto"/>
              <w:left w:val="single" w:sz="6" w:space="0" w:color="auto"/>
              <w:bottom w:val="single" w:sz="6" w:space="0" w:color="auto"/>
              <w:right w:val="single" w:sz="6" w:space="0" w:color="auto"/>
            </w:tcBorders>
            <w:hideMark/>
          </w:tcPr>
          <w:p w14:paraId="3E39FB26" w14:textId="77777777" w:rsidR="00A12414" w:rsidRPr="00A12414" w:rsidRDefault="00A12414" w:rsidP="001869FF">
            <w:pPr>
              <w:spacing w:line="240" w:lineRule="auto"/>
              <w:jc w:val="center"/>
              <w:rPr>
                <w:rFonts w:ascii="Times New Roman" w:hAnsi="Times New Roman" w:cs="Times New Roman"/>
                <w:bCs/>
                <w:sz w:val="20"/>
                <w:szCs w:val="20"/>
                <w:lang w:val="es-ES"/>
              </w:rPr>
            </w:pPr>
            <w:r w:rsidRPr="00A12414">
              <w:rPr>
                <w:rFonts w:ascii="Times New Roman" w:hAnsi="Times New Roman" w:cs="Times New Roman"/>
                <w:bCs/>
                <w:sz w:val="20"/>
                <w:szCs w:val="20"/>
                <w:lang w:val="es-UY"/>
              </w:rPr>
              <w:lastRenderedPageBreak/>
              <w:t>FIC</w:t>
            </w:r>
          </w:p>
        </w:tc>
        <w:tc>
          <w:tcPr>
            <w:tcW w:w="6118" w:type="dxa"/>
            <w:tcBorders>
              <w:top w:val="single" w:sz="6" w:space="0" w:color="auto"/>
              <w:left w:val="single" w:sz="6" w:space="0" w:color="auto"/>
              <w:bottom w:val="single" w:sz="6" w:space="0" w:color="auto"/>
              <w:right w:val="single" w:sz="6" w:space="0" w:color="auto"/>
            </w:tcBorders>
            <w:hideMark/>
          </w:tcPr>
          <w:p w14:paraId="5164C3B6" w14:textId="77777777" w:rsidR="00A12414" w:rsidRPr="00A12414" w:rsidRDefault="00A12414" w:rsidP="001869FF">
            <w:pPr>
              <w:spacing w:line="240" w:lineRule="auto"/>
              <w:jc w:val="center"/>
              <w:rPr>
                <w:rFonts w:ascii="Times New Roman" w:hAnsi="Times New Roman" w:cs="Times New Roman"/>
                <w:bCs/>
                <w:sz w:val="20"/>
                <w:szCs w:val="20"/>
                <w:lang w:val="es-ES"/>
              </w:rPr>
            </w:pPr>
            <w:r w:rsidRPr="00A12414">
              <w:rPr>
                <w:rFonts w:ascii="Times New Roman" w:hAnsi="Times New Roman" w:cs="Times New Roman"/>
                <w:bCs/>
                <w:sz w:val="20"/>
                <w:szCs w:val="20"/>
                <w:lang w:val="es-UY"/>
              </w:rPr>
              <w:t>Facultad de Información y Comunicación</w:t>
            </w:r>
          </w:p>
        </w:tc>
      </w:tr>
      <w:tr w:rsidR="00A12414" w:rsidRPr="00D90A86" w14:paraId="5BCEDE0D" w14:textId="77777777" w:rsidTr="001869FF">
        <w:trPr>
          <w:trHeight w:val="232"/>
        </w:trPr>
        <w:tc>
          <w:tcPr>
            <w:tcW w:w="2610" w:type="dxa"/>
            <w:tcBorders>
              <w:top w:val="single" w:sz="6" w:space="0" w:color="auto"/>
              <w:left w:val="single" w:sz="6" w:space="0" w:color="auto"/>
              <w:bottom w:val="single" w:sz="6" w:space="0" w:color="auto"/>
              <w:right w:val="single" w:sz="6" w:space="0" w:color="auto"/>
            </w:tcBorders>
            <w:hideMark/>
          </w:tcPr>
          <w:p w14:paraId="3519F632" w14:textId="77777777" w:rsidR="00A12414" w:rsidRPr="00A12414" w:rsidRDefault="00A12414" w:rsidP="001869FF">
            <w:pPr>
              <w:spacing w:line="240" w:lineRule="auto"/>
              <w:jc w:val="center"/>
              <w:rPr>
                <w:rFonts w:ascii="Times New Roman" w:hAnsi="Times New Roman" w:cs="Times New Roman"/>
                <w:bCs/>
                <w:sz w:val="20"/>
                <w:szCs w:val="20"/>
                <w:lang w:val="es-ES"/>
              </w:rPr>
            </w:pPr>
            <w:r w:rsidRPr="00A12414">
              <w:rPr>
                <w:rFonts w:ascii="Times New Roman" w:hAnsi="Times New Roman" w:cs="Times New Roman"/>
                <w:bCs/>
                <w:sz w:val="20"/>
                <w:szCs w:val="20"/>
                <w:lang w:val="es-UY"/>
              </w:rPr>
              <w:t>NUTR</w:t>
            </w:r>
          </w:p>
        </w:tc>
        <w:tc>
          <w:tcPr>
            <w:tcW w:w="6118" w:type="dxa"/>
            <w:tcBorders>
              <w:top w:val="single" w:sz="6" w:space="0" w:color="auto"/>
              <w:left w:val="single" w:sz="6" w:space="0" w:color="auto"/>
              <w:bottom w:val="single" w:sz="6" w:space="0" w:color="auto"/>
              <w:right w:val="single" w:sz="6" w:space="0" w:color="auto"/>
            </w:tcBorders>
            <w:hideMark/>
          </w:tcPr>
          <w:p w14:paraId="4006B15C" w14:textId="77777777" w:rsidR="00A12414" w:rsidRPr="00A12414" w:rsidRDefault="00A12414" w:rsidP="001869FF">
            <w:pPr>
              <w:spacing w:line="240" w:lineRule="auto"/>
              <w:jc w:val="center"/>
              <w:rPr>
                <w:rFonts w:ascii="Times New Roman" w:hAnsi="Times New Roman" w:cs="Times New Roman"/>
                <w:bCs/>
                <w:sz w:val="20"/>
                <w:szCs w:val="20"/>
                <w:lang w:val="es-ES"/>
              </w:rPr>
            </w:pPr>
            <w:r w:rsidRPr="00A12414">
              <w:rPr>
                <w:rFonts w:ascii="Times New Roman" w:hAnsi="Times New Roman" w:cs="Times New Roman"/>
                <w:bCs/>
                <w:sz w:val="20"/>
                <w:szCs w:val="20"/>
                <w:lang w:val="es-UY"/>
              </w:rPr>
              <w:t>Escuela de Nutrición</w:t>
            </w:r>
          </w:p>
        </w:tc>
      </w:tr>
      <w:tr w:rsidR="00A12414" w:rsidRPr="00D90A86" w14:paraId="56B523A3" w14:textId="77777777" w:rsidTr="001869FF">
        <w:trPr>
          <w:trHeight w:val="232"/>
        </w:trPr>
        <w:tc>
          <w:tcPr>
            <w:tcW w:w="2610" w:type="dxa"/>
            <w:tcBorders>
              <w:top w:val="single" w:sz="6" w:space="0" w:color="auto"/>
              <w:left w:val="single" w:sz="6" w:space="0" w:color="auto"/>
              <w:bottom w:val="single" w:sz="6" w:space="0" w:color="auto"/>
              <w:right w:val="single" w:sz="6" w:space="0" w:color="auto"/>
            </w:tcBorders>
            <w:hideMark/>
          </w:tcPr>
          <w:p w14:paraId="2A298B71" w14:textId="77777777" w:rsidR="00A12414" w:rsidRPr="00A12414" w:rsidRDefault="00A12414" w:rsidP="001869FF">
            <w:pPr>
              <w:spacing w:line="240" w:lineRule="auto"/>
              <w:jc w:val="center"/>
              <w:rPr>
                <w:rFonts w:ascii="Times New Roman" w:hAnsi="Times New Roman" w:cs="Times New Roman"/>
                <w:bCs/>
                <w:sz w:val="20"/>
                <w:szCs w:val="20"/>
                <w:lang w:val="es-ES"/>
              </w:rPr>
            </w:pPr>
            <w:r w:rsidRPr="00A12414">
              <w:rPr>
                <w:rFonts w:ascii="Times New Roman" w:hAnsi="Times New Roman" w:cs="Times New Roman"/>
                <w:bCs/>
                <w:sz w:val="20"/>
                <w:szCs w:val="20"/>
                <w:lang w:val="es-UY"/>
              </w:rPr>
              <w:t>CENUR Noreste</w:t>
            </w:r>
          </w:p>
        </w:tc>
        <w:tc>
          <w:tcPr>
            <w:tcW w:w="6118" w:type="dxa"/>
            <w:tcBorders>
              <w:top w:val="single" w:sz="6" w:space="0" w:color="auto"/>
              <w:left w:val="single" w:sz="6" w:space="0" w:color="auto"/>
              <w:bottom w:val="single" w:sz="6" w:space="0" w:color="auto"/>
              <w:right w:val="single" w:sz="6" w:space="0" w:color="auto"/>
            </w:tcBorders>
            <w:hideMark/>
          </w:tcPr>
          <w:p w14:paraId="16D7250D" w14:textId="77777777" w:rsidR="00A12414" w:rsidRPr="00A12414" w:rsidRDefault="00A12414" w:rsidP="001869FF">
            <w:pPr>
              <w:spacing w:line="240" w:lineRule="auto"/>
              <w:jc w:val="center"/>
              <w:rPr>
                <w:rFonts w:ascii="Times New Roman" w:hAnsi="Times New Roman" w:cs="Times New Roman"/>
                <w:bCs/>
                <w:sz w:val="20"/>
                <w:szCs w:val="20"/>
                <w:lang w:val="es-ES"/>
              </w:rPr>
            </w:pPr>
            <w:r w:rsidRPr="00A12414">
              <w:rPr>
                <w:rFonts w:ascii="Times New Roman" w:hAnsi="Times New Roman" w:cs="Times New Roman"/>
                <w:bCs/>
                <w:sz w:val="20"/>
                <w:szCs w:val="20"/>
                <w:lang w:val="es-UY"/>
              </w:rPr>
              <w:t>Centro Universitario Regional del Noreste</w:t>
            </w:r>
          </w:p>
        </w:tc>
      </w:tr>
    </w:tbl>
    <w:p w14:paraId="16CC4E62" w14:textId="371194DC" w:rsidR="002B1C35" w:rsidRPr="002B1C35" w:rsidRDefault="002B1C35" w:rsidP="002B1C35">
      <w:pPr>
        <w:spacing w:line="240" w:lineRule="auto"/>
        <w:jc w:val="both"/>
        <w:rPr>
          <w:rFonts w:ascii="Times New Roman" w:hAnsi="Times New Roman" w:cs="Times New Roman"/>
        </w:rPr>
      </w:pPr>
    </w:p>
    <w:p w14:paraId="36E7D2A1" w14:textId="77777777" w:rsidR="002B1C35" w:rsidRPr="002B1C35" w:rsidRDefault="002B1C35" w:rsidP="002B1C35">
      <w:pPr>
        <w:spacing w:line="240" w:lineRule="auto"/>
        <w:jc w:val="both"/>
        <w:rPr>
          <w:rFonts w:ascii="Times New Roman" w:hAnsi="Times New Roman" w:cs="Times New Roman"/>
        </w:rPr>
      </w:pPr>
      <w:r w:rsidRPr="002B1C35">
        <w:rPr>
          <w:rFonts w:ascii="Times New Roman" w:hAnsi="Times New Roman" w:cs="Times New Roman"/>
        </w:rPr>
        <w:t xml:space="preserve"> </w:t>
      </w:r>
    </w:p>
    <w:p w14:paraId="768839D6" w14:textId="77777777" w:rsidR="002B1C35" w:rsidRPr="002B1C35" w:rsidRDefault="002B1C35" w:rsidP="002B1C35">
      <w:pPr>
        <w:spacing w:line="240" w:lineRule="auto"/>
        <w:jc w:val="both"/>
        <w:rPr>
          <w:rFonts w:ascii="Times New Roman" w:hAnsi="Times New Roman" w:cs="Times New Roman"/>
        </w:rPr>
      </w:pPr>
      <w:r w:rsidRPr="002B1C35">
        <w:rPr>
          <w:rFonts w:ascii="Times New Roman" w:hAnsi="Times New Roman" w:cs="Times New Roman"/>
        </w:rPr>
        <w:t xml:space="preserve"> </w:t>
      </w:r>
    </w:p>
    <w:p w14:paraId="7E83515B" w14:textId="6533E512" w:rsidR="001923DC" w:rsidRPr="002B1C35" w:rsidRDefault="001923DC" w:rsidP="002B1C35">
      <w:pPr>
        <w:spacing w:line="240" w:lineRule="auto"/>
        <w:jc w:val="both"/>
        <w:rPr>
          <w:rFonts w:ascii="Times New Roman" w:hAnsi="Times New Roman" w:cs="Times New Roman"/>
        </w:rPr>
      </w:pPr>
    </w:p>
    <w:sectPr w:rsidR="001923DC" w:rsidRPr="002B1C35" w:rsidSect="00701F64">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8FCC02" w14:textId="77777777" w:rsidR="0046287E" w:rsidRPr="00BA642E" w:rsidRDefault="0046287E" w:rsidP="00C802F5">
      <w:pPr>
        <w:spacing w:after="0" w:line="240" w:lineRule="auto"/>
      </w:pPr>
      <w:r w:rsidRPr="00BA642E">
        <w:separator/>
      </w:r>
    </w:p>
  </w:endnote>
  <w:endnote w:type="continuationSeparator" w:id="0">
    <w:p w14:paraId="70D93AC3" w14:textId="77777777" w:rsidR="0046287E" w:rsidRPr="00BA642E" w:rsidRDefault="0046287E"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8523572"/>
      <w:docPartObj>
        <w:docPartGallery w:val="Page Numbers (Bottom of Page)"/>
        <w:docPartUnique/>
      </w:docPartObj>
    </w:sdtPr>
    <w:sdtEndPr/>
    <w:sdtContent>
      <w:p w14:paraId="3EF3E84E" w14:textId="2CFB5446" w:rsidR="002B1C35" w:rsidRDefault="002B1C35">
        <w:pPr>
          <w:pStyle w:val="Piedepgina"/>
          <w:jc w:val="right"/>
        </w:pPr>
        <w:r w:rsidRPr="002B1C35">
          <w:rPr>
            <w:rFonts w:ascii="Times New Roman" w:hAnsi="Times New Roman" w:cs="Times New Roman"/>
          </w:rPr>
          <w:fldChar w:fldCharType="begin"/>
        </w:r>
        <w:r w:rsidRPr="002B1C35">
          <w:rPr>
            <w:rFonts w:ascii="Times New Roman" w:hAnsi="Times New Roman" w:cs="Times New Roman"/>
          </w:rPr>
          <w:instrText>PAGE   \* MERGEFORMAT</w:instrText>
        </w:r>
        <w:r w:rsidRPr="002B1C35">
          <w:rPr>
            <w:rFonts w:ascii="Times New Roman" w:hAnsi="Times New Roman" w:cs="Times New Roman"/>
          </w:rPr>
          <w:fldChar w:fldCharType="separate"/>
        </w:r>
        <w:r w:rsidR="001704A0" w:rsidRPr="001704A0">
          <w:rPr>
            <w:rFonts w:ascii="Times New Roman" w:hAnsi="Times New Roman" w:cs="Times New Roman"/>
            <w:noProof/>
            <w:lang w:val="es-ES"/>
          </w:rPr>
          <w:t>22</w:t>
        </w:r>
        <w:r w:rsidRPr="002B1C35">
          <w:rPr>
            <w:rFonts w:ascii="Times New Roman" w:hAnsi="Times New Roman" w:cs="Times New Roman"/>
          </w:rPr>
          <w:fldChar w:fldCharType="end"/>
        </w:r>
      </w:p>
    </w:sdtContent>
  </w:sdt>
  <w:p w14:paraId="7065C7CD" w14:textId="77777777" w:rsidR="00C802F5" w:rsidRPr="00BA642E" w:rsidRDefault="00C802F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CC962B" w14:textId="77777777" w:rsidR="0046287E" w:rsidRPr="00BA642E" w:rsidRDefault="0046287E" w:rsidP="00C802F5">
      <w:pPr>
        <w:spacing w:after="0" w:line="240" w:lineRule="auto"/>
      </w:pPr>
      <w:r w:rsidRPr="00BA642E">
        <w:separator/>
      </w:r>
    </w:p>
  </w:footnote>
  <w:footnote w:type="continuationSeparator" w:id="0">
    <w:p w14:paraId="037C0E4F" w14:textId="77777777" w:rsidR="0046287E" w:rsidRPr="00BA642E" w:rsidRDefault="0046287E" w:rsidP="00C802F5">
      <w:pPr>
        <w:spacing w:after="0" w:line="240" w:lineRule="auto"/>
      </w:pPr>
      <w:r w:rsidRPr="00BA642E">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44B213" w14:textId="0B58DBD9" w:rsidR="00C802F5" w:rsidRPr="00BA642E" w:rsidRDefault="00C802F5" w:rsidP="00C802F5">
    <w:pPr>
      <w:pStyle w:val="Encabezado"/>
      <w:jc w:val="center"/>
    </w:pPr>
    <w:r w:rsidRPr="00BA642E">
      <w:rPr>
        <w:noProof/>
        <w:lang w:val="es-UY" w:eastAsia="es-UY"/>
      </w:rPr>
      <w:drawing>
        <wp:inline distT="0" distB="0" distL="0" distR="0" wp14:anchorId="6AF6CEA6" wp14:editId="7A9FD2E8">
          <wp:extent cx="2595676" cy="1082040"/>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3DC"/>
    <w:rsid w:val="00012863"/>
    <w:rsid w:val="00061DD4"/>
    <w:rsid w:val="00065C7A"/>
    <w:rsid w:val="00073F72"/>
    <w:rsid w:val="00076416"/>
    <w:rsid w:val="000A4270"/>
    <w:rsid w:val="000C7D85"/>
    <w:rsid w:val="00125BC5"/>
    <w:rsid w:val="00136D96"/>
    <w:rsid w:val="00154EF6"/>
    <w:rsid w:val="001637AD"/>
    <w:rsid w:val="001704A0"/>
    <w:rsid w:val="001816D6"/>
    <w:rsid w:val="00185F5E"/>
    <w:rsid w:val="001923DC"/>
    <w:rsid w:val="001C1F34"/>
    <w:rsid w:val="001C45DC"/>
    <w:rsid w:val="001D0205"/>
    <w:rsid w:val="001D0D1A"/>
    <w:rsid w:val="00214226"/>
    <w:rsid w:val="00214B94"/>
    <w:rsid w:val="002327C3"/>
    <w:rsid w:val="00236A65"/>
    <w:rsid w:val="00292048"/>
    <w:rsid w:val="00292610"/>
    <w:rsid w:val="002A37C2"/>
    <w:rsid w:val="002B1C35"/>
    <w:rsid w:val="002C35DC"/>
    <w:rsid w:val="002D1BD7"/>
    <w:rsid w:val="002E4FD2"/>
    <w:rsid w:val="002F3ACC"/>
    <w:rsid w:val="002F4E09"/>
    <w:rsid w:val="0031055A"/>
    <w:rsid w:val="00312392"/>
    <w:rsid w:val="00331080"/>
    <w:rsid w:val="003416BD"/>
    <w:rsid w:val="00353E37"/>
    <w:rsid w:val="003616B2"/>
    <w:rsid w:val="00365E87"/>
    <w:rsid w:val="003A1107"/>
    <w:rsid w:val="003D02C4"/>
    <w:rsid w:val="003D5DDD"/>
    <w:rsid w:val="003E48E4"/>
    <w:rsid w:val="004040C0"/>
    <w:rsid w:val="0042363E"/>
    <w:rsid w:val="00437E9C"/>
    <w:rsid w:val="0046287E"/>
    <w:rsid w:val="00463D8C"/>
    <w:rsid w:val="00476602"/>
    <w:rsid w:val="004974D0"/>
    <w:rsid w:val="004B238F"/>
    <w:rsid w:val="004B41B6"/>
    <w:rsid w:val="004E38E1"/>
    <w:rsid w:val="004E73B5"/>
    <w:rsid w:val="00514249"/>
    <w:rsid w:val="00545215"/>
    <w:rsid w:val="00550766"/>
    <w:rsid w:val="00570144"/>
    <w:rsid w:val="005F3B2E"/>
    <w:rsid w:val="00604819"/>
    <w:rsid w:val="0061645F"/>
    <w:rsid w:val="006215AA"/>
    <w:rsid w:val="00626186"/>
    <w:rsid w:val="00644DE2"/>
    <w:rsid w:val="006B2D85"/>
    <w:rsid w:val="006C669A"/>
    <w:rsid w:val="006D62E5"/>
    <w:rsid w:val="006D70FF"/>
    <w:rsid w:val="00701F64"/>
    <w:rsid w:val="00704C31"/>
    <w:rsid w:val="007059B3"/>
    <w:rsid w:val="0071485A"/>
    <w:rsid w:val="00715986"/>
    <w:rsid w:val="00720B83"/>
    <w:rsid w:val="0074694B"/>
    <w:rsid w:val="0076501C"/>
    <w:rsid w:val="00782F32"/>
    <w:rsid w:val="00787843"/>
    <w:rsid w:val="0079159D"/>
    <w:rsid w:val="007B5B5F"/>
    <w:rsid w:val="007D233B"/>
    <w:rsid w:val="007D29B7"/>
    <w:rsid w:val="0081374F"/>
    <w:rsid w:val="00831FD5"/>
    <w:rsid w:val="0085070B"/>
    <w:rsid w:val="008A5F9D"/>
    <w:rsid w:val="008D1767"/>
    <w:rsid w:val="008E5F81"/>
    <w:rsid w:val="008E60F8"/>
    <w:rsid w:val="009139EE"/>
    <w:rsid w:val="00922350"/>
    <w:rsid w:val="00927439"/>
    <w:rsid w:val="00943999"/>
    <w:rsid w:val="009501EF"/>
    <w:rsid w:val="009D5CEE"/>
    <w:rsid w:val="009F5F36"/>
    <w:rsid w:val="00A00742"/>
    <w:rsid w:val="00A1113B"/>
    <w:rsid w:val="00A12414"/>
    <w:rsid w:val="00A17247"/>
    <w:rsid w:val="00A23230"/>
    <w:rsid w:val="00A312DA"/>
    <w:rsid w:val="00A3653B"/>
    <w:rsid w:val="00A37FA7"/>
    <w:rsid w:val="00A469C1"/>
    <w:rsid w:val="00A60571"/>
    <w:rsid w:val="00A66A7E"/>
    <w:rsid w:val="00A67AC5"/>
    <w:rsid w:val="00A94556"/>
    <w:rsid w:val="00A9601F"/>
    <w:rsid w:val="00A96307"/>
    <w:rsid w:val="00AA7360"/>
    <w:rsid w:val="00AE12A8"/>
    <w:rsid w:val="00B73C74"/>
    <w:rsid w:val="00B74218"/>
    <w:rsid w:val="00B92ABD"/>
    <w:rsid w:val="00BA4AD2"/>
    <w:rsid w:val="00BA642E"/>
    <w:rsid w:val="00BA6EC5"/>
    <w:rsid w:val="00BB0415"/>
    <w:rsid w:val="00BB30C6"/>
    <w:rsid w:val="00BC236F"/>
    <w:rsid w:val="00C110EB"/>
    <w:rsid w:val="00C2668F"/>
    <w:rsid w:val="00C41D9D"/>
    <w:rsid w:val="00C47188"/>
    <w:rsid w:val="00C802F5"/>
    <w:rsid w:val="00C8221F"/>
    <w:rsid w:val="00C875F2"/>
    <w:rsid w:val="00C96B2C"/>
    <w:rsid w:val="00CC04C1"/>
    <w:rsid w:val="00CC39ED"/>
    <w:rsid w:val="00CD3CA6"/>
    <w:rsid w:val="00CD569D"/>
    <w:rsid w:val="00D50633"/>
    <w:rsid w:val="00D54A7D"/>
    <w:rsid w:val="00D8027D"/>
    <w:rsid w:val="00D843EC"/>
    <w:rsid w:val="00DA0CC9"/>
    <w:rsid w:val="00DA4202"/>
    <w:rsid w:val="00DC7F3B"/>
    <w:rsid w:val="00DD5FCE"/>
    <w:rsid w:val="00DF46DD"/>
    <w:rsid w:val="00E1799F"/>
    <w:rsid w:val="00E24092"/>
    <w:rsid w:val="00E30D0C"/>
    <w:rsid w:val="00E34470"/>
    <w:rsid w:val="00E41012"/>
    <w:rsid w:val="00E52644"/>
    <w:rsid w:val="00E74BA2"/>
    <w:rsid w:val="00EA1007"/>
    <w:rsid w:val="00EE0FBE"/>
    <w:rsid w:val="00F26568"/>
    <w:rsid w:val="00F56A53"/>
    <w:rsid w:val="00F75CD6"/>
    <w:rsid w:val="00FB5F0E"/>
    <w:rsid w:val="00FC16AC"/>
    <w:rsid w:val="00FD3DE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Puesto">
    <w:name w:val="Title"/>
    <w:basedOn w:val="Normal"/>
    <w:next w:val="Normal"/>
    <w:link w:val="Puest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customStyle="1" w:styleId="Mencinsinresolver1">
    <w:name w:val="Mención sin resolver1"/>
    <w:basedOn w:val="Fuentedeprrafopredeter"/>
    <w:uiPriority w:val="99"/>
    <w:semiHidden/>
    <w:unhideWhenUsed/>
    <w:rsid w:val="00C802F5"/>
    <w:rPr>
      <w:color w:val="605E5C"/>
      <w:shd w:val="clear" w:color="auto" w:fill="E1DFDD"/>
    </w:rPr>
  </w:style>
  <w:style w:type="character" w:styleId="nfasis">
    <w:name w:val="Emphasis"/>
    <w:basedOn w:val="Fuentedeprrafopredeter"/>
    <w:uiPriority w:val="20"/>
    <w:qFormat/>
    <w:rsid w:val="0051424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chart" Target="charts/chart2.xml"/><Relationship Id="rId12"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1.xm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chart" Target="charts/chart4.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d.docs.live.net/684838dcd2d3808f/Escritorio/Censos%20Docentes/graficos%20articulo%20NEPD/2021%20vs%202023.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d.docs.live.net/684838dcd2d3808f/Escritorio/Censos%20Docentes/graficos%20articulo%20NEPD/2023/Trabajo_fuera_frecuencias_y_cruce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d.docs.live.net/684838dcd2d3808f/Escritorio/&#237;ndice%20de%20Silueta%20art%20dos%20mundos.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lgn="ctr" rtl="0">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UY" sz="1200"/>
              <a:t>Gráfico 1. Docentes que realizan actividades de enseñanza en Udelar por servicio. Comparación intercensal 2021-2023</a:t>
            </a:r>
          </a:p>
        </c:rich>
      </c:tx>
      <c:overlay val="0"/>
      <c:spPr>
        <a:noFill/>
        <a:ln>
          <a:noFill/>
        </a:ln>
        <a:effectLst/>
      </c:spPr>
      <c:txPr>
        <a:bodyPr rot="0" spcFirstLastPara="1" vertOverflow="ellipsis" vert="horz" wrap="square" anchor="ctr" anchorCtr="1"/>
        <a:lstStyle/>
        <a:p>
          <a:pPr algn="ctr" rtl="0">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UY"/>
        </a:p>
      </c:txPr>
    </c:title>
    <c:autoTitleDeleted val="0"/>
    <c:plotArea>
      <c:layout/>
      <c:barChart>
        <c:barDir val="col"/>
        <c:grouping val="clustered"/>
        <c:varyColors val="0"/>
        <c:ser>
          <c:idx val="0"/>
          <c:order val="0"/>
          <c:tx>
            <c:v>2020</c:v>
          </c:tx>
          <c:spPr>
            <a:solidFill>
              <a:schemeClr val="accent1">
                <a:tint val="77000"/>
              </a:schemeClr>
            </a:solidFill>
            <a:ln>
              <a:noFill/>
            </a:ln>
            <a:effectLst/>
          </c:spPr>
          <c:invertIfNegative val="0"/>
          <c:cat>
            <c:strRef>
              <c:f>Hoja1!$BO$2:$BO$24</c:f>
              <c:strCache>
                <c:ptCount val="23"/>
                <c:pt idx="0">
                  <c:v>FDER</c:v>
                </c:pt>
                <c:pt idx="1">
                  <c:v>Artes</c:v>
                </c:pt>
                <c:pt idx="2">
                  <c:v>FMED (EUTM y Parteras)</c:v>
                </c:pt>
                <c:pt idx="3">
                  <c:v>FIC</c:v>
                </c:pt>
                <c:pt idx="4">
                  <c:v>ISEF</c:v>
                </c:pt>
                <c:pt idx="5">
                  <c:v>CENUR Litoral Norte</c:v>
                </c:pt>
                <c:pt idx="6">
                  <c:v>FADU</c:v>
                </c:pt>
                <c:pt idx="7">
                  <c:v>NUTR</c:v>
                </c:pt>
                <c:pt idx="8">
                  <c:v>FING</c:v>
                </c:pt>
                <c:pt idx="9">
                  <c:v>FCEA</c:v>
                </c:pt>
                <c:pt idx="10">
                  <c:v>FODON</c:v>
                </c:pt>
                <c:pt idx="11">
                  <c:v>CENUR Noreste</c:v>
                </c:pt>
                <c:pt idx="12">
                  <c:v>FVET</c:v>
                </c:pt>
                <c:pt idx="13">
                  <c:v>FCS</c:v>
                </c:pt>
                <c:pt idx="14">
                  <c:v>FENF</c:v>
                </c:pt>
                <c:pt idx="15">
                  <c:v>FPSICO</c:v>
                </c:pt>
                <c:pt idx="16">
                  <c:v>FCIEN</c:v>
                </c:pt>
                <c:pt idx="17">
                  <c:v>FHCE</c:v>
                </c:pt>
                <c:pt idx="18">
                  <c:v>Hospital de Clínicas</c:v>
                </c:pt>
                <c:pt idx="19">
                  <c:v>CURE</c:v>
                </c:pt>
                <c:pt idx="20">
                  <c:v>FAGRO</c:v>
                </c:pt>
                <c:pt idx="21">
                  <c:v>Oficinas Centrales</c:v>
                </c:pt>
                <c:pt idx="22">
                  <c:v>FQ</c:v>
                </c:pt>
              </c:strCache>
            </c:strRef>
          </c:cat>
          <c:val>
            <c:numRef>
              <c:f>Hoja1!$BP$2:$BP$24</c:f>
              <c:numCache>
                <c:formatCode>General</c:formatCode>
                <c:ptCount val="23"/>
                <c:pt idx="0">
                  <c:v>97.008547008547012</c:v>
                </c:pt>
                <c:pt idx="1">
                  <c:v>92.491467576791806</c:v>
                </c:pt>
                <c:pt idx="2">
                  <c:v>91.717325227963528</c:v>
                </c:pt>
                <c:pt idx="3">
                  <c:v>91.324200913242009</c:v>
                </c:pt>
                <c:pt idx="4">
                  <c:v>91.222570532915356</c:v>
                </c:pt>
                <c:pt idx="5">
                  <c:v>90.985915492957744</c:v>
                </c:pt>
                <c:pt idx="6">
                  <c:v>90.835850956696873</c:v>
                </c:pt>
                <c:pt idx="7">
                  <c:v>90.082644628099175</c:v>
                </c:pt>
                <c:pt idx="8">
                  <c:v>89.906103286384976</c:v>
                </c:pt>
                <c:pt idx="9">
                  <c:v>89.870435806831566</c:v>
                </c:pt>
                <c:pt idx="10">
                  <c:v>89.85507246376811</c:v>
                </c:pt>
                <c:pt idx="11">
                  <c:v>89.583333333333343</c:v>
                </c:pt>
                <c:pt idx="12">
                  <c:v>88.115942028985501</c:v>
                </c:pt>
                <c:pt idx="13">
                  <c:v>87.960687960687949</c:v>
                </c:pt>
                <c:pt idx="14">
                  <c:v>86.25</c:v>
                </c:pt>
                <c:pt idx="15">
                  <c:v>84.615384615384613</c:v>
                </c:pt>
                <c:pt idx="16">
                  <c:v>84.12408759124088</c:v>
                </c:pt>
                <c:pt idx="17">
                  <c:v>83.028720626631852</c:v>
                </c:pt>
                <c:pt idx="18">
                  <c:v>80.319148936170208</c:v>
                </c:pt>
                <c:pt idx="19">
                  <c:v>80.275229357798167</c:v>
                </c:pt>
                <c:pt idx="20">
                  <c:v>79.492600422832979</c:v>
                </c:pt>
                <c:pt idx="21">
                  <c:v>75.081967213114751</c:v>
                </c:pt>
                <c:pt idx="22">
                  <c:v>75</c:v>
                </c:pt>
              </c:numCache>
            </c:numRef>
          </c:val>
          <c:extLst xmlns:c16r2="http://schemas.microsoft.com/office/drawing/2015/06/chart">
            <c:ext xmlns:c16="http://schemas.microsoft.com/office/drawing/2014/chart" uri="{C3380CC4-5D6E-409C-BE32-E72D297353CC}">
              <c16:uniqueId val="{00000000-FE99-45E8-8053-44B4F27124B5}"/>
            </c:ext>
          </c:extLst>
        </c:ser>
        <c:ser>
          <c:idx val="1"/>
          <c:order val="1"/>
          <c:tx>
            <c:v>2022</c:v>
          </c:tx>
          <c:spPr>
            <a:solidFill>
              <a:schemeClr val="accent1">
                <a:shade val="76000"/>
              </a:schemeClr>
            </a:solidFill>
            <a:ln>
              <a:noFill/>
            </a:ln>
            <a:effectLst/>
          </c:spPr>
          <c:invertIfNegative val="0"/>
          <c:cat>
            <c:strRef>
              <c:f>Hoja1!$BO$2:$BO$24</c:f>
              <c:strCache>
                <c:ptCount val="23"/>
                <c:pt idx="0">
                  <c:v>FDER</c:v>
                </c:pt>
                <c:pt idx="1">
                  <c:v>Artes</c:v>
                </c:pt>
                <c:pt idx="2">
                  <c:v>FMED (EUTM y Parteras)</c:v>
                </c:pt>
                <c:pt idx="3">
                  <c:v>FIC</c:v>
                </c:pt>
                <c:pt idx="4">
                  <c:v>ISEF</c:v>
                </c:pt>
                <c:pt idx="5">
                  <c:v>CENUR Litoral Norte</c:v>
                </c:pt>
                <c:pt idx="6">
                  <c:v>FADU</c:v>
                </c:pt>
                <c:pt idx="7">
                  <c:v>NUTR</c:v>
                </c:pt>
                <c:pt idx="8">
                  <c:v>FING</c:v>
                </c:pt>
                <c:pt idx="9">
                  <c:v>FCEA</c:v>
                </c:pt>
                <c:pt idx="10">
                  <c:v>FODON</c:v>
                </c:pt>
                <c:pt idx="11">
                  <c:v>CENUR Noreste</c:v>
                </c:pt>
                <c:pt idx="12">
                  <c:v>FVET</c:v>
                </c:pt>
                <c:pt idx="13">
                  <c:v>FCS</c:v>
                </c:pt>
                <c:pt idx="14">
                  <c:v>FENF</c:v>
                </c:pt>
                <c:pt idx="15">
                  <c:v>FPSICO</c:v>
                </c:pt>
                <c:pt idx="16">
                  <c:v>FCIEN</c:v>
                </c:pt>
                <c:pt idx="17">
                  <c:v>FHCE</c:v>
                </c:pt>
                <c:pt idx="18">
                  <c:v>Hospital de Clínicas</c:v>
                </c:pt>
                <c:pt idx="19">
                  <c:v>CURE</c:v>
                </c:pt>
                <c:pt idx="20">
                  <c:v>FAGRO</c:v>
                </c:pt>
                <c:pt idx="21">
                  <c:v>Oficinas Centrales</c:v>
                </c:pt>
                <c:pt idx="22">
                  <c:v>FQ</c:v>
                </c:pt>
              </c:strCache>
            </c:strRef>
          </c:cat>
          <c:val>
            <c:numRef>
              <c:f>Hoja1!$BQ$2:$BQ$24</c:f>
              <c:numCache>
                <c:formatCode>General</c:formatCode>
                <c:ptCount val="23"/>
                <c:pt idx="0">
                  <c:v>93.222106360792495</c:v>
                </c:pt>
                <c:pt idx="1">
                  <c:v>87.931034482758619</c:v>
                </c:pt>
                <c:pt idx="2">
                  <c:v>88.992974238875874</c:v>
                </c:pt>
                <c:pt idx="3">
                  <c:v>90.232558139534873</c:v>
                </c:pt>
                <c:pt idx="4">
                  <c:v>88.580246913580254</c:v>
                </c:pt>
                <c:pt idx="5">
                  <c:v>89.949748743718601</c:v>
                </c:pt>
                <c:pt idx="6">
                  <c:v>87.458379578246394</c:v>
                </c:pt>
                <c:pt idx="7">
                  <c:v>92.700729927007302</c:v>
                </c:pt>
                <c:pt idx="8">
                  <c:v>88.29915560916767</c:v>
                </c:pt>
                <c:pt idx="9">
                  <c:v>91.910739191073915</c:v>
                </c:pt>
                <c:pt idx="10">
                  <c:v>86.699507389162562</c:v>
                </c:pt>
                <c:pt idx="11">
                  <c:v>79.27927927927928</c:v>
                </c:pt>
                <c:pt idx="12">
                  <c:v>84.073107049608353</c:v>
                </c:pt>
                <c:pt idx="13">
                  <c:v>89.37823834196891</c:v>
                </c:pt>
                <c:pt idx="14">
                  <c:v>87.777777777777771</c:v>
                </c:pt>
                <c:pt idx="15">
                  <c:v>81.587301587301582</c:v>
                </c:pt>
                <c:pt idx="16">
                  <c:v>83.899821109123423</c:v>
                </c:pt>
                <c:pt idx="17">
                  <c:v>84.955752212389385</c:v>
                </c:pt>
                <c:pt idx="18">
                  <c:v>74.146981627296597</c:v>
                </c:pt>
                <c:pt idx="19">
                  <c:v>86.754966887417211</c:v>
                </c:pt>
                <c:pt idx="20">
                  <c:v>82.009345794392516</c:v>
                </c:pt>
                <c:pt idx="21">
                  <c:v>75.18518518518519</c:v>
                </c:pt>
                <c:pt idx="22">
                  <c:v>83.062645011600935</c:v>
                </c:pt>
              </c:numCache>
            </c:numRef>
          </c:val>
          <c:extLst xmlns:c16r2="http://schemas.microsoft.com/office/drawing/2015/06/chart">
            <c:ext xmlns:c16="http://schemas.microsoft.com/office/drawing/2014/chart" uri="{C3380CC4-5D6E-409C-BE32-E72D297353CC}">
              <c16:uniqueId val="{00000001-FE99-45E8-8053-44B4F27124B5}"/>
            </c:ext>
          </c:extLst>
        </c:ser>
        <c:dLbls>
          <c:showLegendKey val="0"/>
          <c:showVal val="0"/>
          <c:showCatName val="0"/>
          <c:showSerName val="0"/>
          <c:showPercent val="0"/>
          <c:showBubbleSize val="0"/>
        </c:dLbls>
        <c:gapWidth val="219"/>
        <c:overlap val="-27"/>
        <c:axId val="445074424"/>
        <c:axId val="445074032"/>
      </c:barChart>
      <c:catAx>
        <c:axId val="4450744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UY"/>
          </a:p>
        </c:txPr>
        <c:crossAx val="445074032"/>
        <c:crosses val="autoZero"/>
        <c:auto val="1"/>
        <c:lblAlgn val="ctr"/>
        <c:lblOffset val="100"/>
        <c:noMultiLvlLbl val="0"/>
      </c:catAx>
      <c:valAx>
        <c:axId val="445074032"/>
        <c:scaling>
          <c:orientation val="minMax"/>
          <c:max val="1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UY" sz="1000"/>
                  <a:t>Porcentaje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UY"/>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UY"/>
          </a:p>
        </c:txPr>
        <c:crossAx val="4450744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UY"/>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lgn="just">
        <a:defRPr>
          <a:latin typeface="Times New Roman" panose="02020603050405020304" pitchFamily="18" charset="0"/>
          <a:cs typeface="Times New Roman" panose="02020603050405020304" pitchFamily="18" charset="0"/>
        </a:defRPr>
      </a:pPr>
      <a:endParaRPr lang="es-UY"/>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UY" sz="1200"/>
              <a:t>Gráfico 2. Docentes que realizan actividades de investigación en Udelar por servicio. Comparación intercensal 2021-2023</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UY"/>
        </a:p>
      </c:txPr>
    </c:title>
    <c:autoTitleDeleted val="0"/>
    <c:plotArea>
      <c:layout/>
      <c:barChart>
        <c:barDir val="col"/>
        <c:grouping val="clustered"/>
        <c:varyColors val="0"/>
        <c:ser>
          <c:idx val="0"/>
          <c:order val="0"/>
          <c:tx>
            <c:v>2019-2020</c:v>
          </c:tx>
          <c:spPr>
            <a:solidFill>
              <a:schemeClr val="accent1">
                <a:tint val="77000"/>
              </a:schemeClr>
            </a:solidFill>
            <a:ln>
              <a:noFill/>
            </a:ln>
            <a:effectLst/>
          </c:spPr>
          <c:invertIfNegative val="0"/>
          <c:cat>
            <c:strRef>
              <c:f>Hoja1!$AJ$2:$AJ$24</c:f>
              <c:strCache>
                <c:ptCount val="23"/>
                <c:pt idx="0">
                  <c:v>FQ</c:v>
                </c:pt>
                <c:pt idx="1">
                  <c:v>FCIEN</c:v>
                </c:pt>
                <c:pt idx="2">
                  <c:v>FHCE</c:v>
                </c:pt>
                <c:pt idx="3">
                  <c:v>CENUR Noreste</c:v>
                </c:pt>
                <c:pt idx="4">
                  <c:v>FPSICO</c:v>
                </c:pt>
                <c:pt idx="5">
                  <c:v>FCS</c:v>
                </c:pt>
                <c:pt idx="6">
                  <c:v>FAGRO</c:v>
                </c:pt>
                <c:pt idx="7">
                  <c:v>FVET</c:v>
                </c:pt>
                <c:pt idx="8">
                  <c:v>FIC</c:v>
                </c:pt>
                <c:pt idx="9">
                  <c:v>Oficinas Centrales</c:v>
                </c:pt>
                <c:pt idx="10">
                  <c:v>CURE</c:v>
                </c:pt>
                <c:pt idx="11">
                  <c:v>FING</c:v>
                </c:pt>
                <c:pt idx="12">
                  <c:v>ISEF</c:v>
                </c:pt>
                <c:pt idx="13">
                  <c:v>CENUR Litoral Norte</c:v>
                </c:pt>
                <c:pt idx="14">
                  <c:v>NUTR</c:v>
                </c:pt>
                <c:pt idx="15">
                  <c:v>FMED (EUTM y Parteras)</c:v>
                </c:pt>
                <c:pt idx="16">
                  <c:v>Hospital de Clínicas</c:v>
                </c:pt>
                <c:pt idx="17">
                  <c:v>Artes</c:v>
                </c:pt>
                <c:pt idx="18">
                  <c:v>FADU</c:v>
                </c:pt>
                <c:pt idx="19">
                  <c:v>FENF</c:v>
                </c:pt>
                <c:pt idx="20">
                  <c:v>FDER</c:v>
                </c:pt>
                <c:pt idx="21">
                  <c:v>FCEA</c:v>
                </c:pt>
                <c:pt idx="22">
                  <c:v>FODON</c:v>
                </c:pt>
              </c:strCache>
            </c:strRef>
          </c:cat>
          <c:val>
            <c:numRef>
              <c:f>Hoja1!$AK$2:$AK$24</c:f>
              <c:numCache>
                <c:formatCode>0.0</c:formatCode>
                <c:ptCount val="23"/>
                <c:pt idx="0">
                  <c:v>81.666666666666671</c:v>
                </c:pt>
                <c:pt idx="1">
                  <c:v>87.043795620437962</c:v>
                </c:pt>
                <c:pt idx="2">
                  <c:v>84.073107049608353</c:v>
                </c:pt>
                <c:pt idx="3">
                  <c:v>85.416666666666657</c:v>
                </c:pt>
                <c:pt idx="4">
                  <c:v>75.320512820512818</c:v>
                </c:pt>
                <c:pt idx="5">
                  <c:v>76.167076167076161</c:v>
                </c:pt>
                <c:pt idx="6">
                  <c:v>78.012684989429175</c:v>
                </c:pt>
                <c:pt idx="7">
                  <c:v>72.173913043478265</c:v>
                </c:pt>
                <c:pt idx="8">
                  <c:v>71.232876712328761</c:v>
                </c:pt>
                <c:pt idx="9">
                  <c:v>66.557377049180332</c:v>
                </c:pt>
                <c:pt idx="10">
                  <c:v>85.77981651376146</c:v>
                </c:pt>
                <c:pt idx="11">
                  <c:v>62.206572769953048</c:v>
                </c:pt>
                <c:pt idx="12">
                  <c:v>57.36677115987461</c:v>
                </c:pt>
                <c:pt idx="13">
                  <c:v>54.929577464788736</c:v>
                </c:pt>
                <c:pt idx="14">
                  <c:v>50.413223140495866</c:v>
                </c:pt>
                <c:pt idx="15">
                  <c:v>53.115501519756833</c:v>
                </c:pt>
                <c:pt idx="16">
                  <c:v>53.98936170212766</c:v>
                </c:pt>
                <c:pt idx="17">
                  <c:v>44.027303754266214</c:v>
                </c:pt>
                <c:pt idx="18">
                  <c:v>36.75730110775428</c:v>
                </c:pt>
                <c:pt idx="19">
                  <c:v>28.4375</c:v>
                </c:pt>
                <c:pt idx="20">
                  <c:v>30.448717948717945</c:v>
                </c:pt>
                <c:pt idx="21">
                  <c:v>23.085983510011779</c:v>
                </c:pt>
                <c:pt idx="22">
                  <c:v>26.570048309178745</c:v>
                </c:pt>
              </c:numCache>
            </c:numRef>
          </c:val>
          <c:extLst xmlns:c16r2="http://schemas.microsoft.com/office/drawing/2015/06/chart">
            <c:ext xmlns:c16="http://schemas.microsoft.com/office/drawing/2014/chart" uri="{C3380CC4-5D6E-409C-BE32-E72D297353CC}">
              <c16:uniqueId val="{00000000-2BAF-4CC5-B95E-E0B097BC071F}"/>
            </c:ext>
          </c:extLst>
        </c:ser>
        <c:ser>
          <c:idx val="1"/>
          <c:order val="1"/>
          <c:tx>
            <c:v>2021-2022</c:v>
          </c:tx>
          <c:spPr>
            <a:solidFill>
              <a:schemeClr val="accent1">
                <a:shade val="76000"/>
              </a:schemeClr>
            </a:solidFill>
            <a:ln>
              <a:noFill/>
            </a:ln>
            <a:effectLst/>
          </c:spPr>
          <c:invertIfNegative val="0"/>
          <c:cat>
            <c:strRef>
              <c:f>Hoja1!$AJ$2:$AJ$24</c:f>
              <c:strCache>
                <c:ptCount val="23"/>
                <c:pt idx="0">
                  <c:v>FQ</c:v>
                </c:pt>
                <c:pt idx="1">
                  <c:v>FCIEN</c:v>
                </c:pt>
                <c:pt idx="2">
                  <c:v>FHCE</c:v>
                </c:pt>
                <c:pt idx="3">
                  <c:v>CENUR Noreste</c:v>
                </c:pt>
                <c:pt idx="4">
                  <c:v>FPSICO</c:v>
                </c:pt>
                <c:pt idx="5">
                  <c:v>FCS</c:v>
                </c:pt>
                <c:pt idx="6">
                  <c:v>FAGRO</c:v>
                </c:pt>
                <c:pt idx="7">
                  <c:v>FVET</c:v>
                </c:pt>
                <c:pt idx="8">
                  <c:v>FIC</c:v>
                </c:pt>
                <c:pt idx="9">
                  <c:v>Oficinas Centrales</c:v>
                </c:pt>
                <c:pt idx="10">
                  <c:v>CURE</c:v>
                </c:pt>
                <c:pt idx="11">
                  <c:v>FING</c:v>
                </c:pt>
                <c:pt idx="12">
                  <c:v>ISEF</c:v>
                </c:pt>
                <c:pt idx="13">
                  <c:v>CENUR Litoral Norte</c:v>
                </c:pt>
                <c:pt idx="14">
                  <c:v>NUTR</c:v>
                </c:pt>
                <c:pt idx="15">
                  <c:v>FMED (EUTM y Parteras)</c:v>
                </c:pt>
                <c:pt idx="16">
                  <c:v>Hospital de Clínicas</c:v>
                </c:pt>
                <c:pt idx="17">
                  <c:v>Artes</c:v>
                </c:pt>
                <c:pt idx="18">
                  <c:v>FADU</c:v>
                </c:pt>
                <c:pt idx="19">
                  <c:v>FENF</c:v>
                </c:pt>
                <c:pt idx="20">
                  <c:v>FDER</c:v>
                </c:pt>
                <c:pt idx="21">
                  <c:v>FCEA</c:v>
                </c:pt>
                <c:pt idx="22">
                  <c:v>FODON</c:v>
                </c:pt>
              </c:strCache>
            </c:strRef>
          </c:cat>
          <c:val>
            <c:numRef>
              <c:f>Hoja1!$AL$2:$AL$24</c:f>
              <c:numCache>
                <c:formatCode>General</c:formatCode>
                <c:ptCount val="23"/>
                <c:pt idx="0">
                  <c:v>87</c:v>
                </c:pt>
                <c:pt idx="1">
                  <c:v>85.2</c:v>
                </c:pt>
                <c:pt idx="2">
                  <c:v>84.1</c:v>
                </c:pt>
                <c:pt idx="3">
                  <c:v>82.9</c:v>
                </c:pt>
                <c:pt idx="4">
                  <c:v>81</c:v>
                </c:pt>
                <c:pt idx="5">
                  <c:v>80.3</c:v>
                </c:pt>
                <c:pt idx="6">
                  <c:v>79.900000000000006</c:v>
                </c:pt>
                <c:pt idx="7">
                  <c:v>74.400000000000006</c:v>
                </c:pt>
                <c:pt idx="8">
                  <c:v>72.599999999999994</c:v>
                </c:pt>
                <c:pt idx="9">
                  <c:v>70.7</c:v>
                </c:pt>
                <c:pt idx="10">
                  <c:v>67.5</c:v>
                </c:pt>
                <c:pt idx="11">
                  <c:v>66.3</c:v>
                </c:pt>
                <c:pt idx="12">
                  <c:v>65.400000000000006</c:v>
                </c:pt>
                <c:pt idx="13">
                  <c:v>58.5</c:v>
                </c:pt>
                <c:pt idx="14">
                  <c:v>58.4</c:v>
                </c:pt>
                <c:pt idx="15">
                  <c:v>56.8</c:v>
                </c:pt>
                <c:pt idx="16">
                  <c:v>53.7</c:v>
                </c:pt>
                <c:pt idx="17">
                  <c:v>48.3</c:v>
                </c:pt>
                <c:pt idx="18">
                  <c:v>38.4</c:v>
                </c:pt>
                <c:pt idx="19">
                  <c:v>37.4</c:v>
                </c:pt>
                <c:pt idx="20">
                  <c:v>36.299999999999997</c:v>
                </c:pt>
                <c:pt idx="21">
                  <c:v>30.7</c:v>
                </c:pt>
                <c:pt idx="22">
                  <c:v>28.1</c:v>
                </c:pt>
              </c:numCache>
            </c:numRef>
          </c:val>
          <c:extLst xmlns:c16r2="http://schemas.microsoft.com/office/drawing/2015/06/chart">
            <c:ext xmlns:c16="http://schemas.microsoft.com/office/drawing/2014/chart" uri="{C3380CC4-5D6E-409C-BE32-E72D297353CC}">
              <c16:uniqueId val="{00000001-2BAF-4CC5-B95E-E0B097BC071F}"/>
            </c:ext>
          </c:extLst>
        </c:ser>
        <c:dLbls>
          <c:showLegendKey val="0"/>
          <c:showVal val="0"/>
          <c:showCatName val="0"/>
          <c:showSerName val="0"/>
          <c:showPercent val="0"/>
          <c:showBubbleSize val="0"/>
        </c:dLbls>
        <c:gapWidth val="219"/>
        <c:overlap val="-27"/>
        <c:axId val="516437712"/>
        <c:axId val="516438104"/>
      </c:barChart>
      <c:catAx>
        <c:axId val="516437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UY"/>
          </a:p>
        </c:txPr>
        <c:crossAx val="516438104"/>
        <c:crosses val="autoZero"/>
        <c:auto val="1"/>
        <c:lblAlgn val="ctr"/>
        <c:lblOffset val="100"/>
        <c:noMultiLvlLbl val="0"/>
      </c:catAx>
      <c:valAx>
        <c:axId val="5164381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UY"/>
                  <a:t>Porcentaje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UY"/>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UY"/>
          </a:p>
        </c:txPr>
        <c:crossAx val="5164377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UY"/>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UY"/>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UY" sz="1200"/>
              <a:t>Gráfico 3. Docentes que realizan actividades de enseñanza que tienen al menos una ocupación remunerada externa a Udelar, por servicio. Comparación intercensal 2021–2023</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UY"/>
        </a:p>
      </c:txPr>
    </c:title>
    <c:autoTitleDeleted val="0"/>
    <c:plotArea>
      <c:layout/>
      <c:barChart>
        <c:barDir val="col"/>
        <c:grouping val="clustered"/>
        <c:varyColors val="0"/>
        <c:ser>
          <c:idx val="0"/>
          <c:order val="0"/>
          <c:tx>
            <c:v>2021</c:v>
          </c:tx>
          <c:spPr>
            <a:solidFill>
              <a:schemeClr val="accent1">
                <a:tint val="77000"/>
              </a:schemeClr>
            </a:solidFill>
            <a:ln>
              <a:noFill/>
            </a:ln>
            <a:effectLst/>
          </c:spPr>
          <c:invertIfNegative val="0"/>
          <c:cat>
            <c:strRef>
              <c:f>Tiene_ocup_fuera_x_Servicio_lab!$H$2:$H$24</c:f>
              <c:strCache>
                <c:ptCount val="23"/>
                <c:pt idx="0">
                  <c:v>Hospital de Clínicas</c:v>
                </c:pt>
                <c:pt idx="1">
                  <c:v>FDER</c:v>
                </c:pt>
                <c:pt idx="2">
                  <c:v>FCEA</c:v>
                </c:pt>
                <c:pt idx="3">
                  <c:v>FODON</c:v>
                </c:pt>
                <c:pt idx="4">
                  <c:v>FMED (EUTM y Parteras)</c:v>
                </c:pt>
                <c:pt idx="5">
                  <c:v>FADU</c:v>
                </c:pt>
                <c:pt idx="6">
                  <c:v>ISEF</c:v>
                </c:pt>
                <c:pt idx="7">
                  <c:v>FENF</c:v>
                </c:pt>
                <c:pt idx="8">
                  <c:v>CENUR Litoral Norte</c:v>
                </c:pt>
                <c:pt idx="9">
                  <c:v>FIC</c:v>
                </c:pt>
                <c:pt idx="10">
                  <c:v>FPSICO</c:v>
                </c:pt>
                <c:pt idx="11">
                  <c:v>NUTR</c:v>
                </c:pt>
                <c:pt idx="12">
                  <c:v>Artes</c:v>
                </c:pt>
                <c:pt idx="13">
                  <c:v>FING</c:v>
                </c:pt>
                <c:pt idx="14">
                  <c:v>FHCE</c:v>
                </c:pt>
                <c:pt idx="15">
                  <c:v>FCS</c:v>
                </c:pt>
                <c:pt idx="16">
                  <c:v>FVET</c:v>
                </c:pt>
                <c:pt idx="17">
                  <c:v>Oficinas Centrales</c:v>
                </c:pt>
                <c:pt idx="18">
                  <c:v>FQ</c:v>
                </c:pt>
                <c:pt idx="19">
                  <c:v>FAGRO</c:v>
                </c:pt>
                <c:pt idx="20">
                  <c:v>CURE</c:v>
                </c:pt>
                <c:pt idx="21">
                  <c:v>FCIEN</c:v>
                </c:pt>
                <c:pt idx="22">
                  <c:v>CENUR Noreste</c:v>
                </c:pt>
              </c:strCache>
            </c:strRef>
          </c:cat>
          <c:val>
            <c:numRef>
              <c:f>Tiene_ocup_fuera_x_Servicio_lab!$I$2:$I$24</c:f>
              <c:numCache>
                <c:formatCode>General</c:formatCode>
                <c:ptCount val="23"/>
                <c:pt idx="0">
                  <c:v>86.589403973509931</c:v>
                </c:pt>
                <c:pt idx="1">
                  <c:v>80.066079295154182</c:v>
                </c:pt>
                <c:pt idx="2">
                  <c:v>77.588466579292273</c:v>
                </c:pt>
                <c:pt idx="3">
                  <c:v>76.075268817204304</c:v>
                </c:pt>
                <c:pt idx="4">
                  <c:v>73.819386909693449</c:v>
                </c:pt>
                <c:pt idx="5">
                  <c:v>68.847006651884698</c:v>
                </c:pt>
                <c:pt idx="6">
                  <c:v>67.697594501718214</c:v>
                </c:pt>
                <c:pt idx="7">
                  <c:v>59.420289855072461</c:v>
                </c:pt>
                <c:pt idx="8">
                  <c:v>53.869969040247682</c:v>
                </c:pt>
                <c:pt idx="9">
                  <c:v>52</c:v>
                </c:pt>
                <c:pt idx="10">
                  <c:v>51.893939393939391</c:v>
                </c:pt>
                <c:pt idx="11">
                  <c:v>51.37614678899083</c:v>
                </c:pt>
                <c:pt idx="12">
                  <c:v>48.708487084870846</c:v>
                </c:pt>
                <c:pt idx="13">
                  <c:v>46.605744125326368</c:v>
                </c:pt>
                <c:pt idx="14">
                  <c:v>45.283018867924532</c:v>
                </c:pt>
                <c:pt idx="15">
                  <c:v>41.061452513966479</c:v>
                </c:pt>
                <c:pt idx="16">
                  <c:v>35.526315789473685</c:v>
                </c:pt>
                <c:pt idx="17">
                  <c:v>34.934497816593883</c:v>
                </c:pt>
                <c:pt idx="18">
                  <c:v>30</c:v>
                </c:pt>
                <c:pt idx="19">
                  <c:v>29.521276595744684</c:v>
                </c:pt>
                <c:pt idx="20">
                  <c:v>23.428571428571431</c:v>
                </c:pt>
                <c:pt idx="21">
                  <c:v>21.258134490238611</c:v>
                </c:pt>
                <c:pt idx="22">
                  <c:v>20.930232558139537</c:v>
                </c:pt>
              </c:numCache>
            </c:numRef>
          </c:val>
          <c:extLst xmlns:c16r2="http://schemas.microsoft.com/office/drawing/2015/06/chart">
            <c:ext xmlns:c16="http://schemas.microsoft.com/office/drawing/2014/chart" uri="{C3380CC4-5D6E-409C-BE32-E72D297353CC}">
              <c16:uniqueId val="{00000000-3589-4E20-871F-F7B3BAEA7792}"/>
            </c:ext>
          </c:extLst>
        </c:ser>
        <c:ser>
          <c:idx val="1"/>
          <c:order val="1"/>
          <c:tx>
            <c:v>2023</c:v>
          </c:tx>
          <c:spPr>
            <a:solidFill>
              <a:schemeClr val="accent1">
                <a:shade val="76000"/>
              </a:schemeClr>
            </a:solidFill>
            <a:ln>
              <a:noFill/>
            </a:ln>
            <a:effectLst/>
          </c:spPr>
          <c:invertIfNegative val="0"/>
          <c:cat>
            <c:strRef>
              <c:f>Tiene_ocup_fuera_x_Servicio_lab!$H$2:$H$24</c:f>
              <c:strCache>
                <c:ptCount val="23"/>
                <c:pt idx="0">
                  <c:v>Hospital de Clínicas</c:v>
                </c:pt>
                <c:pt idx="1">
                  <c:v>FDER</c:v>
                </c:pt>
                <c:pt idx="2">
                  <c:v>FCEA</c:v>
                </c:pt>
                <c:pt idx="3">
                  <c:v>FODON</c:v>
                </c:pt>
                <c:pt idx="4">
                  <c:v>FMED (EUTM y Parteras)</c:v>
                </c:pt>
                <c:pt idx="5">
                  <c:v>FADU</c:v>
                </c:pt>
                <c:pt idx="6">
                  <c:v>ISEF</c:v>
                </c:pt>
                <c:pt idx="7">
                  <c:v>FENF</c:v>
                </c:pt>
                <c:pt idx="8">
                  <c:v>CENUR Litoral Norte</c:v>
                </c:pt>
                <c:pt idx="9">
                  <c:v>FIC</c:v>
                </c:pt>
                <c:pt idx="10">
                  <c:v>FPSICO</c:v>
                </c:pt>
                <c:pt idx="11">
                  <c:v>NUTR</c:v>
                </c:pt>
                <c:pt idx="12">
                  <c:v>Artes</c:v>
                </c:pt>
                <c:pt idx="13">
                  <c:v>FING</c:v>
                </c:pt>
                <c:pt idx="14">
                  <c:v>FHCE</c:v>
                </c:pt>
                <c:pt idx="15">
                  <c:v>FCS</c:v>
                </c:pt>
                <c:pt idx="16">
                  <c:v>FVET</c:v>
                </c:pt>
                <c:pt idx="17">
                  <c:v>Oficinas Centrales</c:v>
                </c:pt>
                <c:pt idx="18">
                  <c:v>FQ</c:v>
                </c:pt>
                <c:pt idx="19">
                  <c:v>FAGRO</c:v>
                </c:pt>
                <c:pt idx="20">
                  <c:v>CURE</c:v>
                </c:pt>
                <c:pt idx="21">
                  <c:v>FCIEN</c:v>
                </c:pt>
                <c:pt idx="22">
                  <c:v>CENUR Noreste</c:v>
                </c:pt>
              </c:strCache>
            </c:strRef>
          </c:cat>
          <c:val>
            <c:numRef>
              <c:f>Tiene_ocup_fuera_x_Servicio_lab!$J$2:$J$24</c:f>
              <c:numCache>
                <c:formatCode>General</c:formatCode>
                <c:ptCount val="23"/>
                <c:pt idx="0">
                  <c:v>87.079646017699119</c:v>
                </c:pt>
                <c:pt idx="1">
                  <c:v>81.543624161073822</c:v>
                </c:pt>
                <c:pt idx="2">
                  <c:v>75.569044006069802</c:v>
                </c:pt>
                <c:pt idx="3">
                  <c:v>71.306818181818173</c:v>
                </c:pt>
                <c:pt idx="4">
                  <c:v>69.649122807017534</c:v>
                </c:pt>
                <c:pt idx="5">
                  <c:v>67.385786802030452</c:v>
                </c:pt>
                <c:pt idx="6">
                  <c:v>63.066202090592341</c:v>
                </c:pt>
                <c:pt idx="7">
                  <c:v>56.540084388185655</c:v>
                </c:pt>
                <c:pt idx="8">
                  <c:v>49.162011173184354</c:v>
                </c:pt>
                <c:pt idx="9">
                  <c:v>44.329896907216494</c:v>
                </c:pt>
                <c:pt idx="10">
                  <c:v>50.194552529182879</c:v>
                </c:pt>
                <c:pt idx="11">
                  <c:v>47.244094488188978</c:v>
                </c:pt>
                <c:pt idx="12">
                  <c:v>49.411764705882355</c:v>
                </c:pt>
                <c:pt idx="13">
                  <c:v>46.311475409836063</c:v>
                </c:pt>
                <c:pt idx="14">
                  <c:v>44.444444444444443</c:v>
                </c:pt>
                <c:pt idx="15">
                  <c:v>42.028985507246375</c:v>
                </c:pt>
                <c:pt idx="16">
                  <c:v>31.366459627329192</c:v>
                </c:pt>
                <c:pt idx="17">
                  <c:v>36.945812807881772</c:v>
                </c:pt>
                <c:pt idx="18">
                  <c:v>25.41899441340782</c:v>
                </c:pt>
                <c:pt idx="19">
                  <c:v>27.350427350427353</c:v>
                </c:pt>
                <c:pt idx="20">
                  <c:v>39.31297709923664</c:v>
                </c:pt>
                <c:pt idx="21">
                  <c:v>19.189765458422176</c:v>
                </c:pt>
                <c:pt idx="22">
                  <c:v>22.727272727272727</c:v>
                </c:pt>
              </c:numCache>
            </c:numRef>
          </c:val>
          <c:extLst xmlns:c16r2="http://schemas.microsoft.com/office/drawing/2015/06/chart">
            <c:ext xmlns:c16="http://schemas.microsoft.com/office/drawing/2014/chart" uri="{C3380CC4-5D6E-409C-BE32-E72D297353CC}">
              <c16:uniqueId val="{00000001-3589-4E20-871F-F7B3BAEA7792}"/>
            </c:ext>
          </c:extLst>
        </c:ser>
        <c:dLbls>
          <c:showLegendKey val="0"/>
          <c:showVal val="0"/>
          <c:showCatName val="0"/>
          <c:showSerName val="0"/>
          <c:showPercent val="0"/>
          <c:showBubbleSize val="0"/>
        </c:dLbls>
        <c:gapWidth val="219"/>
        <c:overlap val="-27"/>
        <c:axId val="440573808"/>
        <c:axId val="440574200"/>
      </c:barChart>
      <c:catAx>
        <c:axId val="4405738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UY"/>
          </a:p>
        </c:txPr>
        <c:crossAx val="440574200"/>
        <c:crosses val="autoZero"/>
        <c:auto val="1"/>
        <c:lblAlgn val="ctr"/>
        <c:lblOffset val="100"/>
        <c:noMultiLvlLbl val="0"/>
      </c:catAx>
      <c:valAx>
        <c:axId val="4405742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UY"/>
                  <a:t>Porcentaje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UY"/>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UY"/>
          </a:p>
        </c:txPr>
        <c:crossAx val="4405738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UY"/>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UY"/>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UY" sz="1200"/>
              <a:t>Gráfico 4. Índice de Silueta</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UY"/>
        </a:p>
      </c:txPr>
    </c:title>
    <c:autoTitleDeleted val="0"/>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Hoja1!$D$2:$D$8</c:f>
              <c:numCache>
                <c:formatCode>General</c:formatCode>
                <c:ptCount val="7"/>
                <c:pt idx="0">
                  <c:v>2</c:v>
                </c:pt>
                <c:pt idx="1">
                  <c:v>3</c:v>
                </c:pt>
                <c:pt idx="2">
                  <c:v>4</c:v>
                </c:pt>
                <c:pt idx="3">
                  <c:v>5</c:v>
                </c:pt>
                <c:pt idx="4">
                  <c:v>6</c:v>
                </c:pt>
                <c:pt idx="5">
                  <c:v>7</c:v>
                </c:pt>
                <c:pt idx="6">
                  <c:v>8</c:v>
                </c:pt>
              </c:numCache>
            </c:numRef>
          </c:cat>
          <c:val>
            <c:numRef>
              <c:f>Hoja1!$E$2:$E$8</c:f>
              <c:numCache>
                <c:formatCode>General</c:formatCode>
                <c:ptCount val="7"/>
                <c:pt idx="0">
                  <c:v>0.34499999999999997</c:v>
                </c:pt>
                <c:pt idx="1">
                  <c:v>0.29599999999999999</c:v>
                </c:pt>
                <c:pt idx="2">
                  <c:v>0.309</c:v>
                </c:pt>
                <c:pt idx="3">
                  <c:v>0.32700000000000001</c:v>
                </c:pt>
                <c:pt idx="4">
                  <c:v>0.32200000000000001</c:v>
                </c:pt>
                <c:pt idx="5">
                  <c:v>0.315</c:v>
                </c:pt>
                <c:pt idx="6">
                  <c:v>0.29299999999999998</c:v>
                </c:pt>
              </c:numCache>
            </c:numRef>
          </c:val>
          <c:smooth val="0"/>
          <c:extLst xmlns:c16r2="http://schemas.microsoft.com/office/drawing/2015/06/chart">
            <c:ext xmlns:c16="http://schemas.microsoft.com/office/drawing/2014/chart" uri="{C3380CC4-5D6E-409C-BE32-E72D297353CC}">
              <c16:uniqueId val="{00000000-C1C4-489D-B3EE-A44545300BFF}"/>
            </c:ext>
          </c:extLst>
        </c:ser>
        <c:dLbls>
          <c:showLegendKey val="0"/>
          <c:showVal val="0"/>
          <c:showCatName val="0"/>
          <c:showSerName val="0"/>
          <c:showPercent val="0"/>
          <c:showBubbleSize val="0"/>
        </c:dLbls>
        <c:marker val="1"/>
        <c:smooth val="0"/>
        <c:axId val="440575376"/>
        <c:axId val="440573416"/>
      </c:lineChart>
      <c:catAx>
        <c:axId val="44057537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UY"/>
                  <a:t>Número de clusters (k)</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UY"/>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UY"/>
          </a:p>
        </c:txPr>
        <c:crossAx val="440573416"/>
        <c:crosses val="autoZero"/>
        <c:auto val="1"/>
        <c:lblAlgn val="ctr"/>
        <c:lblOffset val="100"/>
        <c:noMultiLvlLbl val="0"/>
      </c:catAx>
      <c:valAx>
        <c:axId val="4405734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UY"/>
                  <a:t>Score de Silueta</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UY"/>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UY"/>
          </a:p>
        </c:txPr>
        <c:crossAx val="44057537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UY"/>
    </a:p>
  </c:txPr>
  <c:externalData r:id="rId3">
    <c:autoUpdate val="0"/>
  </c:externalData>
</c:chartSpace>
</file>

<file path=word/charts/colors1.xml><?xml version="1.0" encoding="utf-8"?>
<cs:colorStyle xmlns:cs="http://schemas.microsoft.com/office/drawing/2012/chartStyle" xmlns:a="http://schemas.openxmlformats.org/drawingml/2006/main" meth="withinLinearReversed" id="21">
  <a:schemeClr val="accent1"/>
</cs:colorStyle>
</file>

<file path=word/charts/colors2.xml><?xml version="1.0" encoding="utf-8"?>
<cs:colorStyle xmlns:cs="http://schemas.microsoft.com/office/drawing/2012/chartStyle" xmlns:a="http://schemas.openxmlformats.org/drawingml/2006/main" meth="withinLinearReversed" id="21">
  <a:schemeClr val="accent1"/>
</cs:colorStyle>
</file>

<file path=word/charts/colors3.xml><?xml version="1.0" encoding="utf-8"?>
<cs:colorStyle xmlns:cs="http://schemas.microsoft.com/office/drawing/2012/chartStyle" xmlns:a="http://schemas.openxmlformats.org/drawingml/2006/main" meth="withinLinearReversed" id="21">
  <a:schemeClr val="accent1"/>
</cs:colorStyle>
</file>

<file path=word/charts/colors4.xml><?xml version="1.0" encoding="utf-8"?>
<cs:colorStyle xmlns:cs="http://schemas.microsoft.com/office/drawing/2012/chartStyle" xmlns:a="http://schemas.openxmlformats.org/drawingml/2006/main" meth="withinLinearReversed" id="21">
  <a:schemeClr val="accent1"/>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23</Pages>
  <Words>8468</Words>
  <Characters>46577</Characters>
  <Application>Microsoft Office Word</Application>
  <DocSecurity>0</DocSecurity>
  <Lines>388</Lines>
  <Paragraphs>109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54936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Diego</cp:lastModifiedBy>
  <cp:revision>7</cp:revision>
  <dcterms:created xsi:type="dcterms:W3CDTF">2026-05-13T14:57:00Z</dcterms:created>
  <dcterms:modified xsi:type="dcterms:W3CDTF">2026-05-13T17:05:00Z</dcterms:modified>
</cp:coreProperties>
</file>