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2">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La carrera docente en el sistema universitario argentino: balance actual y desafíos</w:t>
      </w:r>
    </w:p>
    <w:p w:rsidR="00000000" w:rsidDel="00000000" w:rsidP="00000000" w:rsidRDefault="00000000" w:rsidRPr="00000000" w14:paraId="00000003">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4">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Mg. Hammond Fernando</w:t>
      </w:r>
    </w:p>
    <w:p w:rsidR="00000000" w:rsidDel="00000000" w:rsidP="00000000" w:rsidRDefault="00000000" w:rsidRPr="00000000" w14:paraId="00000005">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 Nacional de Mar del Plata</w:t>
      </w:r>
    </w:p>
    <w:p w:rsidR="00000000" w:rsidDel="00000000" w:rsidP="00000000" w:rsidRDefault="00000000" w:rsidRPr="00000000" w14:paraId="00000006">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hammond@mdp.edu.ar</w:t>
      </w:r>
    </w:p>
    <w:p w:rsidR="00000000" w:rsidDel="00000000" w:rsidP="00000000" w:rsidRDefault="00000000" w:rsidRPr="00000000" w14:paraId="0000000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Dra. Foutel Mariana</w:t>
      </w:r>
    </w:p>
    <w:p w:rsidR="00000000" w:rsidDel="00000000" w:rsidP="00000000" w:rsidRDefault="00000000" w:rsidRPr="00000000" w14:paraId="00000009">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 Nacional de Mar del Plata</w:t>
      </w:r>
    </w:p>
    <w:p w:rsidR="00000000" w:rsidDel="00000000" w:rsidP="00000000" w:rsidRDefault="00000000" w:rsidRPr="00000000" w14:paraId="0000000A">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marianafoutel@mdp.edu.ar</w:t>
      </w:r>
    </w:p>
    <w:p w:rsidR="00000000" w:rsidDel="00000000" w:rsidP="00000000" w:rsidRDefault="00000000" w:rsidRPr="00000000" w14:paraId="0000000B">
      <w:pPr>
        <w:tabs>
          <w:tab w:val="center" w:leader="none" w:pos="4252"/>
          <w:tab w:val="right" w:leader="none" w:pos="8504"/>
        </w:tabs>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C">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D">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Resumen: </w:t>
      </w:r>
    </w:p>
    <w:p w:rsidR="00000000" w:rsidDel="00000000" w:rsidP="00000000" w:rsidRDefault="00000000" w:rsidRPr="00000000" w14:paraId="0000000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regulación de la carrera docente para el conjunto del sistema universitario argentino introdujo nuevas reglas para el profesional académico que, a diez años de su homologación por parte del Poder Ejecutivo Nacional, justifica un balance basado en evidencia. Históricamente, la carrera docente ha expresado distintas concepciones sobre la profesión académica; desde la sanción del actual Convenio Colectivo de Trabajo, sin embargo, es entendida como un mecanismo orientado a definir y homogeneizar las condiciones del trabajo académico, otorgar mayor estabilidad laboral y jerarquizar la profesión académica dentro de las universidades. </w:t>
      </w:r>
    </w:p>
    <w:p w:rsidR="00000000" w:rsidDel="00000000" w:rsidP="00000000" w:rsidRDefault="00000000" w:rsidRPr="00000000" w14:paraId="0000000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objetivo de esta ponencia es presentar un estado de situación de la carrera docente en las universidades nacionales, </w:t>
      </w:r>
      <w:r w:rsidDel="00000000" w:rsidR="00000000" w:rsidRPr="00000000">
        <w:rPr>
          <w:rFonts w:ascii="Times New Roman" w:cs="Times New Roman" w:eastAsia="Times New Roman" w:hAnsi="Times New Roman"/>
          <w:rtl w:val="0"/>
        </w:rPr>
        <w:t xml:space="preserve">identificando los principales rasgos que ha asumido su adopción institucional y los desafíos que atraviesan este proceso hacia el futuro. El trabajo se inscribe en una línea de investigación orientada al análisis del impacto de la negociación colectiva en el sistema universitario nacional y adopta un enfoque de análisis de políticas públicas basado en el examen de la normativa surgida del convenio colectivo y en el estudio comparado de las regulaciones adoptadas por las universidades nacionales. </w:t>
      </w:r>
    </w:p>
    <w:p w:rsidR="00000000" w:rsidDel="00000000" w:rsidP="00000000" w:rsidRDefault="00000000" w:rsidRPr="00000000" w14:paraId="0000001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Los resultados muestran que la implementación de la carrera docente ha seguido trayectorias heterogéneas en el sistema, con distintos grados de avance en su reglamentación y aplicación efectiva. En algunos casos se han desarrollado regímenes institucionales de carrera que incorporan evaluaciones periódicas y mecanismos de promoción académica, mientras que en otros persisten esquemas tradicionales basados principalmente en concursos abiertos y periódicos. Este panorama pone de manifiesto tensiones entre la regulación colectiva acordada a nivel nacional y los márgenes de autonomía institucional de las universidades para definir sus propios regímenes académicos y laborales. </w:t>
      </w:r>
    </w:p>
    <w:p w:rsidR="00000000" w:rsidDel="00000000" w:rsidP="00000000" w:rsidRDefault="00000000" w:rsidRPr="00000000" w14:paraId="0000001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partir de lo anterior, elaboramos un balance del proceso de implementación del régimen de carrera docente acordado nacionalmente, identificando un conjunto de desafíos, amenazas y oportunidades. Entre los problemas se destacan las persistentes </w:t>
      </w:r>
      <w:r w:rsidDel="00000000" w:rsidR="00000000" w:rsidRPr="00000000">
        <w:rPr>
          <w:rFonts w:ascii="Times New Roman" w:cs="Times New Roman" w:eastAsia="Times New Roman" w:hAnsi="Times New Roman"/>
          <w:rtl w:val="0"/>
        </w:rPr>
        <w:t xml:space="preserve">asimetrías institucionales en la capacidad de garantizar ingresos mediante concursos de antecedentes y oposición, así como la ausencia de criterios homogéneos para la evaluación de la función de enseñanza; entre las amenazas, el riesgo de incrementar </w:t>
      </w:r>
      <w:r w:rsidDel="00000000" w:rsidR="00000000" w:rsidRPr="00000000">
        <w:rPr>
          <w:rFonts w:ascii="Times New Roman" w:cs="Times New Roman" w:eastAsia="Times New Roman" w:hAnsi="Times New Roman"/>
          <w:rtl w:val="0"/>
        </w:rPr>
        <w:t xml:space="preserve">la endogamia institucional y la posible pérdida de talento joven hacia otras profesiones que ofrecen mejores condiciones laborales; y entre las oportunidades, el potencial de la regulación vigente para</w:t>
      </w:r>
      <w:r w:rsidDel="00000000" w:rsidR="00000000" w:rsidRPr="00000000">
        <w:rPr>
          <w:rFonts w:ascii="Times New Roman" w:cs="Times New Roman" w:eastAsia="Times New Roman" w:hAnsi="Times New Roman"/>
          <w:rtl w:val="0"/>
        </w:rPr>
        <w:t xml:space="preserve"> combinar derechos laborales con mecanismos de evaluación competitiva, garantizando un piso homogéneo de condiciones de trabajo y, al mismo tiempo, reconociendo trayectorias académicas diferenciadas mediante criterios explícitos, predecibles y evaluables. En última instancia, se concluye que el procesamiento de los problemas que evidencia el actual régimen de carrera docente, así como el aprovechamiento de sus oportunidades y la prevención de sus amenazas, sintetizan algunos de los principales desafíos que enfrentan actualmente las universidades públicas argentinas.</w:t>
      </w:r>
    </w:p>
    <w:p w:rsidR="00000000" w:rsidDel="00000000" w:rsidP="00000000" w:rsidRDefault="00000000" w:rsidRPr="00000000" w14:paraId="00000012">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Palabras clave: </w:t>
      </w:r>
      <w:r w:rsidDel="00000000" w:rsidR="00000000" w:rsidRPr="00000000">
        <w:rPr>
          <w:rFonts w:ascii="Times New Roman" w:cs="Times New Roman" w:eastAsia="Times New Roman" w:hAnsi="Times New Roman"/>
          <w:rtl w:val="0"/>
        </w:rPr>
        <w:t xml:space="preserve">Carrera Docente, Negociación Colectiva, Profesión Académica, Universidades Nacionales. </w:t>
      </w:r>
      <w:r w:rsidDel="00000000" w:rsidR="00000000" w:rsidRPr="00000000">
        <w:rPr>
          <w:rtl w:val="0"/>
        </w:rPr>
      </w:r>
    </w:p>
    <w:p w:rsidR="00000000" w:rsidDel="00000000" w:rsidP="00000000" w:rsidRDefault="00000000" w:rsidRPr="00000000" w14:paraId="00000013">
      <w:pPr>
        <w:spacing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4">
      <w:pPr>
        <w:numPr>
          <w:ilvl w:val="0"/>
          <w:numId w:val="3"/>
        </w:numPr>
        <w:spacing w:line="240" w:lineRule="auto"/>
        <w:ind w:left="720" w:hanging="360"/>
        <w:rPr>
          <w:rFonts w:ascii="Times New Roman" w:cs="Times New Roman" w:eastAsia="Times New Roman" w:hAnsi="Times New Roman"/>
          <w:b w:val="1"/>
          <w:bCs w:val="1"/>
          <w:u w:val="none"/>
        </w:rPr>
      </w:pPr>
      <w:r w:rsidDel="00000000" w:rsidR="00000000" w:rsidRPr="00000000">
        <w:rPr>
          <w:rFonts w:ascii="Times New Roman" w:cs="Times New Roman" w:eastAsia="Times New Roman" w:hAnsi="Times New Roman"/>
          <w:b w:val="1"/>
          <w:bCs w:val="1"/>
          <w:rtl w:val="0"/>
        </w:rPr>
        <w:t xml:space="preserve">Introducción y método</w:t>
      </w:r>
      <w:r w:rsidDel="00000000" w:rsidR="00000000" w:rsidRPr="00000000">
        <w:rPr>
          <w:rtl w:val="0"/>
        </w:rPr>
      </w:r>
    </w:p>
    <w:p w:rsidR="00000000" w:rsidDel="00000000" w:rsidP="00000000" w:rsidRDefault="00000000" w:rsidRPr="00000000" w14:paraId="0000001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presente artículo surge del Grupo de Investigación en Educación Superior y Profesión Académica de la Universidad Nacional de Mar del Plata, y expone </w:t>
      </w:r>
      <w:r w:rsidDel="00000000" w:rsidR="00000000" w:rsidRPr="00000000">
        <w:rPr>
          <w:rFonts w:ascii="Times New Roman" w:cs="Times New Roman" w:eastAsia="Times New Roman" w:hAnsi="Times New Roman"/>
          <w:rtl w:val="0"/>
        </w:rPr>
        <w:t xml:space="preserve">el estado de situación de la carrera docente en las universidades nacionales de Argentina. Entendemos por carrera docente al conjunto de regulaciones que configuran las relaciones laborales del personal académico que presta servicios en el sistema universitario de gestión estatal. A una década de haberse consolidado el marco normativo vigente, consideramos </w:t>
      </w:r>
      <w:r w:rsidDel="00000000" w:rsidR="00000000" w:rsidRPr="00000000">
        <w:rPr>
          <w:rFonts w:ascii="Times New Roman" w:cs="Times New Roman" w:eastAsia="Times New Roman" w:hAnsi="Times New Roman"/>
          <w:rtl w:val="0"/>
        </w:rPr>
        <w:t xml:space="preserve">relevante realizar un balance de su implementación y reflexionar sobre los desafíos que persisten para el desarrollo de la profesión académica. </w:t>
      </w:r>
    </w:p>
    <w:p w:rsidR="00000000" w:rsidDel="00000000" w:rsidP="00000000" w:rsidRDefault="00000000" w:rsidRPr="00000000" w14:paraId="0000001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Históricamente las universidades </w:t>
      </w:r>
      <w:r w:rsidDel="00000000" w:rsidR="00000000" w:rsidRPr="00000000">
        <w:rPr>
          <w:rFonts w:ascii="Times New Roman" w:cs="Times New Roman" w:eastAsia="Times New Roman" w:hAnsi="Times New Roman"/>
          <w:rtl w:val="0"/>
        </w:rPr>
        <w:t xml:space="preserve">regularon</w:t>
      </w:r>
      <w:r w:rsidDel="00000000" w:rsidR="00000000" w:rsidRPr="00000000">
        <w:rPr>
          <w:rFonts w:ascii="Times New Roman" w:cs="Times New Roman" w:eastAsia="Times New Roman" w:hAnsi="Times New Roman"/>
          <w:rtl w:val="0"/>
        </w:rPr>
        <w:t xml:space="preserve"> la relación laboral de sus académicos mediante el mecanismo del concurso, no obstante, sus características fueron evolucionando en el tiempo. Durante el siglo XIX las primeras universidades del territorio nacional ya utilizaban el instituto del concurso para designar autónomamente sus catedráticos en forma vitalicia. Sobre el final del siglo XIX y hasta mediados del siglo XX, el concurso de antecedentes y oposición era un mecanismo para acceder a una terna y eventualmente ser designado como titular de cátedra por parte del Poder Ejecutivo Nacional (PEN). A partir de la segunda mitad del siglo XX, se vuelve a descentralizar en las universidades la potestad de designar a sus académicos y se generaliza el sistema del concurso periódico. Según este régimen los académicos debían competir abiertamente en concursos públicos para ser designados, y luego debían  concursar periódicamente para conservar su titularidad. En dicho contexto, caracterizado por una creciente expansión del sistema universitario, emerge un nuevo arreglo institucional denominado carrera docente. Dicho sistema surge como necesidad de capacitar en las funciones docentes a graduados distinguidos con vocación por la academia, dichos graduados atravesaban un periodo de formación y eran entrenados en las labores de una cátedra. Con este régimen surge el estamento de docentes auxiliares, cuyo trabajo frecuentemente no remunerado era de carácter honorario, y proporcionaba antecedentes al momento de competir en las instancias de concurso. A medida que se profundiza la masificación de la enseñanza universitaria, y por ende, la profesión académica; las funciones docentes se organizan en una estructura que reconoce los estamentos de profesores y auxiliares, con sus respectivas categorías y dedicaciones que configuran un sistema jerárquico y piramidal. Estos cambios en la institucionalidad de las universidades durante la segunda mitad del siglo XX pueden relacionarse con las aceleradas transformaciones en las relaciones laborales de una economía en proceso de industrialización. El auge de los sindicatos y sus agendas vinculadas a las condiciones de trabajo dan lugar a nuevas demandas que se incorporan paulatinamente a la administración pública y -más tardíamente- a las universidades nacionales. En el campo académico emerge la discusión sobre la estabilidad laboral, la determinación de un escalafón único, el derecho a la formación en el trabajo, la reivindicación de “igual remuneración por igual tarea”, entre otras; cuestiones que paulatinamente se conjugan con los arreglos institucionales de la época, resignificando institutos como el concurso y la carrera docente. Con la recuperación democrática se abre una ventana de oportunidad para procesar institucionalmente las demandas antes mencionadas. La maduración de un marco legislativo nacional sancionado en la última década del siglo XX establece regulaciones comunes a todas las universidades y las integra en un único sistema. En dichas regulaciones, el Estado nacional define el mecanismo de la negociación colectiva como modalidad y ámbito para autorregular los intereses de autoridades universitarias y representantes sindicales en un escenario de creciente conflictividad laboral. </w:t>
      </w:r>
    </w:p>
    <w:p w:rsidR="00000000" w:rsidDel="00000000" w:rsidP="00000000" w:rsidRDefault="00000000" w:rsidRPr="00000000" w14:paraId="0000001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Los estudios sobre la educación superior en general y la profesión académica en particular indagan en diversas problemáticas asociadas a los arreglos institucionales antes mencionados. García de Fanelli (2009) señala tempranamente las limitaciones que las universidades presentan para sostener el régimen de concursos periódicos, identifica la persistencia de nombramientos interinos, y sus efectos en la participación de los docentes en el gobierno universitario. En otro estudio, García de Fanelli y Moguillansky (2014) identifican barreras invisibles en el acceso y la promoción académica, la insuficiencia de recursos presupuestarios para crear vacantes de mayor jerarquía y falta de transparencia en ciertos concursos debido a criterios extra académicos en la definición de las convocatorias, la composición de los jurados y las evaluaciones. Claverie (2015) advierte sobre el riesgo que representa la discrecionalidad de docentes responsables de cátedra en los concursos de ingreso y promoción de pares de categorías inferiores. Por otra parte,  Rovelli (2012) documenta el correlato territorial de estas tensiones: la migración de académicos desde universidades tradicionales como la UBA  hacia instituciones más nuevas, motivada tanto por esas barreras como por las estrategias de captación que despliegan las universidades del gran Buenos Aires. Mazzola y Rodríguez Luiz (2014) señalan que la carrera docente no exime a las universidades de los conflictos derivados de los concursos, en tanto la centralidad que adquiere la evaluación por pares introduce nuevas fuentes de disputa. Lamarra (2012), en su estudio comparado sobre la profesión académica en América Latina, agrega que la evaluación de la enseñanza a nivel individual es prácticamente inexistente. Marquina, Mandonça y Reznik (2024) documentan un declive significativo de los cargos de profesores exclusivos concursados -</w:t>
      </w:r>
      <w:r w:rsidDel="00000000" w:rsidR="00000000" w:rsidRPr="00000000">
        <w:rPr>
          <w:rFonts w:ascii="Times New Roman" w:cs="Times New Roman" w:eastAsia="Times New Roman" w:hAnsi="Times New Roman"/>
          <w:i w:val="1"/>
          <w:iCs w:val="1"/>
          <w:rtl w:val="0"/>
        </w:rPr>
        <w:t xml:space="preserve">tenure track</w:t>
      </w:r>
      <w:r w:rsidDel="00000000" w:rsidR="00000000" w:rsidRPr="00000000">
        <w:rPr>
          <w:rFonts w:ascii="Times New Roman" w:cs="Times New Roman" w:eastAsia="Times New Roman" w:hAnsi="Times New Roman"/>
          <w:rtl w:val="0"/>
        </w:rPr>
        <w:t xml:space="preserve">-, más pronunciado entre los académicos jóvenes, con un incremento correlativo de nombramientos por hora en cargos auxiliares. Finalmente, Walker (2024) inscribe estas problemáticas en una tendencia más amplia que atraviesa a la profesión académica asociada a formas de precarización laboral, del cual la designación interina o por tiempo determinado es uno de los indicadores más relevantes. </w:t>
      </w:r>
    </w:p>
    <w:p w:rsidR="00000000" w:rsidDel="00000000" w:rsidP="00000000" w:rsidRDefault="00000000" w:rsidRPr="00000000" w14:paraId="0000001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Como ya hemos analizado en investigaciones previas (Hammond, 2021), en el año 2015 se produce un punto de inflexión cuando el  PEN </w:t>
      </w:r>
      <w:r w:rsidDel="00000000" w:rsidR="00000000" w:rsidRPr="00000000">
        <w:rPr>
          <w:rFonts w:ascii="Times New Roman" w:cs="Times New Roman" w:eastAsia="Times New Roman" w:hAnsi="Times New Roman"/>
          <w:rtl w:val="0"/>
        </w:rPr>
        <w:t xml:space="preserve">homologa</w:t>
      </w:r>
      <w:r w:rsidDel="00000000" w:rsidR="00000000" w:rsidRPr="00000000">
        <w:rPr>
          <w:rFonts w:ascii="Times New Roman" w:cs="Times New Roman" w:eastAsia="Times New Roman" w:hAnsi="Times New Roman"/>
          <w:rtl w:val="0"/>
        </w:rPr>
        <w:t xml:space="preserve"> sin reservas el Convenio Colectivo de Trabajo (CCT) del personal académico universitario y preuniversitario. Las regulaciones acordadas interrumpen ciertas tradiciones en materia de regulación del trabajo académico: los órganos de cogobierno universitario como ámbito de decisión, la predominancia normativa de los Estatutos universitarios, la potestad de definir descentralizadamente la relación laboral de los académicos, y la reversibilidad de las regulaciones laborales de acuerdo a la voluntad de los claustros. </w:t>
      </w:r>
      <w:r w:rsidDel="00000000" w:rsidR="00000000" w:rsidRPr="00000000">
        <w:rPr>
          <w:rFonts w:ascii="Times New Roman" w:cs="Times New Roman" w:eastAsia="Times New Roman" w:hAnsi="Times New Roman"/>
          <w:rtl w:val="0"/>
        </w:rPr>
        <w:t xml:space="preserve">Desde entonces, se consolida un plexo normativo resguardado por los principios del derecho colectivo del trabajo, con regulaciones de aplicación obligatoria para las universidades, con instrumentos regulatorios definidos centralizadamente, con un sistema de comisiones negociadoras generales y particulares responsables de la implementación y seguimiento de los acuerdos. En consecuencia, el sistema universitario -a excepción de la UBA- adopta un conjunto homogéneo de regulaciones sobre cuestiones como el ingreso, la permanencia, la formación y promoción del personal académico, que configuran el régimen de carrera docente vigente. </w:t>
      </w:r>
    </w:p>
    <w:p w:rsidR="00000000" w:rsidDel="00000000" w:rsidP="00000000" w:rsidRDefault="00000000" w:rsidRPr="00000000" w14:paraId="0000001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estrategia metodológica empleada consistió en el análisis secuencial del contenido de fuentes secundarias, y la comparación de los datos relevados más recientes sobre el universo de 48 universidades que unificaron su representación en el Consejo Interuniversitario Nacional al negociar el CCT. En ese sentido, primero se recopilaron las ordenanzas y reglamentos que regulan el trabajo docente en cada universidad. En segunda instancia, se buscaron sistemáticamente datos sobre designaciones interinas y contrataciones de académicos de cada caso. En tercer lugar, se analizó el contenido de todos los informes de evaluación externa publicados por la Comisión Nacional de Evaluación y Acreditación Universitaria (CONEAU) hasta el año 2024. Y por último, se relevaron sitios institucionales de universidades, sindicatos de base y confederaciones, recopilando actas particulares, informes técnicos y notas de prensa. En aquellos casos en que no fue posible obtener datos, se realizaron solicitudes puntuales de información en el marco de la Ley de Acceso a la Información Pública. </w:t>
      </w:r>
    </w:p>
    <w:p w:rsidR="00000000" w:rsidDel="00000000" w:rsidP="00000000" w:rsidRDefault="00000000" w:rsidRPr="00000000" w14:paraId="0000001A">
      <w:pPr>
        <w:spacing w:line="240" w:lineRule="auto"/>
        <w:rPr>
          <w:rFonts w:ascii="Times New Roman" w:cs="Times New Roman" w:eastAsia="Times New Roman" w:hAnsi="Times New Roman"/>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1B">
      <w:pPr>
        <w:numPr>
          <w:ilvl w:val="0"/>
          <w:numId w:val="3"/>
        </w:numPr>
        <w:spacing w:before="240" w:line="240" w:lineRule="auto"/>
        <w:ind w:left="720" w:hanging="360"/>
        <w:rPr>
          <w:rFonts w:ascii="Times New Roman" w:cs="Times New Roman" w:eastAsia="Times New Roman" w:hAnsi="Times New Roman"/>
          <w:b w:val="1"/>
          <w:bCs w:val="1"/>
          <w:u w:val="none"/>
        </w:rPr>
      </w:pPr>
      <w:r w:rsidDel="00000000" w:rsidR="00000000" w:rsidRPr="00000000">
        <w:rPr>
          <w:rFonts w:ascii="Times New Roman" w:cs="Times New Roman" w:eastAsia="Times New Roman" w:hAnsi="Times New Roman"/>
          <w:b w:val="1"/>
          <w:bCs w:val="1"/>
          <w:rtl w:val="0"/>
        </w:rPr>
        <w:t xml:space="preserve">La carrera docente en el sistema universitario argentino, un balance necesario </w:t>
      </w:r>
      <w:r w:rsidDel="00000000" w:rsidR="00000000" w:rsidRPr="00000000">
        <w:rPr>
          <w:rtl w:val="0"/>
        </w:rPr>
      </w:r>
    </w:p>
    <w:p w:rsidR="00000000" w:rsidDel="00000000" w:rsidP="00000000" w:rsidRDefault="00000000" w:rsidRPr="00000000" w14:paraId="0000001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función de los cambios históricos en la regulación del trabajo académico mencionados anteriormente, en esta sección realizamos un balance de la carrera docente en el sistema universitario argentino en relación a las siguientes cuestiones:</w:t>
      </w:r>
    </w:p>
    <w:p w:rsidR="00000000" w:rsidDel="00000000" w:rsidP="00000000" w:rsidRDefault="00000000" w:rsidRPr="00000000" w14:paraId="0000001D">
      <w:pPr>
        <w:numPr>
          <w:ilvl w:val="0"/>
          <w:numId w:val="2"/>
        </w:numPr>
        <w:spacing w:after="0" w:before="240"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ingreso del personal: De acuerdo a la normativa vigente es mediante la competencia abierta y pública de aspirantes en un concurso de oposición y antecedentes integrado por jurados pares. Solo excepcionalmente se puede designar interinamente -sin concurso- a un docente cuando sea imprescindible y mientras se sustancia el correspondiente concurso. Al menos el 70% de los docentes de cada universidad debe ser designado por concurso.</w:t>
      </w:r>
    </w:p>
    <w:p w:rsidR="00000000" w:rsidDel="00000000" w:rsidP="00000000" w:rsidRDefault="00000000" w:rsidRPr="00000000" w14:paraId="0000001E">
      <w:pPr>
        <w:numPr>
          <w:ilvl w:val="0"/>
          <w:numId w:val="2"/>
        </w:numPr>
        <w:spacing w:after="0"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permanencia en el cargo: Según el CCT depende de la idoneidad del personal, la cual es determinada mediante evaluaciones individuales realizadas por pares con una periodicidad mínima de cuatro años. El personal tiene la garantía de permanecer en el cargo, salvo que se produzcan al menos dos evaluaciones negativas, y tiene el derecho de solicitar la designación de veedores gremiales para observar el proceso de evaluación.</w:t>
      </w:r>
    </w:p>
    <w:p w:rsidR="00000000" w:rsidDel="00000000" w:rsidP="00000000" w:rsidRDefault="00000000" w:rsidRPr="00000000" w14:paraId="0000001F">
      <w:pPr>
        <w:numPr>
          <w:ilvl w:val="0"/>
          <w:numId w:val="2"/>
        </w:numPr>
        <w:spacing w:after="0"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promoción a categorías superiores: Según el CCT es mediante concursos abiertos de antecedentes y oposición, salvo para promocionar a la categoría de Jefe de Trabajos Prácticos en cuyo caso el concurso es cerrado a los docentes auxiliares. A su vez, la normativa vigente dispone que la cobertura de vacantes debe realizarse mediante la promoción transitoria de docentes de categoría inmediata inferior designados como suplentes hasta tanto se sustancie el respectivo concurso. </w:t>
      </w:r>
    </w:p>
    <w:p w:rsidR="00000000" w:rsidDel="00000000" w:rsidP="00000000" w:rsidRDefault="00000000" w:rsidRPr="00000000" w14:paraId="00000020">
      <w:pPr>
        <w:spacing w:after="0" w:line="240" w:lineRule="auto"/>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1">
      <w:pPr>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 primer aspecto transversal a resaltar es que la implementación de las regulaciones descritas es de carácter obligatorio para las universidades del sistema y sin reservas, a excepción de la UBA que fue la única universidad que no suscribió el régimen de permanencia descrito. En efecto, como se detalla en las secciones subsiguientes, el resto de las universidades se comprometieron a reglamentar la aplicación efectiva de la carrera docente acordada en el CCT. En dicho proceso intervinieron distintas comisiones negociadoras de orden general y particular, inclusive se creó la Comisión de Seguimiento e Interpretación del CCT con atribuciones para interpretar su contenido, resolver diferencias entre autoridades universitarias y representantes sindicales y, en caso de incumplimiento, instar a su cumplimiento o informar a la autoridad administrativa del trabajo. Desde su constitución en 2015 y hasta el 2016 dicha comisión operó como instancia de alzada para dirimir conflictos no resueltos a nivel particular. Se arbitró la conformación de las comisiones particulares de la UTN y de la UNCo, el régimen de permanencia de la UNC, la regularización de interinos en la UNT y en la UNCAus, la aplicación del mecanismo de cobertura de vacantes en la UNSJ, y distintos conflictos políticos en la UNF y en la UNLR. Paralelamente, el plexo normativo se consolidó mediante la vía judicial, en todos los fallos relevados -UNCAus, UNLaM, UNNE, UNSJ y UNR- la autoridad judicial privilegió la aplicación de la normativa nacional por sobre los estatutos y normas particulares de las universidades. A continuación se desarrolla un análisis pormenorizado.</w:t>
      </w:r>
    </w:p>
    <w:p w:rsidR="00000000" w:rsidDel="00000000" w:rsidP="00000000" w:rsidRDefault="00000000" w:rsidRPr="00000000" w14:paraId="00000022">
      <w:pPr>
        <w:spacing w:before="240" w:line="24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2.1 Sobre el ingreso a la profesión académica</w:t>
      </w:r>
      <w:r w:rsidDel="00000000" w:rsidR="00000000" w:rsidRPr="00000000">
        <w:rPr>
          <w:rtl w:val="0"/>
        </w:rPr>
      </w:r>
    </w:p>
    <w:p w:rsidR="00000000" w:rsidDel="00000000" w:rsidP="00000000" w:rsidRDefault="00000000" w:rsidRPr="00000000" w14:paraId="00000023">
      <w:pPr>
        <w:spacing w:before="240" w:line="240" w:lineRule="auto"/>
        <w:ind w:right="16.062992125985716"/>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análisis se basó en la comparación de la información disponible más actualizada sobre la situación de docentes interinos, contratados y concursados en cada universidad. En función de lo anterior, se creó un indicador para clasificar a las universidades según la proporción de docentes designados por concurso. La primera clasificación agrupó a las universidades que cumplen con el umbral establecido en la legislación nacional. Luego se formularon dos agrupamientos, uno con los casos que no alcanzan dicho umbral pero que tienen al menos la mitad de su planta docente designada por concurso, y otro con aquellos casos que informan tener menos de la mitad de cargos concursados. Por último, se creó un cuarto agrupamiento para clasificar a los casos en que no fue posible obtener información. </w:t>
      </w:r>
    </w:p>
    <w:p w:rsidR="00000000" w:rsidDel="00000000" w:rsidP="00000000" w:rsidRDefault="00000000" w:rsidRPr="00000000" w14:paraId="00000024">
      <w:pPr>
        <w:spacing w:after="100" w:line="240" w:lineRule="auto"/>
        <w:jc w:val="center"/>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Tabla 1. Tipología de situaciones según la proporción de docentes designados por concurso en cada universidad</w:t>
      </w:r>
    </w:p>
    <w:tbl>
      <w:tblPr>
        <w:tblStyle w:val="Table1"/>
        <w:tblW w:w="844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755"/>
        <w:gridCol w:w="1110"/>
        <w:gridCol w:w="1275"/>
        <w:gridCol w:w="1305"/>
        <w:tblGridChange w:id="0">
          <w:tblGrid>
            <w:gridCol w:w="4755"/>
            <w:gridCol w:w="1110"/>
            <w:gridCol w:w="1275"/>
            <w:gridCol w:w="1305"/>
          </w:tblGrid>
        </w:tblGridChange>
      </w:tblGrid>
      <w:tr>
        <w:trPr>
          <w:cantSplit w:val="0"/>
          <w:trHeight w:val="320" w:hRule="atLeast"/>
          <w:tblHeader w:val="0"/>
        </w:trPr>
        <w:tc>
          <w:tcPr>
            <w:vMerge w:val="restart"/>
            <w:tcBorders>
              <w:top w:color="000000" w:space="0" w:sz="4" w:val="single"/>
              <w:left w:color="000000" w:space="0" w:sz="4" w:val="single"/>
              <w:bottom w:color="000000" w:space="0" w:sz="4" w:val="single"/>
              <w:right w:color="000000" w:space="0" w:sz="4" w:val="single"/>
            </w:tcBorders>
            <w:shd w:fill="d9d9d9" w:val="clear"/>
            <w:tcMar>
              <w:top w:w="40.0" w:type="dxa"/>
              <w:left w:w="40.0" w:type="dxa"/>
              <w:bottom w:w="40.0" w:type="dxa"/>
              <w:right w:w="40.0" w:type="dxa"/>
            </w:tcMar>
            <w:vAlign w:val="center"/>
          </w:tcPr>
          <w:p w:rsidR="00000000" w:rsidDel="00000000" w:rsidP="00000000" w:rsidRDefault="00000000" w:rsidRPr="00000000" w14:paraId="00000025">
            <w:pPr>
              <w:spacing w:after="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Descripción del criterio de clasificación utilizado</w:t>
            </w:r>
          </w:p>
        </w:tc>
        <w:tc>
          <w:tcPr>
            <w:gridSpan w:val="2"/>
            <w:shd w:fill="d9d9d9" w:val="clear"/>
            <w:tcMar>
              <w:top w:w="60.0" w:type="dxa"/>
              <w:left w:w="80.0" w:type="dxa"/>
              <w:bottom w:w="60.0" w:type="dxa"/>
              <w:right w:w="80.0" w:type="dxa"/>
            </w:tcMar>
            <w:vAlign w:val="center"/>
          </w:tcPr>
          <w:p w:rsidR="00000000" w:rsidDel="00000000" w:rsidP="00000000" w:rsidRDefault="00000000" w:rsidRPr="00000000" w14:paraId="00000026">
            <w:pPr>
              <w:spacing w:after="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Sistema Universitario</w:t>
            </w:r>
          </w:p>
        </w:tc>
        <w:tc>
          <w:tcPr>
            <w:vMerge w:val="restart"/>
            <w:shd w:fill="d9d9d9" w:val="clear"/>
            <w:tcMar>
              <w:top w:w="60.0" w:type="dxa"/>
              <w:left w:w="80.0" w:type="dxa"/>
              <w:bottom w:w="60.0" w:type="dxa"/>
              <w:right w:w="80.0" w:type="dxa"/>
            </w:tcMar>
            <w:vAlign w:val="center"/>
          </w:tcPr>
          <w:p w:rsidR="00000000" w:rsidDel="00000000" w:rsidP="00000000" w:rsidRDefault="00000000" w:rsidRPr="00000000" w14:paraId="00000028">
            <w:pPr>
              <w:spacing w:after="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Situación</w:t>
            </w:r>
          </w:p>
        </w:tc>
      </w:tr>
      <w:tr>
        <w:trPr>
          <w:cantSplit w:val="0"/>
          <w:trHeight w:val="320" w:hRule="atLeast"/>
          <w:tblHeader w:val="0"/>
        </w:trPr>
        <w:tc>
          <w:tcPr>
            <w:vMerge w:val="continue"/>
            <w:tcBorders>
              <w:top w:color="000000" w:space="0" w:sz="4" w:val="single"/>
              <w:left w:color="000000" w:space="0" w:sz="4" w:val="single"/>
              <w:bottom w:color="000000" w:space="0" w:sz="4" w:val="single"/>
              <w:right w:color="000000" w:space="0" w:sz="4" w:val="single"/>
            </w:tcBorders>
            <w:shd w:fill="d9d9d9" w:val="clear"/>
            <w:tcMar>
              <w:top w:w="40.0" w:type="dxa"/>
              <w:left w:w="40.0" w:type="dxa"/>
              <w:bottom w:w="40.0" w:type="dxa"/>
              <w:right w:w="40.0" w:type="dxa"/>
            </w:tcMar>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0"/>
                <w:szCs w:val="20"/>
              </w:rPr>
            </w:pPr>
            <w:r w:rsidDel="00000000" w:rsidR="00000000" w:rsidRPr="00000000">
              <w:rPr>
                <w:rtl w:val="0"/>
              </w:rPr>
            </w:r>
          </w:p>
        </w:tc>
        <w:tc>
          <w:tcPr>
            <w:shd w:fill="d9d9d9" w:val="clear"/>
            <w:tcMar>
              <w:top w:w="60.0" w:type="dxa"/>
              <w:left w:w="80.0" w:type="dxa"/>
              <w:bottom w:w="60.0" w:type="dxa"/>
              <w:right w:w="80.0" w:type="dxa"/>
            </w:tcMar>
            <w:vAlign w:val="center"/>
          </w:tcPr>
          <w:p w:rsidR="00000000" w:rsidDel="00000000" w:rsidP="00000000" w:rsidRDefault="00000000" w:rsidRPr="00000000" w14:paraId="0000002A">
            <w:pPr>
              <w:spacing w:after="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Cant. U.N.</w:t>
            </w:r>
          </w:p>
        </w:tc>
        <w:tc>
          <w:tcPr>
            <w:shd w:fill="d9d9d9" w:val="clear"/>
            <w:tcMar>
              <w:top w:w="60.0" w:type="dxa"/>
              <w:left w:w="80.0" w:type="dxa"/>
              <w:bottom w:w="60.0" w:type="dxa"/>
              <w:right w:w="80.0" w:type="dxa"/>
            </w:tcMar>
            <w:vAlign w:val="center"/>
          </w:tcPr>
          <w:p w:rsidR="00000000" w:rsidDel="00000000" w:rsidP="00000000" w:rsidRDefault="00000000" w:rsidRPr="00000000" w14:paraId="0000002B">
            <w:pPr>
              <w:spacing w:after="0" w:before="0" w:line="240" w:lineRule="auto"/>
              <w:ind w:left="0" w:firstLine="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 U.N.</w:t>
            </w:r>
          </w:p>
        </w:tc>
        <w:tc>
          <w:tcPr>
            <w:vMerge w:val="continue"/>
            <w:shd w:fill="d9d9d9" w:val="clear"/>
            <w:tcMar>
              <w:top w:w="60.0" w:type="dxa"/>
              <w:left w:w="80.0" w:type="dxa"/>
              <w:bottom w:w="60.0" w:type="dxa"/>
              <w:right w:w="80.0" w:type="dxa"/>
            </w:tcMar>
            <w:vAlign w:val="cente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0"/>
                <w:szCs w:val="20"/>
              </w:rPr>
            </w:pPr>
            <w:r w:rsidDel="00000000" w:rsidR="00000000" w:rsidRPr="00000000">
              <w:rPr>
                <w:rtl w:val="0"/>
              </w:rPr>
            </w:r>
          </w:p>
        </w:tc>
      </w:tr>
      <w:tr>
        <w:trPr>
          <w:cantSplit w:val="0"/>
          <w:tblHeader w:val="0"/>
        </w:trPr>
        <w:tc>
          <w:tcPr>
            <w:tcMar>
              <w:top w:w="60.0" w:type="dxa"/>
              <w:left w:w="80.0" w:type="dxa"/>
              <w:bottom w:w="60.0" w:type="dxa"/>
              <w:right w:w="80.0" w:type="dxa"/>
            </w:tcMar>
            <w:vAlign w:val="center"/>
          </w:tcPr>
          <w:p w:rsidR="00000000" w:rsidDel="00000000" w:rsidP="00000000" w:rsidRDefault="00000000" w:rsidRPr="00000000" w14:paraId="0000002D">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La proporción de docentes concursados respecto del total de la planta docente iguala o supera el umbral del 70%</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02E">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w:t>
            </w:r>
          </w:p>
        </w:tc>
        <w:tc>
          <w:tcPr>
            <w:tcBorders>
              <w:top w:color="000000" w:space="0" w:sz="4" w:val="single"/>
              <w:left w:color="000000" w:space="0" w:sz="0" w:val="nil"/>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02F">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w:t>
            </w:r>
          </w:p>
        </w:tc>
        <w:tc>
          <w:tcPr>
            <w:shd w:fill="d9d9d9" w:val="clear"/>
            <w:tcMar>
              <w:top w:w="60.0" w:type="dxa"/>
              <w:left w:w="80.0" w:type="dxa"/>
              <w:bottom w:w="60.0" w:type="dxa"/>
              <w:right w:w="80.0" w:type="dxa"/>
            </w:tcMar>
            <w:vAlign w:val="center"/>
          </w:tcPr>
          <w:p w:rsidR="00000000" w:rsidDel="00000000" w:rsidP="00000000" w:rsidRDefault="00000000" w:rsidRPr="00000000" w14:paraId="00000030">
            <w:pPr>
              <w:spacing w:after="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Ideal</w:t>
            </w:r>
          </w:p>
        </w:tc>
      </w:tr>
      <w:tr>
        <w:trPr>
          <w:cantSplit w:val="0"/>
          <w:tblHeader w:val="0"/>
        </w:trPr>
        <w:tc>
          <w:tcPr>
            <w:tcMar>
              <w:top w:w="60.0" w:type="dxa"/>
              <w:left w:w="80.0" w:type="dxa"/>
              <w:bottom w:w="60.0" w:type="dxa"/>
              <w:right w:w="80.0" w:type="dxa"/>
            </w:tcMar>
            <w:vAlign w:val="center"/>
          </w:tcPr>
          <w:p w:rsidR="00000000" w:rsidDel="00000000" w:rsidP="00000000" w:rsidRDefault="00000000" w:rsidRPr="00000000" w14:paraId="00000031">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La proporción de docentes concursados respecto del total de la planta docente es igual al 50% e inferior al 70%</w:t>
            </w:r>
          </w:p>
        </w:tc>
        <w:tc>
          <w:tcPr>
            <w:tcBorders>
              <w:top w:color="000000" w:space="0" w:sz="0" w:val="nil"/>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032">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w:t>
            </w:r>
          </w:p>
        </w:tc>
        <w:tc>
          <w:tcPr>
            <w:tcBorders>
              <w:top w:color="000000" w:space="0" w:sz="0" w:val="nil"/>
              <w:left w:color="000000" w:space="0" w:sz="0" w:val="nil"/>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033">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17%</w:t>
            </w:r>
          </w:p>
        </w:tc>
        <w:tc>
          <w:tcPr>
            <w:shd w:fill="d9d9d9" w:val="clear"/>
            <w:tcMar>
              <w:top w:w="60.0" w:type="dxa"/>
              <w:left w:w="80.0" w:type="dxa"/>
              <w:bottom w:w="60.0" w:type="dxa"/>
              <w:right w:w="80.0" w:type="dxa"/>
            </w:tcMar>
            <w:vAlign w:val="center"/>
          </w:tcPr>
          <w:p w:rsidR="00000000" w:rsidDel="00000000" w:rsidP="00000000" w:rsidRDefault="00000000" w:rsidRPr="00000000" w14:paraId="00000034">
            <w:pPr>
              <w:spacing w:after="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Favorable</w:t>
            </w:r>
          </w:p>
        </w:tc>
      </w:tr>
      <w:tr>
        <w:trPr>
          <w:cantSplit w:val="0"/>
          <w:tblHeader w:val="0"/>
        </w:trPr>
        <w:tc>
          <w:tcPr>
            <w:tcMar>
              <w:top w:w="60.0" w:type="dxa"/>
              <w:left w:w="80.0" w:type="dxa"/>
              <w:bottom w:w="60.0" w:type="dxa"/>
              <w:right w:w="80.0" w:type="dxa"/>
            </w:tcMar>
            <w:vAlign w:val="center"/>
          </w:tcPr>
          <w:p w:rsidR="00000000" w:rsidDel="00000000" w:rsidP="00000000" w:rsidRDefault="00000000" w:rsidRPr="00000000" w14:paraId="00000035">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La proporción de docentes concursados respecto del total de la planta docente es inferior al 50%</w:t>
            </w:r>
          </w:p>
        </w:tc>
        <w:tc>
          <w:tcPr>
            <w:tcBorders>
              <w:top w:color="000000" w:space="0" w:sz="0" w:val="nil"/>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036">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17</w:t>
            </w:r>
          </w:p>
        </w:tc>
        <w:tc>
          <w:tcPr>
            <w:tcBorders>
              <w:top w:color="000000" w:space="0" w:sz="0" w:val="nil"/>
              <w:left w:color="000000" w:space="0" w:sz="0" w:val="nil"/>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037">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35%</w:t>
            </w:r>
          </w:p>
        </w:tc>
        <w:tc>
          <w:tcPr>
            <w:shd w:fill="d9d9d9" w:val="clear"/>
            <w:tcMar>
              <w:top w:w="60.0" w:type="dxa"/>
              <w:left w:w="80.0" w:type="dxa"/>
              <w:bottom w:w="60.0" w:type="dxa"/>
              <w:right w:w="80.0" w:type="dxa"/>
            </w:tcMar>
            <w:vAlign w:val="center"/>
          </w:tcPr>
          <w:p w:rsidR="00000000" w:rsidDel="00000000" w:rsidP="00000000" w:rsidRDefault="00000000" w:rsidRPr="00000000" w14:paraId="00000038">
            <w:pPr>
              <w:spacing w:after="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Irregular</w:t>
            </w:r>
          </w:p>
        </w:tc>
      </w:tr>
      <w:tr>
        <w:trPr>
          <w:cantSplit w:val="0"/>
          <w:tblHeader w:val="0"/>
        </w:trPr>
        <w:tc>
          <w:tcPr>
            <w:tcMar>
              <w:top w:w="60.0" w:type="dxa"/>
              <w:left w:w="80.0" w:type="dxa"/>
              <w:bottom w:w="60.0" w:type="dxa"/>
              <w:right w:w="80.0" w:type="dxa"/>
            </w:tcMar>
            <w:vAlign w:val="center"/>
          </w:tcPr>
          <w:p w:rsidR="00000000" w:rsidDel="00000000" w:rsidP="00000000" w:rsidRDefault="00000000" w:rsidRPr="00000000" w14:paraId="00000039">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No fue posible obtener información sobre la variable analizada a la fecha de diciembre del año 2024</w:t>
            </w:r>
          </w:p>
        </w:tc>
        <w:tc>
          <w:tcPr>
            <w:tcBorders>
              <w:top w:color="000000" w:space="0" w:sz="0" w:val="nil"/>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03A">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21</w:t>
            </w:r>
          </w:p>
        </w:tc>
        <w:tc>
          <w:tcPr>
            <w:tcBorders>
              <w:top w:color="000000" w:space="0" w:sz="0" w:val="nil"/>
              <w:left w:color="000000" w:space="0" w:sz="0" w:val="nil"/>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03B">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44%</w:t>
            </w:r>
          </w:p>
        </w:tc>
        <w:tc>
          <w:tcPr>
            <w:shd w:fill="d9d9d9" w:val="clear"/>
            <w:tcMar>
              <w:top w:w="60.0" w:type="dxa"/>
              <w:left w:w="80.0" w:type="dxa"/>
              <w:bottom w:w="60.0" w:type="dxa"/>
              <w:right w:w="80.0" w:type="dxa"/>
            </w:tcMar>
            <w:vAlign w:val="center"/>
          </w:tcPr>
          <w:p w:rsidR="00000000" w:rsidDel="00000000" w:rsidP="00000000" w:rsidRDefault="00000000" w:rsidRPr="00000000" w14:paraId="0000003C">
            <w:pPr>
              <w:spacing w:after="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Opaca</w:t>
            </w:r>
          </w:p>
        </w:tc>
      </w:tr>
    </w:tbl>
    <w:p w:rsidR="00000000" w:rsidDel="00000000" w:rsidP="00000000" w:rsidRDefault="00000000" w:rsidRPr="00000000" w14:paraId="0000003D">
      <w:pPr>
        <w:spacing w:after="240" w:before="240" w:line="240" w:lineRule="auto"/>
        <w:jc w:val="center"/>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Fuente: elaboración propia en base a informes de CONEAU publicados hasta el año 2024</w:t>
      </w:r>
    </w:p>
    <w:p w:rsidR="00000000" w:rsidDel="00000000" w:rsidP="00000000" w:rsidRDefault="00000000" w:rsidRPr="00000000" w14:paraId="0000003E">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Según las fuentes relevadas sólo la UNS y la UNNE presentan una situación ideal en relación al ingreso a la carrera docente. En ambos casos la aplicación del CCT implicó mejoras en los niveles de regularización de cargos interinos; no obstante, la alta proporción de docentes concursados en la UNS se relaciona también con la vigencia de un régimen particular instrumentado previamente. A su vez, se observan ocho universidades en una situación favorable, es decir, con la mayoría de su personal académico designado por concurso: la UNCo y la UNVM con un -67% de regulares-, la UNPA -con un 60%-, la UNSE -con un 58%-, la UNM -con un 56%-, UNC -con un 55%-, la UNMDP -con un 54%- y la UNR -con un 50%-. En todos los casos la aplicación del CCT se relaciona directamente con las mejoras en estos indicadores, salvo por la UNSE que ya se encontraba en esta situación antes de su suscripción. Por otra parte, se relevaron 17 universidades en situación irregular debido a que cuentan con menos de la mitad de su planta docente designada por concurso. En varios casos, una proporción significativa del personal reviste la categoría de contratados; dicha figura no se encuentra regulada y opera como una vía de designación paralela que escapa por completo al binomio ordinario/interino presente en la legislación. Algunos ejemplos son: la UNAJ que cuenta con el 63% de sus cargos docentes contratados, la UNLa y la UNMo tienen una proporción que alcanza al 41% de sus nombramientos, y la UNSAM que tiene un 17% de contratados. Finalmente, el 44% del sistema -21 casos- evidencian una situación opaca, es decir, son universidades que no informan públicamente la modalidad de contratación de su personal, y que al momento de ser consultadas no aportaron datos.</w:t>
      </w:r>
    </w:p>
    <w:p w:rsidR="00000000" w:rsidDel="00000000" w:rsidP="00000000" w:rsidRDefault="00000000" w:rsidRPr="00000000" w14:paraId="0000003F">
      <w:pPr>
        <w:spacing w:before="240" w:line="240" w:lineRule="auto"/>
        <w:ind w:right="16.062992125985716"/>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su vez, se obtuvieron otros hallazgos durante la investigación que contribuyen al balance sobre las condiciones de ingreso a la profesión académica. En 32 universidades se reglamentó el artículo 73 del CCT, disposición transitoria del convenio cuyo propósito fue dar una solución a la problemática de los docentes interinos con más de cinco años de antigüedad. Los mecanismos implementados para resolver esta cuestión fueron singulares -pase administrativo directo, evaluación de trayectoria, concurso cerrado a la persona, entrevistas de reválida-, fueron de aplicación escalonada según la antigüedad del personal -casos de la UNICEN, UNSL y UNS-, y en dos casos -UNSJ y UTN- los plazos de corte propios de una cláusula transitoria se prorrogaron en el tiempo. En 22 casos fue posible acceder a información y cuantificar los cargos efectivamente regularizados como consecuencia de la aplicación de la norma mencionada. Hasta el año 2024 contabilizamos 19.722 cargos interinos -universitarios y preuniversitarios- ingresados al régimen de carrera docente vigente. </w:t>
      </w:r>
    </w:p>
    <w:p w:rsidR="00000000" w:rsidDel="00000000" w:rsidP="00000000" w:rsidRDefault="00000000" w:rsidRPr="00000000" w14:paraId="00000040">
      <w:pPr>
        <w:spacing w:before="24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1">
      <w:pPr>
        <w:spacing w:before="240" w:line="240" w:lineRule="auto"/>
        <w:ind w:firstLine="72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2.2 Sobre la permanencia en la profesión académica</w:t>
      </w:r>
    </w:p>
    <w:p w:rsidR="00000000" w:rsidDel="00000000" w:rsidP="00000000" w:rsidRDefault="00000000" w:rsidRPr="00000000" w14:paraId="00000042">
      <w:pPr>
        <w:spacing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análisis se basó en el contenido de las reglamentaciones de cada universidad sobre las condiciones de permanencia de su personal docente. En función de lo anterior, se creó un índice para clasificar a las universidades según el alineamiento de su normativa con dos disposiciones clave contenidas en el artículo 12 del CCT. En el primer agrupamiento se incluyó a las universidades cuya normativa se alinea con lo establecido en el artículo 12 del CCT. La segunda clasificación agrupó a los casos alineados parcialmente con dicho artículo. En tercer lugar, se agruparon las universidades cuya normativa conserva el sistema de concurso periódico ya definido. Por último, se clasificaron los casos que presentan un régimen que combina concursos abiertos y evaluaciones individuales en su régimen de permanencia. </w:t>
      </w:r>
    </w:p>
    <w:p w:rsidR="00000000" w:rsidDel="00000000" w:rsidP="00000000" w:rsidRDefault="00000000" w:rsidRPr="00000000" w14:paraId="00000043">
      <w:pPr>
        <w:spacing w:after="100" w:line="240" w:lineRule="auto"/>
        <w:jc w:val="center"/>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Tabla 2. Tipología de situaciones según las características del régimen de permanencia implementado en cada universidad</w:t>
      </w:r>
    </w:p>
    <w:tbl>
      <w:tblPr>
        <w:tblStyle w:val="Table2"/>
        <w:tblW w:w="84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350"/>
        <w:gridCol w:w="1185"/>
        <w:gridCol w:w="1200"/>
        <w:gridCol w:w="1725"/>
        <w:tblGridChange w:id="0">
          <w:tblGrid>
            <w:gridCol w:w="4350"/>
            <w:gridCol w:w="1185"/>
            <w:gridCol w:w="1200"/>
            <w:gridCol w:w="1725"/>
          </w:tblGrid>
        </w:tblGridChange>
      </w:tblGrid>
      <w:tr>
        <w:trPr>
          <w:cantSplit w:val="0"/>
          <w:trHeight w:val="375" w:hRule="atLeast"/>
          <w:tblHeader w:val="0"/>
        </w:trPr>
        <w:tc>
          <w:tcPr>
            <w:vMerge w:val="restart"/>
            <w:tcBorders>
              <w:top w:color="000000" w:space="0" w:sz="4" w:val="single"/>
              <w:left w:color="000000" w:space="0" w:sz="4" w:val="single"/>
              <w:bottom w:color="000000" w:space="0" w:sz="4" w:val="single"/>
              <w:right w:color="000000" w:space="0" w:sz="4" w:val="single"/>
            </w:tcBorders>
            <w:shd w:fill="d9d9d9" w:val="clear"/>
            <w:tcMar>
              <w:top w:w="40.0" w:type="dxa"/>
              <w:left w:w="40.0" w:type="dxa"/>
              <w:bottom w:w="40.0" w:type="dxa"/>
              <w:right w:w="40.0" w:type="dxa"/>
            </w:tcMar>
            <w:vAlign w:val="center"/>
          </w:tcPr>
          <w:p w:rsidR="00000000" w:rsidDel="00000000" w:rsidP="00000000" w:rsidRDefault="00000000" w:rsidRPr="00000000" w14:paraId="00000044">
            <w:pPr>
              <w:spacing w:after="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Descripción del criterio de clasificación utilizado</w:t>
            </w:r>
          </w:p>
        </w:tc>
        <w:tc>
          <w:tcPr>
            <w:gridSpan w:val="2"/>
            <w:tcBorders>
              <w:top w:color="000000" w:space="0" w:sz="4" w:val="single"/>
              <w:bottom w:color="000000" w:space="0" w:sz="4" w:val="single"/>
            </w:tcBorders>
            <w:shd w:fill="d9d9d9" w:val="clear"/>
            <w:tcMar>
              <w:top w:w="60.0" w:type="dxa"/>
              <w:left w:w="80.0" w:type="dxa"/>
              <w:bottom w:w="60.0" w:type="dxa"/>
              <w:right w:w="80.0" w:type="dxa"/>
            </w:tcMar>
            <w:vAlign w:val="center"/>
          </w:tcPr>
          <w:p w:rsidR="00000000" w:rsidDel="00000000" w:rsidP="00000000" w:rsidRDefault="00000000" w:rsidRPr="00000000" w14:paraId="00000045">
            <w:pPr>
              <w:spacing w:after="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Sistema Universitario</w:t>
            </w:r>
          </w:p>
        </w:tc>
        <w:tc>
          <w:tcPr>
            <w:vMerge w:val="restart"/>
            <w:tcBorders>
              <w:top w:color="000000" w:space="0" w:sz="4" w:val="single"/>
              <w:left w:color="000000" w:space="0" w:sz="4" w:val="single"/>
              <w:bottom w:color="000000" w:space="0" w:sz="4" w:val="single"/>
              <w:right w:color="000000" w:space="0" w:sz="4" w:val="single"/>
            </w:tcBorders>
            <w:shd w:fill="d9d9d9" w:val="clear"/>
            <w:tcMar>
              <w:top w:w="40.0" w:type="dxa"/>
              <w:left w:w="40.0" w:type="dxa"/>
              <w:bottom w:w="40.0" w:type="dxa"/>
              <w:right w:w="40.0" w:type="dxa"/>
            </w:tcMar>
            <w:vAlign w:val="center"/>
          </w:tcPr>
          <w:p w:rsidR="00000000" w:rsidDel="00000000" w:rsidP="00000000" w:rsidRDefault="00000000" w:rsidRPr="00000000" w14:paraId="00000047">
            <w:pPr>
              <w:spacing w:after="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Situación</w:t>
            </w:r>
          </w:p>
        </w:tc>
      </w:tr>
      <w:tr>
        <w:trPr>
          <w:cantSplit w:val="0"/>
          <w:trHeight w:val="165" w:hRule="atLeast"/>
          <w:tblHeader w:val="0"/>
        </w:trPr>
        <w:tc>
          <w:tcPr>
            <w:vMerge w:val="continue"/>
            <w:tcBorders>
              <w:top w:color="000000" w:space="0" w:sz="4" w:val="single"/>
              <w:left w:color="000000" w:space="0" w:sz="4" w:val="single"/>
              <w:bottom w:color="000000" w:space="0" w:sz="4" w:val="single"/>
              <w:right w:color="000000" w:space="0" w:sz="4" w:val="single"/>
            </w:tcBorders>
            <w:shd w:fill="d9d9d9" w:val="clear"/>
            <w:tcMar>
              <w:top w:w="40.0" w:type="dxa"/>
              <w:left w:w="40.0" w:type="dxa"/>
              <w:bottom w:w="40.0" w:type="dxa"/>
              <w:right w:w="40.0" w:type="dxa"/>
            </w:tcMar>
            <w:vAlign w:val="center"/>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0"/>
                <w:szCs w:val="20"/>
              </w:rPr>
            </w:pPr>
            <w:r w:rsidDel="00000000" w:rsidR="00000000" w:rsidRPr="00000000">
              <w:rPr>
                <w:rtl w:val="0"/>
              </w:rPr>
            </w:r>
          </w:p>
        </w:tc>
        <w:tc>
          <w:tcPr>
            <w:tcBorders>
              <w:top w:color="000000" w:space="0" w:sz="4" w:val="single"/>
              <w:right w:color="000000" w:space="0" w:sz="4" w:val="single"/>
            </w:tcBorders>
            <w:shd w:fill="d9d9d9" w:val="clear"/>
            <w:tcMar>
              <w:top w:w="60.0" w:type="dxa"/>
              <w:left w:w="80.0" w:type="dxa"/>
              <w:bottom w:w="60.0" w:type="dxa"/>
              <w:right w:w="80.0" w:type="dxa"/>
            </w:tcMar>
            <w:vAlign w:val="center"/>
          </w:tcPr>
          <w:p w:rsidR="00000000" w:rsidDel="00000000" w:rsidP="00000000" w:rsidRDefault="00000000" w:rsidRPr="00000000" w14:paraId="00000049">
            <w:pPr>
              <w:spacing w:after="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Cant. U.N.</w:t>
            </w:r>
          </w:p>
        </w:tc>
        <w:tc>
          <w:tcPr>
            <w:tcBorders>
              <w:top w:color="000000" w:space="0" w:sz="4" w:val="single"/>
              <w:left w:color="000000" w:space="0" w:sz="4" w:val="single"/>
            </w:tcBorders>
            <w:shd w:fill="d9d9d9" w:val="clear"/>
            <w:tcMar>
              <w:top w:w="60.0" w:type="dxa"/>
              <w:left w:w="80.0" w:type="dxa"/>
              <w:bottom w:w="60.0" w:type="dxa"/>
              <w:right w:w="80.0" w:type="dxa"/>
            </w:tcMar>
            <w:vAlign w:val="center"/>
          </w:tcPr>
          <w:p w:rsidR="00000000" w:rsidDel="00000000" w:rsidP="00000000" w:rsidRDefault="00000000" w:rsidRPr="00000000" w14:paraId="0000004A">
            <w:pPr>
              <w:spacing w:after="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 U.N.</w:t>
            </w:r>
          </w:p>
        </w:tc>
        <w:tc>
          <w:tcPr>
            <w:vMerge w:val="continue"/>
            <w:tcBorders>
              <w:top w:color="000000" w:space="0" w:sz="4" w:val="single"/>
              <w:left w:color="000000" w:space="0" w:sz="4" w:val="single"/>
              <w:bottom w:color="000000" w:space="0" w:sz="4" w:val="single"/>
              <w:right w:color="000000" w:space="0" w:sz="4" w:val="single"/>
            </w:tcBorders>
            <w:shd w:fill="d9d9d9" w:val="clear"/>
            <w:tcMar>
              <w:top w:w="40.0" w:type="dxa"/>
              <w:left w:w="40.0" w:type="dxa"/>
              <w:bottom w:w="40.0" w:type="dxa"/>
              <w:right w:w="40.0" w:type="dxa"/>
            </w:tcMar>
            <w:vAlign w:val="center"/>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0"/>
                <w:szCs w:val="20"/>
              </w:rPr>
            </w:pPr>
            <w:r w:rsidDel="00000000" w:rsidR="00000000" w:rsidRPr="00000000">
              <w:rPr>
                <w:rtl w:val="0"/>
              </w:rPr>
            </w:r>
          </w:p>
        </w:tc>
      </w:tr>
      <w:tr>
        <w:trPr>
          <w:cantSplit w:val="0"/>
          <w:trHeight w:val="585" w:hRule="atLeast"/>
          <w:tblHeader w:val="0"/>
        </w:trPr>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04C">
            <w:pPr>
              <w:widowControl w:val="0"/>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La universidad condiciona la permanencia de su personal a evaluaciones individuales periódicas y prevé la garantía de doble evaluación.</w:t>
            </w:r>
          </w:p>
        </w:tc>
        <w:tc>
          <w:tcPr>
            <w:tcBorders>
              <w:top w:color="000000"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04D">
            <w:pPr>
              <w:widowControl w:val="0"/>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31</w:t>
            </w:r>
          </w:p>
        </w:tc>
        <w:tc>
          <w:tcPr>
            <w:tcBorders>
              <w:top w:color="000000"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04E">
            <w:pPr>
              <w:widowControl w:val="0"/>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65%</w:t>
            </w:r>
          </w:p>
        </w:tc>
        <w:tc>
          <w:tcPr>
            <w:tcBorders>
              <w:top w:color="000000" w:space="0" w:sz="4" w:val="single"/>
              <w:left w:color="000000" w:space="0" w:sz="4" w:val="single"/>
              <w:bottom w:color="000000" w:space="0" w:sz="4" w:val="single"/>
              <w:right w:color="000000" w:space="0" w:sz="4" w:val="single"/>
            </w:tcBorders>
            <w:shd w:fill="d9d9d9" w:val="clear"/>
            <w:tcMar>
              <w:top w:w="40.0" w:type="dxa"/>
              <w:left w:w="40.0" w:type="dxa"/>
              <w:bottom w:w="40.0" w:type="dxa"/>
              <w:right w:w="40.0" w:type="dxa"/>
            </w:tcMar>
            <w:vAlign w:val="center"/>
          </w:tcPr>
          <w:p w:rsidR="00000000" w:rsidDel="00000000" w:rsidP="00000000" w:rsidRDefault="00000000" w:rsidRPr="00000000" w14:paraId="0000004F">
            <w:pPr>
              <w:widowControl w:val="0"/>
              <w:spacing w:after="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Alineamiento pleno al CCT</w:t>
            </w:r>
          </w:p>
        </w:tc>
      </w:tr>
      <w:tr>
        <w:trPr>
          <w:cantSplit w:val="0"/>
          <w:trHeight w:val="58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050">
            <w:pPr>
              <w:widowControl w:val="0"/>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La universidad condiciona la permanencia de su personal a evaluaciones individuales periódicas</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051">
            <w:pPr>
              <w:widowControl w:val="0"/>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052">
            <w:pPr>
              <w:widowControl w:val="0"/>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21%</w:t>
            </w:r>
          </w:p>
        </w:tc>
        <w:tc>
          <w:tcPr>
            <w:tcBorders>
              <w:top w:color="cccccc" w:space="0" w:sz="4" w:val="single"/>
              <w:left w:color="000000" w:space="0" w:sz="4" w:val="single"/>
              <w:bottom w:color="000000" w:space="0" w:sz="4" w:val="single"/>
              <w:right w:color="000000" w:space="0" w:sz="4" w:val="single"/>
            </w:tcBorders>
            <w:shd w:fill="d9d9d9" w:val="clear"/>
            <w:tcMar>
              <w:top w:w="40.0" w:type="dxa"/>
              <w:left w:w="40.0" w:type="dxa"/>
              <w:bottom w:w="40.0" w:type="dxa"/>
              <w:right w:w="40.0" w:type="dxa"/>
            </w:tcMar>
            <w:vAlign w:val="center"/>
          </w:tcPr>
          <w:p w:rsidR="00000000" w:rsidDel="00000000" w:rsidP="00000000" w:rsidRDefault="00000000" w:rsidRPr="00000000" w14:paraId="00000053">
            <w:pPr>
              <w:widowControl w:val="0"/>
              <w:spacing w:after="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Alineamiento parcial al CCT</w:t>
            </w:r>
          </w:p>
        </w:tc>
      </w:tr>
      <w:tr>
        <w:trPr>
          <w:cantSplit w:val="0"/>
          <w:trHeight w:val="540"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05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La universidad condiciona la permanencia de su personal al resultado de concursos abiertos y periódicos</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055">
            <w:pPr>
              <w:widowControl w:val="0"/>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056">
            <w:pPr>
              <w:widowControl w:val="0"/>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w:t>
            </w:r>
          </w:p>
        </w:tc>
        <w:tc>
          <w:tcPr>
            <w:tcBorders>
              <w:top w:color="cccccc" w:space="0" w:sz="4" w:val="single"/>
              <w:left w:color="000000" w:space="0" w:sz="4" w:val="single"/>
              <w:bottom w:color="000000" w:space="0" w:sz="4" w:val="single"/>
              <w:right w:color="000000" w:space="0" w:sz="4" w:val="single"/>
            </w:tcBorders>
            <w:shd w:fill="d9d9d9" w:val="clear"/>
            <w:tcMar>
              <w:top w:w="40.0" w:type="dxa"/>
              <w:left w:w="40.0" w:type="dxa"/>
              <w:bottom w:w="40.0" w:type="dxa"/>
              <w:right w:w="40.0" w:type="dxa"/>
            </w:tcMar>
            <w:vAlign w:val="center"/>
          </w:tcPr>
          <w:p w:rsidR="00000000" w:rsidDel="00000000" w:rsidP="00000000" w:rsidRDefault="00000000" w:rsidRPr="00000000" w14:paraId="00000057">
            <w:pPr>
              <w:widowControl w:val="0"/>
              <w:spacing w:after="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Sistema de concurso periódico</w:t>
            </w:r>
          </w:p>
        </w:tc>
      </w:tr>
      <w:tr>
        <w:trPr>
          <w:cantSplit w:val="0"/>
          <w:trHeight w:val="52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05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La universidad implementa un sistema que condiciona la permanencia a concursos abiertos y evaluaciones individuales</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059">
            <w:pPr>
              <w:widowControl w:val="0"/>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05A">
            <w:pPr>
              <w:widowControl w:val="0"/>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w:t>
            </w:r>
          </w:p>
        </w:tc>
        <w:tc>
          <w:tcPr>
            <w:tcBorders>
              <w:top w:color="cccccc" w:space="0" w:sz="4" w:val="single"/>
              <w:left w:color="000000" w:space="0" w:sz="4" w:val="single"/>
              <w:bottom w:color="000000" w:space="0" w:sz="4" w:val="single"/>
              <w:right w:color="000000" w:space="0" w:sz="4" w:val="single"/>
            </w:tcBorders>
            <w:shd w:fill="d9d9d9" w:val="clear"/>
            <w:tcMar>
              <w:top w:w="40.0" w:type="dxa"/>
              <w:left w:w="40.0" w:type="dxa"/>
              <w:bottom w:w="40.0" w:type="dxa"/>
              <w:right w:w="40.0" w:type="dxa"/>
            </w:tcMar>
            <w:vAlign w:val="center"/>
          </w:tcPr>
          <w:p w:rsidR="00000000" w:rsidDel="00000000" w:rsidP="00000000" w:rsidRDefault="00000000" w:rsidRPr="00000000" w14:paraId="0000005B">
            <w:pPr>
              <w:widowControl w:val="0"/>
              <w:spacing w:after="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Sistemas mixtos</w:t>
            </w:r>
          </w:p>
        </w:tc>
      </w:tr>
    </w:tbl>
    <w:p w:rsidR="00000000" w:rsidDel="00000000" w:rsidP="00000000" w:rsidRDefault="00000000" w:rsidRPr="00000000" w14:paraId="0000005C">
      <w:pPr>
        <w:spacing w:after="240" w:before="240" w:line="240" w:lineRule="auto"/>
        <w:jc w:val="center"/>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Fuente: elaboración propia en base a datos relevados hasta el año 2024</w:t>
      </w:r>
    </w:p>
    <w:p w:rsidR="00000000" w:rsidDel="00000000" w:rsidP="00000000" w:rsidRDefault="00000000" w:rsidRPr="00000000" w14:paraId="0000005D">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Según las fuentes relevadas, el 65% de las universidades del sistema cuenta  con normativa particular alineada con el artículo 12 del CCT. En consecuencia, la mayoría de los casos condicionan la permanencia de su personal académico a evaluaciones individuales, a realizar con una frecuencia mínima de cuatro años, y con garantía de al menos dos evaluaciones negativas antes del llamado a concurso del cargo correspondiente al docente evaluado. Dentro de este grupo se destaca el caso de la UNMDP que cuenta con un régimen de estas características desde el año 1993. Por otra parte, diez casos presentan un alineamiento parcial debido a que detentan regímenes de permanencia basados en evaluaciones individuales de idoneidad; sin embargo, no prevén la garantía de una segunda evaluación. Dicha clasificación corresponde a casos como la UNAJ, UNCAus, UNC, UNNE, UNSE, UNSAM, y UNS. Por otra parte, cinco casos conservan el sistema de concurso periódico para determinar la permanencia del personal. El caso </w:t>
      </w:r>
      <w:r w:rsidDel="00000000" w:rsidR="00000000" w:rsidRPr="00000000">
        <w:rPr>
          <w:rFonts w:ascii="Times New Roman" w:cs="Times New Roman" w:eastAsia="Times New Roman" w:hAnsi="Times New Roman"/>
          <w:rtl w:val="0"/>
        </w:rPr>
        <w:t xml:space="preserve">mas</w:t>
      </w:r>
      <w:r w:rsidDel="00000000" w:rsidR="00000000" w:rsidRPr="00000000">
        <w:rPr>
          <w:rFonts w:ascii="Times New Roman" w:cs="Times New Roman" w:eastAsia="Times New Roman" w:hAnsi="Times New Roman"/>
          <w:rtl w:val="0"/>
        </w:rPr>
        <w:t xml:space="preserve"> saliente de este agrupamiento es la UBA, universidad que nuclea aproximadamente el 17% de los docentes del sistema. Al igual que la UBA, la UNChi, la UNF, la UNLZ y la UNNOBA nombran a su personal por un periodo determinado, prorrogable por única vez, y al último año de su nombramiento deben concursar para permanecer en el cargo. En tres de los casos antes mencionados, existe la figura del titular plenario, única categoría docente que tiene garantía de exclusividad y estabilidad -análogo al </w:t>
      </w:r>
      <w:r w:rsidDel="00000000" w:rsidR="00000000" w:rsidRPr="00000000">
        <w:rPr>
          <w:rFonts w:ascii="Times New Roman" w:cs="Times New Roman" w:eastAsia="Times New Roman" w:hAnsi="Times New Roman"/>
          <w:i w:val="1"/>
          <w:iCs w:val="1"/>
          <w:rtl w:val="0"/>
        </w:rPr>
        <w:t xml:space="preserve">tenure track- </w:t>
      </w:r>
      <w:r w:rsidDel="00000000" w:rsidR="00000000" w:rsidRPr="00000000">
        <w:rPr>
          <w:rFonts w:ascii="Times New Roman" w:cs="Times New Roman" w:eastAsia="Times New Roman" w:hAnsi="Times New Roman"/>
          <w:rtl w:val="0"/>
        </w:rPr>
        <w:t xml:space="preserve">pero sobre la cual no hay información pública. Por último, los casos de la UNLaM y la UNTREF presentan sistemas mixtos, debido a que sus normativas particulares requieren tres designaciones sucesivas mediante concurso abierto antes de acceder a un régimen de estabilidad </w:t>
      </w:r>
      <w:r w:rsidDel="00000000" w:rsidR="00000000" w:rsidRPr="00000000">
        <w:rPr>
          <w:rFonts w:ascii="Times New Roman" w:cs="Times New Roman" w:eastAsia="Times New Roman" w:hAnsi="Times New Roman"/>
          <w:rtl w:val="0"/>
        </w:rPr>
        <w:t xml:space="preserve">condicionada</w:t>
      </w:r>
      <w:r w:rsidDel="00000000" w:rsidR="00000000" w:rsidRPr="00000000">
        <w:rPr>
          <w:rFonts w:ascii="Times New Roman" w:cs="Times New Roman" w:eastAsia="Times New Roman" w:hAnsi="Times New Roman"/>
          <w:rtl w:val="0"/>
        </w:rPr>
        <w:t xml:space="preserve"> a evaluaciones individuales. En los dos agrupamientos antes descritos, la carrera docente es concebida como un instrumento para la formación de los graduados con vocación por la docencia universitaria.</w:t>
      </w:r>
    </w:p>
    <w:p w:rsidR="00000000" w:rsidDel="00000000" w:rsidP="00000000" w:rsidRDefault="00000000" w:rsidRPr="00000000" w14:paraId="0000005E">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su vez, se obtuvieron otros hallazgos durante la investigación que contribuyen al balance sobre las condiciones de permanencia del personal académico. En 39 casos la normativa particular reconoce la figura del veedor gremial en las instancias de concurso, cuestión relevante ya que garantiza presencia sindical en los procesos de evaluación de idoneidad. Por otra parte, hemos mencionado que la normativa vigente explicita que los jurados de concursos deben ser profesores designados por concurso -excepcionalmente por personas de idoneidad indiscutible-. En relación a esto, corresponde citar el fallo Aranalde del año 2025, en el cual la Corte Suprema reafirmó que la evaluación por pares es la regla, sentando jurisprudencia que contradice la tradición de muchas universidades que contemplan como jurados con derechos plenos a estudiantes y/o graduados.</w:t>
      </w:r>
    </w:p>
    <w:p w:rsidR="00000000" w:rsidDel="00000000" w:rsidP="00000000" w:rsidRDefault="00000000" w:rsidRPr="00000000" w14:paraId="0000005F">
      <w:pPr>
        <w:spacing w:before="24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0">
      <w:pPr>
        <w:spacing w:before="240" w:line="240" w:lineRule="auto"/>
        <w:ind w:firstLine="72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2.3 Sobre la promoción en la carrera docente</w:t>
      </w:r>
    </w:p>
    <w:p w:rsidR="00000000" w:rsidDel="00000000" w:rsidP="00000000" w:rsidRDefault="00000000" w:rsidRPr="00000000" w14:paraId="00000061">
      <w:pPr>
        <w:spacing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análisis se basó en la comparación de las regulaciones de cada universidad sobre las condiciones de promoción de su personal académico. En función de lo anterior, se creó un índice para clasificar a las universidades según el alineamiento de su normativa con las disposiciones de los artículos 13 y 14 del CCT. Primero se agrupó a las universidades que reglamentan el mecanismo de cobertura de vacantes mediante la promoción transitoria del personal de categoría inferior y reconocen el derecho de los ayudantes de primera a concursar en forma cerrada por cargos de jefe de trabajos prácticos. En una segunda clasificación se agrupó a los casos que se alinean con sólo una de las disposiciones antes mencionadas. Por otra parte, se agruparon las universidades cuya normativa vigente no se alinea con los artículos del CCT mencionados. Por último, se creó un cuarto agrupamiento para clasificar a los casos en que no fue posible obtener información.</w:t>
      </w:r>
    </w:p>
    <w:p w:rsidR="00000000" w:rsidDel="00000000" w:rsidP="00000000" w:rsidRDefault="00000000" w:rsidRPr="00000000" w14:paraId="00000062">
      <w:pPr>
        <w:spacing w:after="100" w:line="240" w:lineRule="auto"/>
        <w:jc w:val="center"/>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Tabla 3. Tipología de situaciones según las características del régimen de promoción implementado en cada universidad</w:t>
      </w:r>
    </w:p>
    <w:sdt>
      <w:sdtPr>
        <w:lock w:val="contentLocked"/>
        <w:id w:val="2118889073"/>
        <w:tag w:val="goog_rdk_0"/>
      </w:sdtPr>
      <w:sdtContent>
        <w:tbl>
          <w:tblPr>
            <w:tblStyle w:val="Table3"/>
            <w:tblW w:w="843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155"/>
            <w:gridCol w:w="1125"/>
            <w:gridCol w:w="1425"/>
            <w:gridCol w:w="1725"/>
            <w:tblGridChange w:id="0">
              <w:tblGrid>
                <w:gridCol w:w="4155"/>
                <w:gridCol w:w="1125"/>
                <w:gridCol w:w="1425"/>
                <w:gridCol w:w="1725"/>
              </w:tblGrid>
            </w:tblGridChange>
          </w:tblGrid>
          <w:tr>
            <w:trPr>
              <w:cantSplit w:val="0"/>
              <w:trHeight w:val="409.98046875" w:hRule="atLeast"/>
              <w:tblHeader w:val="0"/>
            </w:trPr>
            <w:tc>
              <w:tcPr>
                <w:vMerge w:val="restart"/>
                <w:tcBorders>
                  <w:top w:color="000000" w:space="0" w:sz="4" w:val="single"/>
                  <w:left w:color="000000" w:space="0" w:sz="4" w:val="single"/>
                  <w:bottom w:color="000000" w:space="0" w:sz="4" w:val="single"/>
                  <w:right w:color="000000" w:space="0" w:sz="4" w:val="single"/>
                </w:tcBorders>
                <w:shd w:fill="d9d9d9" w:val="clear"/>
                <w:tcMar>
                  <w:top w:w="40.0" w:type="dxa"/>
                  <w:left w:w="40.0" w:type="dxa"/>
                  <w:bottom w:w="40.0" w:type="dxa"/>
                  <w:right w:w="40.0" w:type="dxa"/>
                </w:tcMar>
                <w:vAlign w:val="center"/>
              </w:tcPr>
              <w:p w:rsidR="00000000" w:rsidDel="00000000" w:rsidP="00000000" w:rsidRDefault="00000000" w:rsidRPr="00000000" w14:paraId="00000063">
                <w:pPr>
                  <w:spacing w:after="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Descripción del criterio de clasificación</w:t>
                </w:r>
              </w:p>
            </w:tc>
            <w:tc>
              <w:tcPr>
                <w:gridSpan w:val="2"/>
                <w:shd w:fill="d9d9d9" w:val="clear"/>
                <w:tcMar>
                  <w:top w:w="60.0" w:type="dxa"/>
                  <w:left w:w="80.0" w:type="dxa"/>
                  <w:bottom w:w="60.0" w:type="dxa"/>
                  <w:right w:w="80.0" w:type="dxa"/>
                </w:tcMar>
                <w:vAlign w:val="center"/>
              </w:tcPr>
              <w:p w:rsidR="00000000" w:rsidDel="00000000" w:rsidP="00000000" w:rsidRDefault="00000000" w:rsidRPr="00000000" w14:paraId="00000064">
                <w:pPr>
                  <w:spacing w:after="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Sistema Universitario</w:t>
                </w:r>
              </w:p>
            </w:tc>
            <w:tc>
              <w:tcPr>
                <w:vMerge w:val="restart"/>
                <w:shd w:fill="d9d9d9" w:val="clear"/>
                <w:tcMar>
                  <w:top w:w="60.0" w:type="dxa"/>
                  <w:left w:w="80.0" w:type="dxa"/>
                  <w:bottom w:w="60.0" w:type="dxa"/>
                  <w:right w:w="80.0" w:type="dxa"/>
                </w:tcMar>
                <w:vAlign w:val="center"/>
              </w:tcPr>
              <w:p w:rsidR="00000000" w:rsidDel="00000000" w:rsidP="00000000" w:rsidRDefault="00000000" w:rsidRPr="00000000" w14:paraId="00000066">
                <w:pPr>
                  <w:spacing w:after="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Situación</w:t>
                </w:r>
              </w:p>
            </w:tc>
          </w:tr>
          <w:tr>
            <w:trPr>
              <w:cantSplit w:val="0"/>
              <w:trHeight w:val="394.98046875" w:hRule="atLeast"/>
              <w:tblHeader w:val="0"/>
            </w:trPr>
            <w:tc>
              <w:tcPr>
                <w:vMerge w:val="continue"/>
                <w:tcBorders>
                  <w:top w:color="000000" w:space="0" w:sz="4" w:val="single"/>
                  <w:left w:color="000000" w:space="0" w:sz="4" w:val="single"/>
                  <w:bottom w:color="000000" w:space="0" w:sz="4" w:val="single"/>
                  <w:right w:color="000000" w:space="0" w:sz="4" w:val="single"/>
                </w:tcBorders>
                <w:shd w:fill="d9d9d9" w:val="clear"/>
                <w:tcMar>
                  <w:top w:w="40.0" w:type="dxa"/>
                  <w:left w:w="40.0" w:type="dxa"/>
                  <w:bottom w:w="40.0" w:type="dxa"/>
                  <w:right w:w="40.0" w:type="dxa"/>
                </w:tcMar>
                <w:vAlign w:val="center"/>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0"/>
                    <w:szCs w:val="20"/>
                  </w:rPr>
                </w:pPr>
                <w:r w:rsidDel="00000000" w:rsidR="00000000" w:rsidRPr="00000000">
                  <w:rPr>
                    <w:rtl w:val="0"/>
                  </w:rPr>
                </w:r>
              </w:p>
            </w:tc>
            <w:tc>
              <w:tcPr>
                <w:shd w:fill="d9d9d9" w:val="clear"/>
                <w:tcMar>
                  <w:top w:w="60.0" w:type="dxa"/>
                  <w:left w:w="80.0" w:type="dxa"/>
                  <w:bottom w:w="60.0" w:type="dxa"/>
                  <w:right w:w="80.0" w:type="dxa"/>
                </w:tcMar>
                <w:vAlign w:val="center"/>
              </w:tcPr>
              <w:p w:rsidR="00000000" w:rsidDel="00000000" w:rsidP="00000000" w:rsidRDefault="00000000" w:rsidRPr="00000000" w14:paraId="00000068">
                <w:pPr>
                  <w:spacing w:after="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Cant. U.N.</w:t>
                </w:r>
              </w:p>
            </w:tc>
            <w:tc>
              <w:tcPr>
                <w:shd w:fill="d9d9d9" w:val="clear"/>
                <w:tcMar>
                  <w:top w:w="60.0" w:type="dxa"/>
                  <w:left w:w="80.0" w:type="dxa"/>
                  <w:bottom w:w="60.0" w:type="dxa"/>
                  <w:right w:w="80.0" w:type="dxa"/>
                </w:tcMar>
                <w:vAlign w:val="center"/>
              </w:tcPr>
              <w:p w:rsidR="00000000" w:rsidDel="00000000" w:rsidP="00000000" w:rsidRDefault="00000000" w:rsidRPr="00000000" w14:paraId="00000069">
                <w:pPr>
                  <w:spacing w:after="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 U.N.</w:t>
                </w:r>
              </w:p>
            </w:tc>
            <w:tc>
              <w:tcPr>
                <w:vMerge w:val="continue"/>
                <w:shd w:fill="d9d9d9" w:val="clear"/>
                <w:tcMar>
                  <w:top w:w="60.0" w:type="dxa"/>
                  <w:left w:w="80.0" w:type="dxa"/>
                  <w:bottom w:w="60.0" w:type="dxa"/>
                  <w:right w:w="80.0" w:type="dxa"/>
                </w:tcMar>
                <w:vAlign w:val="center"/>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0"/>
                    <w:szCs w:val="20"/>
                  </w:rPr>
                </w:pPr>
                <w:r w:rsidDel="00000000" w:rsidR="00000000" w:rsidRPr="00000000">
                  <w:rPr>
                    <w:rtl w:val="0"/>
                  </w:rPr>
                </w:r>
              </w:p>
            </w:tc>
          </w:tr>
          <w:tr>
            <w:trPr>
              <w:cantSplit w:val="0"/>
              <w:tblHeader w:val="0"/>
            </w:trPr>
            <w:tc>
              <w:tcPr>
                <w:tcMar>
                  <w:top w:w="60.0" w:type="dxa"/>
                  <w:left w:w="80.0" w:type="dxa"/>
                  <w:bottom w:w="60.0" w:type="dxa"/>
                  <w:right w:w="80.0" w:type="dxa"/>
                </w:tcMar>
                <w:vAlign w:val="center"/>
              </w:tcPr>
              <w:p w:rsidR="00000000" w:rsidDel="00000000" w:rsidP="00000000" w:rsidRDefault="00000000" w:rsidRPr="00000000" w14:paraId="0000006B">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La universidad reglamenta la cobertura de vacantes y prevé concurso cerrado para la categoría de jefe de trabajos prácticos </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06C">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15</w:t>
                </w:r>
              </w:p>
            </w:tc>
            <w:tc>
              <w:tcPr>
                <w:tcBorders>
                  <w:top w:color="000000" w:space="0" w:sz="4" w:val="single"/>
                  <w:left w:color="000000" w:space="0" w:sz="0" w:val="nil"/>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06D">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31% </w:t>
                </w:r>
              </w:p>
            </w:tc>
            <w:tc>
              <w:tcPr>
                <w:tcBorders>
                  <w:top w:color="000000" w:space="0" w:sz="4" w:val="single"/>
                  <w:left w:color="000000" w:space="0" w:sz="4" w:val="single"/>
                  <w:bottom w:color="000000" w:space="0" w:sz="4" w:val="single"/>
                  <w:right w:color="000000" w:space="0" w:sz="4" w:val="single"/>
                </w:tcBorders>
                <w:shd w:fill="d9d9d9" w:val="clear"/>
                <w:tcMar>
                  <w:top w:w="40.0" w:type="dxa"/>
                  <w:left w:w="40.0" w:type="dxa"/>
                  <w:bottom w:w="40.0" w:type="dxa"/>
                  <w:right w:w="40.0" w:type="dxa"/>
                </w:tcMar>
                <w:vAlign w:val="center"/>
              </w:tcPr>
              <w:p w:rsidR="00000000" w:rsidDel="00000000" w:rsidP="00000000" w:rsidRDefault="00000000" w:rsidRPr="00000000" w14:paraId="0000006E">
                <w:pPr>
                  <w:widowControl w:val="0"/>
                  <w:spacing w:after="0" w:line="276"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Alineamiento pleno al CCT</w:t>
                </w:r>
              </w:p>
            </w:tc>
          </w:tr>
          <w:tr>
            <w:trPr>
              <w:cantSplit w:val="0"/>
              <w:trHeight w:val="693.955078125" w:hRule="atLeast"/>
              <w:tblHeader w:val="0"/>
            </w:trPr>
            <w:tc>
              <w:tcPr>
                <w:tcMar>
                  <w:top w:w="60.0" w:type="dxa"/>
                  <w:left w:w="80.0" w:type="dxa"/>
                  <w:bottom w:w="60.0" w:type="dxa"/>
                  <w:right w:w="80.0" w:type="dxa"/>
                </w:tcMar>
                <w:vAlign w:val="center"/>
              </w:tcPr>
              <w:p w:rsidR="00000000" w:rsidDel="00000000" w:rsidP="00000000" w:rsidRDefault="00000000" w:rsidRPr="00000000" w14:paraId="0000006F">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La universidad sólo reglamenta una de las dos disposiciones del CCT sobre promoción</w:t>
                </w:r>
              </w:p>
            </w:tc>
            <w:tc>
              <w:tcPr>
                <w:tcBorders>
                  <w:top w:color="000000" w:space="0" w:sz="0" w:val="nil"/>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070">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11</w:t>
                </w:r>
              </w:p>
            </w:tc>
            <w:tc>
              <w:tcPr>
                <w:tcBorders>
                  <w:top w:color="000000" w:space="0" w:sz="0" w:val="nil"/>
                  <w:left w:color="000000" w:space="0" w:sz="0" w:val="nil"/>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071">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23% </w:t>
                </w:r>
              </w:p>
            </w:tc>
            <w:tc>
              <w:tcPr>
                <w:tcBorders>
                  <w:top w:color="cccccc" w:space="0" w:sz="4" w:val="single"/>
                  <w:left w:color="000000" w:space="0" w:sz="4" w:val="single"/>
                  <w:bottom w:color="000000" w:space="0" w:sz="4" w:val="single"/>
                  <w:right w:color="000000" w:space="0" w:sz="4" w:val="single"/>
                </w:tcBorders>
                <w:shd w:fill="d9d9d9" w:val="clear"/>
                <w:tcMar>
                  <w:top w:w="40.0" w:type="dxa"/>
                  <w:left w:w="40.0" w:type="dxa"/>
                  <w:bottom w:w="40.0" w:type="dxa"/>
                  <w:right w:w="40.0" w:type="dxa"/>
                </w:tcMar>
                <w:vAlign w:val="center"/>
              </w:tcPr>
              <w:p w:rsidR="00000000" w:rsidDel="00000000" w:rsidP="00000000" w:rsidRDefault="00000000" w:rsidRPr="00000000" w14:paraId="00000072">
                <w:pPr>
                  <w:widowControl w:val="0"/>
                  <w:spacing w:after="0" w:line="276"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Alineamiento parcial al CCT</w:t>
                </w:r>
              </w:p>
            </w:tc>
          </w:tr>
          <w:tr>
            <w:trPr>
              <w:cantSplit w:val="0"/>
              <w:trHeight w:val="690" w:hRule="atLeast"/>
              <w:tblHeader w:val="0"/>
            </w:trPr>
            <w:tc>
              <w:tcPr>
                <w:tcMar>
                  <w:top w:w="60.0" w:type="dxa"/>
                  <w:left w:w="80.0" w:type="dxa"/>
                  <w:bottom w:w="60.0" w:type="dxa"/>
                  <w:right w:w="80.0" w:type="dxa"/>
                </w:tcMar>
                <w:vAlign w:val="center"/>
              </w:tcPr>
              <w:p w:rsidR="00000000" w:rsidDel="00000000" w:rsidP="00000000" w:rsidRDefault="00000000" w:rsidRPr="00000000" w14:paraId="00000073">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La universidad no se alinea con las dos disposiciones del CCT sobre promoción</w:t>
                </w:r>
              </w:p>
            </w:tc>
            <w:tc>
              <w:tcPr>
                <w:tcBorders>
                  <w:top w:color="000000" w:space="0" w:sz="0" w:val="nil"/>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074">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12</w:t>
                </w:r>
              </w:p>
            </w:tc>
            <w:tc>
              <w:tcPr>
                <w:tcBorders>
                  <w:top w:color="000000" w:space="0" w:sz="0" w:val="nil"/>
                  <w:left w:color="000000" w:space="0" w:sz="0" w:val="nil"/>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075">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25% </w:t>
                </w:r>
              </w:p>
            </w:tc>
            <w:tc>
              <w:tcPr>
                <w:shd w:fill="d9d9d9" w:val="clear"/>
                <w:tcMar>
                  <w:top w:w="60.0" w:type="dxa"/>
                  <w:left w:w="80.0" w:type="dxa"/>
                  <w:bottom w:w="60.0" w:type="dxa"/>
                  <w:right w:w="80.0" w:type="dxa"/>
                </w:tcMar>
                <w:vAlign w:val="center"/>
              </w:tcPr>
              <w:p w:rsidR="00000000" w:rsidDel="00000000" w:rsidP="00000000" w:rsidRDefault="00000000" w:rsidRPr="00000000" w14:paraId="0000007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Desalineamiento </w:t>
                </w:r>
              </w:p>
            </w:tc>
          </w:tr>
          <w:tr>
            <w:trPr>
              <w:cantSplit w:val="0"/>
              <w:trHeight w:val="699.9609375" w:hRule="atLeast"/>
              <w:tblHeader w:val="0"/>
            </w:trPr>
            <w:tc>
              <w:tcPr>
                <w:tcMar>
                  <w:top w:w="60.0" w:type="dxa"/>
                  <w:left w:w="80.0" w:type="dxa"/>
                  <w:bottom w:w="60.0" w:type="dxa"/>
                  <w:right w:w="80.0" w:type="dxa"/>
                </w:tcMar>
                <w:vAlign w:val="center"/>
              </w:tcPr>
              <w:p w:rsidR="00000000" w:rsidDel="00000000" w:rsidP="00000000" w:rsidRDefault="00000000" w:rsidRPr="00000000" w14:paraId="00000077">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La universidad no informa sobre las condiciones de promoción de su personal </w:t>
                </w:r>
              </w:p>
            </w:tc>
            <w:tc>
              <w:tcPr>
                <w:tcBorders>
                  <w:top w:color="000000" w:space="0" w:sz="0" w:val="nil"/>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078">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w:t>
                </w:r>
              </w:p>
            </w:tc>
            <w:tc>
              <w:tcPr>
                <w:tcBorders>
                  <w:top w:color="000000" w:space="0" w:sz="0" w:val="nil"/>
                  <w:left w:color="000000" w:space="0" w:sz="0" w:val="nil"/>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079">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21% </w:t>
                </w:r>
              </w:p>
            </w:tc>
            <w:tc>
              <w:tcPr>
                <w:shd w:fill="d9d9d9" w:val="clear"/>
                <w:tcMar>
                  <w:top w:w="60.0" w:type="dxa"/>
                  <w:left w:w="80.0" w:type="dxa"/>
                  <w:bottom w:w="60.0" w:type="dxa"/>
                  <w:right w:w="80.0" w:type="dxa"/>
                </w:tcMar>
                <w:vAlign w:val="center"/>
              </w:tcPr>
              <w:p w:rsidR="00000000" w:rsidDel="00000000" w:rsidP="00000000" w:rsidRDefault="00000000" w:rsidRPr="00000000" w14:paraId="0000007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Opacidad </w:t>
                </w:r>
              </w:p>
            </w:tc>
          </w:tr>
        </w:tbl>
      </w:sdtContent>
    </w:sdt>
    <w:p w:rsidR="00000000" w:rsidDel="00000000" w:rsidP="00000000" w:rsidRDefault="00000000" w:rsidRPr="00000000" w14:paraId="0000007B">
      <w:pPr>
        <w:spacing w:after="240" w:before="240" w:line="240" w:lineRule="auto"/>
        <w:jc w:val="center"/>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Fuente: elaboración propia en base a datos relevados hasta el año 2024</w:t>
      </w:r>
    </w:p>
    <w:p w:rsidR="00000000" w:rsidDel="00000000" w:rsidP="00000000" w:rsidRDefault="00000000" w:rsidRPr="00000000" w14:paraId="0000007C">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Según las fuentes relevadas, el 31% de las universidades del sistema reglamentan el derecho a la cobertura de vacantes mediante la promoción del personal de categoría inferior y reconocen el derecho de los ayudantes graduados a concursar por cargos de jefe de trabajos prácticos en forma cerrada. A su vez, en 11 casos se observan avances parciales, es decir, han reglamentado al menos una de las disposiciones que favorecen la promoción del personal. La reglamentación del régimen de cobertura de vacantes requiere a las universidades definir criterios para resolver la situación en la cual existe pluralidad de candidatos a promocionar, y el ascenso a la categoría de jefe que se </w:t>
      </w:r>
      <w:r w:rsidDel="00000000" w:rsidR="00000000" w:rsidRPr="00000000">
        <w:rPr>
          <w:rFonts w:ascii="Times New Roman" w:cs="Times New Roman" w:eastAsia="Times New Roman" w:hAnsi="Times New Roman"/>
          <w:rtl w:val="0"/>
        </w:rPr>
        <w:t xml:space="preserve">defina</w:t>
      </w:r>
      <w:r w:rsidDel="00000000" w:rsidR="00000000" w:rsidRPr="00000000">
        <w:rPr>
          <w:rFonts w:ascii="Times New Roman" w:cs="Times New Roman" w:eastAsia="Times New Roman" w:hAnsi="Times New Roman"/>
          <w:rtl w:val="0"/>
        </w:rPr>
        <w:t xml:space="preserve"> localmente la estructura académica a la cual se circunscribe la convocatoria del concurso -cátedra, área, departamento, etc.-. Por otra parte, el 25% del sistema no se alinea con las disposiciones antes mencionadas. En dichos casos la normativa analizada no prevé mecanismos de promoción distintos al tradicional concurso abierto. </w:t>
      </w:r>
    </w:p>
    <w:p w:rsidR="00000000" w:rsidDel="00000000" w:rsidP="00000000" w:rsidRDefault="00000000" w:rsidRPr="00000000" w14:paraId="0000007D">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su vez, se obtuvieron otros hallazgos durante la investigación que contribuyen al balance sobre las condiciones de promoción del personal académico. En varios casos la reglamentación demoró varios años en concretarse: la UNSL reconoce el derecho por resolución de su Consejo Superior en 2015; sin embargo recién en 2018 lo incorpora a su estatuto; la UNViMe modifica su estatuto en 2021 específicamente para incorporar el concurso cerrado a la categoría de jefe de trabajos prácticos; la UNICEN acuerda su reglamento completo de carrera docente en 2023. En otro conjunto de casos la norma existe, pero no genera un derecho exigible. La UNPSJB reglamenta el concurso cerrado para jefes de trabajos prácticos, aunque se explicita que "no genera el derecho" de forma automática; la decisión depende de las autoridades. La UNQ tiene un sistema de promoción voluntaria en el cual el Consejo Superior decide caso por caso según impacto presupuestario. La UBA reconoce el derecho en su acuerdo particular; sin embargo la reglamentación aún está pendiente. Un tercer grupo resuelve la cobertura de vacantes por vías propias, sin replicar el mecanismo del CCT: la UNMo cubre vacantes por requerimiento directo de la autoridad departamental; la UNLa decidió en paritaria local no reconocer la figura del docente suplente y aplica en su lugar la misma grilla de evaluación de los concursos; la UNRN reglamenta dictámenes de concurso con validez de dos años, reutilizables para cubrir vacantes por renuncia. Finalmente, hay casos que amplían la exigencia del CCT más allá del mínimo: la UNER extiende el concurso cerrado también a la categoría de titular, y la UNTDF lo extiende a la categoría de asociado, no solo a jefe de trabajos prácticos.</w:t>
      </w:r>
    </w:p>
    <w:p w:rsidR="00000000" w:rsidDel="00000000" w:rsidP="00000000" w:rsidRDefault="00000000" w:rsidRPr="00000000" w14:paraId="0000007E">
      <w:pPr>
        <w:spacing w:after="240" w:before="24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F">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Comentarios finales y desafíos </w:t>
      </w:r>
    </w:p>
    <w:p w:rsidR="00000000" w:rsidDel="00000000" w:rsidP="00000000" w:rsidRDefault="00000000" w:rsidRPr="00000000" w14:paraId="0000008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análisis realizado aporta evidencia que contribuye con un necesario balance sobre la carrera docente en Argentina. En primer lugar, podemos afirmar que el trabajo académico se encuentra regulado por un plexo normativo consolidado que abarca desde la Ley de Educación Superior hasta el CCT. Su contenido es coherente y equilibrado, otorga autonomía a las universidades en la administración descentralizada de su personal, pero fija centralizadamente lineamientos sobre condiciones laborales para el conjunto del sistema. Su aplicación es obligatoria y flexible, debido a que se fija un piso de garantías comunes que deben respetarse, y se posibilita a las autoridades universitarias y representantes sindicales negociar acuerdos que se adecúen a las particularidades de cada proyecto institucional. Por último, su efectiva implementación da cuenta de resultados heterogéneos. Durante la investigación comparativa se constató la vigencia de distintos arreglos institucionales sobre el ingreso, permanencia y promoción del personal. A continuación reflexionamos sobre los desafíos evidentes relacionados a estas tres cuestiones. </w:t>
      </w:r>
    </w:p>
    <w:p w:rsidR="00000000" w:rsidDel="00000000" w:rsidP="00000000" w:rsidRDefault="00000000" w:rsidRPr="00000000" w14:paraId="00000081">
      <w:pPr>
        <w:spacing w:before="24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narrativa sobre el ingreso a la profesión académica mediante instancias de concurso públicos de antecedentes y oposición es centenaria, sin embargo, sólo una proporción minoritaria de universidades evidencia su cumplimiento. De hecho, en la mayoría de los casos no se cumplen los parámetros de ingreso establecidos tanto en la normativa nacional como en las regulaciones fijadas por las propias universidades. Sin embargo, hay una minoría de universidades que han desarrollado capacidades organizacionales para sostener una política de concursos en apariencia ideal o favorable. Un desafío claro es identificar los arreglos institucionales que explican dichas situaciones.</w:t>
      </w:r>
    </w:p>
    <w:p w:rsidR="00000000" w:rsidDel="00000000" w:rsidP="00000000" w:rsidRDefault="00000000" w:rsidRPr="00000000" w14:paraId="00000082">
      <w:pPr>
        <w:spacing w:before="24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nombramiento de personal sin concurso es una problemática cuya primera regulación data del año 1967. Desde entonces la figura del interino ha sido reservada para situaciones excepcionales y restringidas temporalmente -1 o 2 años-. Incluso las propias universidades replican estas disposiciones en su normativa particular. Durante la negociación colectiva se debatió sobre la efectiva implementación de dichas regulaciones; como consecuencia se acordó una cláusula para regularizar los nombramientos interinos, esto derivó en la incorporación a carrera docente de 19.722 cargos -número que presumimos conservador-. Sin embargo, dicha cláusula se suscribió en una disposición transitoria,  acotando sus efectos a los docentes interinos del año 2014/2015. Esta situación anticipa que la proliferación de designaciones sin mediar concurso seguirá siendo una patología generalizada en una mayoría de universidades del sistema.</w:t>
      </w:r>
    </w:p>
    <w:p w:rsidR="00000000" w:rsidDel="00000000" w:rsidP="00000000" w:rsidRDefault="00000000" w:rsidRPr="00000000" w14:paraId="0000008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estabilidad de los docentes se encuentra protegida por un marco legal sólido que garantiza la continuidad de la relación laboral salvo que medien evaluaciones de desempeño individual no satisfactorias. Durante la investigación se constató que la profesión académica en Argentina es estable, que inclusive los nombramientos interinos tienden a renovarse periódicamente según los usos y costumbres del sector, y que son infrecuentes las denuncias por despidos arbitrarios de personal académico -salvo situaciones puntuales en algunas universidades-. En este sentido, un desafío evidente es desarrollar sistemas de evaluación de desempeño robustos para garantizar la calidad de las misiones universitarias, que atenúen la endogamia propia de la evaluación de pares, protejan al personal docente que desempeña funciones gremiales, y prevengan conflictos de interés frecuentes al interior de las universidades y sus unidades académicas.  </w:t>
      </w:r>
    </w:p>
    <w:p w:rsidR="00000000" w:rsidDel="00000000" w:rsidP="00000000" w:rsidRDefault="00000000" w:rsidRPr="00000000" w14:paraId="0000008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régimen de promoción es el que mayor resistencia estatutaria concitó durante la negociación del CCT y el que exhibe los niveles más altos de conflictividad en su aplicación posterior. El concurso abierto de antecedentes y oposición sigue siendo la vía generalizada para crecer en la jerarquía académica; por ende, los problemas asociados a los concursos de ingreso a la carrera docente se relacionan con las condiciones para progresar posteriormente. En definitiva, esto perpetúa obstáculos que a nivel micro impiden trazar carreras académicas en función de incentivos claros: si el único camino previsible para ascender es competir en un concurso público cada vez, y las capacidades para concursar al personal no se desarrollan, se desincentivan trayectorias profesionales y la institución pierde la oportunidad de orientar el desarrollo de su personal. Esta tensión -sumada a otras cuestiones no analizadas en esta investigación- configura la amenaza de pérdida sistemática de talento joven, sobre todo en el estamento de auxiliares que nuclea a la mayoría de los docentes del sistema y desde donde provienen los cuadros académicos de reemplazo futuro.</w:t>
      </w:r>
    </w:p>
    <w:p w:rsidR="00000000" w:rsidDel="00000000" w:rsidP="00000000" w:rsidRDefault="00000000" w:rsidRPr="00000000" w14:paraId="0000008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Finalmente, la rendición de cuentas de las universidades sobre las condiciones de designación del personal es escasa y fragmentada. Las evaluaciones institucionales de CONEAU en ocasiones suplen la ausencia de datos, sin embargo, no permiten subsanar la opacidad de casi la mitad de las universidades del sistema. Los anuarios estadísticos publicados por el PEN no diferencian los registros según el tipo de nombramiento del personal -ordinario/interino-. A su vez, la información publicada anualmente sobre el personal contratado y designado como </w:t>
      </w:r>
      <w:r w:rsidDel="00000000" w:rsidR="00000000" w:rsidRPr="00000000">
        <w:rPr>
          <w:rFonts w:ascii="Times New Roman" w:cs="Times New Roman" w:eastAsia="Times New Roman" w:hAnsi="Times New Roman"/>
          <w:i w:val="1"/>
          <w:iCs w:val="1"/>
          <w:rtl w:val="0"/>
        </w:rPr>
        <w:t xml:space="preserve">ad honorem</w:t>
      </w:r>
      <w:r w:rsidDel="00000000" w:rsidR="00000000" w:rsidRPr="00000000">
        <w:rPr>
          <w:rFonts w:ascii="Times New Roman" w:cs="Times New Roman" w:eastAsia="Times New Roman" w:hAnsi="Times New Roman"/>
          <w:rtl w:val="0"/>
        </w:rPr>
        <w:t xml:space="preserve"> depende de la decisión de las propias universidades. Esto permite instrumentar de hecho políticas de gestión del personal por fuera de la carrera docente y sin declararlo. </w:t>
      </w:r>
    </w:p>
    <w:p w:rsidR="00000000" w:rsidDel="00000000" w:rsidP="00000000" w:rsidRDefault="00000000" w:rsidRPr="00000000" w14:paraId="00000086">
      <w:pPr>
        <w:spacing w:line="240" w:lineRule="auto"/>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7">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8">
      <w:pPr>
        <w:spacing w:after="200" w:before="300" w:line="240" w:lineRule="auto"/>
        <w:rPr>
          <w:rFonts w:ascii="Times New Roman" w:cs="Times New Roman" w:eastAsia="Times New Roman" w:hAnsi="Times New Roman"/>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89">
      <w:pPr>
        <w:spacing w:after="200" w:before="30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rtl w:val="0"/>
        </w:rPr>
        <w:t xml:space="preserve">Referencias Bibliográficas</w:t>
      </w:r>
      <w:r w:rsidDel="00000000" w:rsidR="00000000" w:rsidRPr="00000000">
        <w:rPr>
          <w:rtl w:val="0"/>
        </w:rPr>
      </w:r>
    </w:p>
    <w:p w:rsidR="00000000" w:rsidDel="00000000" w:rsidP="00000000" w:rsidRDefault="00000000" w:rsidRPr="00000000" w14:paraId="0000008A">
      <w:pPr>
        <w:numPr>
          <w:ilvl w:val="0"/>
          <w:numId w:val="1"/>
        </w:numPr>
        <w:spacing w:after="0" w:afterAutospacing="0" w:line="24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Claverie, J. (2015). Trabajo y condiciones de carrera para los docentes de las universidades nacionales de la Argentina: El problema de la movilidad. Trabajo y sociedad: Indagaciones sobre el empleo, la cultura y las prácticas políticas en sociedades segmentadas, (25), 4.</w:t>
      </w:r>
    </w:p>
    <w:p w:rsidR="00000000" w:rsidDel="00000000" w:rsidP="00000000" w:rsidRDefault="00000000" w:rsidRPr="00000000" w14:paraId="0000008B">
      <w:pPr>
        <w:numPr>
          <w:ilvl w:val="0"/>
          <w:numId w:val="1"/>
        </w:numPr>
        <w:spacing w:after="0" w:afterAutospacing="0" w:line="24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Comisión Nacional de Evaluación y Acreditación Universitaria (CONEAU). Informes de evaluación externa. Recuperado de https://www.coneau.gob.ar/coneau/publicaciones/evaluaciones-externas/</w:t>
      </w:r>
    </w:p>
    <w:p w:rsidR="00000000" w:rsidDel="00000000" w:rsidP="00000000" w:rsidRDefault="00000000" w:rsidRPr="00000000" w14:paraId="0000008C">
      <w:pPr>
        <w:numPr>
          <w:ilvl w:val="0"/>
          <w:numId w:val="1"/>
        </w:numPr>
        <w:spacing w:after="0" w:afterAutospacing="0" w:line="24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Convenio Colectivo de Trabajo para Docentes de las Instituciones Universitarias Nacionales. (2015). Homologado por Decreto 1246/2015 del Poder Ejecutivo Nacional.</w:t>
      </w:r>
    </w:p>
    <w:p w:rsidR="00000000" w:rsidDel="00000000" w:rsidP="00000000" w:rsidRDefault="00000000" w:rsidRPr="00000000" w14:paraId="0000008D">
      <w:pPr>
        <w:numPr>
          <w:ilvl w:val="0"/>
          <w:numId w:val="1"/>
        </w:numPr>
        <w:spacing w:after="0" w:afterAutospacing="0" w:line="24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Corte Suprema de Justicia de la Nación. (2025, 3 de junio). Aranalde, Gabriel Ignacio c/ Universidad Nacional de Rosario s/ recurso directo ley de educación superior.</w:t>
      </w:r>
    </w:p>
    <w:p w:rsidR="00000000" w:rsidDel="00000000" w:rsidP="00000000" w:rsidRDefault="00000000" w:rsidRPr="00000000" w14:paraId="0000008E">
      <w:pPr>
        <w:numPr>
          <w:ilvl w:val="0"/>
          <w:numId w:val="1"/>
        </w:numPr>
        <w:spacing w:after="0" w:afterAutospacing="0" w:line="24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García de Fanelli, A. M. (2009). Profesión académica en la Argentina: Carrera e incentivos a los docentes en las Universidades Nacionales. CEDES.</w:t>
      </w:r>
    </w:p>
    <w:p w:rsidR="00000000" w:rsidDel="00000000" w:rsidP="00000000" w:rsidRDefault="00000000" w:rsidRPr="00000000" w14:paraId="0000008F">
      <w:pPr>
        <w:numPr>
          <w:ilvl w:val="0"/>
          <w:numId w:val="1"/>
        </w:numPr>
        <w:spacing w:after="0" w:afterAutospacing="0" w:line="24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García de Fanelli, A. M., &amp; Moguillansky, M. (2014). La docencia universitaria en Argentina. Obstáculos en la carrera académica. Education Policy Analysis Archives/Archivos Analíticos de Políticas Educativas, 22, 1-18.</w:t>
      </w:r>
    </w:p>
    <w:p w:rsidR="00000000" w:rsidDel="00000000" w:rsidP="00000000" w:rsidRDefault="00000000" w:rsidRPr="00000000" w14:paraId="00000090">
      <w:pPr>
        <w:numPr>
          <w:ilvl w:val="0"/>
          <w:numId w:val="1"/>
        </w:numPr>
        <w:spacing w:after="0" w:afterAutospacing="0" w:line="24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Hammond, F. (2021). La regulación de la profesión académica mediada por la negociación colectiva, desafíos emergentes ante un cambio de paradigma. Revista de Educación, 12(24/2), 183-202.</w:t>
      </w:r>
    </w:p>
    <w:p w:rsidR="00000000" w:rsidDel="00000000" w:rsidP="00000000" w:rsidRDefault="00000000" w:rsidRPr="00000000" w14:paraId="00000091">
      <w:pPr>
        <w:numPr>
          <w:ilvl w:val="0"/>
          <w:numId w:val="1"/>
        </w:numPr>
        <w:spacing w:after="0" w:afterAutospacing="0" w:line="24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Lamarra, N. (2012). La profesión académica en América Latina. Situación y perspectivas. En El futuro de la profesión académica. Desafíos para países emergentes. EDUNTREF.</w:t>
      </w:r>
    </w:p>
    <w:p w:rsidR="00000000" w:rsidDel="00000000" w:rsidP="00000000" w:rsidRDefault="00000000" w:rsidRPr="00000000" w14:paraId="00000092">
      <w:pPr>
        <w:numPr>
          <w:ilvl w:val="0"/>
          <w:numId w:val="1"/>
        </w:numPr>
        <w:spacing w:after="0" w:afterAutospacing="0" w:line="24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Ley 24.521 de Educación Superior. (1995). Congreso de la Nación Argentina.</w:t>
      </w:r>
    </w:p>
    <w:p w:rsidR="00000000" w:rsidDel="00000000" w:rsidP="00000000" w:rsidRDefault="00000000" w:rsidRPr="00000000" w14:paraId="00000093">
      <w:pPr>
        <w:numPr>
          <w:ilvl w:val="0"/>
          <w:numId w:val="1"/>
        </w:numPr>
        <w:spacing w:after="0" w:afterAutospacing="0" w:line="24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Marquina, M., Mandonça, M., &amp; Reznik, N. (2024). Working Conditions in Argentina's Academia: Different career paths and fragmentation of the profession. Research Institute for Higher Education, Hiroshima University.</w:t>
      </w:r>
    </w:p>
    <w:p w:rsidR="00000000" w:rsidDel="00000000" w:rsidP="00000000" w:rsidRDefault="00000000" w:rsidRPr="00000000" w14:paraId="00000094">
      <w:pPr>
        <w:numPr>
          <w:ilvl w:val="0"/>
          <w:numId w:val="1"/>
        </w:numPr>
        <w:spacing w:after="0" w:afterAutospacing="0" w:line="24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Mazzola, C. F., &amp; Rodríguez Luiz, F. (2014). Continuidades en los problemas de la UNSL.</w:t>
      </w:r>
    </w:p>
    <w:p w:rsidR="00000000" w:rsidDel="00000000" w:rsidP="00000000" w:rsidRDefault="00000000" w:rsidRPr="00000000" w14:paraId="00000095">
      <w:pPr>
        <w:numPr>
          <w:ilvl w:val="0"/>
          <w:numId w:val="1"/>
        </w:numPr>
        <w:spacing w:after="0" w:afterAutospacing="0" w:line="24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Rovelli, L. I. (2012). Expansión universitaria y movilidad académica: trayectorias de investigadores universitarios en el área metropolitana de Buenos Aires. Revista Pilquen, (15).</w:t>
      </w:r>
    </w:p>
    <w:p w:rsidR="00000000" w:rsidDel="00000000" w:rsidP="00000000" w:rsidRDefault="00000000" w:rsidRPr="00000000" w14:paraId="00000096">
      <w:pPr>
        <w:numPr>
          <w:ilvl w:val="0"/>
          <w:numId w:val="1"/>
        </w:numPr>
        <w:spacing w:after="120" w:line="24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Walker, V. (2024). La precarización del trabajo docente universitario: apuntes para su conceptualización y abordaje en las agendas políticas y de investigación. Entramados: educación y sociedad, 11(16), 250-268.</w:t>
      </w:r>
    </w:p>
    <w:p w:rsidR="00000000" w:rsidDel="00000000" w:rsidP="00000000" w:rsidRDefault="00000000" w:rsidRPr="00000000" w14:paraId="00000097">
      <w:pPr>
        <w:spacing w:after="120" w:line="240" w:lineRule="auto"/>
        <w:ind w:left="720" w:firstLine="0"/>
        <w:jc w:val="both"/>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098">
      <w:pPr>
        <w:spacing w:after="20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Anexo. </w:t>
      </w:r>
    </w:p>
    <w:p w:rsidR="00000000" w:rsidDel="00000000" w:rsidP="00000000" w:rsidRDefault="00000000" w:rsidRPr="00000000" w14:paraId="00000099">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Tabla de datos y fuentes relevadas sobre 48 universidades nacionales hasta el año 2024. </w:t>
      </w:r>
    </w:p>
    <w:tbl>
      <w:tblPr>
        <w:tblStyle w:val="Table4"/>
        <w:tblW w:w="84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90"/>
        <w:gridCol w:w="930"/>
        <w:gridCol w:w="1395"/>
        <w:gridCol w:w="1170"/>
        <w:gridCol w:w="1155"/>
        <w:gridCol w:w="1155"/>
        <w:gridCol w:w="1185"/>
        <w:gridCol w:w="1110"/>
        <w:tblGridChange w:id="0">
          <w:tblGrid>
            <w:gridCol w:w="390"/>
            <w:gridCol w:w="930"/>
            <w:gridCol w:w="1395"/>
            <w:gridCol w:w="1170"/>
            <w:gridCol w:w="1155"/>
            <w:gridCol w:w="1155"/>
            <w:gridCol w:w="1185"/>
            <w:gridCol w:w="1110"/>
          </w:tblGrid>
        </w:tblGridChange>
      </w:tblGrid>
      <w:tr>
        <w:trPr>
          <w:cantSplit w:val="0"/>
          <w:trHeight w:val="765"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09A">
            <w:pPr>
              <w:spacing w:after="0"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Nº</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09B">
            <w:pPr>
              <w:spacing w:after="0"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Casos</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09C">
            <w:pPr>
              <w:spacing w:after="0"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Proporción de docentes concursados</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09D">
            <w:pPr>
              <w:spacing w:after="0"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Reglamenta incorporación de interinos</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09E">
            <w:pPr>
              <w:spacing w:after="0"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Alinea su régimen de permanencia al CCT</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09F">
            <w:pPr>
              <w:spacing w:after="0"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Reconoce garantía de doble evaluación</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0A0">
            <w:pPr>
              <w:spacing w:after="0"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Reglamenta cobertura de vacantes del CCT</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0A1">
            <w:pPr>
              <w:spacing w:after="0"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Ofrece concurso cerrado para JTP</w:t>
            </w:r>
          </w:p>
        </w:tc>
      </w:tr>
      <w:tr>
        <w:trPr>
          <w:cantSplit w:val="0"/>
          <w:trHeight w:val="97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0A2">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0A3">
            <w:pPr>
              <w:spacing w:after="0"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UNAJ</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0A4">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30% (CONEAU 2019:83)</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0A5">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s/d</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0A6">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(Art 20 Reglamento carrera académica 2015)</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0A7">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no (Art 20 Reglamento carrera académica 2015)</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0A8">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s/d</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0A9">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s/d</w:t>
            </w:r>
          </w:p>
        </w:tc>
      </w:tr>
      <w:tr>
        <w:trPr>
          <w:cantSplit w:val="0"/>
          <w:trHeight w:val="76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0AA">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0AB">
            <w:pPr>
              <w:spacing w:after="0"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UNAV</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0AC">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9% (CONEAU 2019:64)</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0AD">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no (RCIN 953)</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0AE">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(Art 70 Estatuto de 2016)</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0AF">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(Art 21 Reglamento Docente 2011)</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0B0">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no (RCIN 953)</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0B1">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no (RCIN 953)</w:t>
            </w:r>
          </w:p>
        </w:tc>
      </w:tr>
      <w:tr>
        <w:trPr>
          <w:cantSplit w:val="0"/>
          <w:trHeight w:val="91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0B2">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3</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0B3">
            <w:pPr>
              <w:spacing w:after="0"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UBA</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0B4">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31% (Censo 2011)</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0B5">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no (RCIN 953)</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0B6">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no (Estatuto Art 44. y 46)</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0B7">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no (Estatuto Art 44. y 46)</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0B8">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no (Art 12 CCT particular 2015, pero no se observa reglamentación al respecto)</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0B9">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no (Cap II CCT particular)</w:t>
            </w:r>
          </w:p>
        </w:tc>
      </w:tr>
      <w:tr>
        <w:trPr>
          <w:cantSplit w:val="0"/>
          <w:trHeight w:val="75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0BA">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4</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0BB">
            <w:pPr>
              <w:spacing w:after="0"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UNCa</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0BC">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43% (CONEAU, 2019:29)</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0BD">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(APP 2-10-2015)</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0BE">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(Reglamento de carrera docente de 2017)</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0BF">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(Art 34 Reglamento de carrera docente 2017)</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0C0">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(Art 23 reglamento carrera docente 2017)</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0C1">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(Art 22 reglamento carrera docente)</w:t>
            </w:r>
          </w:p>
        </w:tc>
      </w:tr>
      <w:tr>
        <w:trPr>
          <w:cantSplit w:val="0"/>
          <w:trHeight w:val="13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0C2">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5</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0C3">
            <w:pPr>
              <w:spacing w:after="0"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UNICEN</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0C4">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"se observa un elevado porcentaje de interinos" (CONEAU, 2022:31)</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0C5">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(APP 13-10-2020)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0C6">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(APP 18-10-2023 Art.40)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0C7">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(APP 18-10-2023 Art.45)</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0C8">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(Art. 1 Reglamento de carrera docente 2023)</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0C9">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(Art. 1 Reglamento de ingreso permanencia y promoción del personal universitario)</w:t>
            </w:r>
          </w:p>
        </w:tc>
      </w:tr>
      <w:tr>
        <w:trPr>
          <w:cantSplit w:val="0"/>
          <w:trHeight w:val="64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0CA">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6</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0CB">
            <w:pPr>
              <w:spacing w:after="0"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UNCAus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0CC">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26% (CONEAU, 2022:25)</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0CD">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(Publiación Institucional 2023)</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0CE">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(Art 77 Reglamento de carrera docente 2017)</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0CF">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no (Art 88 y Art 89 Reglamento de carrera docente 2017)</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0D0">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s/d</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0D1">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no (RCIN 953)</w:t>
            </w:r>
          </w:p>
        </w:tc>
      </w:tr>
      <w:tr>
        <w:trPr>
          <w:cantSplit w:val="0"/>
          <w:trHeight w:val="45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0D2">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7</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0D3">
            <w:pPr>
              <w:spacing w:after="0"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UNChi</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0D4">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s/d</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0D5">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s/d</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0D6">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no (Publicación Institucional 2023)</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0D7">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no (Publicación Institucional 10-2023)</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0D8">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no (RCIN 953)</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0D9">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no (RCIN 953)</w:t>
            </w:r>
          </w:p>
        </w:tc>
      </w:tr>
      <w:tr>
        <w:trPr>
          <w:cantSplit w:val="0"/>
          <w:trHeight w:val="87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0DA">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8</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0DB">
            <w:pPr>
              <w:spacing w:after="0"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UNCo</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0DC">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67% (CONEAU, 2023:27)</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0DD">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(APP 21-06-2016 y APP 12-08-2016 )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0DE">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(Art 38 Estatuto - Luego adecuado en PP)</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0DF">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(Art 40 inciso c Estatuto)</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0E0">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w:t>
            </w:r>
            <w:r w:rsidDel="00000000" w:rsidR="00000000" w:rsidRPr="00000000">
              <w:rPr>
                <w:rFonts w:ascii="Times New Roman" w:cs="Times New Roman" w:eastAsia="Times New Roman" w:hAnsi="Times New Roman"/>
                <w:sz w:val="16"/>
                <w:szCs w:val="16"/>
                <w:rtl w:val="0"/>
              </w:rPr>
              <w:t xml:space="preserve">APP</w:t>
            </w:r>
            <w:r w:rsidDel="00000000" w:rsidR="00000000" w:rsidRPr="00000000">
              <w:rPr>
                <w:rFonts w:ascii="Times New Roman" w:cs="Times New Roman" w:eastAsia="Times New Roman" w:hAnsi="Times New Roman"/>
                <w:sz w:val="16"/>
                <w:szCs w:val="16"/>
                <w:rtl w:val="0"/>
              </w:rPr>
              <w:t xml:space="preserve"> 20-11-2015 y APP 8-3-2016)</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0E1">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w:t>
            </w:r>
            <w:r w:rsidDel="00000000" w:rsidR="00000000" w:rsidRPr="00000000">
              <w:rPr>
                <w:rFonts w:ascii="Times New Roman" w:cs="Times New Roman" w:eastAsia="Times New Roman" w:hAnsi="Times New Roman"/>
                <w:sz w:val="16"/>
                <w:szCs w:val="16"/>
                <w:rtl w:val="0"/>
              </w:rPr>
              <w:t xml:space="preserve">APP</w:t>
            </w:r>
            <w:r w:rsidDel="00000000" w:rsidR="00000000" w:rsidRPr="00000000">
              <w:rPr>
                <w:rFonts w:ascii="Times New Roman" w:cs="Times New Roman" w:eastAsia="Times New Roman" w:hAnsi="Times New Roman"/>
                <w:sz w:val="16"/>
                <w:szCs w:val="16"/>
                <w:rtl w:val="0"/>
              </w:rPr>
              <w:t xml:space="preserve"> 21-6-2016)</w:t>
            </w:r>
          </w:p>
        </w:tc>
      </w:tr>
      <w:tr>
        <w:trPr>
          <w:cantSplit w:val="0"/>
          <w:trHeight w:val="1171.87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0E2">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9</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0E3">
            <w:pPr>
              <w:spacing w:after="0"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UNC</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0E4">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55% (CONEAU, 2022:38)</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0E5">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(Art 73 </w:t>
            </w:r>
            <w:r w:rsidDel="00000000" w:rsidR="00000000" w:rsidRPr="00000000">
              <w:rPr>
                <w:rFonts w:ascii="Times New Roman" w:cs="Times New Roman" w:eastAsia="Times New Roman" w:hAnsi="Times New Roman"/>
                <w:sz w:val="16"/>
                <w:szCs w:val="16"/>
                <w:rtl w:val="0"/>
              </w:rPr>
              <w:t xml:space="preserve">clausula</w:t>
            </w:r>
            <w:r w:rsidDel="00000000" w:rsidR="00000000" w:rsidRPr="00000000">
              <w:rPr>
                <w:rFonts w:ascii="Times New Roman" w:cs="Times New Roman" w:eastAsia="Times New Roman" w:hAnsi="Times New Roman"/>
                <w:sz w:val="16"/>
                <w:szCs w:val="16"/>
                <w:rtl w:val="0"/>
              </w:rPr>
              <w:t xml:space="preserve"> transitoria Estatuto 2023)</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0E6">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(Art. 64 Estatuto 2023 )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0E7">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no (Art. 64 Estatuto 2023)</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0E8">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no (Según Art 14 CCT particular 2014, pero no se observa reglamentación al respecto)</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0E9">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no (CCT particular no dispone concurso cerrado para cargo de categoría equivalente)</w:t>
            </w:r>
          </w:p>
        </w:tc>
      </w:tr>
      <w:tr>
        <w:trPr>
          <w:cantSplit w:val="0"/>
          <w:trHeight w:val="63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0EA">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0EB">
            <w:pPr>
              <w:spacing w:after="0"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UNCu</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0EC">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"se </w:t>
            </w:r>
            <w:r w:rsidDel="00000000" w:rsidR="00000000" w:rsidRPr="00000000">
              <w:rPr>
                <w:rFonts w:ascii="Times New Roman" w:cs="Times New Roman" w:eastAsia="Times New Roman" w:hAnsi="Times New Roman"/>
                <w:sz w:val="16"/>
                <w:szCs w:val="16"/>
                <w:rtl w:val="0"/>
              </w:rPr>
              <w:t xml:space="preserve">regularizaría</w:t>
            </w:r>
            <w:r w:rsidDel="00000000" w:rsidR="00000000" w:rsidRPr="00000000">
              <w:rPr>
                <w:rFonts w:ascii="Times New Roman" w:cs="Times New Roman" w:eastAsia="Times New Roman" w:hAnsi="Times New Roman"/>
                <w:sz w:val="16"/>
                <w:szCs w:val="16"/>
                <w:rtl w:val="0"/>
              </w:rPr>
              <w:t xml:space="preserve"> el 70% de interinos puros" (CONEAU, 2015:32)</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0ED">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(APP 29-10-2014  y 18-11-2014)</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0EE">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(Art. 59 Estatuto 2013)</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0EF">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(Art. 61 Estatuto 2013)</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0F0">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(Artículo 49 Estatuto 2013)</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0F1">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no (RCIN 953)</w:t>
            </w:r>
          </w:p>
        </w:tc>
      </w:tr>
      <w:tr>
        <w:trPr>
          <w:cantSplit w:val="0"/>
          <w:trHeight w:val="84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0F2">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11</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0F3">
            <w:pPr>
              <w:spacing w:after="0"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UNA</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0F4">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s/d</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0F5">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s/d</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0F6">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(Art 55 Reglamento de Concursos)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0F7">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(Art 74 Reglamento de Concursos refiere a la vigencia del art 12 del CCT)</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0F8">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s/d</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0F9">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(Art 74 Reglamento de Concursos refiere a la vigencia del art 13 CCT)</w:t>
            </w:r>
          </w:p>
        </w:tc>
      </w:tr>
      <w:tr>
        <w:trPr>
          <w:cantSplit w:val="0"/>
          <w:trHeight w:val="31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0FA">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12</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0FB">
            <w:pPr>
              <w:spacing w:after="0"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UNER</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0FC">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s/d</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0FD">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(APP 27-10-2015 y OCS N° 256/15)</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0FE">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(Art 16 Reglamento carrera docente)</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0FF">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(Art 20 Reglamento carrera docente)</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00">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(Art 70 Reglamento carrera docente 2021)</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01">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(Art 65 Reglamento carrera docente)</w:t>
            </w:r>
          </w:p>
        </w:tc>
      </w:tr>
      <w:tr>
        <w:trPr>
          <w:cantSplit w:val="0"/>
          <w:trHeight w:val="19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02">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13</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03">
            <w:pPr>
              <w:spacing w:after="0"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UNF</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04">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18% (CONEAU, 2013:72)</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05">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(OCS 16-03-2022)</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06">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no (Art 30 Estatuto 2000)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07">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no (Art 30 b) Estatuto 2000)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08">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no (Art 30 c) Estatuto)</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09">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no (Art 1 Reglamento de concursos)</w:t>
            </w:r>
          </w:p>
        </w:tc>
      </w:tr>
      <w:tr>
        <w:trPr>
          <w:cantSplit w:val="0"/>
          <w:trHeight w:val="15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0A">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14</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0B">
            <w:pPr>
              <w:spacing w:after="0"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UNGS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0C">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s/d</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0D">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(APP 27-03-2019)</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0E">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(Art 107 y 117 Estatuto)</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0F">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(Art 1 OCS 28-10-2015)</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10">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(OCS 05-12-2019 y APP 15-03-2023 )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11">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s/d</w:t>
            </w:r>
          </w:p>
        </w:tc>
      </w:tr>
      <w:tr>
        <w:trPr>
          <w:cantSplit w:val="0"/>
          <w:trHeight w:val="31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12">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15</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13">
            <w:pPr>
              <w:spacing w:after="0"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UNPAZ</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14">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19% (CONEAU 2022:37)</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15">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s/d</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16">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(Art 27 y 30 Estatuto 2015)</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17">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s/d</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18">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s/d</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19">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s/d</w:t>
            </w:r>
          </w:p>
        </w:tc>
      </w:tr>
      <w:tr>
        <w:trPr>
          <w:cantSplit w:val="0"/>
          <w:trHeight w:val="1235.85937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1A">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16</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1B">
            <w:pPr>
              <w:spacing w:after="0"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UNJu</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1C">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s/d</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1D">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(OCS 13-05-2016)</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1E">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(Art 5 Reglamento carrera docente)</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1F">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(Art 13 Reglamento carrera docente)</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20">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(Art 4 Reglamento de carrera docente y Reglamento de designación de docentes suplentes 2019)</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21">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(Art 49 Estatuto)</w:t>
            </w:r>
          </w:p>
        </w:tc>
      </w:tr>
      <w:tr>
        <w:trPr>
          <w:cantSplit w:val="0"/>
          <w:trHeight w:val="58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22">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17</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23">
            <w:pPr>
              <w:spacing w:after="0"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UNLaM</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24">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s/d</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25">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no (RCIN 953)</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26">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no (Art 37 Estatuto 1994)</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27">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no (Art 37 Estatuto 1994)</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28">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no (RCIN 953)</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29">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no (RCIN 953)</w:t>
            </w:r>
          </w:p>
        </w:tc>
      </w:tr>
      <w:tr>
        <w:trPr>
          <w:cantSplit w:val="0"/>
          <w:trHeight w:val="75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2A">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18</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2B">
            <w:pPr>
              <w:spacing w:after="0"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UNLPam</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2C">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s/d</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2D">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(APP 07-12-2016)</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2E">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(Art 59 Estatuto)</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2F">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(Art 2 modificación del reglamento de carrera docente 2019)</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30">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no (APP 18-06-2019)</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31">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(APP 9-08-2019)</w:t>
            </w:r>
          </w:p>
        </w:tc>
      </w:tr>
      <w:tr>
        <w:trPr>
          <w:cantSplit w:val="0"/>
          <w:trHeight w:val="19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32">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19</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33">
            <w:pPr>
              <w:spacing w:after="0"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UNLP</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34">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s/d</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35">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(APP 16-12-2015)</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36">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(APP 16-12-2015)</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37">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(APP 16-12-2015)</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38">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no (RCIN 953)</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39">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s/d</w:t>
            </w:r>
          </w:p>
        </w:tc>
      </w:tr>
      <w:tr>
        <w:trPr>
          <w:cantSplit w:val="0"/>
          <w:trHeight w:val="70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3A">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3B">
            <w:pPr>
              <w:spacing w:after="0"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UNLR</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3C">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s/d</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3D">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(APP 28-07-2016)</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3E">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(Art 141 Estatuto)</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3F">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(Art 50 Régimen de carrera docente)</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40">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(Art 55 Régimen de carrera docente 2019)</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41">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(Art 54 Régimen de carrera docente)</w:t>
            </w:r>
          </w:p>
        </w:tc>
      </w:tr>
      <w:tr>
        <w:trPr>
          <w:cantSplit w:val="0"/>
          <w:trHeight w:val="31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42">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21</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43">
            <w:pPr>
              <w:spacing w:after="0"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UNLa</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44">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38% (CONEAU 2015:26)</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45">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s/d</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46">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(APP 10-12-2015)</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47">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(APP 10-12-2015)</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48">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no (APP 10-12-2015)</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49">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no (APP 10-12-2015)</w:t>
            </w:r>
          </w:p>
        </w:tc>
      </w:tr>
      <w:tr>
        <w:trPr>
          <w:cantSplit w:val="0"/>
          <w:trHeight w:val="22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4A">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22</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4B">
            <w:pPr>
              <w:spacing w:after="0"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UNL</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4C">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s/d</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4D">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(APP 29-03-2016)</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4E">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(Art 8 Estatuto 2013)</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4F">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s/d</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50">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s/d</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51">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no (RCIN 953)</w:t>
            </w:r>
          </w:p>
        </w:tc>
      </w:tr>
      <w:tr>
        <w:trPr>
          <w:cantSplit w:val="0"/>
          <w:trHeight w:val="878.9062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52">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23</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53">
            <w:pPr>
              <w:spacing w:after="0"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UNLZ</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54">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Se observa un "bajo porcentaje de docentes concursados" (CONEAU 2007:64)</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55">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no (RCIN 953)</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56">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no (Art 18 y 36 Estatuto 2019)</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57">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no (Art 18 y 36 Estatuto 2019)</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58">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no (RCIN 953)</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59">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no (RCIN 953)</w:t>
            </w:r>
          </w:p>
        </w:tc>
      </w:tr>
      <w:tr>
        <w:trPr>
          <w:cantSplit w:val="0"/>
          <w:trHeight w:val="112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5A">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24</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5B">
            <w:pPr>
              <w:spacing w:after="0"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UNLu</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5C">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s/d actuales. En 1998 "se observaban problemas con la realización de concursos" (CONEAU, 1998)</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5D">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(APP 16-03-2016)</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5E">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(Art 17 Reglamento carrera docente)</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5F">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(Art 20 Reglamento carrera docente)</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60">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no (RCIN 953)</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61">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s/d</w:t>
            </w:r>
          </w:p>
        </w:tc>
      </w:tr>
      <w:tr>
        <w:trPr>
          <w:cantSplit w:val="0"/>
          <w:trHeight w:val="73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62">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25</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63">
            <w:pPr>
              <w:spacing w:after="0"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UNMDP</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64">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54% (CONEAU, 2019:42)</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65">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(APP 13-09-2016)</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66">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(Art 63 del reglamento de carrera docente 1993)</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67">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(Art 74 del reglamento de carrera docente 1993)</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68">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(APP 31-08-2020)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69">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(APP 16-08-2019)</w:t>
            </w:r>
          </w:p>
        </w:tc>
      </w:tr>
      <w:tr>
        <w:trPr>
          <w:cantSplit w:val="0"/>
          <w:trHeight w:val="54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6A">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26</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6B">
            <w:pPr>
              <w:spacing w:after="0"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UNM</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6C">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56% (CONEAU 2017:37)</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6D">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(Prensa 2012)</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6E">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(Art 74 Estatuto)</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6F">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(Art 19 del Reglamento de carrera docente)</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70">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(Art 20 Reglamento de carrera docente 2017)</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71">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no (RCD 2023-11-03)</w:t>
            </w:r>
          </w:p>
        </w:tc>
      </w:tr>
      <w:tr>
        <w:trPr>
          <w:cantSplit w:val="0"/>
          <w:trHeight w:val="63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72">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27</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73">
            <w:pPr>
              <w:spacing w:after="0"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UNMo</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74">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15% (CONEAU 2019:39)</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75">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s/d</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76">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(Art 72 Estatuto)</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77">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(Art 41 Reglamento de concursos)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78">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no (Art 39 Reglamento general docente)</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79">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no (Art 72 Estatuto)</w:t>
            </w:r>
          </w:p>
        </w:tc>
      </w:tr>
      <w:tr>
        <w:trPr>
          <w:cantSplit w:val="0"/>
          <w:trHeight w:val="99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7A">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28</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7B">
            <w:pPr>
              <w:spacing w:after="0"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UNNE</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7C">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71% (CONEAU, 2022:43)</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7D">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(OCS 16-12-2015)</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7E">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(Art 74 Estatuto 2010 y Art 84 Ordenanza carrera docente 2009)</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7F">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no (Art 95 Ordenanza de carrera docente 2009)</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80">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(APP 29-03-2023)</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81">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(APP 29-03-2023)</w:t>
            </w:r>
          </w:p>
        </w:tc>
      </w:tr>
      <w:tr>
        <w:trPr>
          <w:cantSplit w:val="0"/>
          <w:trHeight w:val="58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82">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29</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83">
            <w:pPr>
              <w:spacing w:after="0"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UNNOBA</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84">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s/d</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85">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no (RCIN 953)</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86">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no (Art 30 Estatuto 2018)</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87">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no (Art 30 Estatuto 2018)</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88">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no (RCIN 953)</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89">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no (RCIN 953)</w:t>
            </w:r>
          </w:p>
        </w:tc>
      </w:tr>
      <w:tr>
        <w:trPr>
          <w:cantSplit w:val="0"/>
          <w:trHeight w:val="30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8A">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30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8B">
            <w:pPr>
              <w:spacing w:after="0"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UNO</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8C">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s/d</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8D">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s/d</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8E">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(Art 70 Estatuto)</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8F">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s/d</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90">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s/d</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91">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s/d</w:t>
            </w:r>
          </w:p>
        </w:tc>
      </w:tr>
      <w:tr>
        <w:trPr>
          <w:cantSplit w:val="0"/>
          <w:trHeight w:val="420.937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92">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31</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93">
            <w:pPr>
              <w:spacing w:after="0"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UNPA</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94">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60% (CONEAU, 2019:38)</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95">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(APP 14-12-2016)</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96">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(Art 96 Estatuto)</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97">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(CONEAU 2019:41)</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98">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(OCS 17-06-2014 y OCS 15-08-2014)</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99">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(CONEAU 2019:44)</w:t>
            </w:r>
          </w:p>
        </w:tc>
      </w:tr>
      <w:tr>
        <w:trPr>
          <w:cantSplit w:val="0"/>
          <w:trHeight w:val="82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9A">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32</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9B">
            <w:pPr>
              <w:spacing w:after="0"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UNPSJB</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9C">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12% (CONEAU 1998:194)</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9D">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s/d</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9E">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(Art 25 Estatuto)</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9F">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(Cap 5 Régimen de carrera académica)</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A0">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no (Cap 6 reglamento de carrera académica 2012)</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A1">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s/d</w:t>
            </w:r>
          </w:p>
        </w:tc>
      </w:tr>
      <w:tr>
        <w:trPr>
          <w:cantSplit w:val="0"/>
          <w:trHeight w:val="75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A2">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33</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A3">
            <w:pPr>
              <w:spacing w:after="0"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UNQ</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A4">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40% (CONEAU, 2009:24)</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A5">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(OCS 05-04-2017)</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A6">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(Art 27 y 28 Estatuto)</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A7">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(Art 27 Estatuto)</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A8">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no (Cap 2 reglamento para la planta básica docente 2023)</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A9">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no (No implementa la categoría de auxiliar)</w:t>
            </w:r>
          </w:p>
        </w:tc>
      </w:tr>
      <w:tr>
        <w:trPr>
          <w:cantSplit w:val="0"/>
          <w:trHeight w:val="559.92187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AA">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34</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AB">
            <w:pPr>
              <w:spacing w:after="0"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UNRC</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AC">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s/d</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AD">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(OCS 25-04-2016)</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AE">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(Art 44 y 54 Estatuto)</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AF">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(Art 18 Régimen general de la carrera docente)</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B0">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(APP 22-08-2019)</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B1">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s/d</w:t>
            </w:r>
          </w:p>
        </w:tc>
      </w:tr>
      <w:tr>
        <w:trPr>
          <w:cantSplit w:val="0"/>
          <w:trHeight w:val="45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B2">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35</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B3">
            <w:pPr>
              <w:spacing w:after="0"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UNRN</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B4">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27% (CONEAU 2017:31)</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B5">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no (RCIN 953)</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B6">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(Art 50 Reglamento de carrera académica 2021)</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B7">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(Art 59 Reglamento de carrera académica 2021)</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B8">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no (Art 43 Reglamento de carrera académica)</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B9">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(Art 65 Reglamento de carrera académica)</w:t>
            </w:r>
          </w:p>
        </w:tc>
      </w:tr>
      <w:tr>
        <w:trPr>
          <w:cantSplit w:val="0"/>
          <w:trHeight w:val="578.9062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BA">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36</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BB">
            <w:pPr>
              <w:spacing w:after="0"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UNR</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BC">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50% (CONEAU, 2020:33)</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BD">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(OCS 14-09-2015)</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BE">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(Art 60 Estatuto 2007)</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BF">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(Art 62 Reglamento para la evaluación de la carrera docente 2019)</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C0">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no (RCIN 953)</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C1">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no (Art 60 Estatuto)</w:t>
            </w:r>
          </w:p>
        </w:tc>
      </w:tr>
      <w:tr>
        <w:trPr>
          <w:cantSplit w:val="0"/>
          <w:trHeight w:val="40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C2">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37</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C3">
            <w:pPr>
              <w:spacing w:after="0"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UNSal</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C4">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s/d</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C5">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no (RCIN 953)</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C6">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(Art 57 Estatuto 2023)</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C7">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(Art 62 inciso g Estatuto 2023)</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C8">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(Art 59 Estatuto 2023)</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C9">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(Art 58 Estatuto)</w:t>
            </w:r>
          </w:p>
        </w:tc>
      </w:tr>
      <w:tr>
        <w:trPr>
          <w:cantSplit w:val="0"/>
          <w:trHeight w:val="52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CA">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38</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CB">
            <w:pPr>
              <w:spacing w:after="0"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UNSJ</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CC">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34% (CONEAU, 2015:33)</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CD">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(APP 29-06-2018, 24-08-2018 y 15-03-2019)</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CE">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(Art 127 Estatuto)</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CF">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(Art 35 Reglamento de carrera docente)</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D0">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(Art 6 Reglamento de carrera docente 2018)</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D1">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(Art 20 Reglamento de carrera docente)</w:t>
            </w:r>
          </w:p>
        </w:tc>
      </w:tr>
      <w:tr>
        <w:trPr>
          <w:cantSplit w:val="0"/>
          <w:trHeight w:val="76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D2">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39</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D3">
            <w:pPr>
              <w:spacing w:after="0"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UNSL</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D4">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s/d</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D5">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(OCS 31-03-2015 )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D6">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(Art 37 Estatuto 2018)</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D7">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(Art 37 Estatuto 2018)</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D8">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(OCS 31-03-2015 y Art 41 Estatuto)</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D9">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(Art 35 Estatuto reformado)</w:t>
            </w:r>
          </w:p>
        </w:tc>
      </w:tr>
      <w:tr>
        <w:trPr>
          <w:cantSplit w:val="0"/>
          <w:trHeight w:val="1132.9687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DA">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40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DB">
            <w:pPr>
              <w:spacing w:after="0"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UNSAM</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DC">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33% (CONEAU 2014:42)</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DD">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(OCS 133/2015)</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DE">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(Art 21 Estatuto 2020)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DF">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no (Art 30 Reglamento de evaluación de los docentes ordinarios 2006)</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E0">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no (RCIN 953)</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E1">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s/d</w:t>
            </w:r>
          </w:p>
        </w:tc>
      </w:tr>
      <w:tr>
        <w:trPr>
          <w:cantSplit w:val="0"/>
          <w:trHeight w:val="76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E2">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41</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E3">
            <w:pPr>
              <w:spacing w:after="0"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UNSE</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E4">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58% (CONEAU, 2018:27)</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E5">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(OCS 25-06-2015)</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E6">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(Art 79 Estatuto 2013)</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E7">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no (Art 16 Reglamento de carrera docente 2012)</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E8">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(Art 14 y 16 Reglamento de carrera docente 2012)</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E9">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no (Art 92 y 76 Estatuto)</w:t>
            </w:r>
          </w:p>
        </w:tc>
      </w:tr>
      <w:tr>
        <w:trPr>
          <w:cantSplit w:val="0"/>
          <w:trHeight w:val="69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EA">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42</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EB">
            <w:pPr>
              <w:spacing w:after="0"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UNS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EC">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76% (CONEAU, 2012:34)</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ED">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(APP 15-09-2017, 21-11-2017, APP 04-10-2022)</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EE">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(Art 17 Estatuto 2010)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EF">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no (Art 17 Estatuto 2010)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F0">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no (APP s/f)</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F1">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(APP 28-04-2016)</w:t>
            </w:r>
          </w:p>
        </w:tc>
      </w:tr>
      <w:tr>
        <w:trPr>
          <w:cantSplit w:val="0"/>
          <w:trHeight w:val="405.937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F2">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43</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F3">
            <w:pPr>
              <w:spacing w:after="0"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UTN</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F4">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19% (CONEAU, 2022:28)</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F5">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(APP 09-05-2018 y 04-04-2019)</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F6">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(Art 29 Estatuto)</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F7">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(Art 6 Reglamento de carrera académica)</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F8">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(OCS 14-06-2023)</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F9">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no (Art 2 Reglamento de concursos de auxiliares)</w:t>
            </w:r>
          </w:p>
        </w:tc>
      </w:tr>
      <w:tr>
        <w:trPr>
          <w:cantSplit w:val="0"/>
          <w:trHeight w:val="405.937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FA">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44</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FB">
            <w:pPr>
              <w:spacing w:after="0"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UNTDF</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FC">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36% (</w:t>
            </w:r>
            <w:r w:rsidDel="00000000" w:rsidR="00000000" w:rsidRPr="00000000">
              <w:rPr>
                <w:rFonts w:ascii="Times New Roman" w:cs="Times New Roman" w:eastAsia="Times New Roman" w:hAnsi="Times New Roman"/>
                <w:sz w:val="16"/>
                <w:szCs w:val="16"/>
                <w:rtl w:val="0"/>
              </w:rPr>
              <w:t xml:space="preserve">P109</w:t>
            </w:r>
            <w:r w:rsidDel="00000000" w:rsidR="00000000" w:rsidRPr="00000000">
              <w:rPr>
                <w:rFonts w:ascii="Times New Roman" w:cs="Times New Roman" w:eastAsia="Times New Roman" w:hAnsi="Times New Roman"/>
                <w:sz w:val="16"/>
                <w:szCs w:val="16"/>
                <w:rtl w:val="0"/>
              </w:rPr>
              <w:t xml:space="preserve">:5; </w:t>
            </w:r>
            <w:r w:rsidDel="00000000" w:rsidR="00000000" w:rsidRPr="00000000">
              <w:rPr>
                <w:rFonts w:ascii="Times New Roman" w:cs="Times New Roman" w:eastAsia="Times New Roman" w:hAnsi="Times New Roman"/>
                <w:sz w:val="16"/>
                <w:szCs w:val="16"/>
                <w:rtl w:val="0"/>
              </w:rPr>
              <w:t xml:space="preserve">P138</w:t>
            </w:r>
            <w:r w:rsidDel="00000000" w:rsidR="00000000" w:rsidRPr="00000000">
              <w:rPr>
                <w:rFonts w:ascii="Times New Roman" w:cs="Times New Roman" w:eastAsia="Times New Roman" w:hAnsi="Times New Roman"/>
                <w:sz w:val="16"/>
                <w:szCs w:val="16"/>
                <w:rtl w:val="0"/>
              </w:rPr>
              <w:t xml:space="preserve">:1)</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FD">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(APP 01-03-2016)</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FE">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(Art 3 Reglamento de carrera docente)</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1FF">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(Art 15 Reglamento de carrera docente)</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200">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(Art 31 Reglamento de carrera docente 2019)</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201">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(Art 24 Reglamento de carrera docente)</w:t>
            </w:r>
          </w:p>
        </w:tc>
      </w:tr>
      <w:tr>
        <w:trPr>
          <w:cantSplit w:val="0"/>
          <w:trHeight w:val="40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202">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45</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203">
            <w:pPr>
              <w:spacing w:after="0"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UNTREF</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204">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14% (MinCyt 2021:43)</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205">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no (RCIN 953)</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206">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no (Art 81 Estatuto 2016)</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207">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no (Art 81 Estatuto 2016)</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208">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s/d</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209">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s/d</w:t>
            </w:r>
          </w:p>
        </w:tc>
      </w:tr>
      <w:tr>
        <w:trPr>
          <w:cantSplit w:val="0"/>
          <w:trHeight w:val="852.89062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20A">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46</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20B">
            <w:pPr>
              <w:spacing w:after="0"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UNT</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20C">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s/d</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20D">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(APP 17-11-2015)</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20E">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(Art 1 Procedimiento para la evaluación periódica del personal docente 2023)</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20F">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(Art 15 Procedimiento para la evaluación periódica del personal docente 2023)</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210">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(APP 19-04-2018)</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211">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(OCS 04-95-2015)</w:t>
            </w:r>
          </w:p>
        </w:tc>
      </w:tr>
      <w:tr>
        <w:trPr>
          <w:cantSplit w:val="0"/>
          <w:trHeight w:val="66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212">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47</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213">
            <w:pPr>
              <w:spacing w:after="0"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UNVM</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214">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67% (CONEAU, 2023:45)</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215">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(OCS 2017)</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216">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(Art 3 Régimen de carrera y concursos docentes)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217">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(Art 4 Régimen de carrera y concursos docentes)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218">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s/d</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219">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(Art 43 Régimen de carrera y concursos docentes)</w:t>
            </w:r>
          </w:p>
        </w:tc>
      </w:tr>
      <w:tr>
        <w:trPr>
          <w:cantSplit w:val="0"/>
          <w:trHeight w:val="34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21A">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48</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21B">
            <w:pPr>
              <w:spacing w:after="0"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UNViMe</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21C">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s/d</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21D">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(APP 11-3-16)</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21E">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(Art 5 Régimen de carrera docente)</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21F">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(Art 39 Régimen de carrera docente)</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220">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(RR 2019)</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221">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 (Art 24 Estatuto)</w:t>
            </w:r>
          </w:p>
        </w:tc>
      </w:tr>
    </w:tbl>
    <w:p w:rsidR="00000000" w:rsidDel="00000000" w:rsidP="00000000" w:rsidRDefault="00000000" w:rsidRPr="00000000" w14:paraId="00000222">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223">
      <w:pPr>
        <w:spacing w:after="120" w:line="240" w:lineRule="auto"/>
        <w:ind w:left="0" w:firstLine="0"/>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*RCIN: Resolución del Comité Ejecutivo del CIN. APP: Acta paritaria particular. P: Artículo de prensa. OCS: Ordenanza de Consejo Superior</w:t>
      </w:r>
    </w:p>
    <w:sectPr>
      <w:headerReference r:id="rId7" w:type="default"/>
      <w:footerReference r:id="rId8" w:type="default"/>
      <w:pgSz w:h="16838" w:w="11906" w:orient="portrait"/>
      <w:pgMar w:bottom="1843" w:top="2410" w:left="1701" w:right="1701" w:header="284"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25">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5400040" cy="428625"/>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400040" cy="428625"/>
                  </a:xfrm>
                  <a:prstGeom prst="rect"/>
                  <a:ln/>
                </pic:spPr>
              </pic:pic>
            </a:graphicData>
          </a:graphic>
        </wp:inline>
      </w:drawing>
    </w:r>
    <w:r w:rsidDel="00000000" w:rsidR="00000000" w:rsidRPr="00000000">
      <w:rPr>
        <w:rtl w:val="0"/>
      </w:rPr>
    </w:r>
  </w:p>
  <w:p w:rsidR="00000000" w:rsidDel="00000000" w:rsidP="00000000" w:rsidRDefault="00000000" w:rsidRPr="00000000" w14:paraId="00000226">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24">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2617939" cy="1091320"/>
          <wp:effectExtent b="0" l="0" r="0" t="0"/>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2617939" cy="109132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s_419"/>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wJSwAfhKYSQcd8tCMOp8tduVEg==">CgMxLjAaHwoBMBIaChgICVIUChJ0YWJsZS5mcndwN3hsMWd1NnU4AHIhMVJEZW5QUTZuX2taMWo5cV9mblhEWDktM1ZJb2tiMklD</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