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04397C"/>
    <w:p w14:paraId="1DABD42B" w14:textId="4AA3F450" w:rsidR="001923DC" w:rsidRPr="0004397C" w:rsidRDefault="00341AE6" w:rsidP="0004397C">
      <w:pPr>
        <w:jc w:val="center"/>
        <w:rPr>
          <w:b/>
          <w:bCs/>
        </w:rPr>
      </w:pPr>
      <w:r w:rsidRPr="0004397C">
        <w:rPr>
          <w:b/>
          <w:bCs/>
        </w:rPr>
        <w:t>El orden objetivo del trabajo docente universitario: una lectura desde el primer año en la Universidad Nacional del Sur.</w:t>
      </w:r>
    </w:p>
    <w:p w14:paraId="43C49479" w14:textId="77777777" w:rsidR="005F3B2E" w:rsidRPr="00BA642E" w:rsidRDefault="005F3B2E" w:rsidP="0004397C"/>
    <w:p w14:paraId="4E738780" w14:textId="7F397AD8" w:rsidR="005F3B2E" w:rsidRDefault="004C5D82" w:rsidP="0004397C">
      <w:pPr>
        <w:jc w:val="right"/>
      </w:pPr>
      <w:r>
        <w:t>Pérez Millán, Cecilia</w:t>
      </w:r>
    </w:p>
    <w:p w14:paraId="591EFF9E" w14:textId="2201F84D" w:rsidR="0077634F" w:rsidRPr="00BA642E" w:rsidRDefault="0077634F" w:rsidP="0004397C">
      <w:pPr>
        <w:jc w:val="right"/>
      </w:pPr>
      <w:r w:rsidRPr="0077634F">
        <w:t>Departamento de Ciencias de la Educación,</w:t>
      </w:r>
    </w:p>
    <w:p w14:paraId="6C2AECCA" w14:textId="0D2603D8" w:rsidR="005F3B2E" w:rsidRPr="00BA642E" w:rsidRDefault="004C5D82" w:rsidP="0004397C">
      <w:pPr>
        <w:jc w:val="right"/>
      </w:pPr>
      <w:r>
        <w:t>Universidad Nacional del Sur</w:t>
      </w:r>
    </w:p>
    <w:p w14:paraId="7D0026CD" w14:textId="37E51007" w:rsidR="005F3B2E" w:rsidRPr="00BA642E" w:rsidRDefault="004C5D82" w:rsidP="0004397C">
      <w:pPr>
        <w:jc w:val="right"/>
      </w:pPr>
      <w:r>
        <w:t>cperezmillan@uns.edu.ar</w:t>
      </w:r>
    </w:p>
    <w:p w14:paraId="1FA0F857" w14:textId="77777777" w:rsidR="005F3B2E" w:rsidRPr="00BA642E" w:rsidRDefault="005F3B2E" w:rsidP="0004397C">
      <w:pPr>
        <w:jc w:val="right"/>
      </w:pPr>
    </w:p>
    <w:p w14:paraId="38F9BAFB" w14:textId="77777777" w:rsidR="0077634F" w:rsidRPr="0077634F" w:rsidRDefault="0077634F" w:rsidP="0004397C">
      <w:pPr>
        <w:jc w:val="right"/>
      </w:pPr>
      <w:r w:rsidRPr="0077634F">
        <w:t xml:space="preserve">Walker, Verónica </w:t>
      </w:r>
    </w:p>
    <w:p w14:paraId="5F86F2FE" w14:textId="77777777" w:rsidR="0077634F" w:rsidRPr="0077634F" w:rsidRDefault="0077634F" w:rsidP="0004397C">
      <w:pPr>
        <w:jc w:val="right"/>
      </w:pPr>
      <w:r w:rsidRPr="0077634F">
        <w:t xml:space="preserve">Departamento de Ciencias de la Educación, </w:t>
      </w:r>
    </w:p>
    <w:p w14:paraId="5724E2DF" w14:textId="77777777" w:rsidR="0077634F" w:rsidRPr="0077634F" w:rsidRDefault="0077634F" w:rsidP="0004397C">
      <w:pPr>
        <w:jc w:val="right"/>
      </w:pPr>
      <w:r w:rsidRPr="0077634F">
        <w:t xml:space="preserve">Universidad Nacional del Sur </w:t>
      </w:r>
    </w:p>
    <w:p w14:paraId="3CAC774D" w14:textId="3D2074BB" w:rsidR="005F3B2E" w:rsidRDefault="0077634F" w:rsidP="0004397C">
      <w:pPr>
        <w:jc w:val="right"/>
      </w:pPr>
      <w:r w:rsidRPr="0077634F">
        <w:t>veronica.walker@uns.edu.ar</w:t>
      </w:r>
    </w:p>
    <w:p w14:paraId="6D1B549C" w14:textId="77777777" w:rsidR="004C5D82" w:rsidRPr="00BA642E" w:rsidRDefault="004C5D82" w:rsidP="0004397C"/>
    <w:p w14:paraId="0BCCEBD7" w14:textId="249F21E1" w:rsidR="00341AE6" w:rsidRPr="00341AE6" w:rsidRDefault="00341AE6" w:rsidP="0004397C">
      <w:r w:rsidRPr="00341AE6">
        <w:rPr>
          <w:b/>
          <w:bCs/>
        </w:rPr>
        <w:t>Resumen:</w:t>
      </w:r>
      <w:r w:rsidRPr="00341AE6">
        <w:t xml:space="preserve"> El presente trabajo forma parte de una investigación más amplia que tiene como objetivo general comprender la configuración del trabajo docente universitario (TDU) en el primer año de las carreras de grado de la Universidad Nacional del Sur (UNS). Desde una perspectiva relacional que considera la realidad en su doble dimensión objetiva y subjetiva, en este escrito se describe el orden objetivo en el que se inscribe el ejercicio del TDU en la UNS, entendido en términos de la estructura de cargos docentes, su distribución y características. Para ello, se analiza la composición del plantel docente de las asignaturas de primer año de la UNS en relación con las tendencias históricas y rasgos recientes del sistema universitario argentino. Metodológicamente, se recurre al análisis de documentos normativos que regulan la función docente en la UNS y de fuentes estadísticas oficiales de la Subsecretaría de Políticas Universitarias y del nivel institucional del caso estudiado. Se recuperó información proporcionada por los anuarios estadísticos institucionales y se sistematizaron datos provenientes del sistema CUBOS y del SIU-</w:t>
      </w:r>
      <w:proofErr w:type="gramStart"/>
      <w:r w:rsidRPr="00341AE6">
        <w:t>Guaraní</w:t>
      </w:r>
      <w:proofErr w:type="gramEnd"/>
      <w:r w:rsidRPr="00341AE6">
        <w:t xml:space="preserve"> que permite desagregar información estadística sobre el plantel docente de primer año, subgrupo habitualmente invisibilizado. Los resultados en el caso de la UNS muestran una intensificación de la tendencia ya presente para el conjunto de las universidades nacionales: la expansión sostenida de la matrícula estudiantil que no se corresponde proporcionalmente con el crecimiento del plantel docente. En el marco de la estructura organizativa departamental de la UNS, el primer año se configura como un espacio transversal de vinculación de las distintas unidades académicas a través del ejercicio de la función docente en las denominadas “asignaturas de servicio”. El análisis evidencia que dicho tramo concentra la mayor cantidad de inscripciones, presenta altos niveles de masividad, especialmente en asignaturas básicas compartidas entre diversas carreras, muestra la centralidad de ciertas unidades académicas en cuanto al dictado de asignaturas básicas, la concentración de estudiantes en un conjunto reducido de asignaturas y la predominancia de formas de designación docente temporarias y caracterizadas por la baja dedicación horaria lo que conlleva el desempeño docente en múltiples cargos o situaciones laborales de pluriempleo. Estos elementos configuran </w:t>
      </w:r>
      <w:r w:rsidRPr="00341AE6">
        <w:lastRenderedPageBreak/>
        <w:t>condiciones específicas para el ejercicio del TDU en el tramo inicial de la formación universitaria, asociadas a procesos de intensificación del trabajo que son indagados desde una perspectiva cualitativa en la investigación general que enmarca este trabajo. Este escrito busca visibilizar las condiciones estructurales que organizan el TDU en el primer año y pretende contribuir con su problematización como objeto de estudio en el campo de la educación superior.</w:t>
      </w:r>
    </w:p>
    <w:p w14:paraId="4F805FEF" w14:textId="77777777" w:rsidR="00341AE6" w:rsidRPr="00341AE6" w:rsidRDefault="00341AE6" w:rsidP="0004397C">
      <w:r w:rsidRPr="00341AE6">
        <w:rPr>
          <w:b/>
          <w:bCs/>
        </w:rPr>
        <w:t>Palabras clave</w:t>
      </w:r>
      <w:r w:rsidRPr="00341AE6">
        <w:t>: trabajo docente universitario, primer año, condiciones estructurales</w:t>
      </w:r>
    </w:p>
    <w:p w14:paraId="0AED42F2" w14:textId="46DA057F" w:rsidR="00341AE6" w:rsidRPr="00341AE6" w:rsidRDefault="00341AE6" w:rsidP="0004397C">
      <w:r w:rsidRPr="00341AE6">
        <w:t xml:space="preserve"> </w:t>
      </w:r>
    </w:p>
    <w:p w14:paraId="1B43FD84" w14:textId="2B275D54" w:rsidR="00341AE6" w:rsidRDefault="00341AE6" w:rsidP="0004397C"/>
    <w:p w14:paraId="763B3CD5" w14:textId="77777777" w:rsidR="00341AE6" w:rsidRDefault="00341AE6" w:rsidP="0004397C">
      <w:r>
        <w:br w:type="page"/>
      </w:r>
    </w:p>
    <w:p w14:paraId="7D8A48F9" w14:textId="77777777" w:rsidR="00047564" w:rsidRPr="00047564" w:rsidRDefault="00047564" w:rsidP="0004397C">
      <w:r w:rsidRPr="00047564">
        <w:lastRenderedPageBreak/>
        <w:t xml:space="preserve">La presente ponencia muestra un recorte de una investigación doctoral sobre el trabajo docente universitario (TDU) en el primer año de las trayectorias estudiantiles. La investigación tiene como objetivo general comprender las configuraciones del trabajo docente en el primer año en la Universidad Nacional del Sur, Bahía Blanca, Argentina. </w:t>
      </w:r>
    </w:p>
    <w:p w14:paraId="3D1E7942" w14:textId="77777777" w:rsidR="00047564" w:rsidRPr="00047564" w:rsidRDefault="00047564" w:rsidP="0004397C">
      <w:r w:rsidRPr="00047564">
        <w:t xml:space="preserve">El abordaje del objeto de estudio se realiza desde una perspectiva bourdiana, considerando la doble realidad de lo social, objetiva y subjetiva (Bourdieu, 2007), considerando las condiciones objetivas que estructuran las prácticas de los docentes así como los sentidos que atribuyen a sus prácticas. En este marco, el TDU es comprendido como una práctica que se desarrolla en un campo académico estructurado por relaciones de fuerza, posiciones y disputas específicas (Bourdieu, 2008). En esta oportunidad, el escrito presenta un análisis descriptivo de las condiciones objetivas que configuran el TDU en asignaturas de primer año, en términos de la estructura de cargos docentes y su relación con la matrícula estudiantil.  </w:t>
      </w:r>
    </w:p>
    <w:p w14:paraId="551EBC1B" w14:textId="14CE1E9D" w:rsidR="00047564" w:rsidRPr="00047564" w:rsidRDefault="00047564" w:rsidP="0004397C">
      <w:r w:rsidRPr="00047564">
        <w:t>El TDU en el primer año presenta características específicas que lo diferencian de su ejercicio en otros tramos de las carreras. Sin embargo, estas particularidades permanecen parcialmente invisibilizadas en las formas institucionales de registro almacenadas en diversas bases de datos de los sistemas de información universitaria (SIU). La investigación se circunscribe al ciclo lectivo 2024, período seleccionado como recorte temporal para reconstruir la configuración del trabajo docente en el primer año de la Universidad Nacional del Sur. La selección de dicho año se debe a que la Universidad Nacional del Sur implementa una modificación en la instancia de ingreso, pasando del dispositivo de nivelación al actual sistema de Acompañamiento a las Trayectorias Iniciales</w:t>
      </w:r>
      <w:r w:rsidR="00613A73">
        <w:fldChar w:fldCharType="begin"/>
      </w:r>
      <w:r w:rsidR="00613A73">
        <w:instrText xml:space="preserve"> ADDIN ZOTERO_ITEM CSL_CITATION {"citationID":"cAa0G17j","properties":{"unsorted":false,"formattedCitation":"(Universidad Nacional del Sur, 2023)","plainCitation":"(Universidad Nacional del Sur, 2023)","noteIndex":0},"citationItems":[{"id":500,"uris":["http://zotero.org/users/11246937/items/LGES39JV"],"itemData":{"id":500,"type":"document","citation-key":"universidadnacionaldelsurPROGRAMAACOMPANAMIENTOTRAYECTORIAS2023","genre":"Normativa del Digesto","title":"PROGRAMA DE ACOMPAÑAMIENTO A LAS TRAYECTORIAS INICIALES (ATI) DEROGA CSU-510/13 y CSU-627/22","URL":"https://apps.uns.edu.ar/digesto-consultas/bof/digesto_bof_tematico_resu.php","author":[{"family":"Universidad Nacional del Sur","given":""}],"issued":{"date-parts":[["2023",11]]}}}],"schema":"https://github.com/citation-style-language/schema/raw/master/csl-citation.json"} </w:instrText>
      </w:r>
      <w:r w:rsidR="00613A73">
        <w:fldChar w:fldCharType="separate"/>
      </w:r>
      <w:r w:rsidR="00613A73" w:rsidRPr="00613A73">
        <w:t>(Universidad Nacional del Sur, 2023)</w:t>
      </w:r>
      <w:r w:rsidR="00613A73">
        <w:fldChar w:fldCharType="end"/>
      </w:r>
      <w:r w:rsidRPr="00047564">
        <w:t>. Este momento resulta significativo para analizar el primer año universitario, en tanto constituye una etapa de transformación institucional de las políticas orientadas al acompañamiento de los estudiantes en el inicio de sus trayectorias académicas. El recorte del año 2024 permite, entonces, reconstruir la configuración del TDU en un período atravesado por cambios en la organización institucional del primer tramo universitario. A partir de este período se relevaron las asignaturas, inscripciones, cargos y dedicaciones docentes correspondientes al primer año de las carreras de grado, articulando información proveniente de distintas fuentes institucionales.</w:t>
      </w:r>
    </w:p>
    <w:p w14:paraId="3DFD8A6A" w14:textId="77777777" w:rsidR="00047564" w:rsidRPr="0004397C" w:rsidRDefault="00047564" w:rsidP="0004397C">
      <w:pPr>
        <w:rPr>
          <w:b/>
          <w:bCs/>
        </w:rPr>
      </w:pPr>
      <w:r w:rsidRPr="0004397C">
        <w:rPr>
          <w:b/>
          <w:bCs/>
        </w:rPr>
        <w:t xml:space="preserve">1 </w:t>
      </w:r>
      <w:proofErr w:type="gramStart"/>
      <w:r w:rsidRPr="0004397C">
        <w:rPr>
          <w:b/>
          <w:bCs/>
        </w:rPr>
        <w:t>Perspectiva</w:t>
      </w:r>
      <w:proofErr w:type="gramEnd"/>
      <w:r w:rsidRPr="0004397C">
        <w:rPr>
          <w:b/>
          <w:bCs/>
        </w:rPr>
        <w:t xml:space="preserve"> teórico-metodológica</w:t>
      </w:r>
    </w:p>
    <w:p w14:paraId="42B3DAD3" w14:textId="77777777" w:rsidR="00047564" w:rsidRPr="0004397C" w:rsidRDefault="00047564" w:rsidP="0004397C">
      <w:pPr>
        <w:rPr>
          <w:b/>
          <w:bCs/>
        </w:rPr>
      </w:pPr>
      <w:r w:rsidRPr="0004397C">
        <w:rPr>
          <w:b/>
          <w:bCs/>
        </w:rPr>
        <w:t xml:space="preserve">1.1 El TDU en el primer año como objeto de investigación </w:t>
      </w:r>
    </w:p>
    <w:p w14:paraId="08DEB416" w14:textId="4D837BFF" w:rsidR="00047564" w:rsidRPr="00047564" w:rsidRDefault="00047564" w:rsidP="0004397C">
      <w:r w:rsidRPr="00047564">
        <w:t xml:space="preserve">El ingreso a la universidad constituye una etapa de transición y un tramo crítico de la trayectoria estudiantil, cuestión sobre la que existe consenso a nivel internacional </w:t>
      </w:r>
      <w:r w:rsidR="00613A73">
        <w:fldChar w:fldCharType="begin"/>
      </w:r>
      <w:r w:rsidR="00613A73">
        <w:instrText xml:space="preserve"> ADDIN ZOTERO_ITEM CSL_CITATION {"citationID":"q7GrBtgc","properties":{"unsorted":false,"formattedCitation":"(Ezcurra et\\uc0\\u160{}al., 2011)","plainCitation":"(Ezcurra et al., 2011)","noteIndex":0},"citationItems":[{"id":503,"uris":["http://zotero.org/users/11246937/items/5LV4MPFU"],"itemData":{"id":503,"type":"book","abstract":"Masificación o excelencia; examen de ingreso o ingreso irrestricto, son disyuntivas simplificadoras de una realidad que supera con creces lo que pueden explicar los términos antagónicos que dominan el debate. Complejizar la cuestión es lo que este libro se propone. Producto de un proyecto de investigación desarrollado con apoyo de la Agencia Nacional de Investigación Científica y Tecnológica, ahonda en los sutiles mecanismos de selectividad social que aún, y pese a los esfuerzos realizados por las instituciones, perduran y opacan la democratización del acceso a la universidad. A través de un estudio de caso nos preguntamos: ¿en qué medida son las propias instituciones, sus dinámicas, las estrategias que implementan y sus culturas académicas las que aportan a la selectividad social? O, por el contrario, ¿la selectividad social opera por sobre y más allá de las actuaciones institucionales? La investigación ha mostrado la convergencia de diversos factores cuya eficacia sólo se comprende de manera interrelacionada, los que producen la pervivencia de una desigualdad cultural socialmente condicionada, presente y silenciosa en los dispositivos escolares aún bajo los nuevos propósitos de inclusión escolar.","citation-key":"ezcurraAdmisionUniversidadSelectividad2011","ISBN":"978-987-630-098-8","language":"spa","license":"info:eu-repo/semantics/openAccess","note":"Accepted: 2021-11-26T16:54:24Z","publisher":"Universidad Nacional de General Sarmiento","source":"repositorio.ungs.edu.ar:8080","title":"Admisión a la universidad y selectividad social : cuando la democratización es más que un problema de ingresos","title-short":"Admisión a la universidad y selectividad social","URL":"http://repositorio.ungs.edu.ar:8080/xmlui/handle/UNGS/837","author":[{"family":"Ezcurra","given":"Ana María"},{"family":"Feeney","given":"Silvina"},{"family":"Grandoli","given":"María Eugenia"},{"family":"Marquina","given":"Mónica"},{"family":"Pegasano","given":"Eduardo"},{"family":"Rosica","given":"Miriam"},{"family":"Sosa","given":"Yesica"}],"accessed":{"date-parts":[["2026",5,7]]},"issued":{"date-parts":[["2011"]]}}}],"schema":"https://github.com/citation-style-language/schema/raw/master/csl-citation.json"} </w:instrText>
      </w:r>
      <w:r w:rsidR="00613A73">
        <w:fldChar w:fldCharType="separate"/>
      </w:r>
      <w:r w:rsidR="00613A73" w:rsidRPr="00613A73">
        <w:rPr>
          <w:kern w:val="0"/>
        </w:rPr>
        <w:t>(Ezcurra et </w:t>
      </w:r>
      <w:proofErr w:type="spellStart"/>
      <w:r w:rsidR="00613A73" w:rsidRPr="00613A73">
        <w:rPr>
          <w:kern w:val="0"/>
        </w:rPr>
        <w:t>al</w:t>
      </w:r>
      <w:proofErr w:type="spellEnd"/>
      <w:r w:rsidR="00613A73" w:rsidRPr="00613A73">
        <w:rPr>
          <w:kern w:val="0"/>
        </w:rPr>
        <w:t>., 2011)</w:t>
      </w:r>
      <w:r w:rsidR="00613A73">
        <w:fldChar w:fldCharType="end"/>
      </w:r>
      <w:r w:rsidRPr="00047564">
        <w:t xml:space="preserve">. El campo de estudios sobre los inicios de la vida universitaria da cuenta de la complejidad de ese momento fundacional en la biografía de los sujetos, que trasciende la idea de un cambio de rutina o un mero pasaje institucional </w:t>
      </w:r>
      <w:r w:rsidR="00E07916">
        <w:fldChar w:fldCharType="begin"/>
      </w:r>
      <w:r w:rsidR="00E07916">
        <w:instrText xml:space="preserve"> ADDIN ZOTERO_ITEM CSL_CITATION {"citationID":"mlU6fv7G","properties":{"unsorted":false,"formattedCitation":"(Garc\\uc0\\u237{}a y Sotelo, 2025)","plainCitation":"(García y Sotelo, 2025)","noteIndex":0},"citationItems":[{"id":623,"uris":["http://zotero.org/users/11246937/items/3BF2VPLG"],"itemData":{"id":623,"type":"article-journal","abstract":"Este ensayo analiza la consolidación del campo de estudios sobre los inicios de la vida universitaria en Argentina, proponiendo como un marco conceptual superador a la noción tradicional de \"ingreso\". En primer lugar, se reconstruye este campo a partir de cuatro dimensiones analíticas clave: las políticas de acceso, la articulación entre niveles, el acompañamiento pedagógico y la apropiación de la cultura académica. En segundo lugar, y frente a la complejidad de este objeto de estudio, se argumenta que los abordajes disciplinares aislados son insuficientes. En este marco, se presenta y analiza el caso de la \"Red de Estudios sobre los Inicios a la Vida Universitaria\" (REIVU) como un modelo metodológico de conocimiento colaborativo en red. Se concluye que esta forma de trabajo federal y transdisciplinaria es una herramienta epistemológica potente para producir un saber socialmente pertinente y robusto sobre el acceso y la permanencia en la educación superior.","citation-key":"garcia2025","container-title":"Revista de Estudios Teóricos y Epistemológicos en Política Educativa","DOI":"10.5212/retepe.v.10.25343.011","ISSN":"24093696","issue":"2025","journalAbbreviation":"retepe","page":"1-10","source":"DOI.org (Crossref)","title":"El campo de los inicios de la vida universitaria en Argentina: Aportes para su consolidación conceptual y su abordaje metodológico en red","title-short":"El campo de los inicios de la vida universitaria en Argentina","URL":"https://revistas.uepg.br/index.php/retepe/article/view/25343","volume":"10","author":[{"family":"García","given":"Pablo"},{"family":"Sotelo","given":"Lucrecia Agustina"}],"accessed":{"date-parts":[["2026",7,1]]},"issued":{"date-parts":[["2025",11,7]]}}}],"schema":"https://github.com/citation-style-language/schema/raw/master/csl-citation.json"} </w:instrText>
      </w:r>
      <w:r w:rsidR="00E07916">
        <w:fldChar w:fldCharType="separate"/>
      </w:r>
      <w:r w:rsidR="00E07916" w:rsidRPr="00E07916">
        <w:rPr>
          <w:kern w:val="0"/>
        </w:rPr>
        <w:t>(García y Sotelo, 2025)</w:t>
      </w:r>
      <w:r w:rsidR="00E07916">
        <w:fldChar w:fldCharType="end"/>
      </w:r>
      <w:r w:rsidRPr="00047564">
        <w:t xml:space="preserve">. Coulon </w:t>
      </w:r>
      <w:r w:rsidR="00E07916">
        <w:fldChar w:fldCharType="begin"/>
      </w:r>
      <w:r w:rsidR="00E07916">
        <w:instrText xml:space="preserve"> ADDIN ZOTERO_ITEM CSL_CITATION {"citationID":"i2Dxazwa","properties":{"unsorted":false,"formattedCitation":"(1995)","plainCitation":"(1995)","noteIndex":0},"citationItems":[{"id":513,"uris":["http://zotero.org/users/11246937/items/BB2937ID"],"itemData":{"id":513,"type":"book","citation-key":"coulonEtnometodologiaEducacion1995","ISBN":"84-493-0171-8","original-publisher":"Presses Universitarires de France","original-publisher-place":"París","publisher":"Paidós Educador","publisher-place":"Buenos Aires","title":"Etnometodología y educación","author":[{"family":"Coulon,","given":"Alain"}],"issued":{"date-parts":[["1995"]]}},"suppress-author":true}],"schema":"https://github.com/citation-style-language/schema/raw/master/csl-citation.json"} </w:instrText>
      </w:r>
      <w:r w:rsidR="00E07916">
        <w:fldChar w:fldCharType="separate"/>
      </w:r>
      <w:r w:rsidR="00E07916" w:rsidRPr="00E07916">
        <w:t>(1995)</w:t>
      </w:r>
      <w:r w:rsidR="00E07916">
        <w:fldChar w:fldCharType="end"/>
      </w:r>
      <w:r w:rsidRPr="00047564">
        <w:t xml:space="preserve"> fue pionero en describir que, para el estudiantado, este tránsito implica pasar por tiempos de extrañeza y aprendizaje para alcanzar finalmente la afiliación institucional e intelectual. Carli </w:t>
      </w:r>
      <w:r w:rsidR="00E07916">
        <w:fldChar w:fldCharType="begin"/>
      </w:r>
      <w:r w:rsidR="00E07916">
        <w:instrText xml:space="preserve"> ADDIN ZOTERO_ITEM CSL_CITATION {"citationID":"iHB8WAdf","properties":{"unsorted":false,"formattedCitation":"(2024)","plainCitation":"(2024)","noteIndex":0},"citationItems":[{"id":613,"uris":["http://zotero.org/users/11246937/items/E6JT27AI"],"itemData":{"id":613,"type":"book","citation-key":"carliFronterasUniversidadPublica2024","ISBN":"978-950-29-2048-1","publisher":"IIGG-CLACSO","title":"Las Fronteras de la Universidad Pública","URL":"https://biblioteca-repositorio.clacso.edu.ar/bitstream/CLACSO/252547/1/Las-fronteras-Universidad.pdf","author":[{"family":"Carli","given":"Sandra"}],"issued":{"date-parts":[["2024"]]}},"suppress-author":true}],"schema":"https://github.com/citation-style-language/schema/raw/master/csl-citation.json"} </w:instrText>
      </w:r>
      <w:r w:rsidR="00E07916">
        <w:fldChar w:fldCharType="separate"/>
      </w:r>
      <w:r w:rsidR="00E07916" w:rsidRPr="00E07916">
        <w:t>(2024)</w:t>
      </w:r>
      <w:r w:rsidR="00E07916">
        <w:fldChar w:fldCharType="end"/>
      </w:r>
      <w:r w:rsidRPr="00047564">
        <w:t xml:space="preserve"> señala que esto consiste en el dominio de las reglas y códigos, muchas veces implícitos, de la cultura académica. La investigación sobre el ingreso se ha centrado en el perfil del estudiante o en sus déficits (falta de hábitos de estudio, capital cultural insuficiente), lo que Ezcurra </w:t>
      </w:r>
      <w:r w:rsidR="00E07916">
        <w:fldChar w:fldCharType="begin"/>
      </w:r>
      <w:r w:rsidR="00E07916">
        <w:instrText xml:space="preserve"> ADDIN ZOTERO_ITEM CSL_CITATION {"citationID":"UjGwDEUv","properties":{"unsorted":false,"formattedCitation":"(2011)","plainCitation":"(2011)","noteIndex":0},"citationItems":[{"id":503,"uris":["http://zotero.org/users/11246937/items/5LV4MPFU"],"itemData":{"id":503,"type":"book","abstract":"Masificación o excelencia; examen de ingreso o ingreso irrestricto, son disyuntivas simplificadoras de una realidad que supera con creces lo que pueden explicar los términos antagónicos que dominan el debate. Complejizar la cuestión es lo que este libro se propone. Producto de un proyecto de investigación desarrollado con apoyo de la Agencia Nacional de Investigación Científica y Tecnológica, ahonda en los sutiles mecanismos de selectividad social que aún, y pese a los esfuerzos realizados por las instituciones, perduran y opacan la democratización del acceso a la universidad. A través de un estudio de caso nos preguntamos: ¿en qué medida son las propias instituciones, sus dinámicas, las estrategias que implementan y sus culturas académicas las que aportan a la selectividad social? O, por el contrario, ¿la selectividad social opera por sobre y más allá de las actuaciones institucionales? La investigación ha mostrado la convergencia de diversos factores cuya eficacia sólo se comprende de manera interrelacionada, los que producen la pervivencia de una desigualdad cultural socialmente condicionada, presente y silenciosa en los dispositivos escolares aún bajo los nuevos propósitos de inclusión escolar.","citation-key":"ezcurraAdmisionUniversidadSelectividad2011","ISBN":"978-987-630-098-8","language":"spa","license":"info:eu-repo/semantics/openAccess","note":"Accepted: 2021-11-26T16:54:24Z","publisher":"Universidad Nacional de General Sarmiento","source":"repositorio.ungs.edu.ar:8080","title":"Admisión a la universidad y selectividad social : cuando la democratización es más que un problema de ingresos","title-short":"Admisión a la universidad y selectividad social","URL":"http://repositorio.ungs.edu.ar:8080/xmlui/handle/UNGS/837","author":[{"family":"Ezcurra","given":"Ana María"},{"family":"Feeney","given":"Silvina"},{"family":"Grandoli","given":"María Eugenia"},{"family":"Marquina","given":"Mónica"},{"family":"Pegasano","given":"Eduardo"},{"family":"Rosica","given":"Miriam"},{"family":"Sosa","given":"Yesica"}],"accessed":{"date-parts":[["2026",5,7]]},"issued":{"date-parts":[["2011"]]}},"suppress-author":true}],"schema":"https://github.com/citation-style-language/schema/raw/master/csl-citation.json"} </w:instrText>
      </w:r>
      <w:r w:rsidR="00E07916">
        <w:fldChar w:fldCharType="separate"/>
      </w:r>
      <w:r w:rsidR="00E07916" w:rsidRPr="00E07916">
        <w:t>(2011)</w:t>
      </w:r>
      <w:r w:rsidR="00E07916">
        <w:fldChar w:fldCharType="end"/>
      </w:r>
      <w:r w:rsidRPr="00047564">
        <w:t xml:space="preserve"> define </w:t>
      </w:r>
      <w:r w:rsidRPr="00047564">
        <w:lastRenderedPageBreak/>
        <w:t xml:space="preserve">como una visión causal encubridora que resguarda el </w:t>
      </w:r>
      <w:proofErr w:type="spellStart"/>
      <w:r w:rsidRPr="00047564">
        <w:t>status</w:t>
      </w:r>
      <w:proofErr w:type="spellEnd"/>
      <w:r w:rsidRPr="00047564">
        <w:t xml:space="preserve"> quo institucional. Tinto </w:t>
      </w:r>
      <w:r w:rsidR="00E07916">
        <w:fldChar w:fldCharType="begin"/>
      </w:r>
      <w:r w:rsidR="00E07916">
        <w:instrText xml:space="preserve"> ADDIN ZOTERO_ITEM CSL_CITATION {"citationID":"ATGCkcZD","properties":{"unsorted":false,"formattedCitation":"(2009)","plainCitation":"(2009)","noteIndex":0},"citationItems":[{"id":548,"uris":["http://zotero.org/users/11246937/items/IKKDSD3A"],"itemData":{"id":548,"type":"article-journal","citation-key":"tintoTakingStudentRetention2009","language":"en","source":"Zotero","title":"Taking Student Retention Seriously: Rethinking the First Year of University","author":[{"family":"Tinto","given":"Vincent"}],"issued":{"date-parts":[["2009"]]}},"suppress-author":true}],"schema":"https://github.com/citation-style-language/schema/raw/master/csl-citation.json"} </w:instrText>
      </w:r>
      <w:r w:rsidR="00E07916">
        <w:fldChar w:fldCharType="separate"/>
      </w:r>
      <w:r w:rsidR="00E07916" w:rsidRPr="00E07916">
        <w:t>(2009)</w:t>
      </w:r>
      <w:r w:rsidR="00E07916">
        <w:fldChar w:fldCharType="end"/>
      </w:r>
      <w:r w:rsidRPr="00047564">
        <w:t xml:space="preserve"> sostiene que el aula ha sido olvidada en las teorías sobre deserción, siendo este lugar de extrema relevancia en donde se juega el proceso de afiliación. Este autor señala como central enfocarse en el profesorado para abordar las cuestiones relativas al tramo inicial de las trayectorias del estudiantado. Para el estudiante ingresante, el profesor de primer año representa el principal referente de la institución</w:t>
      </w:r>
      <w:r w:rsidR="00E07916">
        <w:t xml:space="preserve"> </w:t>
      </w:r>
      <w:r w:rsidR="00E07916">
        <w:fldChar w:fldCharType="begin"/>
      </w:r>
      <w:r w:rsidR="00E07916">
        <w:instrText xml:space="preserve"> ADDIN ZOTERO_ITEM CSL_CITATION {"citationID":"9EjGcAKf","properties":{"unsorted":false,"formattedCitation":"(Pierella, 2018)","plainCitation":"(Pierella, 2018)","noteIndex":0},"citationItems":[{"id":614,"uris":["http://zotero.org/users/11246937/items/5SLGP2IX"],"itemData":{"id":614,"type":"article-journal","citation-key":"pierella100AnosReforma2018","container-title":"TRAYECTORIAS UNIVERSITARIAS","ISSN":"2469-0090","issue":"6","page":"16-22","title":"A 100 años de la reforma: desafíos de la enseñanza en los primeros años de la universidad.","URL":"http://revistas.unlp.edu.ar/TrayectoriasUniversitarias","volume":"4","author":[{"family":"Pierella","given":"María Paula"}],"issued":{"date-parts":[["2018"]]}}}],"schema":"https://github.com/citation-style-language/schema/raw/master/csl-citation.json"} </w:instrText>
      </w:r>
      <w:r w:rsidR="00E07916">
        <w:fldChar w:fldCharType="separate"/>
      </w:r>
      <w:r w:rsidR="00E07916" w:rsidRPr="00E07916">
        <w:t>(</w:t>
      </w:r>
      <w:proofErr w:type="spellStart"/>
      <w:r w:rsidR="00E07916" w:rsidRPr="00E07916">
        <w:t>Pierella</w:t>
      </w:r>
      <w:proofErr w:type="spellEnd"/>
      <w:r w:rsidR="00E07916" w:rsidRPr="00E07916">
        <w:t>, 2018)</w:t>
      </w:r>
      <w:r w:rsidR="00E07916">
        <w:fldChar w:fldCharType="end"/>
      </w:r>
      <w:r w:rsidRPr="00047564">
        <w:t xml:space="preserve">. </w:t>
      </w:r>
      <w:proofErr w:type="spellStart"/>
      <w:r w:rsidRPr="00047564">
        <w:t>Pierella</w:t>
      </w:r>
      <w:proofErr w:type="spellEnd"/>
      <w:r w:rsidRPr="00047564">
        <w:t xml:space="preserve"> </w:t>
      </w:r>
      <w:r w:rsidR="00E07916">
        <w:fldChar w:fldCharType="begin"/>
      </w:r>
      <w:r w:rsidR="00E07916">
        <w:instrText xml:space="preserve"> ADDIN ZOTERO_ITEM CSL_CITATION {"citationID":"AR5fAiEg","properties":{"unsorted":false,"formattedCitation":"(2014)","plainCitation":"(2014)","noteIndex":0},"citationItems":[{"id":17,"uris":["http://zotero.org/users/11246937/items/Z3R5TLLH"],"itemData":{"id":17,"type":"article-journal","citation-key":"pierellaIngresoUniversidadPublica2014","container-title":"Universidades","issue":"60","page":"51–62","title":"El ingreso a la universidad pública: diversificación de la experiencia estudiantil y procesos de afiliación a la vida institucional","author":[{"family":"Pierella","given":"María Paula"}],"issued":{"date-parts":[["2014"]]}},"suppress-author":true}],"schema":"https://github.com/citation-style-language/schema/raw/master/csl-citation.json"} </w:instrText>
      </w:r>
      <w:r w:rsidR="00E07916">
        <w:fldChar w:fldCharType="separate"/>
      </w:r>
      <w:r w:rsidR="00E07916" w:rsidRPr="00E07916">
        <w:t>(2014)</w:t>
      </w:r>
      <w:r w:rsidR="00E07916">
        <w:fldChar w:fldCharType="end"/>
      </w:r>
      <w:r w:rsidRPr="00047564">
        <w:t xml:space="preserve"> describe aquella figura del "buen docente" (aquel que sabe y sabe enseñar) que opera como un lazo que sostiene la permanencia, mientras que prácticas indiferentes o expulsivas debilitan la afiliación. Sin embargo, a pesar de la centralidad pedagógica del profesorado en los inicios de la vida universitaria, las particularidades que asume su tarea suelen permanecer invisibilizadas a nivel institucional.</w:t>
      </w:r>
    </w:p>
    <w:p w14:paraId="62AF64E4" w14:textId="45AC96D5" w:rsidR="00047564" w:rsidRPr="00047564" w:rsidRDefault="00047564" w:rsidP="0004397C">
      <w:r w:rsidRPr="00047564">
        <w:t xml:space="preserve">El TDU constituye una práctica social heterogénea que se configura en función de una particular posición en el espacio universitario y se despliega en condiciones materiales y simbólicas desiguales </w:t>
      </w:r>
      <w:r w:rsidR="00E07916">
        <w:fldChar w:fldCharType="begin"/>
      </w:r>
      <w:r w:rsidR="00E07916">
        <w:instrText xml:space="preserve"> ADDIN ZOTERO_ITEM CSL_CITATION {"citationID":"pwYKaQNO","properties":{"unsorted":false,"formattedCitation":"(Walker, 2016)","plainCitation":"(Walker, 2016)","noteIndex":0},"citationItems":[{"id":31,"uris":["http://zotero.org/users/11246937/items/YQKQDX2N"],"itemData":{"id":31,"type":"article-journal","citation-key":"walkerTrabajoDocenteUniversidad2016","container-title":"Perfiles educativos","issue":"153","page":"105–119","publisher":"Universidad Nacional Autónoma de México, Instituto de Investigaciones sobre …","title":"El trabajo docente en la universidad: condiciones, dimensiones y tensiones","volume":"38","author":[{"family":"Walker","given":"Verónica Soledad"}],"issued":{"date-parts":[["2016"]]}}}],"schema":"https://github.com/citation-style-language/schema/raw/master/csl-citation.json"} </w:instrText>
      </w:r>
      <w:r w:rsidR="00E07916">
        <w:fldChar w:fldCharType="separate"/>
      </w:r>
      <w:r w:rsidR="00E07916" w:rsidRPr="00E07916">
        <w:t>(Walker, 2016)</w:t>
      </w:r>
      <w:r w:rsidR="00E07916">
        <w:fldChar w:fldCharType="end"/>
      </w:r>
      <w:r w:rsidRPr="00047564">
        <w:t>. El TDU en asignaturas de primer año supone una complejidad no siempre reconocida en el ámbito de las instituciones, en sus formas de regulación y registro del trabajo académico. Los sistemas de información tienden a homogeneizar la docencia universitaria, ocultando las diferencias vinculadas con la matrícula, las complejidad y condiciones concretas de enseñanza en las asignaturas de primer año. Por ello, el abordaje de este objeto de estudio requiere primeramente de un ejercicio de reconstrucción analítica de la trama de posiciones que configuran el campo en el que se inscribe el TDU. A continuación, se detalla la estrategia metodológica utilizada para capturar esta dimensión objetiva, articulando fuentes estadísticas que permitieron delimitar y visibilizar la estructura del plantel docente de primer año en la UNS.</w:t>
      </w:r>
    </w:p>
    <w:p w14:paraId="0BBB1A05" w14:textId="77777777" w:rsidR="00047564" w:rsidRPr="0004397C" w:rsidRDefault="00047564" w:rsidP="0004397C">
      <w:pPr>
        <w:rPr>
          <w:b/>
          <w:bCs/>
        </w:rPr>
      </w:pPr>
      <w:r w:rsidRPr="0004397C">
        <w:rPr>
          <w:b/>
          <w:bCs/>
        </w:rPr>
        <w:t>1.2 Reconstruir el orden objetivo del TDU</w:t>
      </w:r>
    </w:p>
    <w:p w14:paraId="23E1E0CC" w14:textId="3B7F3E64" w:rsidR="00047564" w:rsidRPr="00047564" w:rsidRDefault="00047564" w:rsidP="0004397C">
      <w:r w:rsidRPr="00047564">
        <w:t xml:space="preserve">La reconstrucción del orden objetivo del TDU implica analizar la estructura de cargos docentes en relación con las unidades académicas, jerarquías y distribuciones que condicionan y organizan el TDU las prácticas de los docentes. Desde la perspectiva bourdiana el hecho no se limita a ser constatado, sino que se conquista, construye y comprueba </w:t>
      </w:r>
      <w:r w:rsidR="00E07916">
        <w:fldChar w:fldCharType="begin"/>
      </w:r>
      <w:r w:rsidR="00E07916">
        <w:instrText xml:space="preserve"> ADDIN ZOTERO_ITEM CSL_CITATION {"citationID":"yHhYIIkE","properties":{"unsorted":false,"formattedCitation":"(Bourdieu et\\uc0\\u160{}al., 2002)","plainCitation":"(Bourdieu et al., 2002)","noteIndex":0},"citationItems":[{"id":478,"uris":["http://zotero.org/users/11246937/items/KVU2J7DQ"],"itemData":{"id":478,"type":"book","citation-key":"bourdieuOficioSociologo2002","original-publisher":"Ecole Pratique des Hautes Etudes","publisher":"Siglo XXI","publisher-place":"Buenos Aires","title":"El oficio del sociólogo","author":[{"family":"Bourdieu","given":"Pierre"},{"family":"Chamboredon","given":"Jean-Claude"},{"family":"Passeron","given":"Jean-Claude"}],"issued":{"date-parts":[["2002"]]}}}],"schema":"https://github.com/citation-style-language/schema/raw/master/csl-citation.json"} </w:instrText>
      </w:r>
      <w:r w:rsidR="00E07916">
        <w:fldChar w:fldCharType="separate"/>
      </w:r>
      <w:r w:rsidR="00E07916" w:rsidRPr="00E07916">
        <w:rPr>
          <w:kern w:val="0"/>
        </w:rPr>
        <w:t>(Bourdieu et al., 2002)</w:t>
      </w:r>
      <w:r w:rsidR="00E07916">
        <w:fldChar w:fldCharType="end"/>
      </w:r>
      <w:r w:rsidRPr="00047564">
        <w:t xml:space="preserve">. Las estadísticas institucionales oficiales (como el SIU-Mapuche) homogeneizan el TDU en categorías administrativas (cargos y dedicaciones), produciendo una invisibilización estadística del tramo inicial, ya que no indica cuál es la asignatura donde se desempeña ese cargo como tampoco permite conocer la matrícula estudiantil de dicha asignatura. Esta ausencia de una categoría específica para el primer año es, en sí misma, un rasgo del orden objetivo. Como sostiene Bourdieu </w:t>
      </w:r>
      <w:r w:rsidR="00E07916">
        <w:fldChar w:fldCharType="begin"/>
      </w:r>
      <w:r w:rsidR="00E07916">
        <w:instrText xml:space="preserve"> ADDIN ZOTERO_ITEM CSL_CITATION {"citationID":"X3Y1xlEK","properties":{"unsorted":false,"formattedCitation":"(2002)","plainCitation":"(2002)","noteIndex":0},"citationItems":[{"id":478,"uris":["http://zotero.org/users/11246937/items/KVU2J7DQ"],"itemData":{"id":478,"type":"book","citation-key":"bourdieuOficioSociologo2002","original-publisher":"Ecole Pratique des Hautes Etudes","publisher":"Siglo XXI","publisher-place":"Buenos Aires","title":"El oficio del sociólogo","author":[{"family":"Bourdieu","given":"Pierre"},{"family":"Chamboredon","given":"Jean-Claude"},{"family":"Passeron","given":"Jean-Claude"}],"issued":{"date-parts":[["2002"]]}},"suppress-author":true}],"schema":"https://github.com/citation-style-language/schema/raw/master/csl-citation.json"} </w:instrText>
      </w:r>
      <w:r w:rsidR="00E07916">
        <w:fldChar w:fldCharType="separate"/>
      </w:r>
      <w:r w:rsidR="00E07916" w:rsidRPr="00E07916">
        <w:t>(2002)</w:t>
      </w:r>
      <w:r w:rsidR="00E07916">
        <w:fldChar w:fldCharType="end"/>
      </w:r>
      <w:r w:rsidRPr="00047564">
        <w:t xml:space="preserve">, el punto de vista crea el objeto; por ello, el primer año no fue tomado como una realidad inmediatamente accesible, sino que fue construido analíticamente. Se produjo así el pasaje del individuo empírico (el docente visto por su nombre o cargo) al individuo epistémico o construido </w:t>
      </w:r>
      <w:r w:rsidR="00E07916">
        <w:fldChar w:fldCharType="begin"/>
      </w:r>
      <w:r w:rsidR="00E07916">
        <w:instrText xml:space="preserve"> ADDIN ZOTERO_ITEM CSL_CITATION {"citationID":"igS2DYvx","properties":{"unsorted":false,"formattedCitation":"(Bourdieu, 2008)","plainCitation":"(Bourdieu, 2008)","noteIndex":0},"citationItems":[{"id":488,"uris":["http://zotero.org/users/11246937/items/FTSQ9NMT"],"itemData":{"id":488,"type":"book","citation-key":"bourdieu2008homo","ISBN":"978-987-629-028-9","note":"citation-key: bourdieu2008homo","publisher":"Siglo XXI Editores","publisher-place":"Buenos Aires","title":"Homo academicus","author":[{"family":"Bourdieu","given":"Pierre"}],"issued":{"date-parts":[["2008"]]}}}],"schema":"https://github.com/citation-style-language/schema/raw/master/csl-citation.json"} </w:instrText>
      </w:r>
      <w:r w:rsidR="00E07916">
        <w:fldChar w:fldCharType="separate"/>
      </w:r>
      <w:r w:rsidR="00E07916" w:rsidRPr="00E07916">
        <w:t>(Bourdieu, 2008)</w:t>
      </w:r>
      <w:r w:rsidR="00E07916">
        <w:fldChar w:fldCharType="end"/>
      </w:r>
      <w:r w:rsidRPr="00047564">
        <w:t xml:space="preserve">, definido exclusivamente por su posición en un sistema de diferencias teóricas, señalando cargos, dedicaciones y tramo de desempeño. Por otro lado se recabaron las asignaturas de los planes de estudio, las matrículas de </w:t>
      </w:r>
      <w:proofErr w:type="gramStart"/>
      <w:r w:rsidRPr="00047564">
        <w:t>las mismas</w:t>
      </w:r>
      <w:proofErr w:type="gramEnd"/>
      <w:r w:rsidRPr="00047564">
        <w:t xml:space="preserve">, y las particularidades de las unidades académicas que forman parte de la institución. Esta construcción permite objetivar el campo universitario revelando, como </w:t>
      </w:r>
      <w:r w:rsidRPr="00047564">
        <w:lastRenderedPageBreak/>
        <w:t>se verá más adelante, que el primer año se sostiene fundamentalmente sobre una estructura de cargos de bajas categorías y dedicaciones.</w:t>
      </w:r>
    </w:p>
    <w:p w14:paraId="2B79C7AE" w14:textId="77777777" w:rsidR="00047564" w:rsidRPr="00047564" w:rsidRDefault="00047564" w:rsidP="0004397C">
      <w:r w:rsidRPr="00047564">
        <w:t>La reconstrucción del orden objetivo del TDU en el primer año requirió una estrategia de articulación de fuentes heterogéneas, dado que la institución no posee una categoría estadística predefinida para este tramo. Para ello, se utilizaron los sistemas de gestión vigentes en la Universidad Nacional del Sur (UNS):</w:t>
      </w:r>
    </w:p>
    <w:p w14:paraId="79EE2251" w14:textId="723F237F" w:rsidR="00047564" w:rsidRPr="0077634F" w:rsidRDefault="00047564" w:rsidP="0004397C">
      <w:pPr>
        <w:pStyle w:val="Prrafodelista"/>
        <w:numPr>
          <w:ilvl w:val="0"/>
          <w:numId w:val="4"/>
        </w:numPr>
      </w:pPr>
      <w:r w:rsidRPr="0077634F">
        <w:t xml:space="preserve">SIU Guaraní </w:t>
      </w:r>
      <w:r w:rsidR="00E07916">
        <w:fldChar w:fldCharType="begin"/>
      </w:r>
      <w:r w:rsidR="0004397C">
        <w:instrText xml:space="preserve"> ADDIN ZOTERO_ITEM CSL_CITATION {"citationID":"BJrLXGrK","properties":{"unsorted":false,"formattedCitation":"(Universidad Nacional del Sur, s.\\uc0\\u160{}f.-c)","plainCitation":"(Universidad Nacional del Sur, s. f.-c)","noteIndex":0},"citationItems":[{"id":515,"uris":["http://zotero.org/users/11246937/items/9WP59SGU"],"itemData":{"id":515,"type":"webpage","citation-key":"universidadnacionaldelsurSIUGuaraniComisionesCursado","title":"SIU-Guaraní-Comisiones de cursado","URL":"https://g3w.uns.edu.ar/guarani3w/comisiones_publica","author":[{"family":"Universidad Nacional del Sur","given":""}]}}],"schema":"https://github.com/citation-style-language/schema/raw/master/csl-citation.json"} </w:instrText>
      </w:r>
      <w:r w:rsidR="00E07916">
        <w:fldChar w:fldCharType="separate"/>
      </w:r>
      <w:r w:rsidR="0004397C" w:rsidRPr="0004397C">
        <w:rPr>
          <w:kern w:val="0"/>
        </w:rPr>
        <w:t>(Universidad Nacional del Sur, s. f.-c)</w:t>
      </w:r>
      <w:r w:rsidR="00E07916">
        <w:fldChar w:fldCharType="end"/>
      </w:r>
      <w:r w:rsidRPr="0077634F">
        <w:t xml:space="preserve">: Se empleó para identificar las comisiones de las asignaturas, la nómina de docentes asignados y la cantidad de inscriptos efectivos. Se determinó que la matrícula relevante no es solo la de los "ingresantes", sino la de las inscripciones efectivas, que incluyen a estudiantes </w:t>
      </w:r>
      <w:proofErr w:type="spellStart"/>
      <w:r w:rsidRPr="0077634F">
        <w:t>recursantes</w:t>
      </w:r>
      <w:proofErr w:type="spellEnd"/>
      <w:r w:rsidRPr="0077634F">
        <w:t xml:space="preserve"> </w:t>
      </w:r>
    </w:p>
    <w:p w14:paraId="3FA781E6" w14:textId="54D1B1C0" w:rsidR="00047564" w:rsidRPr="0077634F" w:rsidRDefault="00047564" w:rsidP="0004397C">
      <w:pPr>
        <w:pStyle w:val="Prrafodelista"/>
        <w:numPr>
          <w:ilvl w:val="0"/>
          <w:numId w:val="4"/>
        </w:numPr>
      </w:pPr>
      <w:r w:rsidRPr="0077634F">
        <w:t>Página web de la UNS</w:t>
      </w:r>
      <w:r w:rsidR="00E07916">
        <w:fldChar w:fldCharType="begin"/>
      </w:r>
      <w:r w:rsidR="00E07916">
        <w:instrText xml:space="preserve"> ADDIN ZOTERO_ITEM CSL_CITATION {"citationID":"yaAg93hC","properties":{"unsorted":false,"formattedCitation":"(Universidad Nacional del Sur, s.\\uc0\\u160{}f.-a)","plainCitation":"(Universidad Nacional del Sur, s. f.-a)","noteIndex":0},"citationItems":[{"id":516,"uris":["http://zotero.org/users/11246937/items/NLMRS88Y"],"itemData":{"id":516,"type":"webpage","citation-key":"universidadnacionaldelsurPortalDatosUNS","title":"Portal de Datos UNS","URL":"https://datos.uns.edu.ar/eportal/web/guest;jsessionid=A8ED77638E80F7862C890308CC817F4C","author":[{"family":"Universidad Nacional del Sur","given":""}]}}],"schema":"https://github.com/citation-style-language/schema/raw/master/csl-citation.json"} </w:instrText>
      </w:r>
      <w:r w:rsidR="00E07916">
        <w:fldChar w:fldCharType="separate"/>
      </w:r>
      <w:r w:rsidR="00E07916" w:rsidRPr="00E07916">
        <w:rPr>
          <w:kern w:val="0"/>
        </w:rPr>
        <w:t>(Universidad Nacional del Sur, s. f.-a)</w:t>
      </w:r>
      <w:r w:rsidR="00E07916">
        <w:fldChar w:fldCharType="end"/>
      </w:r>
      <w:r w:rsidR="00E07916">
        <w:t>:</w:t>
      </w:r>
      <w:r w:rsidRPr="0077634F">
        <w:t xml:space="preserve"> Funcionó como la cara pública del sistema SIU Mapuche. De aquí se extrajo la información sobre cargos, dedicaciones y categorías del personal. Cabe señalar que estos registros presentan limitaciones, como la ausencia de detalles sobre la antigüedad docente. No suelen estar registrados aquellos cargos temporales de tipo contrato o asignación complementaria. </w:t>
      </w:r>
    </w:p>
    <w:p w14:paraId="65E2A10D" w14:textId="77777777" w:rsidR="00047564" w:rsidRPr="0004397C" w:rsidRDefault="00047564" w:rsidP="0004397C">
      <w:pPr>
        <w:rPr>
          <w:b/>
          <w:bCs/>
        </w:rPr>
      </w:pPr>
      <w:r w:rsidRPr="0004397C">
        <w:rPr>
          <w:b/>
          <w:bCs/>
        </w:rPr>
        <w:t xml:space="preserve">1.3 Proceso de construcción analítica y </w:t>
      </w:r>
      <w:proofErr w:type="spellStart"/>
      <w:r w:rsidRPr="0004397C">
        <w:rPr>
          <w:b/>
          <w:bCs/>
        </w:rPr>
        <w:t>scrapping</w:t>
      </w:r>
      <w:proofErr w:type="spellEnd"/>
    </w:p>
    <w:p w14:paraId="4249534D" w14:textId="77777777" w:rsidR="00047564" w:rsidRPr="00047564" w:rsidRDefault="00047564" w:rsidP="0004397C">
      <w:r w:rsidRPr="00047564">
        <w:t>Debido a que estos sistemas operan de forma estanca y no existe una integración que permita el cruce automático, fue necesario elaborar una base de datos propia. El procedimiento consistió en:</w:t>
      </w:r>
    </w:p>
    <w:p w14:paraId="120D9A2D" w14:textId="64743845" w:rsidR="00047564" w:rsidRPr="009307E5" w:rsidRDefault="00047564" w:rsidP="0004397C">
      <w:pPr>
        <w:pStyle w:val="Prrafodelista"/>
        <w:numPr>
          <w:ilvl w:val="0"/>
          <w:numId w:val="5"/>
        </w:numPr>
      </w:pPr>
      <w:r w:rsidRPr="009307E5">
        <w:t>Cruce con Planes de Estudio: Se clasificaron las asignaturas según los planes vigentes al año 2024 para identificar cuáles corresponden efectivamente al primer año</w:t>
      </w:r>
      <w:r w:rsidR="009307E5" w:rsidRPr="009307E5">
        <w:t xml:space="preserve"> </w:t>
      </w:r>
      <w:r w:rsidR="00E07916" w:rsidRPr="009307E5">
        <w:fldChar w:fldCharType="begin"/>
      </w:r>
      <w:r w:rsidR="009307E5" w:rsidRPr="009307E5">
        <w:instrText xml:space="preserve"> ADDIN ZOTERO_ITEM CSL_CITATION {"citationID":"aimPQ9Zw","properties":{"unsorted":false,"formattedCitation":"(Universidad Nacional del Sur, s.\\uc0\\u160{}f.-a)","plainCitation":"(Universidad Nacional del Sur, s. f.-a)","noteIndex":0},"citationItems":[{"id":626,"uris":["http://zotero.org/users/11246937/items/89NLAZKY"],"itemData":{"id":626,"type":"webpage","citation-key":"universidadnacionaldelsur","title":"Universidad Nacional del Sur - Oferta Académica","URL":"https://www.uns.edu.ar/academicas/carreras/oferta-academica_carreras-grado","author":[{"family":"Universidad Nacional del Sur","given":""}],"accessed":{"date-parts":[["2026",7,1]]}}}],"schema":"https://github.com/citation-style-language/schema/raw/master/csl-citation.json"} </w:instrText>
      </w:r>
      <w:r w:rsidR="00E07916" w:rsidRPr="009307E5">
        <w:fldChar w:fldCharType="separate"/>
      </w:r>
      <w:r w:rsidR="009307E5" w:rsidRPr="009307E5">
        <w:rPr>
          <w:kern w:val="0"/>
        </w:rPr>
        <w:t>(Universidad Nacional del Sur, s. f.-a)</w:t>
      </w:r>
      <w:r w:rsidR="00E07916" w:rsidRPr="009307E5">
        <w:fldChar w:fldCharType="end"/>
      </w:r>
    </w:p>
    <w:p w14:paraId="2EE064B9" w14:textId="77777777" w:rsidR="00047564" w:rsidRPr="009307E5" w:rsidRDefault="00047564" w:rsidP="0004397C">
      <w:pPr>
        <w:pStyle w:val="Prrafodelista"/>
        <w:numPr>
          <w:ilvl w:val="0"/>
          <w:numId w:val="5"/>
        </w:numPr>
      </w:pPr>
      <w:r w:rsidRPr="009307E5">
        <w:t xml:space="preserve">Automatización mediante </w:t>
      </w:r>
      <w:proofErr w:type="spellStart"/>
      <w:r w:rsidRPr="009307E5">
        <w:t>scrapping</w:t>
      </w:r>
      <w:proofErr w:type="spellEnd"/>
      <w:r w:rsidRPr="009307E5">
        <w:t>: Ante la falta de una opción institucional para extraer información consolidada, se implementó un proceso de raspado de datos (</w:t>
      </w:r>
      <w:proofErr w:type="spellStart"/>
      <w:r w:rsidRPr="009307E5">
        <w:t>scrapping</w:t>
      </w:r>
      <w:proofErr w:type="spellEnd"/>
      <w:r w:rsidRPr="009307E5">
        <w:t>) específicamente diseñado para recopilar y estructurar la información del plantel docente disponible en la web y las comisiones constituidas por el SIU-</w:t>
      </w:r>
      <w:proofErr w:type="gramStart"/>
      <w:r w:rsidRPr="009307E5">
        <w:t>Guaraní</w:t>
      </w:r>
      <w:proofErr w:type="gramEnd"/>
      <w:r w:rsidRPr="009307E5">
        <w:t xml:space="preserve">. </w:t>
      </w:r>
    </w:p>
    <w:p w14:paraId="7184E5C5" w14:textId="77777777" w:rsidR="00047564" w:rsidRPr="009307E5" w:rsidRDefault="00047564" w:rsidP="0004397C">
      <w:pPr>
        <w:pStyle w:val="Prrafodelista"/>
        <w:numPr>
          <w:ilvl w:val="0"/>
          <w:numId w:val="5"/>
        </w:numPr>
      </w:pPr>
      <w:r w:rsidRPr="009307E5">
        <w:t xml:space="preserve">Tratamiento de inconsistencias: Se realizaron ajustes manuales en casos donde la información de los departamentos difería de la carga en los sistemas SIU, o en asignaturas de planes antiguos que aún mantienen alumnos regulares. </w:t>
      </w:r>
    </w:p>
    <w:p w14:paraId="126FAB3C" w14:textId="77777777" w:rsidR="00047564" w:rsidRPr="009307E5" w:rsidRDefault="00047564" w:rsidP="0004397C">
      <w:pPr>
        <w:pStyle w:val="Prrafodelista"/>
        <w:numPr>
          <w:ilvl w:val="0"/>
          <w:numId w:val="5"/>
        </w:numPr>
      </w:pPr>
      <w:r w:rsidRPr="009307E5">
        <w:t xml:space="preserve">Procesamiento y unificación: El SIU </w:t>
      </w:r>
      <w:proofErr w:type="gramStart"/>
      <w:r w:rsidRPr="009307E5">
        <w:t>Guaraní</w:t>
      </w:r>
      <w:proofErr w:type="gramEnd"/>
      <w:r w:rsidRPr="009307E5">
        <w:t xml:space="preserve"> suele presentar comisiones desagregadas por carrera para una misma materia; sin embargo, se agruparon aquellas que compartían mismo docente, aula y horario. Este criterio permitió romper con la fragmentación administrativa para reflejar la masividad real del aula, donde múltiples inscripciones administrativas convergen en una única práctica de enseñanza frente a grupos numerosos.</w:t>
      </w:r>
    </w:p>
    <w:p w14:paraId="291CAB43" w14:textId="77777777" w:rsidR="00047564" w:rsidRPr="0004397C" w:rsidRDefault="00047564" w:rsidP="0004397C">
      <w:pPr>
        <w:rPr>
          <w:b/>
          <w:bCs/>
        </w:rPr>
      </w:pPr>
      <w:r w:rsidRPr="0004397C">
        <w:rPr>
          <w:b/>
          <w:bCs/>
        </w:rPr>
        <w:t>1.4 Vigilancia epistemológica: El dato como objeto construido</w:t>
      </w:r>
    </w:p>
    <w:p w14:paraId="4BE2E01D" w14:textId="3F55D9BB" w:rsidR="00047564" w:rsidRPr="00047564" w:rsidRDefault="00047564" w:rsidP="0004397C">
      <w:r w:rsidRPr="00047564">
        <w:t xml:space="preserve">Desde la perspectiva adoptada, esta base de datos constituye una construcción analítica, un acto de ruptura con la ilusión de la transparencia de las estadísticas oficiales </w:t>
      </w:r>
      <w:r w:rsidR="009307E5">
        <w:fldChar w:fldCharType="begin"/>
      </w:r>
      <w:r w:rsidR="009307E5">
        <w:instrText xml:space="preserve"> ADDIN ZOTERO_ITEM CSL_CITATION {"citationID":"P6YebvHI","properties":{"unsorted":false,"formattedCitation":"(Bourdieu et\\uc0\\u160{}al., 2002)","plainCitation":"(Bourdieu et al., 2002)","noteIndex":0},"citationItems":[{"id":478,"uris":["http://zotero.org/users/11246937/items/KVU2J7DQ"],"itemData":{"id":478,"type":"book","citation-key":"bourdieuOficioSociologo2002","original-publisher":"Ecole Pratique des Hautes Etudes","publisher":"Siglo XXI","publisher-place":"Buenos Aires","title":"El oficio del sociólogo","author":[{"family":"Bourdieu","given":"Pierre"},{"family":"Chamboredon","given":"Jean-Claude"},{"family":"Passeron","given":"Jean-Claude"}],"issued":{"date-parts":[["2002"]]}}}],"schema":"https://github.com/citation-style-language/schema/raw/master/csl-citation.json"} </w:instrText>
      </w:r>
      <w:r w:rsidR="009307E5">
        <w:fldChar w:fldCharType="separate"/>
      </w:r>
      <w:r w:rsidR="009307E5" w:rsidRPr="009307E5">
        <w:rPr>
          <w:kern w:val="0"/>
        </w:rPr>
        <w:t>(Bourdieu et al., 2002)</w:t>
      </w:r>
      <w:r w:rsidR="009307E5">
        <w:fldChar w:fldCharType="end"/>
      </w:r>
      <w:r w:rsidRPr="00047564">
        <w:t xml:space="preserve">. La medición estadística no se reduce a un empirismo ciego, sino que funciona como una técnica de objetivación destinada a desentrañar la trama de las </w:t>
      </w:r>
      <w:r w:rsidRPr="00047564">
        <w:lastRenderedPageBreak/>
        <w:t xml:space="preserve">visiones naturalizadas sobre la docencia. Esta construcción permitió pasar del individuo empírico al individuo epistémico, definido por su posición en la estructura a caracterizar </w:t>
      </w:r>
      <w:r w:rsidR="009307E5">
        <w:fldChar w:fldCharType="begin"/>
      </w:r>
      <w:r w:rsidR="009307E5">
        <w:instrText xml:space="preserve"> ADDIN ZOTERO_ITEM CSL_CITATION {"citationID":"oRdgfKT0","properties":{"unsorted":false,"formattedCitation":"(Bourdieu, 2008; Bourdieu et\\uc0\\u160{}al., 2002)","plainCitation":"(Bourdieu, 2008; Bourdieu et al., 2002)","noteIndex":0},"citationItems":[{"id":488,"uris":["http://zotero.org/users/11246937/items/FTSQ9NMT"],"itemData":{"id":488,"type":"book","citation-key":"bourdieu2008homo","ISBN":"978-987-629-028-9","note":"citation-key: bourdieu2008homo","publisher":"Siglo XXI Editores","publisher-place":"Buenos Aires","title":"Homo academicus","author":[{"family":"Bourdieu","given":"Pierre"}],"issued":{"date-parts":[["2008"]]}}},{"id":478,"uris":["http://zotero.org/users/11246937/items/KVU2J7DQ"],"itemData":{"id":478,"type":"book","citation-key":"bourdieuOficioSociologo2002","original-publisher":"Ecole Pratique des Hautes Etudes","publisher":"Siglo XXI","publisher-place":"Buenos Aires","title":"El oficio del sociólogo","author":[{"family":"Bourdieu","given":"Pierre"},{"family":"Chamboredon","given":"Jean-Claude"},{"family":"Passeron","given":"Jean-Claude"}],"issued":{"date-parts":[["2002"]]}}}],"schema":"https://github.com/citation-style-language/schema/raw/master/csl-citation.json"} </w:instrText>
      </w:r>
      <w:r w:rsidR="009307E5">
        <w:fldChar w:fldCharType="separate"/>
      </w:r>
      <w:r w:rsidR="009307E5" w:rsidRPr="009307E5">
        <w:rPr>
          <w:kern w:val="0"/>
        </w:rPr>
        <w:t>(Bourdieu, 2008; Bourdieu et al., 2002)</w:t>
      </w:r>
      <w:r w:rsidR="009307E5">
        <w:fldChar w:fldCharType="end"/>
      </w:r>
      <w:r w:rsidRPr="00047564">
        <w:t>.</w:t>
      </w:r>
    </w:p>
    <w:p w14:paraId="1BB69787" w14:textId="77777777" w:rsidR="00DA6F8F" w:rsidRPr="0004397C" w:rsidRDefault="00DA6F8F" w:rsidP="0004397C">
      <w:pPr>
        <w:rPr>
          <w:b/>
          <w:bCs/>
        </w:rPr>
      </w:pPr>
      <w:r w:rsidRPr="0004397C">
        <w:rPr>
          <w:b/>
          <w:bCs/>
        </w:rPr>
        <w:t xml:space="preserve">2. La UNS en relación con el campo universitario argentino   </w:t>
      </w:r>
    </w:p>
    <w:p w14:paraId="46DFE6F7" w14:textId="77777777" w:rsidR="00DA6F8F" w:rsidRPr="00DA6F8F" w:rsidRDefault="00DA6F8F" w:rsidP="0004397C">
      <w:r w:rsidRPr="00DA6F8F">
        <w:t xml:space="preserve">Si bien la presente investigación se desarrolla a partir del estudio de caso de la Universidad Nacional del Sur, el análisis de su configuración institucional se inscribe en problemáticas que atraviesan al sistema universitario argentino en su conjunto. La expansión de la matrícula, la diversificación de las trayectorias estudiantiles y las transformaciones en las condiciones de trabajo docente constituyen procesos que exceden las particularidades de una institución específica y forman parte de las dinámicas contemporáneas de las universidades nacionales. </w:t>
      </w:r>
    </w:p>
    <w:p w14:paraId="16AC722B" w14:textId="77777777" w:rsidR="00DA6F8F" w:rsidRPr="00DA6F8F" w:rsidRDefault="00DA6F8F" w:rsidP="0004397C">
      <w:r w:rsidRPr="00DA6F8F">
        <w:t>En este sentido, situar el estudio de la UNS en el campo universitario argentino permite comprender que las características observadas en el primer año no constituyen fenómenos aislados, sino que se encuentran vinculadas con procesos estructurales más amplios. El estudio de caso no busca establecer una generalización estadística sobre todas las universidades, sino reconstruir, a partir de una institución concreta, cómo determinadas transformaciones del sistema universitario se expresan en la organización del trabajo docente y en las condiciones institucionales de enseñanza.</w:t>
      </w:r>
    </w:p>
    <w:p w14:paraId="26EE0DB6" w14:textId="6C2924E3" w:rsidR="00DA6F8F" w:rsidRDefault="00DA6F8F" w:rsidP="0004397C">
      <w:r w:rsidRPr="00DA6F8F">
        <w:t xml:space="preserve">En su conjunto, las universidades nacionales en Argentina constituyen un pilar fundamental del sistema de educación superior del país. Son de carácter público y gratuito, lo que busca garantizar el acceso universal a una educación de calidad. El Ministerio de Capital Humano presenta un registro de 131 instituciones universitarias de gestión estatal y privada, de las cuales 57 son Universidades Nacionales Públicas. No obstante, el sistema de educación superior argentino constituye un conglomerado institucional complejo y heterogéneo, conformado por más de 1700 establecimientos de nivel terciario no universitario y por establecimientos universitarios </w:t>
      </w:r>
      <w:r w:rsidR="009307E5">
        <w:fldChar w:fldCharType="begin"/>
      </w:r>
      <w:r w:rsidR="009307E5">
        <w:instrText xml:space="preserve"> ADDIN ZOTERO_ITEM CSL_CITATION {"citationID":"A95IKfNt","properties":{"unsorted":false,"formattedCitation":"(Arana et\\uc0\\u160{}al., 2011)","plainCitation":"(Arana et al., 2011)","noteIndex":0},"citationItems":[{"id":629,"uris":["http://zotero.org/users/11246937/items/6B92NZ59"],"itemData":{"id":629,"type":"article-journal","abstract":"El presente trabajo pretende aportar al debate sobre la ruptura que significó la promulgación y aplicación de la ley 24.521 en la argentina en los años 90', a través de un recorrido histórico, donde se analizan las leyes anteriores y el contexto social y político tanto nacional como internacional. Se intenta abordar los alcances de las diferentes leyes y su impacto sobre la sociedad y la educación argentina o, en otras palabras, respecto de la relación entre Universidad y Sociedad.","archive_location":"Argentina","citation-key":"arana2011","container-title":"Revista de Educación","ISSN":"1853-1318","issue":"3","language":"es","page":"145-158","publisher":"Universidad Nacional de Mar del Plata. Facultad de Humanidades","source":"nulan.mdp.edu.ar","title":"Organización del sistema universitario. La ruptura a partir de la L.E.S. (24.521)","URL":"http://fh.mdp.edu.ar/revistas/index.php/r_educ/article/view/50/94","volume":"2","author":[{"family":"Arana","given":"Marta"},{"family":"Vazquez","given":"Daniel"},{"family":"Bianculli","given":"Karina"}],"accessed":{"date-parts":[["2026",7,1]]},"issued":{"date-parts":[["2011",9]]}}}],"schema":"https://github.com/citation-style-language/schema/raw/master/csl-citation.json"} </w:instrText>
      </w:r>
      <w:r w:rsidR="009307E5">
        <w:fldChar w:fldCharType="separate"/>
      </w:r>
      <w:r w:rsidR="009307E5" w:rsidRPr="009307E5">
        <w:rPr>
          <w:kern w:val="0"/>
        </w:rPr>
        <w:t>(Arana et al., 2011)</w:t>
      </w:r>
      <w:r w:rsidR="009307E5">
        <w:fldChar w:fldCharType="end"/>
      </w:r>
      <w:r w:rsidRPr="00DA6F8F">
        <w:t xml:space="preserve">. En todas las provincias argentinas existe al menos una institución universitaria de gestión estatal </w:t>
      </w:r>
      <w:r w:rsidR="00A4149B">
        <w:fldChar w:fldCharType="begin"/>
      </w:r>
      <w:r w:rsidR="00A4149B">
        <w:instrText xml:space="preserve"> ADDIN ZOTERO_ITEM CSL_CITATION {"citationID":"XaQBgGMq","properties":{"unsorted":false,"formattedCitation":"(Sanseau et\\uc0\\u160{}al., 2023)","plainCitation":"(Sanseau et al., 2023)","noteIndex":0},"citationItems":[{"id":634,"uris":["http://zotero.org/users/11246937/items/JTYKXVKL"],"itemData":{"id":634,"type":"report","citation-key":"sanseau2023","ISBN":"978-987-3765-75-9","language":"es","publisher":"CONEAU","source":"Zotero","title":"PERMANENCIA DE LAS Y LOS ESTUDIANTES EN LA UNIVERSIDAD","URL":"https://www.coneau.gob.ar/archivos/publicaciones/PermanenciaEstudiantesUniversidad.pdf","author":[{"family":"Sanseau","given":"María"},{"family":"Sánchez Cestona","given":"Julia"},{"family":"Callio","given":"Sabrina"}],"issued":{"date-parts":[["2023"]]}}}],"schema":"https://github.com/citation-style-language/schema/raw/master/csl-citation.json"} </w:instrText>
      </w:r>
      <w:r w:rsidR="00A4149B">
        <w:fldChar w:fldCharType="separate"/>
      </w:r>
      <w:r w:rsidR="00A4149B" w:rsidRPr="00A4149B">
        <w:rPr>
          <w:kern w:val="0"/>
        </w:rPr>
        <w:t>(</w:t>
      </w:r>
      <w:proofErr w:type="spellStart"/>
      <w:r w:rsidR="00A4149B" w:rsidRPr="00A4149B">
        <w:rPr>
          <w:kern w:val="0"/>
        </w:rPr>
        <w:t>Sanseau</w:t>
      </w:r>
      <w:proofErr w:type="spellEnd"/>
      <w:r w:rsidR="00A4149B" w:rsidRPr="00A4149B">
        <w:rPr>
          <w:kern w:val="0"/>
        </w:rPr>
        <w:t xml:space="preserve"> et al., 2023)</w:t>
      </w:r>
      <w:r w:rsidR="00A4149B">
        <w:fldChar w:fldCharType="end"/>
      </w:r>
      <w:r w:rsidRPr="00DA6F8F">
        <w:t>, y la mayor parte de la matrícula estudiantil corresponde a la oferta académica pública, como puede observarse en la Figura 1.</w:t>
      </w:r>
    </w:p>
    <w:p w14:paraId="7E3B033C" w14:textId="118B454B" w:rsidR="00341AE6" w:rsidRPr="00341AE6" w:rsidRDefault="00341AE6" w:rsidP="0004397C">
      <w:pPr>
        <w:jc w:val="center"/>
      </w:pPr>
      <w:r w:rsidRPr="00341AE6">
        <w:rPr>
          <w:noProof/>
          <w:lang w:val="en-US"/>
        </w:rPr>
        <w:drawing>
          <wp:inline distT="0" distB="0" distL="0" distR="0" wp14:anchorId="4068FFC4" wp14:editId="1728D860">
            <wp:extent cx="3175000" cy="1632585"/>
            <wp:effectExtent l="19050" t="19050" r="25400" b="24765"/>
            <wp:docPr id="21278686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7"/>
                    <a:srcRect l="5380" t="8538" r="4957"/>
                    <a:stretch>
                      <a:fillRect/>
                    </a:stretch>
                  </pic:blipFill>
                  <pic:spPr bwMode="auto">
                    <a:xfrm>
                      <a:off x="0" y="0"/>
                      <a:ext cx="3176295" cy="163325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F820FD" w14:textId="77777777" w:rsidR="00341AE6" w:rsidRPr="00341AE6" w:rsidRDefault="00341AE6" w:rsidP="0004397C">
      <w:pPr>
        <w:jc w:val="center"/>
      </w:pPr>
      <w:r w:rsidRPr="00341AE6">
        <w:t>Figura 1. Tipo de matrícula estudiantil según gestión de las Universidades. Fuente: Documento Síntesis 2022-2023.</w:t>
      </w:r>
    </w:p>
    <w:p w14:paraId="4F231840" w14:textId="1D4CA93D" w:rsidR="00341AE6" w:rsidRPr="00341AE6" w:rsidRDefault="00DA6F8F" w:rsidP="0004397C">
      <w:pPr>
        <w:rPr>
          <w:noProof/>
        </w:rPr>
      </w:pPr>
      <w:r w:rsidRPr="00DA6F8F">
        <w:t xml:space="preserve">Por otro lado, considerando la matrícula estudiantil de cada institución, el documento Síntesis las clasifica en grandes (aquellas que cuentan con más de 50.000 estudiantes), medianas (entre 10.001 y 50.000) y pequeñas (las que tienen hasta 10.000 estudiantes), </w:t>
      </w:r>
      <w:r w:rsidRPr="00DA6F8F">
        <w:lastRenderedPageBreak/>
        <w:t>por lo que de las UUNN: el 37,3 % son pequeñas, el 50,7 % medianas y el 12 % grandes. En la Figura 2 se puede ver el porcentaje de las mismas aunque el documento no indica cuáles son las instituciones que componen cada porcentaje, pero sí que más de la mitad de las universidades públicas tienen una matrícula mayor a 10.000 estudiantes. Señalamos que la UNS, según esta clasificación pertenece al grupo de UUNN consideradas medianas.</w:t>
      </w:r>
    </w:p>
    <w:p w14:paraId="10662EF0" w14:textId="77777777" w:rsidR="00341AE6" w:rsidRPr="00341AE6" w:rsidRDefault="00341AE6" w:rsidP="0004397C">
      <w:pPr>
        <w:jc w:val="center"/>
      </w:pPr>
      <w:r w:rsidRPr="00341AE6">
        <w:rPr>
          <w:noProof/>
          <w:lang w:val="en-US"/>
        </w:rPr>
        <w:drawing>
          <wp:inline distT="0" distB="0" distL="0" distR="0" wp14:anchorId="15018A02" wp14:editId="77182BDD">
            <wp:extent cx="3887730" cy="1867535"/>
            <wp:effectExtent l="19050" t="19050" r="17780" b="18415"/>
            <wp:docPr id="21278686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8"/>
                    <a:srcRect l="3163"/>
                    <a:stretch>
                      <a:fillRect/>
                    </a:stretch>
                  </pic:blipFill>
                  <pic:spPr bwMode="auto">
                    <a:xfrm>
                      <a:off x="0" y="0"/>
                      <a:ext cx="3888636" cy="186797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235EF1" w14:textId="77777777" w:rsidR="00341AE6" w:rsidRPr="00341AE6" w:rsidRDefault="00341AE6" w:rsidP="0004397C">
      <w:pPr>
        <w:jc w:val="center"/>
      </w:pPr>
      <w:r w:rsidRPr="00341AE6">
        <w:t>Figura 2: Muestra gráfica del porcentaje de universidades según la matrícula estudiantil. Fuente: Documento Síntesis 2022-2023</w:t>
      </w:r>
    </w:p>
    <w:p w14:paraId="56FE0E67" w14:textId="42854F08" w:rsidR="00341AE6" w:rsidRPr="0004397C" w:rsidRDefault="00341AE6" w:rsidP="0004397C">
      <w:pPr>
        <w:rPr>
          <w:b/>
          <w:bCs/>
        </w:rPr>
      </w:pPr>
      <w:r w:rsidRPr="0004397C">
        <w:rPr>
          <w:b/>
          <w:bCs/>
        </w:rPr>
        <w:t>2.</w:t>
      </w:r>
      <w:r w:rsidR="0077634F" w:rsidRPr="0004397C">
        <w:rPr>
          <w:b/>
          <w:bCs/>
        </w:rPr>
        <w:t>1</w:t>
      </w:r>
      <w:r w:rsidRPr="0004397C">
        <w:rPr>
          <w:b/>
          <w:bCs/>
        </w:rPr>
        <w:t xml:space="preserve"> La evolución de la matrícula estudiantil. </w:t>
      </w:r>
    </w:p>
    <w:p w14:paraId="79A5BA41" w14:textId="405A7406" w:rsidR="00341AE6" w:rsidRPr="00341AE6" w:rsidRDefault="00DA6F8F" w:rsidP="0004397C">
      <w:pPr>
        <w:jc w:val="center"/>
      </w:pPr>
      <w:r w:rsidRPr="00DA6F8F">
        <w:t>En las últimas décadas el sistema universitario argentino atravesó un proceso sostenido de expansión de la matrícula estudiantil. Esta tendencia implicó un aumento significativo del volumen de estudiantes que ingresan y permanecen en las instituciones universitarias, aunque dicho crecimiento no fue acompañado de manera proporcional por la expansión del plantel docente. Esta dinámica resulta relevante para analizar el TDU, ya que la ampliación de la matrícula modifica las condiciones concretas en las que se desarrolla la enseñanza.</w:t>
      </w:r>
      <w:r w:rsidR="00341AE6" w:rsidRPr="00341AE6">
        <w:rPr>
          <w:noProof/>
          <w:lang w:val="en-US"/>
        </w:rPr>
        <w:drawing>
          <wp:inline distT="0" distB="0" distL="0" distR="0" wp14:anchorId="7557C5E0" wp14:editId="434F27AC">
            <wp:extent cx="5220000" cy="2700000"/>
            <wp:effectExtent l="0" t="0" r="0" b="5715"/>
            <wp:docPr id="635486843" name="Gráfico 1">
              <a:extLst xmlns:a="http://schemas.openxmlformats.org/drawingml/2006/main">
                <a:ext uri="{FF2B5EF4-FFF2-40B4-BE49-F238E27FC236}">
                  <a16:creationId xmlns:a16="http://schemas.microsoft.com/office/drawing/2014/main" id="{31DF47C5-06AA-DE2D-6EDD-42A8DE203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E74613" w14:textId="77777777" w:rsidR="00341AE6" w:rsidRPr="00341AE6" w:rsidRDefault="00341AE6" w:rsidP="0004397C">
      <w:pPr>
        <w:jc w:val="center"/>
      </w:pPr>
      <w:r w:rsidRPr="00341AE6">
        <w:lastRenderedPageBreak/>
        <w:t>Figura 3: Evolución de la matrícula estudiantil en Universidades Nacionales. Fuente: elaboración propia a partir del documento Síntesis 2022-2023 y anuarios estadísticos de la SPU.</w:t>
      </w:r>
    </w:p>
    <w:p w14:paraId="408F9F0E" w14:textId="08B57052" w:rsidR="00341AE6" w:rsidRPr="00341AE6" w:rsidRDefault="00DA6F8F" w:rsidP="0004397C">
      <w:r w:rsidRPr="00DA6F8F">
        <w:t>En el caso de la Universidad Nacional del Sur, esta tendencia presenta características particulares. Entre 2012 y 2024 la matrícula registra un crecimiento cercano al 85%, mientras que la planta docente aumenta aproximadamente un 10%. Esta diferencia permite observar una ampliación de la relación estudiantes/docentes que constituye una condición estructural para analizar los procesos de intensificación del trabajo docente.</w:t>
      </w:r>
    </w:p>
    <w:p w14:paraId="60D5C236" w14:textId="77777777" w:rsidR="00341AE6" w:rsidRPr="00341AE6" w:rsidRDefault="00341AE6" w:rsidP="0004397C">
      <w:pPr>
        <w:jc w:val="center"/>
      </w:pPr>
      <w:r w:rsidRPr="00341AE6">
        <w:rPr>
          <w:noProof/>
          <w:lang w:val="en-US"/>
        </w:rPr>
        <w:drawing>
          <wp:inline distT="0" distB="0" distL="0" distR="0" wp14:anchorId="4EB1D0B8" wp14:editId="16A0F784">
            <wp:extent cx="5220000" cy="2700000"/>
            <wp:effectExtent l="0" t="0" r="0" b="5715"/>
            <wp:docPr id="2127868613" name="Gráfico 2127868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888190" w14:textId="07E383B7" w:rsidR="00341AE6" w:rsidRPr="00341AE6" w:rsidRDefault="00341AE6" w:rsidP="0004397C">
      <w:pPr>
        <w:jc w:val="center"/>
      </w:pPr>
      <w:r w:rsidRPr="00341AE6">
        <w:t>Figura 4: Evolución de ingresantes y egresados UNS. Fuente: elaboración propia a partir de datos del portal DATOS-UNS</w:t>
      </w:r>
      <w:r w:rsidR="0004397C">
        <w:t>.</w:t>
      </w:r>
    </w:p>
    <w:p w14:paraId="26DF3307" w14:textId="463C3622" w:rsidR="00341AE6" w:rsidRPr="00341AE6" w:rsidRDefault="00341AE6" w:rsidP="0004397C">
      <w:r w:rsidRPr="00341AE6">
        <w:t>El análisis conjunto de los datos de ingreso y egreso permite advertir un rasgo estructural del sistema universitario argentino: el desfase entre la expansión del acceso y los ritmos de finalización de las trayectorias académicas. A nivel nacional, mientras el número de nuevos inscriptos registra un crecimiento sostenido a lo largo del período considerado, el incremento en la cantidad de egresados resulta comparativamente más moderado, evidenciando que la ampliación del acceso a la educación superior no se traduce de manera proporcional en mayores niveles de graduación. Esta dinámica también se observa en la U</w:t>
      </w:r>
      <w:r w:rsidR="0077634F">
        <w:t>NS</w:t>
      </w:r>
      <w:r w:rsidRPr="00341AE6">
        <w:t>, donde el aumento del volumen de ingresantes en los últimos años supera ampliamente la variación en la cantidad de egresados. De este modo, la institución reproduce a escala local una tendencia presente en el sistema universitario en su conjunto. Este desajuste entre los flujos de ingreso y egreso vuelve particularmente relevante el análisis de las condiciones institucionales que atraviesan los primeros tramos de las carreras, dado que es en ese momento de las trayectorias académicas donde se concentran buena parte de las tensiones vinculadas con la permanencia de los estudiantes.</w:t>
      </w:r>
    </w:p>
    <w:p w14:paraId="5BB5527B" w14:textId="7B0E9779" w:rsidR="00341AE6" w:rsidRPr="0077634F" w:rsidRDefault="00341AE6" w:rsidP="0004397C">
      <w:r w:rsidRPr="0077634F">
        <w:t>2.</w:t>
      </w:r>
      <w:r w:rsidR="0077634F" w:rsidRPr="0077634F">
        <w:t>2</w:t>
      </w:r>
      <w:r w:rsidRPr="0077634F">
        <w:t xml:space="preserve"> La evolución del plantel docente. </w:t>
      </w:r>
    </w:p>
    <w:p w14:paraId="562A28B3" w14:textId="77777777" w:rsidR="00341AE6" w:rsidRPr="00341AE6" w:rsidRDefault="00341AE6" w:rsidP="0004397C">
      <w:r w:rsidRPr="00341AE6">
        <w:t xml:space="preserve">En relación con la evolución del plantel docente en las universidades nacionales, los datos muestran un crecimiento sostenido a lo largo del período 2012–2023 (ver Figura 5). En 2012 se registraban 159.927 docentes, mientras que en 2023 la cifra asciende a 213.857, </w:t>
      </w:r>
      <w:r w:rsidRPr="00341AE6">
        <w:lastRenderedPageBreak/>
        <w:t>lo que representa un incremento aproximado del 33,7 % en once años. La serie evidencia una expansión progresiva del cuerpo docente, con un aumento prácticamente continuo año a año, incluso durante el período 2020–2021. Este crecimiento acompaña el proceso de ampliación del sistema universitario; sin embargo, al compararlo con la evolución de la matrícula se observa que la expansión del plantel docente se produjo a un ritmo levemente inferior al del crecimiento estudiantil.</w:t>
      </w:r>
    </w:p>
    <w:p w14:paraId="7DEE75B8" w14:textId="77777777" w:rsidR="00341AE6" w:rsidRPr="00341AE6" w:rsidRDefault="00341AE6" w:rsidP="0004397C">
      <w:pPr>
        <w:jc w:val="center"/>
      </w:pPr>
      <w:r w:rsidRPr="00341AE6">
        <w:rPr>
          <w:noProof/>
          <w:lang w:val="en-US"/>
        </w:rPr>
        <w:drawing>
          <wp:inline distT="0" distB="0" distL="0" distR="0" wp14:anchorId="3844402C" wp14:editId="2D5E9AD2">
            <wp:extent cx="5220000" cy="2664000"/>
            <wp:effectExtent l="0" t="0" r="0" b="3175"/>
            <wp:docPr id="2127868615" name="Gráfico 21278686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27043D" w14:textId="77777777" w:rsidR="00341AE6" w:rsidRPr="00341AE6" w:rsidRDefault="00341AE6" w:rsidP="0004397C">
      <w:pPr>
        <w:jc w:val="center"/>
      </w:pPr>
      <w:r w:rsidRPr="00341AE6">
        <w:t>Figura 5: Evolución del plantel docente en las Universidades Nacionales Públicas. Fuente: Elaboración propia a partir de los Anuarios SPU.</w:t>
      </w:r>
    </w:p>
    <w:p w14:paraId="63781048" w14:textId="77777777" w:rsidR="0077634F" w:rsidRPr="0077634F" w:rsidRDefault="0077634F" w:rsidP="0004397C">
      <w:r w:rsidRPr="0077634F">
        <w:t>La evolución de los cargos docentes según dedicación entre 2012 y 2023 se puede ver en la Figura 6 que muestra un incremento sostenido en todas las categorías, en línea con el crecimiento general del plantel docente observado para el conjunto del sistema universitario nacional. Sin embargo, el análisis desagregado permite advertir que dicho crecimiento no altera de manera significativa la estructura relativa de las dedicaciones. A lo largo de todo el período se mantiene una clara predominancia de los cargos de dedicación simple, que constituyen ampliamente la mayor parte del plantel docente, seguidos por las dedicaciones semiexclusivas y, en menor medida, las exclusivas.</w:t>
      </w:r>
    </w:p>
    <w:p w14:paraId="7C97E50C" w14:textId="1015841C" w:rsidR="00341AE6" w:rsidRPr="00341AE6" w:rsidRDefault="0077634F" w:rsidP="0004397C">
      <w:r w:rsidRPr="0077634F">
        <w:t>En términos absolutos, el aumento más significativo se registra en los cargos con dedicación simples, que pasan de poco más de 100 mil en 2012 a superar los 150 mil en 2023. Las dedicaciones semiexclusivas también presentan un crecimiento sostenido, aunque de menor magnitud, mientras que las dedicaciones exclusivas muestran una expansión más moderada y relativamente estable a lo largo del período. En conjunto, estos datos sugieren que la expansión del sistema universitario se apoyó principalmente en la ampliación de cargos simples manteniéndose relativamente constante la estructura general de distribución de dedicaciones docentes.</w:t>
      </w:r>
    </w:p>
    <w:p w14:paraId="6A3AFDA2" w14:textId="77777777" w:rsidR="00341AE6" w:rsidRPr="00341AE6" w:rsidRDefault="00341AE6" w:rsidP="0004397C">
      <w:pPr>
        <w:jc w:val="center"/>
      </w:pPr>
      <w:r w:rsidRPr="00341AE6">
        <w:rPr>
          <w:noProof/>
          <w:lang w:val="en-US"/>
        </w:rPr>
        <w:lastRenderedPageBreak/>
        <w:drawing>
          <wp:inline distT="0" distB="0" distL="0" distR="0" wp14:anchorId="21664508" wp14:editId="6B72F61B">
            <wp:extent cx="5181600" cy="2990850"/>
            <wp:effectExtent l="0" t="0" r="0" b="0"/>
            <wp:docPr id="2127868614" name="Gráfico 21278686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212EDA" w14:textId="77777777" w:rsidR="00341AE6" w:rsidRPr="00341AE6" w:rsidRDefault="00341AE6" w:rsidP="0004397C">
      <w:pPr>
        <w:jc w:val="center"/>
      </w:pPr>
      <w:r w:rsidRPr="00341AE6">
        <w:t>Figura 6: Evolución de cargos docentes por dedicación. Fuente: Elaboración propia con datos anuarios SPU.</w:t>
      </w:r>
    </w:p>
    <w:p w14:paraId="698745C5" w14:textId="6CE21828" w:rsidR="00341AE6" w:rsidRPr="00341AE6" w:rsidRDefault="00341AE6" w:rsidP="0004397C">
      <w:pPr>
        <w:jc w:val="center"/>
      </w:pPr>
      <w:r w:rsidRPr="00DC43E2">
        <w:rPr>
          <w:noProof/>
          <w:lang w:val="en-US"/>
        </w:rPr>
        <w:drawing>
          <wp:inline distT="0" distB="0" distL="0" distR="0" wp14:anchorId="4A8B4DCD" wp14:editId="5D348F5B">
            <wp:extent cx="5220000" cy="2700000"/>
            <wp:effectExtent l="0" t="0" r="0" b="5715"/>
            <wp:docPr id="2127868617" name="Gráfico 21278686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41AE6">
        <w:t>Figura 7: Evolución de la planta docente de la UNS. Fuente: elaboración propia a partir de los anuarios de la SPU.</w:t>
      </w:r>
    </w:p>
    <w:p w14:paraId="380F5CD4" w14:textId="058C74AE" w:rsidR="00341AE6" w:rsidRDefault="00341AE6" w:rsidP="0004397C">
      <w:r w:rsidRPr="00341AE6">
        <w:t>Al comparar la evolución de la planta docente de la Universidad Nacional del Sur con la tendencia observada en el conjunto de las universidades nacionales, se advierte una dinámica diferenciada de crecimiento; en el caso de la UNS el crecimiento es considerablemente más moderado. Luego de una leve disminución entre 2012 y 2014, la planta docente de la universidad comienza a expandirse gradualmente hasta 2019, momento a partir del cual se estabiliza en torno a los 3.300 cargos, con oscilaciones relativamente pequeñas en los años posteriores.</w:t>
      </w:r>
    </w:p>
    <w:p w14:paraId="5B71E8F6" w14:textId="38C5AD85" w:rsidR="00341AE6" w:rsidRDefault="00341AE6" w:rsidP="0004397C">
      <w:pPr>
        <w:jc w:val="center"/>
      </w:pPr>
      <w:r w:rsidRPr="00DC43E2">
        <w:rPr>
          <w:noProof/>
          <w:lang w:val="en-US"/>
        </w:rPr>
        <w:lastRenderedPageBreak/>
        <w:drawing>
          <wp:inline distT="0" distB="0" distL="0" distR="0" wp14:anchorId="5972CC85" wp14:editId="241CF611">
            <wp:extent cx="5220000" cy="2700000"/>
            <wp:effectExtent l="0" t="0" r="0" b="5715"/>
            <wp:docPr id="2127868616" name="Gráfico 21278686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341AE6">
        <w:t>Figura 8: Evolución de las dedicaciones en la UNS. Fuente: elaboración propia a partir de los anuarios de la SPU.</w:t>
      </w:r>
    </w:p>
    <w:p w14:paraId="650DF0B1" w14:textId="3E40C831" w:rsidR="0038003E" w:rsidRPr="0038003E" w:rsidRDefault="0038003E" w:rsidP="0004397C">
      <w:r w:rsidRPr="0038003E">
        <w:t>La evolución de las dedicaciones docentes en la UNS entre 2012 y 2024 muestra una marcada predominancia de los cargos con dedicación simple, que constituyen el componente mayoritario de la planta docente a lo largo de todo el período analizado. Tal como se observa en el gráfico, estos cargos presentan un crecimiento moderado, con un incremento particularmente visible a partir de 2018–2019, momento en el que superan los 2300 cargos y se mantienen relativamente estables en valores cercanos a esa cifra en los años posteriores. En contraste, las dedicaciones exclusivas se mantienen relativamente constantes durante todo el período, con leves oscilaciones en torno a los 600 cargos, mientras que las dedicaciones semiexclusivas muestran una tendencia de crecimiento gradual, pasando de valores cercanos a los 280 cargos al inicio del período a más de 330 hacia 2024. En conjunto, estos datos sugieren que el crecimiento de la planta docente de la UNS se ha sostenido principalmente a partir de la expansión de cargos de menor dedicación, manteniéndose más estable el número de cargos con dedicaciones mayores.</w:t>
      </w:r>
    </w:p>
    <w:p w14:paraId="6069CBD2" w14:textId="0AB85418" w:rsidR="0038003E" w:rsidRDefault="0038003E" w:rsidP="0004397C">
      <w:r w:rsidRPr="0038003E">
        <w:t>El análisis comparado entre la evolución de la matrícula y la planta docente permite advertir una dinámica de crecimiento desigual en la Universidad Nacional del Sur. Mientras la matrícula muestra un incremento cercano al 85% en el período considerado, la cantidad de cargos docentes registra un aumento significativamente menor, del orden del 10%. Esta brecha sugiere que la expansión del acceso a la universidad no fue acompañada por un crecimiento proporcional de la estructura docente. A su vez, esta situación se inscribe en procesos más amplios señalados para el sistema universitario argentino, vinculados con la expansión de la matrícula y las transformaciones en las condiciones de trabajo académico</w:t>
      </w:r>
      <w:r w:rsidR="0004397C">
        <w:fldChar w:fldCharType="begin"/>
      </w:r>
      <w:r w:rsidR="0004397C">
        <w:instrText xml:space="preserve"> ADDIN ZOTERO_ITEM CSL_CITATION {"citationID":"x9HvEmbS","properties":{"unsorted":false,"formattedCitation":"(Walker, 2016, 2024)","plainCitation":"(Walker, 2016, 2024)","noteIndex":0},"citationItems":[{"id":31,"uris":["http://zotero.org/users/11246937/items/YQKQDX2N"],"itemData":{"id":31,"type":"article-journal","citation-key":"walkerTrabajoDocenteUniversidad2016","container-title":"Perfiles educativos","issue":"153","page":"105–119","publisher":"Universidad Nacional Autónoma de México, Instituto de Investigaciones sobre …","title":"El trabajo docente en la universidad: condiciones, dimensiones y tensiones","volume":"38","author":[{"family":"Walker","given":"Verónica Soledad"}],"issued":{"date-parts":[["2016"]]}}},{"id":103,"uris":["http://zotero.org/users/11246937/items/JLXZBASM"],"itemData":{"id":103,"type":"article-journal","abstract":"Este artículo aborda la cuestión de la precarización del trabajo docente universitario (TDU) a partir de la indagación de las relaciones entre las reconfiguraciones del trabajo y la carrera docente en las universidades nacionales de Argentina. El escrito sistematiza reflexiones teóricas sustentadas en la revisión de la bibliografía especializada y resultados de investigaciones en curso y finalizadas en las que se realizó análisis documental y entrevistas a docentes e informantes clave del campo universitario. Luego de consideraciones preliminares sobre el concepto de precarización, se puntualizan algunos rasgos de la universidad en la actual etapa del capitalismo para avanzar en la identificación de dimensiones e indicadores de la precarización del TDU relevantes para la definición de políticas específicas que busquen contrarrestarla. El análisis realizado destaca la necesidad de una definición ampliada del concepto de precarización como un tipo particular de relación con el empleo y con el trabajo de carácter heterogéneo y multidimensional.","citation-key":"walkerPrecarizacionTrabajoDocente2024","container-title":"Entramados : educación y sociedad","ISSN":"2422-6459","issue":"16","language":"es","license":"Copyright (c) 2024 Verónica Walker","note":"number: 16","page":"250-268","source":"fh.mdp.edu.ar","title":"La precarización del trabajo docente universitario: apuntes para su conceptualización y abordaje en las agendas políticas y de investigación","title-short":"La precarización del trabajo docente universitario","URL":"https://fh.mdp.edu.ar/revistas/index.php/entramados/article/view/8384","volume":"11","author":[{"family":"Walker","given":"Verónica Soledad"}],"accessed":{"date-parts":[["2025",6,5]]},"issued":{"date-parts":[["2024",12,11]]}}}],"schema":"https://github.com/citation-style-language/schema/raw/master/csl-citation.json"} </w:instrText>
      </w:r>
      <w:r w:rsidR="0004397C">
        <w:fldChar w:fldCharType="separate"/>
      </w:r>
      <w:r w:rsidR="0004397C" w:rsidRPr="0004397C">
        <w:t>(Walker, 2016, 2024)</w:t>
      </w:r>
      <w:r w:rsidR="0004397C">
        <w:fldChar w:fldCharType="end"/>
      </w:r>
      <w:r w:rsidRPr="0038003E">
        <w:t>. En este contexto, la ampliación de la matrícula constituye una condición estructural que puede contribuir a procesos de intensificación del trabajo docente, particularmente en los primeros años de las carreras.</w:t>
      </w:r>
    </w:p>
    <w:p w14:paraId="07E2E3E2" w14:textId="58EEE8E7" w:rsidR="00341AE6" w:rsidRPr="0004397C" w:rsidRDefault="00341AE6" w:rsidP="0004397C">
      <w:pPr>
        <w:rPr>
          <w:b/>
          <w:bCs/>
        </w:rPr>
      </w:pPr>
      <w:r w:rsidRPr="0004397C">
        <w:rPr>
          <w:b/>
          <w:bCs/>
        </w:rPr>
        <w:t>3. La configuración institucional del primer año en la UNS.</w:t>
      </w:r>
    </w:p>
    <w:p w14:paraId="2C81E149" w14:textId="77777777" w:rsidR="00047564" w:rsidRDefault="00341AE6" w:rsidP="0004397C">
      <w:r w:rsidRPr="00341AE6">
        <w:t xml:space="preserve">Un rasgo institucional relevante de la Universidad Nacional del Sur es su estructura organizativa departamental. A diferencia de otras universidades organizadas por </w:t>
      </w:r>
      <w:r w:rsidRPr="00341AE6">
        <w:lastRenderedPageBreak/>
        <w:t xml:space="preserve">facultades, en la UNS el trabajo docente se estructura en departamentos disciplinares, los cuales no sólo dictan materias para las carreras que imparten, sino que también para carreras de otros departamentos. Esto implica, por ejemplo, que las carreras de ingeniería cursan matemática en el departamento de matemática, y no en el de ingeniería. </w:t>
      </w:r>
      <w:r w:rsidR="00047564" w:rsidRPr="00047564">
        <w:t>Existen carreras que en sus tramos iniciales poseen pocas asignaturas de sus departamentos, realidad que se modifica a medida que los estudiantes avanzan en la estructura curricular y no suelen tener asignaturas ofertadas por otras unidades académica</w:t>
      </w:r>
    </w:p>
    <w:p w14:paraId="776563DF" w14:textId="0DAC87BD" w:rsidR="00341AE6" w:rsidRPr="00341AE6" w:rsidRDefault="00341AE6" w:rsidP="0004397C">
      <w:r w:rsidRPr="00341AE6">
        <w:t xml:space="preserve">En el año 2024, la Universidad Nacional del Sur registra un total de 38.696 estudiantes regulares, de los cuales 33.990 corresponden a carreras de grado (más del 80%) y 4.706 a pregrado. En relación con el ingreso, se registran más de 8000 inscripciones totales, distribuidas entre carreras de grado y pregrado, con aproximadamente un 80% de ingresantes al grado y un 20% al pregrado, manteniendo la tendencia del total del estudiantado. La distribución de ingresantes por unidad </w:t>
      </w:r>
      <w:proofErr w:type="gramStart"/>
      <w:r w:rsidRPr="00341AE6">
        <w:t>académica,</w:t>
      </w:r>
      <w:proofErr w:type="gramEnd"/>
      <w:r w:rsidRPr="00341AE6">
        <w:t xml:space="preserve"> muestra diferencias significativas en el volumen de matrícula. Departamentos como Ciencias de la Salud (7.049 estudiantes), Derecho (4.513), Ciencias de la Administración (3.708) y Geografía y Turismo (3.928) concentran una proporción importante del estudiantado total. Asimismo, se muestra un crecimiento del 20 % respecto de 2023, con incrementos particularmente elevados en Ciencias de la Salud (28 %) y en Ciencias e Ingeniería de la Computación (25 %). Esta composición evidencia una heterogeneidad disciplinar. Pero la matrícula áulica en la UNS no se relaciona únicamente con el número de ingresantes de cada unidad académica, sino con el entrelazado de asignaturas de servicio que unos departamentos dictan para otros, lo cual incide directamente en la organización del primer año, dado que las dinámicas de cursado, los dispositivos de acompañamiento y las exigencias académicas difieren según tramo del plan, tipo de asignatura y matrícula de la carrera.</w:t>
      </w:r>
    </w:p>
    <w:p w14:paraId="13A2606D" w14:textId="77777777" w:rsidR="00A4149B" w:rsidRDefault="00341AE6" w:rsidP="0004397C">
      <w:r w:rsidRPr="00341AE6">
        <w:t xml:space="preserve">Con el fin de dimensionar esta dinámica departamental se relevaron las relaciones de docencia entre departamentos, en la Figura 9 se puede ver a cada departamento a cuántos cuántas carreras de grado dicta asignaturas. Esta información permite observar la interdependencia existente entre los distintos departamentos así como la centralidad que adquieren determinadas unidades académicas en la formación inicial de los estudiantes, como es el caso del departamento de Matemática involucrado con 13 de los otros 16 departamentos académicos, dictando asignaturas para 33 de las 50 carreras de grado de la UNS. </w:t>
      </w:r>
    </w:p>
    <w:p w14:paraId="14BCC349" w14:textId="5759F1EA" w:rsidR="00341AE6" w:rsidRDefault="00341AE6" w:rsidP="0004397C">
      <w:pPr>
        <w:jc w:val="center"/>
      </w:pPr>
      <w:r w:rsidRPr="00DC43E2">
        <w:rPr>
          <w:noProof/>
          <w:lang w:val="en-US"/>
        </w:rPr>
        <w:lastRenderedPageBreak/>
        <w:drawing>
          <wp:inline distT="0" distB="0" distL="0" distR="0" wp14:anchorId="0FD5C0AC" wp14:editId="164D402C">
            <wp:extent cx="5220000" cy="2700000"/>
            <wp:effectExtent l="0" t="0" r="0" b="5715"/>
            <wp:docPr id="1097687014" name="Gráfico 1">
              <a:extLst xmlns:a="http://schemas.openxmlformats.org/drawingml/2006/main">
                <a:ext uri="{FF2B5EF4-FFF2-40B4-BE49-F238E27FC236}">
                  <a16:creationId xmlns:a16="http://schemas.microsoft.com/office/drawing/2014/main" id="{A2717596-03EC-442E-8A26-7EC939C31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341AE6">
        <w:t>Figura 9: Departamentos académicos de la UNS vs. número de otras carreras a los que presta servicios de docencia. Fuente: elaboración propia a partir de los planes de estudios del portal de la UNS.</w:t>
      </w:r>
    </w:p>
    <w:p w14:paraId="2AFCFEDD" w14:textId="77777777" w:rsidR="0038003E" w:rsidRDefault="0038003E" w:rsidP="0004397C">
      <w:r w:rsidRPr="0038003E">
        <w:t>El análisis realizado de la organización de la docencia, los planes de estudio y las comisiones registradas en SIU-</w:t>
      </w:r>
      <w:proofErr w:type="gramStart"/>
      <w:r w:rsidRPr="0038003E">
        <w:t>Guaraní</w:t>
      </w:r>
      <w:proofErr w:type="gramEnd"/>
      <w:r w:rsidRPr="0038003E">
        <w:t xml:space="preserve"> de las asignaturas de la UNS permite identificar rasgos estructurales del funcionamiento académico: las carreras dependen administrativamente de un departamento que decide el plan de estudio, pero la docencia de las diversas asignaturas no se organiza estrictamente por carreras sino a través de departamentos que proveen asignaturas específicas. Esto se vuelve especialmente visible en el primer año, que no pertenece a un único departamento sino que constituye un espacio transversal donde distintas unidades académicas sostienen la enseñanza básica. En este marco, algunos departamentos concentran una parte significativa de la docencia inicial, lo que evidencia una distribución desigual de la carga de enseñanza dentro de la institución y esta carga no está necesariamente vinculada al número de ingresantes por carrera. Asimismo, el relevamiento de las comisiones registradas en el sistema muestra que, aunque formalmente se crean numerosas comisiones para las materias, en la práctica la organización de las clases no siempre se corresponde con esa fragmentación administrativa. Hay comisiones diferentes de una materia, pero el sistema muestra igual horario, aula y docentes, por lo que en la práctica esta situación se puede traducir en aulas con una alta concentración de estudiantes. En conjunto, estos elementos permiten observar cómo la estructura departamental y la organización de la enseñanza también pueden contribuir a configurar dinámicas de intensificación del trabajo docente en los primeros años, particularmente en aquellas unidades académicas que sostienen gran parte de la formación básica.</w:t>
      </w:r>
    </w:p>
    <w:p w14:paraId="5D943B1A" w14:textId="441D16B5" w:rsidR="00341AE6" w:rsidRPr="0004397C" w:rsidRDefault="00341AE6" w:rsidP="0004397C">
      <w:pPr>
        <w:rPr>
          <w:b/>
          <w:bCs/>
        </w:rPr>
      </w:pPr>
      <w:r w:rsidRPr="0004397C">
        <w:rPr>
          <w:b/>
          <w:bCs/>
        </w:rPr>
        <w:t>3.1. Las asignaturas en la estructura departamental de la UNS</w:t>
      </w:r>
    </w:p>
    <w:p w14:paraId="503C503A" w14:textId="77777777" w:rsidR="00341AE6" w:rsidRPr="00341AE6" w:rsidRDefault="00341AE6" w:rsidP="0004397C">
      <w:r w:rsidRPr="00341AE6">
        <w:t xml:space="preserve">El análisis de la estructura del primer año en la Universidad Nacional del Sur permite observar la magnitud y organización de la enseñanza en esta etapa inicial de las trayectorias universitarias. En total, la UNS cuenta con 17 departamentos académicos y alrededor de 50 carreras de grado. A partir del relevamiento realizado sobre los planes de </w:t>
      </w:r>
      <w:r w:rsidRPr="00341AE6">
        <w:lastRenderedPageBreak/>
        <w:t xml:space="preserve">estudio se identificaron más de 300 materias correspondientes al primer año de las distintas carreras, que se reducen a 180 asignaturas con código diferente. Esta diferencia se explica porque muchas materias son compartidas por varias carreras y, en algunos casos, incluso por distintos departamentos, dado el carácter transversal de algunas asignaturas. </w:t>
      </w:r>
    </w:p>
    <w:p w14:paraId="34DE9EA8" w14:textId="77777777" w:rsidR="00341AE6" w:rsidRPr="00341AE6" w:rsidRDefault="00341AE6" w:rsidP="0004397C">
      <w:r w:rsidRPr="00341AE6">
        <w:t>La frecuencia con la que determinadas asignaturas aparecen en los planes de estudio permite identificar un conjunto de materias básicas que concentran gran parte de la enseñanza del primer año. Entre ellas se destacan asignaturas del área de matemática, física y química, como Análisis Matemático I, Álgebra y Geometría, Análisis Matemático II, Física I, Cálculo I y Química General para Ingeniería, que se repiten en numerosos planes de estudio. Esta recurrencia evidencia que una parte importante de la formación inicial se organiza en torno a materias comunes que son cursadas por estudiantes provenientes de distintas carreras, lo que contribuye a generar cursos de gran tamaño y alta concentración de estudiantes.</w:t>
      </w:r>
    </w:p>
    <w:p w14:paraId="5B7967D9" w14:textId="77777777" w:rsidR="00341AE6" w:rsidRPr="00341AE6" w:rsidRDefault="00341AE6" w:rsidP="0004397C">
      <w:r w:rsidRPr="00341AE6">
        <w:t>En términos cuantitativos, el primer año concentra además la mayor cantidad de inscripciones a materias dentro de las trayectorias de grado como se observa en la figura 10. Los datos relevados muestran que las asignaturas correspondientes al primer año registran un total de 33.318 inscripciones, cifra que desciende progresivamente en los años posteriores (19.127 en segundo año, 12.345 en tercero, 10.640 en cuarto y 5.647 en quinto). Esta distribución evidencia una fuerte concentración de cursadas en el inicio de las trayectorias universitarias.</w:t>
      </w:r>
    </w:p>
    <w:p w14:paraId="18361F65" w14:textId="46CA2759" w:rsidR="00341AE6" w:rsidRPr="00341AE6" w:rsidRDefault="00341AE6" w:rsidP="0004397C">
      <w:pPr>
        <w:jc w:val="center"/>
      </w:pPr>
      <w:r w:rsidRPr="00DC43E2">
        <w:rPr>
          <w:noProof/>
          <w:lang w:val="en-US"/>
        </w:rPr>
        <w:drawing>
          <wp:inline distT="0" distB="0" distL="0" distR="0" wp14:anchorId="655B94F8" wp14:editId="056EE4A2">
            <wp:extent cx="5220000" cy="2700000"/>
            <wp:effectExtent l="0" t="0" r="0" b="5715"/>
            <wp:docPr id="2127868618" name="Gráfico 21278686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341AE6">
        <w:t>Figura 10: Muestra general de la diversidad de matrículas por materia. El eje horizontal refleja el código administrativo, mientras que el vertical el número de inscripciones. Fuente: elaboración propia a partir de los datos del SIU-</w:t>
      </w:r>
      <w:proofErr w:type="gramStart"/>
      <w:r w:rsidRPr="00341AE6">
        <w:t>Guaraní</w:t>
      </w:r>
      <w:proofErr w:type="gramEnd"/>
      <w:r w:rsidRPr="00341AE6">
        <w:t>. 2024.</w:t>
      </w:r>
    </w:p>
    <w:p w14:paraId="3691EF20" w14:textId="6F5F289A" w:rsidR="001923DC" w:rsidRDefault="00341AE6" w:rsidP="0004397C">
      <w:r w:rsidRPr="00341AE6">
        <w:t xml:space="preserve">El gráfico de la Figura 11 permite observar que la distribución de inscripciones entre materias no es homogénea. Mientras muchas asignaturas presentan volúmenes relativamente moderados de estudiantes, un conjunto reducido concentra una proporción significativamente mayor de inscripciones. Esta distribución desigual evidencia que la </w:t>
      </w:r>
      <w:r w:rsidRPr="00341AE6">
        <w:lastRenderedPageBreak/>
        <w:t>masividad del primer año no se distribuye de manera uniforme entre todas las materias, sino que se concentra en determinadas asignaturas básicas.</w:t>
      </w:r>
    </w:p>
    <w:p w14:paraId="2525AF35" w14:textId="31BF570D" w:rsidR="00341AE6" w:rsidRDefault="00341AE6" w:rsidP="0004397C">
      <w:pPr>
        <w:jc w:val="center"/>
      </w:pPr>
      <w:r w:rsidRPr="00DC43E2">
        <w:rPr>
          <w:noProof/>
          <w:lang w:val="en-US"/>
        </w:rPr>
        <w:drawing>
          <wp:inline distT="0" distB="0" distL="0" distR="0" wp14:anchorId="147B5C8D" wp14:editId="3A527008">
            <wp:extent cx="5400040" cy="3333278"/>
            <wp:effectExtent l="0" t="0" r="10160" b="635"/>
            <wp:docPr id="2127868620" name="Gráfico 21278686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BBA8E6" w14:textId="77777777" w:rsidR="00341AE6" w:rsidRPr="00341AE6" w:rsidRDefault="00341AE6" w:rsidP="0004397C">
      <w:pPr>
        <w:jc w:val="center"/>
      </w:pPr>
      <w:r w:rsidRPr="00341AE6">
        <w:t>Figura 11: Las diez materias que concentraron mayor cantidad de inscripciones en el primer cuatrimestre de 2024. Fuente: elaboración propia a partir de datos del SIU-</w:t>
      </w:r>
      <w:proofErr w:type="gramStart"/>
      <w:r w:rsidRPr="00341AE6">
        <w:t>Guaraní</w:t>
      </w:r>
      <w:proofErr w:type="gramEnd"/>
      <w:r w:rsidRPr="00341AE6">
        <w:t>.</w:t>
      </w:r>
    </w:p>
    <w:p w14:paraId="3F4B5114" w14:textId="77777777" w:rsidR="00341AE6" w:rsidRPr="00341AE6" w:rsidRDefault="00341AE6" w:rsidP="0004397C">
      <w:r w:rsidRPr="00341AE6">
        <w:t xml:space="preserve">Es importante señalar que el número de inscripciones en asignaturas de primer año excede el número de ingresantes a la universidad. Esto se debe a que el dato corresponde a la matrícula en materias y no al número de estudiantes únicos. En este sentido, el total incluye tanto a estudiantes que cursan por primera vez como a quienes recursan asignaturas, así como también contabiliza las inscripciones correspondientes a ambos cuatrimestres y a las materias de régimen anual. Por lo tanto, la cifra refleja el volumen de cursadas que se concentran en el primer año más que el número de estudiantes que ingresan efectivamente al sistema. Este indicador resulta particularmente relevante para el análisis del TDU, no basta conocer el número de ingresantes, sino que el número de inscriptos permite dimensionar la intensidad de la actividad de enseñanza en esta etapa de la formación. La combinación entre altas tasas de ingreso, procesos de recursado y la organización curricular de las materias produce una fuerte concentración de estudiantes en las asignaturas iniciales, configurando un escenario de alta masividad que incide directamente en las condiciones de ejercicio del TDU. </w:t>
      </w:r>
    </w:p>
    <w:p w14:paraId="477237B8" w14:textId="77777777" w:rsidR="00341AE6" w:rsidRPr="00341AE6" w:rsidRDefault="00341AE6" w:rsidP="0004397C">
      <w:r w:rsidRPr="00341AE6">
        <w:t xml:space="preserve">El análisis de las inscripciones por asignatura permite identificar una fuerte concentración de estudiantes en un conjunto reducido de materias del primer año. Como se observa en la figura, asignaturas básicas como Análisis Matemático I, Álgebra y Geometría o Cálculo I concentran algunos de los mayores volúmenes de inscripción del sistema, superando ampliamente las quinientas o incluso mil inscripciones, si bien en la práctica hay varias comisiones, cada una con un profesor asignado, el número de inscriptos suele superar los </w:t>
      </w:r>
      <w:r w:rsidRPr="00341AE6">
        <w:lastRenderedPageBreak/>
        <w:t>150 estudiantes por comisión para estas asignaturas. Estas materias forman parte de los trayectos iniciales de múltiples carreras y son dictadas por departamentos que prestan servicio a diversas unidades académicas. En este sentido, el sistema departamental de la universidad produce una organización de la enseñanza en la que determinadas asignaturas sostienen una parte sustantiva de la formación inicial del estudiantado. Desde la perspectiva del TDU, esta concentración implica que una parte significativa de la actividad de enseñanza del primer año se desarrolla en cursos con elevada matrícula estudiantil, lo que configura condiciones particulares para el ejercicio de la docencia en este tramo de las trayectorias universitarias.</w:t>
      </w:r>
    </w:p>
    <w:p w14:paraId="03D06451" w14:textId="77777777" w:rsidR="00341AE6" w:rsidRPr="00341AE6" w:rsidRDefault="00341AE6" w:rsidP="0004397C">
      <w:r w:rsidRPr="00341AE6">
        <w:t>Un aspecto relevante para interpretar estos datos es que las condiciones de trabajo docente no son homogéneas entre las distintas asignaturas. En el sistema universitario argentino las dedicaciones docentes (simple, semiexclusiva o exclusiva) establecen diferentes cargas de trabajo y funciones, que incluyen no sólo la enseñanza sino también investigación, extensión y gestión. En este contexto, el volumen de estudiantes que concentra cada asignatura adquiere particular importancia, ya que determina en gran medida las condiciones concretas en las que se desarrolla la tarea docente. De este modo, desempeñarse como docente en materias con elevados niveles de inscripción, como Análisis Matemático I u otras asignaturas básicas del primer año, implica enfrentar cursos significativamente más numerosos que los que se registran en otras materias del mismo tramo de las carreras. La magnitud de las inscripciones, sumada a la diversidad de dedicaciones del plantel docente, configura así condiciones diferenciadas para el ejercicio de la docencia universitaria, tanto en términos de organización del trabajo como de las posibilidades de interacción pedagógica con el estudiantado.</w:t>
      </w:r>
    </w:p>
    <w:p w14:paraId="15328B33" w14:textId="759DCC2D" w:rsidR="00341AE6" w:rsidRPr="0038003E" w:rsidRDefault="00341AE6" w:rsidP="0004397C">
      <w:r w:rsidRPr="0038003E">
        <w:t>3.2 Composición</w:t>
      </w:r>
      <w:r w:rsidR="00047564" w:rsidRPr="0038003E">
        <w:t xml:space="preserve"> desagregada</w:t>
      </w:r>
      <w:r w:rsidRPr="0038003E">
        <w:t xml:space="preserve"> del plantel docente de cada año de los planes de estudio de la UNS. </w:t>
      </w:r>
    </w:p>
    <w:p w14:paraId="46B555B0" w14:textId="77777777" w:rsidR="0038003E" w:rsidRPr="0038003E" w:rsidRDefault="0038003E" w:rsidP="0004397C">
      <w:r w:rsidRPr="0038003E">
        <w:t xml:space="preserve">El análisis de la configuración institucional del primer año permite observar que este tramo concentra una parte significativa de la actividad de enseñanza de la UNS. En este apartado se analizar cómo se distribuyen los cargos, las categorías y las dedicaciones docentes en los distintos tramos de las carreras. </w:t>
      </w:r>
    </w:p>
    <w:p w14:paraId="6B3FBD0B" w14:textId="77777777" w:rsidR="0038003E" w:rsidRDefault="0038003E" w:rsidP="0004397C">
      <w:r w:rsidRPr="0038003E">
        <w:t>En el año 2024, la siguiente figura (12) muestra la distribución de cargos en general de todo el plantel de la UNS. La composición del plantel docente de la Universidad Nacional del Sur muestra una estructura sostenida principalmente por cargos auxiliares. Como se observa en la distribución por categorías, los cargos de Ayudante A y Asistentes concentran una proporción significativa del plantel, mientras que los cargos correspondientes a profesores representan una participación menor. En relación con las dedicaciones, se evidencia un predominio marcado de los cargos de dedicación simple, que constituyen la mayor parte de las designaciones docentes, frente a una presencia comparativamente reducida de dedicaciones semiexclusivas y exclusivas. Esta configuración permite observar una estructura académica donde la enseñanza universitaria se sostiene en gran medida sobre cargos auxiliares y dedicaciones de menor carga horaria formal.</w:t>
      </w:r>
    </w:p>
    <w:p w14:paraId="4D6DB064" w14:textId="1976524B" w:rsidR="00341AE6" w:rsidRDefault="00341AE6" w:rsidP="0004397C">
      <w:pPr>
        <w:jc w:val="center"/>
      </w:pPr>
      <w:r>
        <w:rPr>
          <w:noProof/>
        </w:rPr>
        <w:lastRenderedPageBreak/>
        <w:drawing>
          <wp:inline distT="0" distB="0" distL="0" distR="0" wp14:anchorId="56239006" wp14:editId="548E4DAA">
            <wp:extent cx="2520000" cy="2730500"/>
            <wp:effectExtent l="0" t="0" r="13970" b="12700"/>
            <wp:docPr id="184640742" name="Gráfico 1">
              <a:extLst xmlns:a="http://schemas.openxmlformats.org/drawingml/2006/main">
                <a:ext uri="{FF2B5EF4-FFF2-40B4-BE49-F238E27FC236}">
                  <a16:creationId xmlns:a16="http://schemas.microsoft.com/office/drawing/2014/main" id="{2692A6C7-1492-1F9B-DA48-4EAB42E966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drawing>
          <wp:inline distT="0" distB="0" distL="0" distR="0" wp14:anchorId="453244DB" wp14:editId="02F50DA1">
            <wp:extent cx="2520000" cy="2736850"/>
            <wp:effectExtent l="0" t="0" r="13970" b="6350"/>
            <wp:docPr id="1255261784" name="Gráfico 1">
              <a:extLst xmlns:a="http://schemas.openxmlformats.org/drawingml/2006/main">
                <a:ext uri="{FF2B5EF4-FFF2-40B4-BE49-F238E27FC236}">
                  <a16:creationId xmlns:a16="http://schemas.microsoft.com/office/drawing/2014/main" id="{B463D4A0-4D0C-0B3A-0397-547C929833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8D0D55" w14:textId="41AED9CD" w:rsidR="00341AE6" w:rsidRDefault="00341AE6" w:rsidP="0004397C">
      <w:pPr>
        <w:jc w:val="center"/>
      </w:pPr>
      <w:r w:rsidRPr="00341AE6">
        <w:t>Figura 12: Distribución de cargos y dedicaciones docentes en al año 2024. Fuente: elaboración propia a partir de los datos del SIU-Mapuche.</w:t>
      </w:r>
    </w:p>
    <w:p w14:paraId="1D3E6218" w14:textId="50E5EE47" w:rsidR="00341AE6" w:rsidRDefault="00341AE6" w:rsidP="0004397C">
      <w:r w:rsidRPr="00341AE6">
        <w:t>A diferencia del estudiantado, para el cual existen indicadores específicos que permiten aislar el tramo inicial de la trayectoria, no se dispone de estadísticas institucionales que delimiten el desempeño docente específicamente en primer año. Esta ausencia constituye en sí misma un rasgo del orden objetivo, en tanto invisibiliza ese tramo dentro de la estructura formal del trabajo académico. Con el objetivo de identificar la estructura docente específica del primer año, se realizó un relevamiento propio a partir del sistema SIU–</w:t>
      </w:r>
      <w:proofErr w:type="gramStart"/>
      <w:r w:rsidRPr="00341AE6">
        <w:t>Guaraní</w:t>
      </w:r>
      <w:proofErr w:type="gramEnd"/>
      <w:r w:rsidRPr="00341AE6">
        <w:t xml:space="preserve"> mediante un procedimiento de extracción y sistematización de datos correspondiente al ciclo lectivo 2024. Esto permitió desagregar los cargos por año de la carrera, categoría y dedicación, información que no se encuentra disponible en los informes institucionales agregados. A partir de la base de datos elaborada se encontró la distribución docente por tramos mostrada en la figura 13.</w:t>
      </w:r>
    </w:p>
    <w:p w14:paraId="4D3CC244" w14:textId="2EF5837F" w:rsidR="00341AE6" w:rsidRDefault="00341AE6" w:rsidP="0004397C">
      <w:pPr>
        <w:jc w:val="center"/>
      </w:pPr>
      <w:r w:rsidRPr="00DC43E2">
        <w:rPr>
          <w:noProof/>
          <w:lang w:val="en-US"/>
        </w:rPr>
        <w:drawing>
          <wp:inline distT="0" distB="0" distL="0" distR="0" wp14:anchorId="1BC25BFB" wp14:editId="0A4F728B">
            <wp:extent cx="5220000" cy="2700000"/>
            <wp:effectExtent l="0" t="0" r="0" b="5715"/>
            <wp:docPr id="210842749" name="Gráfico 1">
              <a:extLst xmlns:a="http://schemas.openxmlformats.org/drawingml/2006/main">
                <a:ext uri="{FF2B5EF4-FFF2-40B4-BE49-F238E27FC236}">
                  <a16:creationId xmlns:a16="http://schemas.microsoft.com/office/drawing/2014/main" id="{16BF6550-7738-8AB4-6120-4939E2E34E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6B083E" w14:textId="0506ED6F" w:rsidR="00341AE6" w:rsidRDefault="00341AE6" w:rsidP="0004397C">
      <w:pPr>
        <w:jc w:val="center"/>
      </w:pPr>
      <w:r w:rsidRPr="00341AE6">
        <w:lastRenderedPageBreak/>
        <w:t xml:space="preserve">Figura 13: Total de cargos docentes designados para </w:t>
      </w:r>
      <w:proofErr w:type="gramStart"/>
      <w:r w:rsidRPr="00341AE6">
        <w:t>la asignaturas</w:t>
      </w:r>
      <w:proofErr w:type="gramEnd"/>
      <w:r w:rsidRPr="00341AE6">
        <w:t xml:space="preserve"> de 1 a 5 año de los planes de estudio de las carreras de grado de la UNS. Fuente: elaboración propia a partir de datos del portal de la UNS y SIU-</w:t>
      </w:r>
      <w:proofErr w:type="gramStart"/>
      <w:r w:rsidRPr="00341AE6">
        <w:t>Guaraní</w:t>
      </w:r>
      <w:proofErr w:type="gramEnd"/>
      <w:r w:rsidRPr="00341AE6">
        <w:t>.</w:t>
      </w:r>
    </w:p>
    <w:p w14:paraId="364E5A28" w14:textId="44D7F038" w:rsidR="00341AE6" w:rsidRPr="00341AE6" w:rsidRDefault="00341AE6" w:rsidP="0004397C">
      <w:r w:rsidRPr="00341AE6">
        <w:t xml:space="preserve">Si se observa la figura 13 y se la compara con la figura 10 que muestra las inscripciones puede observarse que el </w:t>
      </w:r>
      <w:r w:rsidR="00047564" w:rsidRPr="00341AE6">
        <w:t>decaimiento</w:t>
      </w:r>
      <w:r w:rsidRPr="00341AE6">
        <w:t xml:space="preserve"> de la figura 10 es significativo, mientras que no es así en los cargos. Entre primer y segundo año, hay una diferencia del orden del 10% en cargos, mientras que la diferencia en inscriptos supera al 40%. </w:t>
      </w:r>
    </w:p>
    <w:p w14:paraId="16C638E3" w14:textId="76E574CA" w:rsidR="00341AE6" w:rsidRDefault="00341AE6" w:rsidP="0004397C">
      <w:r w:rsidRPr="00341AE6">
        <w:t xml:space="preserve">La distribución por </w:t>
      </w:r>
      <w:proofErr w:type="gramStart"/>
      <w:r w:rsidRPr="00341AE6">
        <w:t>año,</w:t>
      </w:r>
      <w:proofErr w:type="gramEnd"/>
      <w:r w:rsidRPr="00341AE6">
        <w:t xml:space="preserve"> se puede mostrar también, en cargos y dedicaciones, lo cual se realiza a continuación en las figuras 14 y 15, de manera porcentual.</w:t>
      </w:r>
    </w:p>
    <w:p w14:paraId="677CE832" w14:textId="4669D3B7" w:rsidR="00341AE6" w:rsidRDefault="00341AE6" w:rsidP="0004397C">
      <w:pPr>
        <w:jc w:val="center"/>
      </w:pPr>
      <w:r w:rsidRPr="00DC43E2">
        <w:rPr>
          <w:rFonts w:eastAsia="Tw Cen MT"/>
          <w:noProof/>
          <w:lang w:val="en-US"/>
        </w:rPr>
        <w:drawing>
          <wp:inline distT="0" distB="0" distL="0" distR="0" wp14:anchorId="0B41E558" wp14:editId="7A080FCC">
            <wp:extent cx="5220000" cy="2700000"/>
            <wp:effectExtent l="0" t="0" r="0" b="5715"/>
            <wp:docPr id="10316490" name="Gráfico 1">
              <a:extLst xmlns:a="http://schemas.openxmlformats.org/drawingml/2006/main">
                <a:ext uri="{FF2B5EF4-FFF2-40B4-BE49-F238E27FC236}">
                  <a16:creationId xmlns:a16="http://schemas.microsoft.com/office/drawing/2014/main" id="{3C8C7476-4A6F-436F-F927-36C098FBAB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341AE6">
        <w:t>Figura 14: Distribución porcentual de las dedicaciones en cada año de la UNS. Fuente: elaboración propia a partir de datos del portal de la UNS y SIU-</w:t>
      </w:r>
      <w:proofErr w:type="gramStart"/>
      <w:r w:rsidRPr="00341AE6">
        <w:t>Guaraní</w:t>
      </w:r>
      <w:proofErr w:type="gramEnd"/>
      <w:r w:rsidRPr="00341AE6">
        <w:t>.</w:t>
      </w:r>
    </w:p>
    <w:p w14:paraId="41B0E373" w14:textId="1E3749AF" w:rsidR="00341AE6" w:rsidRPr="00341AE6" w:rsidRDefault="00341AE6" w:rsidP="0004397C">
      <w:pPr>
        <w:jc w:val="center"/>
      </w:pPr>
      <w:r w:rsidRPr="00DC43E2">
        <w:rPr>
          <w:noProof/>
          <w:lang w:val="en-US"/>
        </w:rPr>
        <w:drawing>
          <wp:inline distT="0" distB="0" distL="0" distR="0" wp14:anchorId="4B636453" wp14:editId="3F0CA4A9">
            <wp:extent cx="5220000" cy="2736000"/>
            <wp:effectExtent l="0" t="0" r="0" b="7620"/>
            <wp:docPr id="891733874" name="Gráfico 1">
              <a:extLst xmlns:a="http://schemas.openxmlformats.org/drawingml/2006/main">
                <a:ext uri="{FF2B5EF4-FFF2-40B4-BE49-F238E27FC236}">
                  <a16:creationId xmlns:a16="http://schemas.microsoft.com/office/drawing/2014/main" id="{5DB41921-9CA4-34B0-4699-F64800F79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341AE6">
        <w:t>Figura 15: Distribución porcentual de cargos según año de las carreras de grado. Fuente: elaboración propia a partir de datos del portal de la UNS y SIU-</w:t>
      </w:r>
      <w:proofErr w:type="gramStart"/>
      <w:r w:rsidRPr="00341AE6">
        <w:t>Guaraní</w:t>
      </w:r>
      <w:proofErr w:type="gramEnd"/>
      <w:r w:rsidRPr="00341AE6">
        <w:t>.</w:t>
      </w:r>
    </w:p>
    <w:p w14:paraId="75A08FF2" w14:textId="77777777" w:rsidR="00341AE6" w:rsidRPr="00341AE6" w:rsidRDefault="00341AE6" w:rsidP="0004397C">
      <w:r w:rsidRPr="00341AE6">
        <w:lastRenderedPageBreak/>
        <w:t>Estas dos figuras muestran que la tendencia general del plantel docente, donde la mayoría de los cargos son de auxiliares y la mayoría de las dedicaciones son simples, se mantiene en cada tramo de las trayectorias. Este gráfico muestra la distribución porcentual respecto del total de cargos para todos los años, la suma de todos los porcentajes da el cien. Se observa que la mayor cantidad de cargos docentes están en el primer año, y de las dedicaciones simples, el 20% del total está en primer año, mientras que decrece hacia el 5 año, esta tendencia es diferente para las dedicaciones semi y exclusivas cuyos porcentajes no representan cambios tan significativos, la dedicación semi tiene una variación muy pequeña, y la dedicación exclusiva, que presenta un máximo en el segundo año, con un 6%, decrece al 2.4% en el último año. Mientras que la dedicación simple muestra una diferencia de 14.7, las otras dos dedicaciones tienen diferencias por debajo de 5 en caso de la exclusiva y por debajo de 2 en el caso de las semi, que son la dedicación con menor representación en general y en cada año en particular.</w:t>
      </w:r>
    </w:p>
    <w:p w14:paraId="5F468FD0" w14:textId="77777777" w:rsidR="0038003E" w:rsidRDefault="00341AE6" w:rsidP="0004397C">
      <w:r w:rsidRPr="00341AE6">
        <w:t xml:space="preserve">En la construcción de la caracterización del plantel docente se avanzó en general para entrecruzar cargo y dedicación, y poder analizar en particular la configuración del primer año. En la figura 16 se muestra en general la base de toda la universidad en conjunto, y luego la siguiente figura muestra específicamente el primer año.  </w:t>
      </w:r>
    </w:p>
    <w:p w14:paraId="34BD69DB" w14:textId="5AC53717" w:rsidR="00341AE6" w:rsidRPr="004C5D82" w:rsidRDefault="00341AE6" w:rsidP="0004397C">
      <w:pPr>
        <w:jc w:val="center"/>
      </w:pPr>
      <w:r w:rsidRPr="00DC43E2">
        <w:rPr>
          <w:noProof/>
          <w:lang w:val="en-US"/>
        </w:rPr>
        <w:drawing>
          <wp:inline distT="0" distB="0" distL="0" distR="0" wp14:anchorId="0C3B161B" wp14:editId="586363FC">
            <wp:extent cx="5400040" cy="2991959"/>
            <wp:effectExtent l="0" t="0" r="10160" b="18415"/>
            <wp:docPr id="2047636638" name="Gráfico 1">
              <a:extLst xmlns:a="http://schemas.openxmlformats.org/drawingml/2006/main">
                <a:ext uri="{FF2B5EF4-FFF2-40B4-BE49-F238E27FC236}">
                  <a16:creationId xmlns:a16="http://schemas.microsoft.com/office/drawing/2014/main" id="{6296FAB8-FC5B-464F-8A11-274BEF155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341AE6">
        <w:t>Figura 16: Detalle de cargo y dedicación por año de las carreras. Fuente: elaboración propia a partir de datos del portal de la UNS y SIU-</w:t>
      </w:r>
      <w:proofErr w:type="gramStart"/>
      <w:r w:rsidRPr="00341AE6">
        <w:t>Guaraní</w:t>
      </w:r>
      <w:proofErr w:type="gramEnd"/>
      <w:r w:rsidRPr="00341AE6">
        <w:t>.</w:t>
      </w:r>
    </w:p>
    <w:p w14:paraId="44B2AE0C" w14:textId="3BD9FCA0" w:rsidR="00341AE6" w:rsidRDefault="00341AE6" w:rsidP="0004397C">
      <w:pPr>
        <w:jc w:val="center"/>
      </w:pPr>
      <w:r w:rsidRPr="00DC43E2">
        <w:rPr>
          <w:noProof/>
          <w:lang w:val="en-US"/>
        </w:rPr>
        <w:lastRenderedPageBreak/>
        <w:drawing>
          <wp:inline distT="0" distB="0" distL="0" distR="0" wp14:anchorId="6F5420EC" wp14:editId="434E44CE">
            <wp:extent cx="5400040" cy="3240024"/>
            <wp:effectExtent l="0" t="0" r="10160" b="17780"/>
            <wp:docPr id="1728947991" name="Gráfico 1">
              <a:extLst xmlns:a="http://schemas.openxmlformats.org/drawingml/2006/main">
                <a:ext uri="{FF2B5EF4-FFF2-40B4-BE49-F238E27FC236}">
                  <a16:creationId xmlns:a16="http://schemas.microsoft.com/office/drawing/2014/main" id="{0DDE8262-9C71-4407-9711-2A66195C99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CB38772" w14:textId="77777777" w:rsidR="00341AE6" w:rsidRPr="00341AE6" w:rsidRDefault="00341AE6" w:rsidP="0004397C">
      <w:pPr>
        <w:jc w:val="center"/>
      </w:pPr>
      <w:r w:rsidRPr="00341AE6">
        <w:t>Figura 17: Cargo y dedicación en el primer año. Fuente: elaboración propia a partir de datos del portal de la UNS y SIU-</w:t>
      </w:r>
      <w:proofErr w:type="gramStart"/>
      <w:r w:rsidRPr="00341AE6">
        <w:t>Guaraní</w:t>
      </w:r>
      <w:proofErr w:type="gramEnd"/>
      <w:r w:rsidRPr="00341AE6">
        <w:t>.</w:t>
      </w:r>
    </w:p>
    <w:p w14:paraId="2D95C91B" w14:textId="77777777" w:rsidR="0038003E" w:rsidRDefault="00341AE6" w:rsidP="0004397C">
      <w:r w:rsidRPr="00341AE6">
        <w:t xml:space="preserve">Al desagregar la composición docente específicamente para el primer año, se observa una concentración aún más marcada de cargos auxiliares y dedicaciones simples. La categoría Ayudante A con dedicación simple constituye la designación predominante, seguida por otros cargos auxiliares, mientras que los cargos de mayor jerarquía y dedicaciones exclusivas presentan una presencia menor. Esta composición muestra que la enseñanza en el tramo inicial se sostiene principalmente sobre posiciones docentes vinculadas a funciones de apoyo a la enseñanza y con menor dedicación horaria formal. </w:t>
      </w:r>
    </w:p>
    <w:p w14:paraId="3B89CB7C" w14:textId="578DF7BA" w:rsidR="00341AE6" w:rsidRDefault="00341AE6" w:rsidP="0004397C">
      <w:pPr>
        <w:rPr>
          <w:noProof/>
        </w:rPr>
      </w:pPr>
      <w:r w:rsidRPr="00341AE6">
        <w:t>Por otra parte</w:t>
      </w:r>
      <w:r w:rsidR="0038003E">
        <w:t>,</w:t>
      </w:r>
      <w:r w:rsidRPr="00341AE6">
        <w:t xml:space="preserve"> </w:t>
      </w:r>
      <w:r w:rsidR="0038003E">
        <w:t>l</w:t>
      </w:r>
      <w:r w:rsidRPr="00341AE6">
        <w:t xml:space="preserve">a composición docente del primer año muestra una concentración significativa de cargos auxiliares y dedicaciones simples. Sin embargo, la distribución de cargos no permite observar por sí sola cómo se organiza la relación entre designaciones y personas. En el sistema universitario, un mismo docente puede ocupar más de un cargo, por lo que la cantidad de cargos no equivale necesariamente al número de docentes que participan efectivamente de la enseñanza. Para aproximarse a esta dimensión, se analiza la relación entre cantidad de cargos y cantidad de docentes por año de las carreras, en particular la normativa de la UNS determina incompatibilidad a más tres cargos docentes </w:t>
      </w:r>
      <w:r w:rsidR="0004397C">
        <w:fldChar w:fldCharType="begin"/>
      </w:r>
      <w:r w:rsidR="0004397C">
        <w:instrText xml:space="preserve"> ADDIN ZOTERO_ITEM CSL_CITATION {"citationID":"QPvGzuOD","properties":{"unsorted":false,"formattedCitation":"(Universidad Nacional del Sur, s.\\uc0\\u160{}f.-b)","plainCitation":"(Universidad Nacional del Sur, s. f.-b)","noteIndex":0},"citationItems":[{"id":618,"uris":["http://zotero.org/users/11246937/items/RGHUSZFA"],"itemData":{"id":618,"type":"report","citation-key":"universidadnacionaldelsurResolucionCSUNo","title":"Resolución CSU Nº 665/2022","title-short":"Régimen de incompatibilidad","URL":"https://apps.uns.edu.ar/digesto-consultas/bof/tmp/CSU_RES-665-2022.pdf","author":[{"family":"Universidad Nacional del Sur","given":""}]}}],"schema":"https://github.com/citation-style-language/schema/raw/master/csl-citation.json"} </w:instrText>
      </w:r>
      <w:r w:rsidR="0004397C">
        <w:fldChar w:fldCharType="separate"/>
      </w:r>
      <w:r w:rsidR="0004397C" w:rsidRPr="0004397C">
        <w:rPr>
          <w:kern w:val="0"/>
        </w:rPr>
        <w:t>(Universidad Nacional del Sur, s. f.-b)</w:t>
      </w:r>
      <w:r w:rsidR="0004397C">
        <w:fldChar w:fldCharType="end"/>
      </w:r>
    </w:p>
    <w:p w14:paraId="5EF71E36" w14:textId="42F13BA4" w:rsidR="00341AE6" w:rsidRDefault="00341AE6" w:rsidP="0004397C">
      <w:pPr>
        <w:jc w:val="center"/>
      </w:pPr>
      <w:r w:rsidRPr="00DC43E2">
        <w:rPr>
          <w:noProof/>
          <w:lang w:val="en-US"/>
        </w:rPr>
        <w:lastRenderedPageBreak/>
        <w:drawing>
          <wp:inline distT="0" distB="0" distL="0" distR="0" wp14:anchorId="5E3FF29B" wp14:editId="564B178C">
            <wp:extent cx="5220000" cy="2700000"/>
            <wp:effectExtent l="0" t="0" r="0" b="5715"/>
            <wp:docPr id="651423677" name="Gráfico 1">
              <a:extLst xmlns:a="http://schemas.openxmlformats.org/drawingml/2006/main">
                <a:ext uri="{FF2B5EF4-FFF2-40B4-BE49-F238E27FC236}">
                  <a16:creationId xmlns:a16="http://schemas.microsoft.com/office/drawing/2014/main" id="{384BE5F4-17E5-48A8-9A92-F9B27B628A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12B740C" w14:textId="77777777" w:rsidR="00341AE6" w:rsidRDefault="00341AE6" w:rsidP="0004397C">
      <w:pPr>
        <w:jc w:val="center"/>
      </w:pPr>
      <w:r w:rsidRPr="00341AE6">
        <w:t>Figura 18: Cantidad de cargos vs. cantidad de docentes en el primer año. Fuente: elaboración propia a partir de datos del portal de la UNS y SIU-</w:t>
      </w:r>
      <w:proofErr w:type="gramStart"/>
      <w:r w:rsidRPr="00341AE6">
        <w:t>Guaraní</w:t>
      </w:r>
      <w:proofErr w:type="gramEnd"/>
      <w:r w:rsidRPr="00341AE6">
        <w:t>.</w:t>
      </w:r>
    </w:p>
    <w:p w14:paraId="4267BE96" w14:textId="77777777" w:rsidR="0004397C" w:rsidRPr="00341AE6" w:rsidRDefault="0004397C" w:rsidP="0004397C">
      <w:pPr>
        <w:jc w:val="center"/>
      </w:pPr>
    </w:p>
    <w:p w14:paraId="1B0FB5E5" w14:textId="5AEAB1D5" w:rsidR="00341AE6" w:rsidRPr="00341AE6" w:rsidRDefault="00341AE6" w:rsidP="0004397C">
      <w:r w:rsidRPr="00341AE6">
        <w:t xml:space="preserve">La figura 18 muestra el número de cargos vs el número de docentes designados en esos cargos. En este sentido, el primer año no sólo concentra un volumen significativo de estudiantes y asignaturas masivas, sino que también se organiza sobre una estructura docente específica. La comparación entre la cantidad total de cargos y el número de docentes evidencia una diferencia significativa entre ambas magnitudes, lo que indica que una proporción importante de docentes posee más de una designación dentro de la institución. Esta situación revela una estructura organizativa basada en la acumulación de cargos, particularmente en las categorías auxiliares y en dedicaciones simples. Desde el punto de vista estructural, ello supone una fragmentación del trabajo docente, en la que las tareas se distribuyen en múltiples designaciones con cargas horarias parciales, en lugar de concentrarse en cargos de mayor dedicación. Esta configuración incide en las condiciones concretas del TDU. La multiplicidad de cargos puede implicar superposición de responsabilidades, dispersión de tareas y dependencia de renovaciones periódicas, especialmente en las categorías inferiores. En el caso del primer año, donde se concentra una proporción significativa de dedicaciones simples, esta estructura adquiere particular relevancia, en tanto el tramo inicial de la formación universitaria se sostiene en buena medida sobre cargos de menor estabilidad relativa y menor carga horaria formal. La presentación de cargos de planta transitoria de la universidad, se presenta en el anuario, según el mes de diciembre, mes en que el cuatrimestre termina, por lo que no representa un número acorde a los momentos de mayor intensificación del trabajo </w:t>
      </w:r>
      <w:r w:rsidRPr="00341AE6">
        <w:fldChar w:fldCharType="begin"/>
      </w:r>
      <w:r w:rsidR="0004397C">
        <w:instrText xml:space="preserve"> ADDIN ZOTERO_ITEM CSL_CITATION {"citationID":"BMkrixLM","properties":{"unsorted":false,"formattedCitation":"({\\i{}Universidad Nacional del Sur - Sitio oficial}, s.\\uc0\\u160{}f.-b)","plainCitation":"(Universidad Nacional del Sur - Sitio oficial, s. f.-b)","noteIndex":0},"citationItems":[{"id":619,"uris":["http://zotero.org/users/11246937/items/RE5MK7EU"],"itemData":{"id":619,"type":"webpage","citation-key":"UniversidadNacionalSitioa","title":"Universidad Nacional del Sur - Sitio oficial","URL":"https://www.uns.edu.ar/contenidos/411/652#anuarios","accessed":{"date-parts":[["2026",6,27]]}}}],"schema":"https://github.com/citation-style-language/schema/raw/master/csl-citation.json"} </w:instrText>
      </w:r>
      <w:r w:rsidRPr="00341AE6">
        <w:fldChar w:fldCharType="separate"/>
      </w:r>
      <w:r w:rsidR="0004397C" w:rsidRPr="0004397C">
        <w:rPr>
          <w:kern w:val="0"/>
        </w:rPr>
        <w:t>(</w:t>
      </w:r>
      <w:r w:rsidR="0004397C" w:rsidRPr="0004397C">
        <w:rPr>
          <w:i/>
          <w:iCs/>
          <w:kern w:val="0"/>
        </w:rPr>
        <w:t>Universidad Nacional del Sur - Sitio oficial</w:t>
      </w:r>
      <w:r w:rsidR="0004397C" w:rsidRPr="0004397C">
        <w:rPr>
          <w:kern w:val="0"/>
        </w:rPr>
        <w:t>, s. f.-b)</w:t>
      </w:r>
      <w:r w:rsidRPr="00341AE6">
        <w:fldChar w:fldCharType="end"/>
      </w:r>
      <w:r w:rsidRPr="00341AE6">
        <w:t xml:space="preserve">. Por otro lado, sólo se presenta el número de cargos que indican dedicación simple, en algunos casos se asigna funciones por designación complementaria y quedan sin definir dedicación. Esto implica que el dato proporcionado está por debajo, del número real de trabajadores de la planta transitoria. Este dato, como el resto, no indica en qué asignaturas están designados los cargos, por lo que se desconoce </w:t>
      </w:r>
      <w:r w:rsidRPr="00341AE6">
        <w:lastRenderedPageBreak/>
        <w:t xml:space="preserve">el número de docentes de planta transitoria del primer año, que tampoco figuran en las comisiones del </w:t>
      </w:r>
      <w:proofErr w:type="gramStart"/>
      <w:r w:rsidRPr="00341AE6">
        <w:t>Guaraní</w:t>
      </w:r>
      <w:proofErr w:type="gramEnd"/>
      <w:r w:rsidRPr="00341AE6">
        <w:t>, que sólo indica los cargos ordinarios, a veces los interinos.</w:t>
      </w:r>
    </w:p>
    <w:p w14:paraId="44C1DB3F" w14:textId="77777777" w:rsidR="00341AE6" w:rsidRPr="00341AE6" w:rsidRDefault="00341AE6" w:rsidP="0004397C">
      <w:r w:rsidRPr="00341AE6">
        <w:t>En conjunto, los datos presentados permiten caracterizar la estructura del plantel docente de la Universidad Nacional del Sur en términos de volumen, jerarquía, dedicación y distribución interna en los diferentes años de las carreras de grado. La predominancia de cargos auxiliares, el peso mayoritario de dedicaciones simples y la diferencia entre cantidad de cargos y número de docentes configuran una organización del trabajo basada en designaciones múltiples y en una marcada segmentación.</w:t>
      </w:r>
    </w:p>
    <w:p w14:paraId="5C04DD8C" w14:textId="77777777" w:rsidR="00341AE6" w:rsidRPr="00341AE6" w:rsidRDefault="00341AE6" w:rsidP="0004397C">
      <w:r w:rsidRPr="00341AE6">
        <w:t>La desagregación por año de la carrera muestra que el primer año se inscribe en esa estructura general con una composición específica: mayor concentración relativa de cargos auxiliares y predominio de dedicaciones simples, junto con una menor presencia proporcional de categorías superiores. Esta información, no disponible en las estadísticas institucionales agregadas, permite precisar las condiciones estructurales en las que se desarrolla la docencia en el tramo inicial.</w:t>
      </w:r>
    </w:p>
    <w:p w14:paraId="41B41FA6" w14:textId="77777777" w:rsidR="00341AE6" w:rsidRPr="0004397C" w:rsidRDefault="00341AE6" w:rsidP="0004397C">
      <w:pPr>
        <w:rPr>
          <w:b/>
          <w:bCs/>
        </w:rPr>
      </w:pPr>
      <w:r w:rsidRPr="0004397C">
        <w:rPr>
          <w:b/>
          <w:bCs/>
        </w:rPr>
        <w:t>Conclusiones</w:t>
      </w:r>
    </w:p>
    <w:p w14:paraId="0EF029E1" w14:textId="77777777" w:rsidR="00613A73" w:rsidRPr="0004397C" w:rsidRDefault="00613A73" w:rsidP="0004397C">
      <w:r w:rsidRPr="0004397C">
        <w:t>La ponencia presentó una mirada estructural y descriptiva del TDU en el primer año de la UNS, buscando mostrar que este tramo constituye un espacio específico dentro de la organización institucional de la enseñanza. A partir del análisis realizado, se observa que las características del primer año no pueden comprenderse únicamente a partir del volumen de estudiantes ingresantes, sino que requieren considerar la organización departamental de la universidad, la distribución de asignaturas y la composición del plantel docente.</w:t>
      </w:r>
    </w:p>
    <w:p w14:paraId="2E836439" w14:textId="77777777" w:rsidR="00613A73" w:rsidRPr="0004397C" w:rsidRDefault="00613A73" w:rsidP="0004397C">
      <w:r w:rsidRPr="0004397C">
        <w:t>En primer lugar, la investigación permitió identificar que el primer año constituye un espacio transversal dentro de la estructura departamental de la UNS. La enseñanza inicial no se encuentra concentrada exclusivamente en las unidades académicas de pertenencia de las carreras, sino que se organiza a partir de asignaturas compartidas por múltiples trayectorias formativas. Esta característica otorga un papel central a determinados departamentos que sostienen una parte significativa de la enseñanza inicial y configuran las condiciones institucionales en las que se desarrolla el TDU.</w:t>
      </w:r>
    </w:p>
    <w:p w14:paraId="01A89D20" w14:textId="77777777" w:rsidR="00613A73" w:rsidRPr="0004397C" w:rsidRDefault="00613A73" w:rsidP="0004397C">
      <w:r w:rsidRPr="0004397C">
        <w:t xml:space="preserve">En segundo lugar, el análisis mostró que la cantidad de ingresantes no constituye un indicador suficiente para caracterizar la magnitud del trabajo docente en este tramo. La enseñanza del primer año involucra inscripciones efectivas en asignaturas que incluyen estudiantes de distintos recorridos académicos, tales como </w:t>
      </w:r>
      <w:proofErr w:type="spellStart"/>
      <w:r w:rsidRPr="0004397C">
        <w:t>recursantes</w:t>
      </w:r>
      <w:proofErr w:type="spellEnd"/>
      <w:r w:rsidRPr="0004397C">
        <w:t>, estudiantes que realizan cambios de carrera o trayectorias no lineales. En este sentido, la unidad de análisis relevante para comprender las condiciones de enseñanza no es únicamente el ingreso, sino el volumen efectivo de cursadas que sostienen las asignaturas iniciales.</w:t>
      </w:r>
    </w:p>
    <w:p w14:paraId="3CA093DD" w14:textId="77777777" w:rsidR="00613A73" w:rsidRPr="0004397C" w:rsidRDefault="00613A73" w:rsidP="0004397C">
      <w:r w:rsidRPr="0004397C">
        <w:t>En tercer lugar, la reconstrucción de la estructura docente permitió observar que el primer año presenta una composición particular del plantel, caracterizada por una fuerte presencia de cargos auxiliares, predominio de dedicaciones simples y diferencias entre cantidad de cargos y cantidad de docentes. Si bien estas características forman parte de la estructura general de la universidad, son más marcadas en el tramo inicial, donde la demanda de enseñanza se articula con una organización del trabajo sostenida mayoritariamente por cargos de menor categoría y dedicación.</w:t>
      </w:r>
    </w:p>
    <w:p w14:paraId="77556AD0" w14:textId="77777777" w:rsidR="00613A73" w:rsidRPr="0004397C" w:rsidRDefault="00613A73" w:rsidP="0004397C">
      <w:r w:rsidRPr="0004397C">
        <w:lastRenderedPageBreak/>
        <w:t>Uno de los principales aportes metodológicos del trabajo radica en mostrar que el TDU de primer año no constituye una categoría estadística institucional disponible de manera directa. Mientras los registros universitarios permiten identificar cargos, dedicaciones y categorías docentes, no permiten reconocer en qué tramo de las trayectorias estudiantiles se desarrolla la tarea docente. Por ello, el primer año debió ser reconstruido analíticamente mediante el cruce de distintas fuentes institucionales, permitiendo objetivar las posiciones que configuran este espacio de trabajo.</w:t>
      </w:r>
    </w:p>
    <w:p w14:paraId="22EF9797" w14:textId="77777777" w:rsidR="00613A73" w:rsidRPr="0004397C" w:rsidRDefault="00613A73" w:rsidP="0004397C">
      <w:r w:rsidRPr="0004397C">
        <w:t>A partir de esta reconstrucción, la ponencia sostiene que la estructura departamental de la UNS, la expansión de la matrícula y la composición del plantel docente configuran condiciones específicas para el ejercicio del TDU en el primer año universitario. Estas condiciones permanecen parcialmente invisibilizadas en los registros institucionales y sólo pueden ser observadas mediante una mirada que articule la organización institucional, las características de la matrícula y las posiciones docentes.</w:t>
      </w:r>
    </w:p>
    <w:p w14:paraId="20F0A96A" w14:textId="77777777" w:rsidR="00613A73" w:rsidRPr="0004397C" w:rsidRDefault="00613A73" w:rsidP="0004397C">
      <w:r w:rsidRPr="0004397C">
        <w:t xml:space="preserve">Finalmente, este análisis abre nuevas líneas de profundización vinculadas a la incorporación de dimensiones que no pudieron ser abordadas en esta primera reconstrucción. En particular se podría considerar la fluctuación de la matrícula en cada año de las carreras, la relación entre estudiantes inscriptos, asistencia efectiva y aprobación, así como las diferencias entre asignaturas y departamentos. La incorporación de estos datos permitiría complejizar la comprensión de las condiciones concretas en las que se desarrolla el trabajo docente y profundizar el análisis del primer año como espacio específico dentro de la universidad. </w:t>
      </w:r>
    </w:p>
    <w:p w14:paraId="330DB09D" w14:textId="34AED33F" w:rsidR="00341AE6" w:rsidRPr="0004397C" w:rsidRDefault="00341AE6" w:rsidP="0004397C">
      <w:pPr>
        <w:rPr>
          <w:b/>
          <w:bCs/>
        </w:rPr>
      </w:pPr>
      <w:r w:rsidRPr="0004397C">
        <w:rPr>
          <w:b/>
          <w:bCs/>
        </w:rPr>
        <w:t xml:space="preserve">Referencias Bibliográficas </w:t>
      </w:r>
    </w:p>
    <w:p w14:paraId="7782EE77" w14:textId="77777777" w:rsidR="0004397C" w:rsidRPr="0004397C" w:rsidRDefault="0004397C" w:rsidP="0074684F">
      <w:pPr>
        <w:pStyle w:val="Bibliografa"/>
        <w:spacing w:line="240" w:lineRule="auto"/>
      </w:pPr>
      <w:r>
        <w:fldChar w:fldCharType="begin"/>
      </w:r>
      <w:r>
        <w:instrText xml:space="preserve"> ADDIN ZOTERO_BIBL {"uncited":[],"omitted":[],"custom":[]} CSL_BIBLIOGRAPHY </w:instrText>
      </w:r>
      <w:r>
        <w:fldChar w:fldCharType="separate"/>
      </w:r>
      <w:r w:rsidRPr="0004397C">
        <w:t xml:space="preserve">Arana, M., </w:t>
      </w:r>
      <w:proofErr w:type="spellStart"/>
      <w:r w:rsidRPr="0004397C">
        <w:t>Vazquez</w:t>
      </w:r>
      <w:proofErr w:type="spellEnd"/>
      <w:r w:rsidRPr="0004397C">
        <w:t xml:space="preserve">, D., y Bianculli, K. (2011). Organización del sistema universitario. La ruptura a partir de la L.E.S. (24.521). </w:t>
      </w:r>
      <w:r w:rsidRPr="0004397C">
        <w:rPr>
          <w:i/>
          <w:iCs/>
        </w:rPr>
        <w:t>Revista de Educación</w:t>
      </w:r>
      <w:r w:rsidRPr="0004397C">
        <w:t xml:space="preserve">, </w:t>
      </w:r>
      <w:r w:rsidRPr="0004397C">
        <w:rPr>
          <w:i/>
          <w:iCs/>
        </w:rPr>
        <w:t>2</w:t>
      </w:r>
      <w:r w:rsidRPr="0004397C">
        <w:t>(3), 145-158. (Argentina). http://fh.mdp.edu.ar/revistas/index.php/r_educ/article/view/50/94</w:t>
      </w:r>
    </w:p>
    <w:p w14:paraId="75034D9A" w14:textId="77777777" w:rsidR="0004397C" w:rsidRPr="0004397C" w:rsidRDefault="0004397C" w:rsidP="0074684F">
      <w:pPr>
        <w:pStyle w:val="Bibliografa"/>
        <w:spacing w:line="240" w:lineRule="auto"/>
      </w:pPr>
      <w:r w:rsidRPr="0004397C">
        <w:t xml:space="preserve">Bourdieu, P. (2008). </w:t>
      </w:r>
      <w:r w:rsidRPr="0004397C">
        <w:rPr>
          <w:i/>
          <w:iCs/>
        </w:rPr>
        <w:t xml:space="preserve">Homo </w:t>
      </w:r>
      <w:proofErr w:type="spellStart"/>
      <w:r w:rsidRPr="0004397C">
        <w:rPr>
          <w:i/>
          <w:iCs/>
        </w:rPr>
        <w:t>academicus</w:t>
      </w:r>
      <w:proofErr w:type="spellEnd"/>
      <w:r w:rsidRPr="0004397C">
        <w:t>. Siglo XXI Editores.</w:t>
      </w:r>
    </w:p>
    <w:p w14:paraId="1AC50F40" w14:textId="77777777" w:rsidR="0004397C" w:rsidRPr="0004397C" w:rsidRDefault="0004397C" w:rsidP="0074684F">
      <w:pPr>
        <w:pStyle w:val="Bibliografa"/>
        <w:spacing w:line="240" w:lineRule="auto"/>
      </w:pPr>
      <w:r w:rsidRPr="0004397C">
        <w:rPr>
          <w:lang w:val="fr-CA"/>
        </w:rPr>
        <w:t xml:space="preserve">Bourdieu, P., Chamboredon, J.-C., y Passeron, J.-C. (2002). </w:t>
      </w:r>
      <w:r w:rsidRPr="0004397C">
        <w:rPr>
          <w:i/>
          <w:iCs/>
        </w:rPr>
        <w:t>El oficio del sociólogo</w:t>
      </w:r>
      <w:r w:rsidRPr="0004397C">
        <w:t xml:space="preserve">. Siglo XXI. (Obra original publicada en </w:t>
      </w:r>
      <w:proofErr w:type="spellStart"/>
      <w:r w:rsidRPr="0004397C">
        <w:t>Ecole</w:t>
      </w:r>
      <w:proofErr w:type="spellEnd"/>
      <w:r w:rsidRPr="0004397C">
        <w:t xml:space="preserve"> </w:t>
      </w:r>
      <w:proofErr w:type="spellStart"/>
      <w:r w:rsidRPr="0004397C">
        <w:t>Pratique</w:t>
      </w:r>
      <w:proofErr w:type="spellEnd"/>
      <w:r w:rsidRPr="0004397C">
        <w:t xml:space="preserve"> des Hautes </w:t>
      </w:r>
      <w:proofErr w:type="spellStart"/>
      <w:r w:rsidRPr="0004397C">
        <w:t>Etudes</w:t>
      </w:r>
      <w:proofErr w:type="spellEnd"/>
      <w:r w:rsidRPr="0004397C">
        <w:t>)</w:t>
      </w:r>
    </w:p>
    <w:p w14:paraId="14E6B8EF" w14:textId="77777777" w:rsidR="0004397C" w:rsidRPr="0004397C" w:rsidRDefault="0004397C" w:rsidP="0074684F">
      <w:pPr>
        <w:pStyle w:val="Bibliografa"/>
        <w:spacing w:line="240" w:lineRule="auto"/>
        <w:rPr>
          <w:lang w:val="en-US"/>
        </w:rPr>
      </w:pPr>
      <w:r w:rsidRPr="0004397C">
        <w:t xml:space="preserve">Carli, S. (2024). </w:t>
      </w:r>
      <w:r w:rsidRPr="0004397C">
        <w:rPr>
          <w:i/>
          <w:iCs/>
        </w:rPr>
        <w:t>Las Fronteras de la Universidad Pública</w:t>
      </w:r>
      <w:r w:rsidRPr="0004397C">
        <w:t xml:space="preserve">. </w:t>
      </w:r>
      <w:r w:rsidRPr="0004397C">
        <w:rPr>
          <w:lang w:val="en-US"/>
        </w:rPr>
        <w:t>IIGG-CLACSO. https://biblioteca-repositorio.clacso.edu.ar/bitstream/CLACSO/252547/1/Las-fronteras-Universidad.pdf</w:t>
      </w:r>
    </w:p>
    <w:p w14:paraId="72516284" w14:textId="77777777" w:rsidR="0004397C" w:rsidRPr="0004397C" w:rsidRDefault="0004397C" w:rsidP="0074684F">
      <w:pPr>
        <w:pStyle w:val="Bibliografa"/>
        <w:spacing w:line="240" w:lineRule="auto"/>
      </w:pPr>
      <w:r w:rsidRPr="0004397C">
        <w:t xml:space="preserve">Coulon, A. (1995). </w:t>
      </w:r>
      <w:r w:rsidRPr="0004397C">
        <w:rPr>
          <w:i/>
          <w:iCs/>
        </w:rPr>
        <w:t>Etnometodología y educación</w:t>
      </w:r>
      <w:r w:rsidRPr="0004397C">
        <w:t xml:space="preserve">. Paidós Educador. (Obra original publicada en </w:t>
      </w:r>
      <w:proofErr w:type="spellStart"/>
      <w:r w:rsidRPr="0004397C">
        <w:t>Presses</w:t>
      </w:r>
      <w:proofErr w:type="spellEnd"/>
      <w:r w:rsidRPr="0004397C">
        <w:t xml:space="preserve"> </w:t>
      </w:r>
      <w:proofErr w:type="spellStart"/>
      <w:r w:rsidRPr="0004397C">
        <w:t>Universitarires</w:t>
      </w:r>
      <w:proofErr w:type="spellEnd"/>
      <w:r w:rsidRPr="0004397C">
        <w:t xml:space="preserve"> de France)</w:t>
      </w:r>
    </w:p>
    <w:p w14:paraId="373D5CE9" w14:textId="77777777" w:rsidR="0004397C" w:rsidRPr="0004397C" w:rsidRDefault="0004397C" w:rsidP="0074684F">
      <w:pPr>
        <w:pStyle w:val="Bibliografa"/>
        <w:spacing w:line="240" w:lineRule="auto"/>
      </w:pPr>
      <w:r w:rsidRPr="0004397C">
        <w:t xml:space="preserve">Ezcurra, A. M., Feeney, S., </w:t>
      </w:r>
      <w:proofErr w:type="spellStart"/>
      <w:r w:rsidRPr="0004397C">
        <w:t>Grandoli</w:t>
      </w:r>
      <w:proofErr w:type="spellEnd"/>
      <w:r w:rsidRPr="0004397C">
        <w:t xml:space="preserve">, M. E., Marquina, M., </w:t>
      </w:r>
      <w:proofErr w:type="spellStart"/>
      <w:r w:rsidRPr="0004397C">
        <w:t>Pegasano</w:t>
      </w:r>
      <w:proofErr w:type="spellEnd"/>
      <w:r w:rsidRPr="0004397C">
        <w:t xml:space="preserve">, E., Rosica, M., y Sosa, Y. (2011). </w:t>
      </w:r>
      <w:r w:rsidRPr="0004397C">
        <w:rPr>
          <w:i/>
          <w:iCs/>
        </w:rPr>
        <w:t>Admisión a la universidad y selectividad social: Cuando la democratización es más que un problema de ingresos</w:t>
      </w:r>
      <w:r w:rsidRPr="0004397C">
        <w:t>. Universidad Nacional de General Sarmiento. http://repositorio.ungs.edu.ar:8080/xmlui/handle/UNGS/837</w:t>
      </w:r>
    </w:p>
    <w:p w14:paraId="48223355" w14:textId="77777777" w:rsidR="0004397C" w:rsidRPr="0004397C" w:rsidRDefault="0004397C" w:rsidP="0074684F">
      <w:pPr>
        <w:pStyle w:val="Bibliografa"/>
        <w:spacing w:line="240" w:lineRule="auto"/>
      </w:pPr>
      <w:r w:rsidRPr="0004397C">
        <w:t xml:space="preserve">García, P., y Sotelo, L. A. (2025). El campo de los inicios de la vida universitaria en Argentina: Aportes para su consolidación conceptual y su abordaje metodológico en red. </w:t>
      </w:r>
      <w:r w:rsidRPr="0004397C">
        <w:rPr>
          <w:i/>
          <w:iCs/>
        </w:rPr>
        <w:t>Revista de Estudios Teóricos y Epistemológicos en Política Educativa</w:t>
      </w:r>
      <w:r w:rsidRPr="0004397C">
        <w:t xml:space="preserve">, </w:t>
      </w:r>
      <w:r w:rsidRPr="0004397C">
        <w:rPr>
          <w:i/>
          <w:iCs/>
        </w:rPr>
        <w:t>10</w:t>
      </w:r>
      <w:r w:rsidRPr="0004397C">
        <w:t>(2025), 1-10. https://doi.org/10.5212/retepe.v.10.25343.011</w:t>
      </w:r>
    </w:p>
    <w:p w14:paraId="631811CD" w14:textId="77777777" w:rsidR="0004397C" w:rsidRPr="0004397C" w:rsidRDefault="0004397C" w:rsidP="0074684F">
      <w:pPr>
        <w:pStyle w:val="Bibliografa"/>
        <w:spacing w:line="240" w:lineRule="auto"/>
      </w:pPr>
      <w:proofErr w:type="spellStart"/>
      <w:r w:rsidRPr="0004397C">
        <w:t>Pierella</w:t>
      </w:r>
      <w:proofErr w:type="spellEnd"/>
      <w:r w:rsidRPr="0004397C">
        <w:t xml:space="preserve">, M. P. (2014). El ingreso a la universidad pública: Diversificación de la experiencia estudiantil y procesos de afiliación a la vida institucional. </w:t>
      </w:r>
      <w:r w:rsidRPr="0004397C">
        <w:rPr>
          <w:i/>
          <w:iCs/>
        </w:rPr>
        <w:t>Universidades</w:t>
      </w:r>
      <w:r w:rsidRPr="0004397C">
        <w:t>, (60), 51-62.</w:t>
      </w:r>
    </w:p>
    <w:p w14:paraId="2D6FE214" w14:textId="77777777" w:rsidR="0004397C" w:rsidRPr="0004397C" w:rsidRDefault="0004397C" w:rsidP="0074684F">
      <w:pPr>
        <w:pStyle w:val="Bibliografa"/>
        <w:spacing w:line="240" w:lineRule="auto"/>
      </w:pPr>
      <w:proofErr w:type="spellStart"/>
      <w:r w:rsidRPr="0004397C">
        <w:lastRenderedPageBreak/>
        <w:t>Pierella</w:t>
      </w:r>
      <w:proofErr w:type="spellEnd"/>
      <w:r w:rsidRPr="0004397C">
        <w:t xml:space="preserve">, M. P. (2018). A 100 años de la reforma: Desafíos de la enseñanza en los primeros años de la universidad. </w:t>
      </w:r>
      <w:r w:rsidRPr="0004397C">
        <w:rPr>
          <w:i/>
          <w:iCs/>
        </w:rPr>
        <w:t>TRAYECTORIAS UNIVERSITARIAS</w:t>
      </w:r>
      <w:r w:rsidRPr="0004397C">
        <w:t xml:space="preserve">, </w:t>
      </w:r>
      <w:r w:rsidRPr="0004397C">
        <w:rPr>
          <w:i/>
          <w:iCs/>
        </w:rPr>
        <w:t>4</w:t>
      </w:r>
      <w:r w:rsidRPr="0004397C">
        <w:t>(6), 16-22. http://revistas.unlp.edu.ar/TrayectoriasUniversitarias</w:t>
      </w:r>
    </w:p>
    <w:p w14:paraId="3840F5BA" w14:textId="77777777" w:rsidR="0004397C" w:rsidRPr="0004397C" w:rsidRDefault="0004397C" w:rsidP="0074684F">
      <w:pPr>
        <w:pStyle w:val="Bibliografa"/>
        <w:spacing w:line="240" w:lineRule="auto"/>
        <w:rPr>
          <w:lang w:val="fr-CA"/>
        </w:rPr>
      </w:pPr>
      <w:proofErr w:type="spellStart"/>
      <w:r w:rsidRPr="0004397C">
        <w:t>Sanseau</w:t>
      </w:r>
      <w:proofErr w:type="spellEnd"/>
      <w:r w:rsidRPr="0004397C">
        <w:t xml:space="preserve">, M., Sánchez Cestona, J., y </w:t>
      </w:r>
      <w:proofErr w:type="spellStart"/>
      <w:r w:rsidRPr="0004397C">
        <w:t>Callio</w:t>
      </w:r>
      <w:proofErr w:type="spellEnd"/>
      <w:r w:rsidRPr="0004397C">
        <w:t xml:space="preserve">, S. (2023). </w:t>
      </w:r>
      <w:r w:rsidRPr="0004397C">
        <w:rPr>
          <w:i/>
          <w:iCs/>
        </w:rPr>
        <w:t>PERMANENCIA DE LAS Y LOS ESTUDIANTES EN LA UNIVERSIDAD</w:t>
      </w:r>
      <w:r w:rsidRPr="0004397C">
        <w:t xml:space="preserve">. </w:t>
      </w:r>
      <w:r w:rsidRPr="0004397C">
        <w:rPr>
          <w:lang w:val="fr-CA"/>
        </w:rPr>
        <w:t>CONEAU. https://www.coneau.gob.ar/archivos/publicaciones/PermanenciaEstudiantesUniversidad.pdf</w:t>
      </w:r>
    </w:p>
    <w:p w14:paraId="2F1FBFF5" w14:textId="77777777" w:rsidR="0004397C" w:rsidRPr="0004397C" w:rsidRDefault="0004397C" w:rsidP="0074684F">
      <w:pPr>
        <w:pStyle w:val="Bibliografa"/>
        <w:spacing w:line="240" w:lineRule="auto"/>
        <w:rPr>
          <w:lang w:val="en-US"/>
        </w:rPr>
      </w:pPr>
      <w:r w:rsidRPr="0004397C">
        <w:rPr>
          <w:lang w:val="fr-CA"/>
        </w:rPr>
        <w:t xml:space="preserve">Tinto, V. (2009). </w:t>
      </w:r>
      <w:r w:rsidRPr="0004397C">
        <w:rPr>
          <w:i/>
          <w:iCs/>
          <w:lang w:val="en-US"/>
        </w:rPr>
        <w:t>Taking Student Retention Seriously: Rethinking the First Year of University</w:t>
      </w:r>
      <w:r w:rsidRPr="0004397C">
        <w:rPr>
          <w:lang w:val="en-US"/>
        </w:rPr>
        <w:t>.</w:t>
      </w:r>
    </w:p>
    <w:p w14:paraId="7013D63E" w14:textId="77777777" w:rsidR="0004397C" w:rsidRPr="0004397C" w:rsidRDefault="0004397C" w:rsidP="0074684F">
      <w:pPr>
        <w:pStyle w:val="Bibliografa"/>
        <w:spacing w:line="240" w:lineRule="auto"/>
      </w:pPr>
      <w:r w:rsidRPr="0004397C">
        <w:t xml:space="preserve">Universidad Nacional del Sur. (s. f.-a). </w:t>
      </w:r>
      <w:r w:rsidRPr="0004397C">
        <w:rPr>
          <w:i/>
          <w:iCs/>
        </w:rPr>
        <w:t>Portal de Datos UNS</w:t>
      </w:r>
      <w:r w:rsidRPr="0004397C">
        <w:t>. Recuperado https://datos.uns.edu.ar/eportal/web/guest;jsessionid=A8ED77638E80F7862C890308CC817F4C</w:t>
      </w:r>
    </w:p>
    <w:p w14:paraId="440F0A39" w14:textId="77777777" w:rsidR="0004397C" w:rsidRPr="0004397C" w:rsidRDefault="0004397C" w:rsidP="0074684F">
      <w:pPr>
        <w:pStyle w:val="Bibliografa"/>
        <w:spacing w:line="240" w:lineRule="auto"/>
      </w:pPr>
      <w:r w:rsidRPr="0004397C">
        <w:t xml:space="preserve">Universidad Nacional del Sur. (s. f.-b). </w:t>
      </w:r>
      <w:r w:rsidRPr="0004397C">
        <w:rPr>
          <w:i/>
          <w:iCs/>
        </w:rPr>
        <w:t>Resolución CSU N</w:t>
      </w:r>
      <w:r w:rsidRPr="0004397C">
        <w:rPr>
          <w:i/>
          <w:iCs/>
          <w:vertAlign w:val="superscript"/>
        </w:rPr>
        <w:t>o</w:t>
      </w:r>
      <w:r w:rsidRPr="0004397C">
        <w:rPr>
          <w:i/>
          <w:iCs/>
        </w:rPr>
        <w:t xml:space="preserve"> 665/2022</w:t>
      </w:r>
      <w:r w:rsidRPr="0004397C">
        <w:t>. Recuperado https://apps.uns.edu.ar/digesto-consultas/bof/tmp/CSU_RES-665-2022.pdf</w:t>
      </w:r>
    </w:p>
    <w:p w14:paraId="100816BC" w14:textId="77777777" w:rsidR="0004397C" w:rsidRPr="0004397C" w:rsidRDefault="0004397C" w:rsidP="0074684F">
      <w:pPr>
        <w:pStyle w:val="Bibliografa"/>
        <w:spacing w:line="240" w:lineRule="auto"/>
      </w:pPr>
      <w:r w:rsidRPr="0004397C">
        <w:t xml:space="preserve">Universidad Nacional del Sur. (s. f.-c). </w:t>
      </w:r>
      <w:r w:rsidRPr="0004397C">
        <w:rPr>
          <w:i/>
          <w:iCs/>
        </w:rPr>
        <w:t>SIU-</w:t>
      </w:r>
      <w:proofErr w:type="gramStart"/>
      <w:r w:rsidRPr="0004397C">
        <w:rPr>
          <w:i/>
          <w:iCs/>
        </w:rPr>
        <w:t>Guaraní</w:t>
      </w:r>
      <w:proofErr w:type="gramEnd"/>
      <w:r w:rsidRPr="0004397C">
        <w:rPr>
          <w:i/>
          <w:iCs/>
        </w:rPr>
        <w:t>-Comisiones de cursado</w:t>
      </w:r>
      <w:r w:rsidRPr="0004397C">
        <w:t>. Recuperado https://g3w.uns.edu.ar/guarani3w/comisiones_publica</w:t>
      </w:r>
    </w:p>
    <w:p w14:paraId="215CDE99" w14:textId="77777777" w:rsidR="0004397C" w:rsidRPr="0004397C" w:rsidRDefault="0004397C" w:rsidP="0074684F">
      <w:pPr>
        <w:pStyle w:val="Bibliografa"/>
        <w:spacing w:line="240" w:lineRule="auto"/>
      </w:pPr>
      <w:r w:rsidRPr="0004397C">
        <w:t xml:space="preserve">Universidad Nacional del Sur. (s. f.-a). </w:t>
      </w:r>
      <w:r w:rsidRPr="0004397C">
        <w:rPr>
          <w:i/>
          <w:iCs/>
        </w:rPr>
        <w:t>Universidad Nacional del Sur—Oferta Académica</w:t>
      </w:r>
      <w:r w:rsidRPr="0004397C">
        <w:t>. Recuperado 1 de julio de 2026, de https://www.uns.edu.ar/academicas/carreras/oferta-academica_carreras-grado</w:t>
      </w:r>
    </w:p>
    <w:p w14:paraId="02D4652F" w14:textId="77777777" w:rsidR="0004397C" w:rsidRPr="0004397C" w:rsidRDefault="0004397C" w:rsidP="0074684F">
      <w:pPr>
        <w:pStyle w:val="Bibliografa"/>
        <w:spacing w:line="240" w:lineRule="auto"/>
      </w:pPr>
      <w:r w:rsidRPr="0004397C">
        <w:t xml:space="preserve">Universidad Nacional del Sur. (2023, noviembre). </w:t>
      </w:r>
      <w:r w:rsidRPr="0004397C">
        <w:rPr>
          <w:i/>
          <w:iCs/>
        </w:rPr>
        <w:t>PROGRAMA DE ACOMPAÑAMIENTO A LAS TRAYECTORIAS INICIALES (ATI) DEROGA CSU-510/13 y CSU-627/22</w:t>
      </w:r>
      <w:r w:rsidRPr="0004397C">
        <w:t xml:space="preserve"> [Normativa del Digesto]. https://apps.uns.edu.ar/digesto-consultas/bof/digesto_bof_tematico_resu.php</w:t>
      </w:r>
    </w:p>
    <w:p w14:paraId="293A6822" w14:textId="77777777" w:rsidR="0004397C" w:rsidRPr="0004397C" w:rsidRDefault="0004397C" w:rsidP="0074684F">
      <w:pPr>
        <w:pStyle w:val="Bibliografa"/>
        <w:spacing w:line="240" w:lineRule="auto"/>
      </w:pPr>
      <w:r w:rsidRPr="0004397C">
        <w:rPr>
          <w:i/>
          <w:iCs/>
        </w:rPr>
        <w:t>Universidad Nacional del Sur—Sitio oficial</w:t>
      </w:r>
      <w:r w:rsidRPr="0004397C">
        <w:t>. (s. f.-b). Recuperado 27 de junio de 2026, de https://www.uns.edu.ar/contenidos/411/652#anuarios</w:t>
      </w:r>
    </w:p>
    <w:p w14:paraId="40B9B2B3" w14:textId="77777777" w:rsidR="0004397C" w:rsidRPr="0004397C" w:rsidRDefault="0004397C" w:rsidP="0074684F">
      <w:pPr>
        <w:pStyle w:val="Bibliografa"/>
        <w:spacing w:line="240" w:lineRule="auto"/>
      </w:pPr>
      <w:r w:rsidRPr="0004397C">
        <w:t xml:space="preserve">Walker, V. S. (2016). El trabajo docente en la universidad: Condiciones, dimensiones y tensiones. </w:t>
      </w:r>
      <w:r w:rsidRPr="0004397C">
        <w:rPr>
          <w:i/>
          <w:iCs/>
        </w:rPr>
        <w:t>Perfiles educativos</w:t>
      </w:r>
      <w:r w:rsidRPr="0004397C">
        <w:t xml:space="preserve">, </w:t>
      </w:r>
      <w:r w:rsidRPr="0004397C">
        <w:rPr>
          <w:i/>
          <w:iCs/>
        </w:rPr>
        <w:t>38</w:t>
      </w:r>
      <w:r w:rsidRPr="0004397C">
        <w:t>(153), 105-119.</w:t>
      </w:r>
    </w:p>
    <w:p w14:paraId="2F095F69" w14:textId="77777777" w:rsidR="0004397C" w:rsidRPr="0004397C" w:rsidRDefault="0004397C" w:rsidP="0074684F">
      <w:pPr>
        <w:pStyle w:val="Bibliografa"/>
        <w:spacing w:line="240" w:lineRule="auto"/>
      </w:pPr>
      <w:r w:rsidRPr="0004397C">
        <w:t xml:space="preserve">Walker, V. S. (2024). La precarización del trabajo docente universitario: Apuntes para su conceptualización y abordaje en las agendas políticas y de investigación. </w:t>
      </w:r>
      <w:proofErr w:type="gramStart"/>
      <w:r w:rsidRPr="0004397C">
        <w:rPr>
          <w:i/>
          <w:iCs/>
        </w:rPr>
        <w:t>Entramados :</w:t>
      </w:r>
      <w:proofErr w:type="gramEnd"/>
      <w:r w:rsidRPr="0004397C">
        <w:rPr>
          <w:i/>
          <w:iCs/>
        </w:rPr>
        <w:t xml:space="preserve"> educación y sociedad</w:t>
      </w:r>
      <w:r w:rsidRPr="0004397C">
        <w:t xml:space="preserve">, </w:t>
      </w:r>
      <w:r w:rsidRPr="0004397C">
        <w:rPr>
          <w:i/>
          <w:iCs/>
        </w:rPr>
        <w:t>11</w:t>
      </w:r>
      <w:r w:rsidRPr="0004397C">
        <w:t xml:space="preserve">(16), </w:t>
      </w:r>
      <w:proofErr w:type="spellStart"/>
      <w:r w:rsidRPr="0004397C">
        <w:t>Article</w:t>
      </w:r>
      <w:proofErr w:type="spellEnd"/>
      <w:r w:rsidRPr="0004397C">
        <w:t xml:space="preserve"> 16. https://fh.mdp.edu.ar/revistas/index.php/entramados/article/view/8384</w:t>
      </w:r>
    </w:p>
    <w:p w14:paraId="2E6F4491" w14:textId="6A48CEB6" w:rsidR="00341AE6" w:rsidRPr="00341AE6" w:rsidRDefault="0004397C" w:rsidP="0074684F">
      <w:pPr>
        <w:ind w:left="1416" w:hanging="1416"/>
      </w:pPr>
      <w:r>
        <w:fldChar w:fldCharType="end"/>
      </w:r>
    </w:p>
    <w:sectPr w:rsidR="00341AE6" w:rsidRPr="00341AE6" w:rsidSect="00701F64">
      <w:headerReference w:type="default" r:id="rId26"/>
      <w:footerReference w:type="default" r:id="rId2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C116" w14:textId="77777777" w:rsidR="00586F6A" w:rsidRPr="00BA642E" w:rsidRDefault="00586F6A" w:rsidP="0004397C">
      <w:r w:rsidRPr="00BA642E">
        <w:separator/>
      </w:r>
    </w:p>
  </w:endnote>
  <w:endnote w:type="continuationSeparator" w:id="0">
    <w:p w14:paraId="4B096988" w14:textId="77777777" w:rsidR="00586F6A" w:rsidRPr="00BA642E" w:rsidRDefault="00586F6A" w:rsidP="0004397C">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rsidP="0004397C">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rsidP="000439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CDEF" w14:textId="77777777" w:rsidR="00586F6A" w:rsidRPr="00BA642E" w:rsidRDefault="00586F6A" w:rsidP="0004397C">
      <w:r w:rsidRPr="00BA642E">
        <w:separator/>
      </w:r>
    </w:p>
  </w:footnote>
  <w:footnote w:type="continuationSeparator" w:id="0">
    <w:p w14:paraId="15CCA93B" w14:textId="77777777" w:rsidR="00586F6A" w:rsidRPr="00BA642E" w:rsidRDefault="00586F6A" w:rsidP="0004397C">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04397C">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99D"/>
    <w:multiLevelType w:val="hybridMultilevel"/>
    <w:tmpl w:val="80EA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944BD1"/>
    <w:multiLevelType w:val="hybridMultilevel"/>
    <w:tmpl w:val="8C40F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221812"/>
    <w:multiLevelType w:val="hybridMultilevel"/>
    <w:tmpl w:val="24CAA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C145E8"/>
    <w:multiLevelType w:val="hybridMultilevel"/>
    <w:tmpl w:val="200C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D627FA"/>
    <w:multiLevelType w:val="hybridMultilevel"/>
    <w:tmpl w:val="A2DC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765693">
    <w:abstractNumId w:val="2"/>
  </w:num>
  <w:num w:numId="2" w16cid:durableId="1129282808">
    <w:abstractNumId w:val="0"/>
  </w:num>
  <w:num w:numId="3" w16cid:durableId="2047749838">
    <w:abstractNumId w:val="1"/>
  </w:num>
  <w:num w:numId="4" w16cid:durableId="202058697">
    <w:abstractNumId w:val="4"/>
  </w:num>
  <w:num w:numId="5" w16cid:durableId="273169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397C"/>
    <w:rsid w:val="00047564"/>
    <w:rsid w:val="001816D6"/>
    <w:rsid w:val="00185F5E"/>
    <w:rsid w:val="001923DC"/>
    <w:rsid w:val="002327C3"/>
    <w:rsid w:val="002846B7"/>
    <w:rsid w:val="00312392"/>
    <w:rsid w:val="00341AE6"/>
    <w:rsid w:val="00361C04"/>
    <w:rsid w:val="0038003E"/>
    <w:rsid w:val="004040C0"/>
    <w:rsid w:val="00437E9C"/>
    <w:rsid w:val="004C5D82"/>
    <w:rsid w:val="005049BC"/>
    <w:rsid w:val="00550766"/>
    <w:rsid w:val="00586F6A"/>
    <w:rsid w:val="005F3B2E"/>
    <w:rsid w:val="00613A73"/>
    <w:rsid w:val="00686846"/>
    <w:rsid w:val="00701F64"/>
    <w:rsid w:val="0074684F"/>
    <w:rsid w:val="00762B74"/>
    <w:rsid w:val="0077634F"/>
    <w:rsid w:val="007B5B5F"/>
    <w:rsid w:val="007D233B"/>
    <w:rsid w:val="00815617"/>
    <w:rsid w:val="0085070B"/>
    <w:rsid w:val="009307E5"/>
    <w:rsid w:val="00951B2C"/>
    <w:rsid w:val="009909BA"/>
    <w:rsid w:val="00A17247"/>
    <w:rsid w:val="00A4149B"/>
    <w:rsid w:val="00B3234F"/>
    <w:rsid w:val="00B54029"/>
    <w:rsid w:val="00BA642E"/>
    <w:rsid w:val="00BC236F"/>
    <w:rsid w:val="00C802F5"/>
    <w:rsid w:val="00C96B2C"/>
    <w:rsid w:val="00CC04C1"/>
    <w:rsid w:val="00D843EC"/>
    <w:rsid w:val="00DA6F8F"/>
    <w:rsid w:val="00DB60BF"/>
    <w:rsid w:val="00E079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97C"/>
    <w:pPr>
      <w:spacing w:after="60" w:line="240" w:lineRule="auto"/>
      <w:jc w:val="both"/>
    </w:pPr>
    <w:rPr>
      <w:rFonts w:ascii="Times New Roman" w:hAnsi="Times New Roman" w:cs="Times New Roman"/>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341AE6"/>
    <w:rPr>
      <w:sz w:val="16"/>
      <w:szCs w:val="16"/>
    </w:rPr>
  </w:style>
  <w:style w:type="paragraph" w:styleId="Textocomentario">
    <w:name w:val="annotation text"/>
    <w:basedOn w:val="Normal"/>
    <w:link w:val="TextocomentarioCar"/>
    <w:uiPriority w:val="99"/>
    <w:unhideWhenUsed/>
    <w:rsid w:val="00341AE6"/>
    <w:pPr>
      <w:spacing w:after="120"/>
    </w:pPr>
    <w:rPr>
      <w:sz w:val="20"/>
      <w:szCs w:val="20"/>
    </w:rPr>
  </w:style>
  <w:style w:type="character" w:customStyle="1" w:styleId="TextocomentarioCar">
    <w:name w:val="Texto comentario Car"/>
    <w:basedOn w:val="Fuentedeprrafopredeter"/>
    <w:link w:val="Textocomentario"/>
    <w:uiPriority w:val="99"/>
    <w:rsid w:val="00341AE6"/>
    <w:rPr>
      <w:rFonts w:ascii="Times New Roman" w:hAnsi="Times New Roman" w:cs="Times New Roman"/>
      <w:sz w:val="20"/>
      <w:szCs w:val="20"/>
    </w:rPr>
  </w:style>
  <w:style w:type="paragraph" w:styleId="Bibliografa">
    <w:name w:val="Bibliography"/>
    <w:basedOn w:val="Normal"/>
    <w:next w:val="Normal"/>
    <w:uiPriority w:val="37"/>
    <w:unhideWhenUsed/>
    <w:rsid w:val="00047564"/>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chart" Target="charts/chart13.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ecia\Dropbox\Doctorado\Tesis\2026_Ponencia%20UOI\Gr&#225;ficos%20e%20imagen%20ponencia\Evolucion%20matr&#237;cula%20UUNN_Doc.%20S&#237;ntesi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cecia\Dropbox\Doctorado\Tesis\2026_Ponencia%20UOI\Gr&#225;ficos%20e%20imagen%20ponencia\distribuciones%20de%20cargos%20y%20dedicaciones%202024%20UNS%20fuente%20CUBO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cecia\Dropbox\Doctorado\Tesis\2026_Ponencia%20UOI\Gr&#225;ficos%20e%20imagen%20ponencia\porcentaje%20cargos%20por%20a&#241;o.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cecia\Dropbox\Doctorado\Tesis\2026_Ponencia%20UOI\Gr&#225;ficos%20e%20imagen%20ponencia\porcentaje%20cargos%20por%20a&#241;o.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cecia\Dropbox\Doctorado\Tesis\2026_Ponencia%20UOI\Gr&#225;ficos%20e%20imagen%20ponencia\porcentaje%20cargos%20por%20a&#241;o.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cecia\Dropbox\Doctorado\Tesis\2026_Ponencia%20UOI\Gr&#225;ficos%20e%20imagen%20ponencia\porcentaje%20cargos%20por%20a&#241;o.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cecia\Dropbox\Doctorado\Tesis\2026_Ponencia%20UOI\Gr&#225;ficos%20e%20imagen%20ponencia\porcentaje%20cargos%20por%20a&#241;o.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cecia\Dropbox\Doctorado\Tesis\2026_Ponencia%20UOI\Gr&#225;ficos%20e%20imagen%20ponencia\cargosvsdocentes%20todos%20los%20a&#241;os%20UN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ecia\Dropbox\Doctorado\Investigaci&#243;n_DATOS\Datos%20estad&#237;sticos\DATOS.UNS\evol%20ingresantes%20egresado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ecia\Dropbox\Doctorado\Investigaci&#243;n_DATOS\Datos%20estad&#237;sticos\SPU\Anuarios%20SPU\evol%20docentes%202019-2023.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cecia\Dropbox\Doctorado\Investigaci&#243;n_DATOS\Datos%20estad&#237;sticos\evoluci&#243;n%20dedicaci&#243;n%20UUNN.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cecia\Dropbox\Doctorado\Investigaci&#243;n_DATOS\Datos%20estad&#237;sticos\DATOS.UNS\Libro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cecia\Dropbox\Doctorado\Investigaci&#243;n_DATOS\Datos%20estad&#237;sticos\DATOS.UNS\Libro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ecia\Dropbox\Doctorado\Tesis\2026_Ponencia%20UOI\Gr&#225;ficos%20e%20imagen%20ponencia\dptos%20servicios%20UN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cecia\Dropbox\Doctorado\Investigaci&#243;n_DATOS\Datos%20estad&#237;sticos\Webscrapping\Noviembre\Inscriptos%20por%20a&#241;o.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G:\Mi%20unidad\Cecilia_plan%20de%20tesis\Investigaci&#243;n\Asignaturas%20primer%20a&#241;o_lis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Sheet1!$B$1</c:f>
              <c:strCache>
                <c:ptCount val="1"/>
                <c:pt idx="0">
                  <c:v>Estudiantes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Sheet1!$B$2:$B$14</c:f>
            </c:numRef>
          </c:yVal>
          <c:smooth val="1"/>
          <c:extLst>
            <c:ext xmlns:c16="http://schemas.microsoft.com/office/drawing/2014/chart" uri="{C3380CC4-5D6E-409C-BE32-E72D297353CC}">
              <c16:uniqueId val="{00000000-6A3E-438F-B2C9-0ACF7CEBF4E2}"/>
            </c:ext>
          </c:extLst>
        </c:ser>
        <c:ser>
          <c:idx val="1"/>
          <c:order val="1"/>
          <c:tx>
            <c:strRef>
              <c:f>Sheet1!$C$1</c:f>
              <c:strCache>
                <c:ptCount val="1"/>
                <c:pt idx="0">
                  <c:v>Ingresantes</c:v>
                </c:pt>
              </c:strCache>
            </c:strRef>
          </c:tx>
          <c:spPr>
            <a:ln w="19050" cap="rnd">
              <a:solidFill>
                <a:srgbClr val="002060"/>
              </a:solidFill>
              <a:round/>
            </a:ln>
            <a:effectLst/>
          </c:spPr>
          <c:marker>
            <c:symbol val="circle"/>
            <c:size val="3"/>
            <c:spPr>
              <a:solidFill>
                <a:srgbClr val="002060"/>
              </a:solidFill>
              <a:ln w="9525">
                <a:solidFill>
                  <a:srgbClr val="002060"/>
                </a:solidFill>
              </a:ln>
              <a:effectLst/>
            </c:spPr>
          </c:marker>
          <c:xVal>
            <c:numRef>
              <c:f>Sheet1!$A$2:$A$14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Sheet1!$C$2:$C$14</c:f>
              <c:numCache>
                <c:formatCode>General</c:formatCode>
                <c:ptCount val="13"/>
                <c:pt idx="0">
                  <c:v>423920</c:v>
                </c:pt>
                <c:pt idx="1">
                  <c:v>425415</c:v>
                </c:pt>
                <c:pt idx="2">
                  <c:v>445763</c:v>
                </c:pt>
                <c:pt idx="3">
                  <c:v>458565</c:v>
                </c:pt>
                <c:pt idx="4">
                  <c:v>489701</c:v>
                </c:pt>
                <c:pt idx="5">
                  <c:v>516305</c:v>
                </c:pt>
                <c:pt idx="6">
                  <c:v>547661</c:v>
                </c:pt>
                <c:pt idx="7">
                  <c:v>596446</c:v>
                </c:pt>
                <c:pt idx="8">
                  <c:v>641929</c:v>
                </c:pt>
                <c:pt idx="9">
                  <c:v>710699</c:v>
                </c:pt>
                <c:pt idx="10">
                  <c:v>719669</c:v>
                </c:pt>
                <c:pt idx="11" formatCode="#,##0">
                  <c:v>713467</c:v>
                </c:pt>
                <c:pt idx="12" formatCode="#,##0">
                  <c:v>705454</c:v>
                </c:pt>
              </c:numCache>
            </c:numRef>
          </c:yVal>
          <c:smooth val="1"/>
          <c:extLst>
            <c:ext xmlns:c16="http://schemas.microsoft.com/office/drawing/2014/chart" uri="{C3380CC4-5D6E-409C-BE32-E72D297353CC}">
              <c16:uniqueId val="{00000001-6A3E-438F-B2C9-0ACF7CEBF4E2}"/>
            </c:ext>
          </c:extLst>
        </c:ser>
        <c:ser>
          <c:idx val="2"/>
          <c:order val="2"/>
          <c:tx>
            <c:strRef>
              <c:f>Sheet1!$D$1</c:f>
              <c:strCache>
                <c:ptCount val="1"/>
                <c:pt idx="0">
                  <c:v>Egresados</c:v>
                </c:pt>
              </c:strCache>
            </c:strRef>
          </c:tx>
          <c:spPr>
            <a:ln w="19050" cap="rnd">
              <a:solidFill>
                <a:schemeClr val="accent3"/>
              </a:solidFill>
              <a:round/>
            </a:ln>
            <a:effectLst/>
          </c:spPr>
          <c:marker>
            <c:symbol val="circle"/>
            <c:size val="3"/>
            <c:spPr>
              <a:solidFill>
                <a:schemeClr val="accent3"/>
              </a:solidFill>
              <a:ln w="9525">
                <a:solidFill>
                  <a:schemeClr val="accent3"/>
                </a:solidFill>
              </a:ln>
              <a:effectLst/>
            </c:spPr>
          </c:marker>
          <c:xVal>
            <c:numRef>
              <c:f>Sheet1!$A$2:$A$14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Sheet1!$D$2:$D$14</c:f>
              <c:numCache>
                <c:formatCode>General</c:formatCode>
                <c:ptCount val="13"/>
                <c:pt idx="0">
                  <c:v>110360</c:v>
                </c:pt>
                <c:pt idx="1">
                  <c:v>117719</c:v>
                </c:pt>
                <c:pt idx="2">
                  <c:v>120631</c:v>
                </c:pt>
                <c:pt idx="3">
                  <c:v>124960</c:v>
                </c:pt>
                <c:pt idx="4">
                  <c:v>124674</c:v>
                </c:pt>
                <c:pt idx="5">
                  <c:v>125328</c:v>
                </c:pt>
                <c:pt idx="6">
                  <c:v>132744</c:v>
                </c:pt>
                <c:pt idx="7">
                  <c:v>135908</c:v>
                </c:pt>
                <c:pt idx="8">
                  <c:v>122679</c:v>
                </c:pt>
                <c:pt idx="9">
                  <c:v>142826</c:v>
                </c:pt>
                <c:pt idx="10">
                  <c:v>145728</c:v>
                </c:pt>
                <c:pt idx="11" formatCode="#,##0">
                  <c:v>139182</c:v>
                </c:pt>
                <c:pt idx="12" formatCode="#,##0">
                  <c:v>145235</c:v>
                </c:pt>
              </c:numCache>
            </c:numRef>
          </c:yVal>
          <c:smooth val="1"/>
          <c:extLst>
            <c:ext xmlns:c16="http://schemas.microsoft.com/office/drawing/2014/chart" uri="{C3380CC4-5D6E-409C-BE32-E72D297353CC}">
              <c16:uniqueId val="{00000002-6A3E-438F-B2C9-0ACF7CEBF4E2}"/>
            </c:ext>
          </c:extLst>
        </c:ser>
        <c:dLbls>
          <c:showLegendKey val="0"/>
          <c:showVal val="0"/>
          <c:showCatName val="0"/>
          <c:showSerName val="0"/>
          <c:showPercent val="0"/>
          <c:showBubbleSize val="0"/>
        </c:dLbls>
        <c:axId val="649683711"/>
        <c:axId val="649688991"/>
      </c:scatterChart>
      <c:valAx>
        <c:axId val="649683711"/>
        <c:scaling>
          <c:orientation val="minMax"/>
          <c:max val="2024"/>
          <c:min val="20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88991"/>
        <c:crosses val="autoZero"/>
        <c:crossBetween val="midCat"/>
      </c:valAx>
      <c:valAx>
        <c:axId val="649688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837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Cargos.Año 2024</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C96-4F94-943C-CBFD42FD499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C96-4F94-943C-CBFD42FD499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96-4F94-943C-CBFD42FD499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C96-4F94-943C-CBFD42FD4996}"/>
              </c:ext>
            </c:extLst>
          </c:dPt>
          <c:cat>
            <c:strRef>
              <c:f>Hoja1!$A$1:$A$4</c:f>
              <c:strCache>
                <c:ptCount val="4"/>
                <c:pt idx="0">
                  <c:v>Profesores</c:v>
                </c:pt>
                <c:pt idx="1">
                  <c:v>Asistentes</c:v>
                </c:pt>
                <c:pt idx="2">
                  <c:v>Ayudantes A</c:v>
                </c:pt>
                <c:pt idx="3">
                  <c:v>Ayudantes B</c:v>
                </c:pt>
              </c:strCache>
            </c:strRef>
          </c:cat>
          <c:val>
            <c:numRef>
              <c:f>Hoja1!$B$1:$B$4</c:f>
              <c:numCache>
                <c:formatCode>0.0</c:formatCode>
                <c:ptCount val="4"/>
                <c:pt idx="0">
                  <c:v>1046.9999923333332</c:v>
                </c:pt>
                <c:pt idx="1">
                  <c:v>726.58333333333337</c:v>
                </c:pt>
                <c:pt idx="2">
                  <c:v>1413.9666666666667</c:v>
                </c:pt>
                <c:pt idx="3">
                  <c:v>281.91666666666669</c:v>
                </c:pt>
              </c:numCache>
            </c:numRef>
          </c:val>
          <c:extLst>
            <c:ext xmlns:c16="http://schemas.microsoft.com/office/drawing/2014/chart" uri="{C3380CC4-5D6E-409C-BE32-E72D297353CC}">
              <c16:uniqueId val="{00000008-DC96-4F94-943C-CBFD42FD499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6.0440611506222999E-2"/>
          <c:y val="0.87334554110968687"/>
          <c:w val="0.89928006731013466"/>
          <c:h val="9.87474821461271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Dedicaciones. Año 2024.</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876-4B8B-BBEC-3E521D89E7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876-4B8B-BBEC-3E521D89E7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876-4B8B-BBEC-3E521D89E70D}"/>
              </c:ext>
            </c:extLst>
          </c:dPt>
          <c:cat>
            <c:strRef>
              <c:f>Hoja1!$D$1:$D$3</c:f>
              <c:strCache>
                <c:ptCount val="3"/>
                <c:pt idx="0">
                  <c:v>Exclusiva</c:v>
                </c:pt>
                <c:pt idx="1">
                  <c:v>Semi-exclusiva</c:v>
                </c:pt>
                <c:pt idx="2">
                  <c:v>Simple</c:v>
                </c:pt>
              </c:strCache>
            </c:strRef>
          </c:cat>
          <c:val>
            <c:numRef>
              <c:f>Hoja1!$E$1:$E$3</c:f>
              <c:numCache>
                <c:formatCode>0.0</c:formatCode>
                <c:ptCount val="3"/>
                <c:pt idx="0">
                  <c:v>597.48333333333323</c:v>
                </c:pt>
                <c:pt idx="1">
                  <c:v>344.15000000000009</c:v>
                </c:pt>
                <c:pt idx="2">
                  <c:v>2527.833325666666</c:v>
                </c:pt>
              </c:numCache>
            </c:numRef>
          </c:val>
          <c:extLst>
            <c:ext xmlns:c16="http://schemas.microsoft.com/office/drawing/2014/chart" uri="{C3380CC4-5D6E-409C-BE32-E72D297353CC}">
              <c16:uniqueId val="{00000006-E876-4B8B-BBEC-3E521D89E70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680689611379221"/>
          <c:y val="0.8706944114584283"/>
          <c:w val="0.76638620777241551"/>
          <c:h val="0.129305588541571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Total cargos docentes por año del plan de estudios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'docentes por año'!$C$11</c:f>
              <c:strCache>
                <c:ptCount val="1"/>
                <c:pt idx="0">
                  <c:v>Total cargos</c:v>
                </c:pt>
              </c:strCache>
            </c:strRef>
          </c:tx>
          <c:spPr>
            <a:solidFill>
              <a:schemeClr val="accent1"/>
            </a:solidFill>
            <a:ln>
              <a:noFill/>
            </a:ln>
            <a:effectLst/>
          </c:spPr>
          <c:invertIfNegative val="0"/>
          <c:cat>
            <c:numRef>
              <c:f>'docentes por año'!$B$12:$B$16</c:f>
              <c:numCache>
                <c:formatCode>General</c:formatCode>
                <c:ptCount val="5"/>
                <c:pt idx="0">
                  <c:v>1</c:v>
                </c:pt>
                <c:pt idx="1">
                  <c:v>2</c:v>
                </c:pt>
                <c:pt idx="2">
                  <c:v>3</c:v>
                </c:pt>
                <c:pt idx="3">
                  <c:v>4</c:v>
                </c:pt>
                <c:pt idx="4">
                  <c:v>5</c:v>
                </c:pt>
              </c:numCache>
            </c:numRef>
          </c:cat>
          <c:val>
            <c:numRef>
              <c:f>'docentes por año'!$C$12:$C$16</c:f>
              <c:numCache>
                <c:formatCode>#,##0</c:formatCode>
                <c:ptCount val="5"/>
                <c:pt idx="0">
                  <c:v>2145</c:v>
                </c:pt>
                <c:pt idx="1">
                  <c:v>1960</c:v>
                </c:pt>
                <c:pt idx="2">
                  <c:v>1347</c:v>
                </c:pt>
                <c:pt idx="3">
                  <c:v>1353</c:v>
                </c:pt>
                <c:pt idx="4" formatCode="General">
                  <c:v>827</c:v>
                </c:pt>
              </c:numCache>
            </c:numRef>
          </c:val>
          <c:extLst>
            <c:ext xmlns:c16="http://schemas.microsoft.com/office/drawing/2014/chart" uri="{C3380CC4-5D6E-409C-BE32-E72D297353CC}">
              <c16:uniqueId val="{00000000-D5B7-45A9-A14E-126920CA1BEA}"/>
            </c:ext>
          </c:extLst>
        </c:ser>
        <c:dLbls>
          <c:showLegendKey val="0"/>
          <c:showVal val="0"/>
          <c:showCatName val="0"/>
          <c:showSerName val="0"/>
          <c:showPercent val="0"/>
          <c:showBubbleSize val="0"/>
        </c:dLbls>
        <c:gapWidth val="219"/>
        <c:overlap val="-27"/>
        <c:axId val="668686976"/>
        <c:axId val="668695136"/>
      </c:barChart>
      <c:catAx>
        <c:axId val="66868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8695136"/>
        <c:crosses val="autoZero"/>
        <c:auto val="1"/>
        <c:lblAlgn val="ctr"/>
        <c:lblOffset val="100"/>
        <c:noMultiLvlLbl val="0"/>
      </c:catAx>
      <c:valAx>
        <c:axId val="668695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8686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Distribución porcentual de las dedicaciones por año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percentStacked"/>
        <c:varyColors val="0"/>
        <c:ser>
          <c:idx val="0"/>
          <c:order val="0"/>
          <c:tx>
            <c:strRef>
              <c:f>dedicaciones!$C$11</c:f>
              <c:strCache>
                <c:ptCount val="1"/>
                <c:pt idx="0">
                  <c:v>simple</c:v>
                </c:pt>
              </c:strCache>
            </c:strRef>
          </c:tx>
          <c:spPr>
            <a:solidFill>
              <a:schemeClr val="accent1"/>
            </a:solidFill>
            <a:ln>
              <a:noFill/>
            </a:ln>
            <a:effectLst/>
          </c:spPr>
          <c:invertIfNegative val="0"/>
          <c:cat>
            <c:numRef>
              <c:f>dedicaciones!$B$12:$B$16</c:f>
              <c:numCache>
                <c:formatCode>General</c:formatCode>
                <c:ptCount val="5"/>
                <c:pt idx="0">
                  <c:v>1</c:v>
                </c:pt>
                <c:pt idx="1">
                  <c:v>2</c:v>
                </c:pt>
                <c:pt idx="2">
                  <c:v>3</c:v>
                </c:pt>
                <c:pt idx="3">
                  <c:v>4</c:v>
                </c:pt>
                <c:pt idx="4">
                  <c:v>5</c:v>
                </c:pt>
              </c:numCache>
            </c:numRef>
          </c:cat>
          <c:val>
            <c:numRef>
              <c:f>dedicaciones!$C$12:$C$16</c:f>
              <c:numCache>
                <c:formatCode>General</c:formatCode>
                <c:ptCount val="5"/>
                <c:pt idx="0">
                  <c:v>1498</c:v>
                </c:pt>
                <c:pt idx="1">
                  <c:v>1266</c:v>
                </c:pt>
                <c:pt idx="2">
                  <c:v>819</c:v>
                </c:pt>
                <c:pt idx="3">
                  <c:v>800</c:v>
                </c:pt>
                <c:pt idx="4">
                  <c:v>502</c:v>
                </c:pt>
              </c:numCache>
            </c:numRef>
          </c:val>
          <c:extLst>
            <c:ext xmlns:c16="http://schemas.microsoft.com/office/drawing/2014/chart" uri="{C3380CC4-5D6E-409C-BE32-E72D297353CC}">
              <c16:uniqueId val="{00000000-A607-4F3B-866A-13879F11DAF0}"/>
            </c:ext>
          </c:extLst>
        </c:ser>
        <c:ser>
          <c:idx val="1"/>
          <c:order val="1"/>
          <c:tx>
            <c:strRef>
              <c:f>dedicaciones!$D$11</c:f>
              <c:strCache>
                <c:ptCount val="1"/>
                <c:pt idx="0">
                  <c:v>semi</c:v>
                </c:pt>
              </c:strCache>
            </c:strRef>
          </c:tx>
          <c:spPr>
            <a:solidFill>
              <a:schemeClr val="accent2"/>
            </a:solidFill>
            <a:ln>
              <a:noFill/>
            </a:ln>
            <a:effectLst/>
          </c:spPr>
          <c:invertIfNegative val="0"/>
          <c:cat>
            <c:numRef>
              <c:f>dedicaciones!$B$12:$B$16</c:f>
              <c:numCache>
                <c:formatCode>General</c:formatCode>
                <c:ptCount val="5"/>
                <c:pt idx="0">
                  <c:v>1</c:v>
                </c:pt>
                <c:pt idx="1">
                  <c:v>2</c:v>
                </c:pt>
                <c:pt idx="2">
                  <c:v>3</c:v>
                </c:pt>
                <c:pt idx="3">
                  <c:v>4</c:v>
                </c:pt>
                <c:pt idx="4">
                  <c:v>5</c:v>
                </c:pt>
              </c:numCache>
            </c:numRef>
          </c:cat>
          <c:val>
            <c:numRef>
              <c:f>dedicaciones!$D$12:$D$16</c:f>
              <c:numCache>
                <c:formatCode>General</c:formatCode>
                <c:ptCount val="5"/>
                <c:pt idx="0">
                  <c:v>209</c:v>
                </c:pt>
                <c:pt idx="1">
                  <c:v>171</c:v>
                </c:pt>
                <c:pt idx="2">
                  <c:v>136</c:v>
                </c:pt>
                <c:pt idx="3">
                  <c:v>157</c:v>
                </c:pt>
                <c:pt idx="4">
                  <c:v>106</c:v>
                </c:pt>
              </c:numCache>
            </c:numRef>
          </c:val>
          <c:extLst>
            <c:ext xmlns:c16="http://schemas.microsoft.com/office/drawing/2014/chart" uri="{C3380CC4-5D6E-409C-BE32-E72D297353CC}">
              <c16:uniqueId val="{00000001-A607-4F3B-866A-13879F11DAF0}"/>
            </c:ext>
          </c:extLst>
        </c:ser>
        <c:ser>
          <c:idx val="2"/>
          <c:order val="2"/>
          <c:tx>
            <c:strRef>
              <c:f>dedicaciones!$E$11</c:f>
              <c:strCache>
                <c:ptCount val="1"/>
                <c:pt idx="0">
                  <c:v>excl</c:v>
                </c:pt>
              </c:strCache>
            </c:strRef>
          </c:tx>
          <c:spPr>
            <a:solidFill>
              <a:schemeClr val="accent3"/>
            </a:solidFill>
            <a:ln>
              <a:noFill/>
            </a:ln>
            <a:effectLst/>
          </c:spPr>
          <c:invertIfNegative val="0"/>
          <c:cat>
            <c:numRef>
              <c:f>dedicaciones!$B$12:$B$16</c:f>
              <c:numCache>
                <c:formatCode>General</c:formatCode>
                <c:ptCount val="5"/>
                <c:pt idx="0">
                  <c:v>1</c:v>
                </c:pt>
                <c:pt idx="1">
                  <c:v>2</c:v>
                </c:pt>
                <c:pt idx="2">
                  <c:v>3</c:v>
                </c:pt>
                <c:pt idx="3">
                  <c:v>4</c:v>
                </c:pt>
                <c:pt idx="4">
                  <c:v>5</c:v>
                </c:pt>
              </c:numCache>
            </c:numRef>
          </c:cat>
          <c:val>
            <c:numRef>
              <c:f>dedicaciones!$E$12:$E$16</c:f>
              <c:numCache>
                <c:formatCode>General</c:formatCode>
                <c:ptCount val="5"/>
                <c:pt idx="0">
                  <c:v>378</c:v>
                </c:pt>
                <c:pt idx="1">
                  <c:v>444</c:v>
                </c:pt>
                <c:pt idx="2">
                  <c:v>327</c:v>
                </c:pt>
                <c:pt idx="3">
                  <c:v>329</c:v>
                </c:pt>
                <c:pt idx="4">
                  <c:v>179</c:v>
                </c:pt>
              </c:numCache>
            </c:numRef>
          </c:val>
          <c:extLst>
            <c:ext xmlns:c16="http://schemas.microsoft.com/office/drawing/2014/chart" uri="{C3380CC4-5D6E-409C-BE32-E72D297353CC}">
              <c16:uniqueId val="{00000002-A607-4F3B-866A-13879F11DAF0}"/>
            </c:ext>
          </c:extLst>
        </c:ser>
        <c:dLbls>
          <c:showLegendKey val="0"/>
          <c:showVal val="0"/>
          <c:showCatName val="0"/>
          <c:showSerName val="0"/>
          <c:showPercent val="0"/>
          <c:showBubbleSize val="0"/>
        </c:dLbls>
        <c:gapWidth val="150"/>
        <c:overlap val="100"/>
        <c:axId val="659726928"/>
        <c:axId val="659727408"/>
      </c:barChart>
      <c:catAx>
        <c:axId val="65972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9727408"/>
        <c:crosses val="autoZero"/>
        <c:auto val="1"/>
        <c:lblAlgn val="ctr"/>
        <c:lblOffset val="100"/>
        <c:noMultiLvlLbl val="0"/>
      </c:catAx>
      <c:valAx>
        <c:axId val="659727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972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Distribución</a:t>
            </a:r>
            <a:r>
              <a:rPr lang="en-US" baseline="0"/>
              <a:t> porcentual del tipo de cargo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percentStacked"/>
        <c:varyColors val="0"/>
        <c:ser>
          <c:idx val="0"/>
          <c:order val="0"/>
          <c:tx>
            <c:strRef>
              <c:f>'porcentaje de cargos por año'!$C$11</c:f>
              <c:strCache>
                <c:ptCount val="1"/>
                <c:pt idx="0">
                  <c:v>Ayudantes B</c:v>
                </c:pt>
              </c:strCache>
            </c:strRef>
          </c:tx>
          <c:spPr>
            <a:solidFill>
              <a:schemeClr val="accent1"/>
            </a:solidFill>
            <a:ln>
              <a:noFill/>
            </a:ln>
            <a:effectLst/>
          </c:spPr>
          <c:invertIfNegative val="0"/>
          <c:cat>
            <c:numRef>
              <c:f>'porcentaje de cargos por año'!$B$12:$B$16</c:f>
              <c:numCache>
                <c:formatCode>General</c:formatCode>
                <c:ptCount val="5"/>
                <c:pt idx="0">
                  <c:v>1</c:v>
                </c:pt>
                <c:pt idx="1">
                  <c:v>2</c:v>
                </c:pt>
                <c:pt idx="2">
                  <c:v>3</c:v>
                </c:pt>
                <c:pt idx="3">
                  <c:v>4</c:v>
                </c:pt>
                <c:pt idx="4">
                  <c:v>5</c:v>
                </c:pt>
              </c:numCache>
            </c:numRef>
          </c:cat>
          <c:val>
            <c:numRef>
              <c:f>'porcentaje de cargos por año'!$C$12:$C$16</c:f>
              <c:numCache>
                <c:formatCode>General</c:formatCode>
                <c:ptCount val="5"/>
                <c:pt idx="0">
                  <c:v>285</c:v>
                </c:pt>
                <c:pt idx="1">
                  <c:v>191</c:v>
                </c:pt>
                <c:pt idx="2">
                  <c:v>70</c:v>
                </c:pt>
                <c:pt idx="3">
                  <c:v>55</c:v>
                </c:pt>
                <c:pt idx="4">
                  <c:v>9</c:v>
                </c:pt>
              </c:numCache>
            </c:numRef>
          </c:val>
          <c:extLst>
            <c:ext xmlns:c16="http://schemas.microsoft.com/office/drawing/2014/chart" uri="{C3380CC4-5D6E-409C-BE32-E72D297353CC}">
              <c16:uniqueId val="{00000000-7C93-40D8-BAB5-5D731557DB50}"/>
            </c:ext>
          </c:extLst>
        </c:ser>
        <c:ser>
          <c:idx val="1"/>
          <c:order val="1"/>
          <c:tx>
            <c:strRef>
              <c:f>'porcentaje de cargos por año'!$D$11</c:f>
              <c:strCache>
                <c:ptCount val="1"/>
                <c:pt idx="0">
                  <c:v>Ayudantes A</c:v>
                </c:pt>
              </c:strCache>
            </c:strRef>
          </c:tx>
          <c:spPr>
            <a:solidFill>
              <a:schemeClr val="accent2"/>
            </a:solidFill>
            <a:ln>
              <a:noFill/>
            </a:ln>
            <a:effectLst/>
          </c:spPr>
          <c:invertIfNegative val="0"/>
          <c:cat>
            <c:numRef>
              <c:f>'porcentaje de cargos por año'!$B$12:$B$16</c:f>
              <c:numCache>
                <c:formatCode>General</c:formatCode>
                <c:ptCount val="5"/>
                <c:pt idx="0">
                  <c:v>1</c:v>
                </c:pt>
                <c:pt idx="1">
                  <c:v>2</c:v>
                </c:pt>
                <c:pt idx="2">
                  <c:v>3</c:v>
                </c:pt>
                <c:pt idx="3">
                  <c:v>4</c:v>
                </c:pt>
                <c:pt idx="4">
                  <c:v>5</c:v>
                </c:pt>
              </c:numCache>
            </c:numRef>
          </c:cat>
          <c:val>
            <c:numRef>
              <c:f>'porcentaje de cargos por año'!$D$12:$D$16</c:f>
              <c:numCache>
                <c:formatCode>General</c:formatCode>
                <c:ptCount val="5"/>
                <c:pt idx="0">
                  <c:v>844</c:v>
                </c:pt>
                <c:pt idx="1">
                  <c:v>733</c:v>
                </c:pt>
                <c:pt idx="2">
                  <c:v>459</c:v>
                </c:pt>
                <c:pt idx="3">
                  <c:v>452</c:v>
                </c:pt>
                <c:pt idx="4">
                  <c:v>269</c:v>
                </c:pt>
              </c:numCache>
            </c:numRef>
          </c:val>
          <c:extLst>
            <c:ext xmlns:c16="http://schemas.microsoft.com/office/drawing/2014/chart" uri="{C3380CC4-5D6E-409C-BE32-E72D297353CC}">
              <c16:uniqueId val="{00000001-7C93-40D8-BAB5-5D731557DB50}"/>
            </c:ext>
          </c:extLst>
        </c:ser>
        <c:ser>
          <c:idx val="2"/>
          <c:order val="2"/>
          <c:tx>
            <c:strRef>
              <c:f>'porcentaje de cargos por año'!$E$11</c:f>
              <c:strCache>
                <c:ptCount val="1"/>
                <c:pt idx="0">
                  <c:v>Asistente</c:v>
                </c:pt>
              </c:strCache>
            </c:strRef>
          </c:tx>
          <c:spPr>
            <a:solidFill>
              <a:schemeClr val="accent3"/>
            </a:solidFill>
            <a:ln>
              <a:noFill/>
            </a:ln>
            <a:effectLst/>
          </c:spPr>
          <c:invertIfNegative val="0"/>
          <c:cat>
            <c:numRef>
              <c:f>'porcentaje de cargos por año'!$B$12:$B$16</c:f>
              <c:numCache>
                <c:formatCode>General</c:formatCode>
                <c:ptCount val="5"/>
                <c:pt idx="0">
                  <c:v>1</c:v>
                </c:pt>
                <c:pt idx="1">
                  <c:v>2</c:v>
                </c:pt>
                <c:pt idx="2">
                  <c:v>3</c:v>
                </c:pt>
                <c:pt idx="3">
                  <c:v>4</c:v>
                </c:pt>
                <c:pt idx="4">
                  <c:v>5</c:v>
                </c:pt>
              </c:numCache>
            </c:numRef>
          </c:cat>
          <c:val>
            <c:numRef>
              <c:f>'porcentaje de cargos por año'!$E$12:$E$16</c:f>
              <c:numCache>
                <c:formatCode>General</c:formatCode>
                <c:ptCount val="5"/>
                <c:pt idx="0">
                  <c:v>416</c:v>
                </c:pt>
                <c:pt idx="1">
                  <c:v>399</c:v>
                </c:pt>
                <c:pt idx="2">
                  <c:v>304</c:v>
                </c:pt>
                <c:pt idx="3">
                  <c:v>308</c:v>
                </c:pt>
                <c:pt idx="4">
                  <c:v>147</c:v>
                </c:pt>
              </c:numCache>
            </c:numRef>
          </c:val>
          <c:extLst>
            <c:ext xmlns:c16="http://schemas.microsoft.com/office/drawing/2014/chart" uri="{C3380CC4-5D6E-409C-BE32-E72D297353CC}">
              <c16:uniqueId val="{00000002-7C93-40D8-BAB5-5D731557DB50}"/>
            </c:ext>
          </c:extLst>
        </c:ser>
        <c:ser>
          <c:idx val="3"/>
          <c:order val="3"/>
          <c:tx>
            <c:strRef>
              <c:f>'porcentaje de cargos por año'!$F$11</c:f>
              <c:strCache>
                <c:ptCount val="1"/>
                <c:pt idx="0">
                  <c:v>Profesores</c:v>
                </c:pt>
              </c:strCache>
            </c:strRef>
          </c:tx>
          <c:spPr>
            <a:solidFill>
              <a:schemeClr val="accent4"/>
            </a:solidFill>
            <a:ln>
              <a:noFill/>
            </a:ln>
            <a:effectLst/>
          </c:spPr>
          <c:invertIfNegative val="0"/>
          <c:cat>
            <c:numRef>
              <c:f>'porcentaje de cargos por año'!$B$12:$B$16</c:f>
              <c:numCache>
                <c:formatCode>General</c:formatCode>
                <c:ptCount val="5"/>
                <c:pt idx="0">
                  <c:v>1</c:v>
                </c:pt>
                <c:pt idx="1">
                  <c:v>2</c:v>
                </c:pt>
                <c:pt idx="2">
                  <c:v>3</c:v>
                </c:pt>
                <c:pt idx="3">
                  <c:v>4</c:v>
                </c:pt>
                <c:pt idx="4">
                  <c:v>5</c:v>
                </c:pt>
              </c:numCache>
            </c:numRef>
          </c:cat>
          <c:val>
            <c:numRef>
              <c:f>'porcentaje de cargos por año'!$F$12:$F$16</c:f>
              <c:numCache>
                <c:formatCode>General</c:formatCode>
                <c:ptCount val="5"/>
                <c:pt idx="0">
                  <c:v>544</c:v>
                </c:pt>
                <c:pt idx="1">
                  <c:v>571</c:v>
                </c:pt>
                <c:pt idx="2">
                  <c:v>468</c:v>
                </c:pt>
                <c:pt idx="3">
                  <c:v>490</c:v>
                </c:pt>
                <c:pt idx="4">
                  <c:v>379</c:v>
                </c:pt>
              </c:numCache>
            </c:numRef>
          </c:val>
          <c:extLst>
            <c:ext xmlns:c16="http://schemas.microsoft.com/office/drawing/2014/chart" uri="{C3380CC4-5D6E-409C-BE32-E72D297353CC}">
              <c16:uniqueId val="{00000003-7C93-40D8-BAB5-5D731557DB50}"/>
            </c:ext>
          </c:extLst>
        </c:ser>
        <c:dLbls>
          <c:showLegendKey val="0"/>
          <c:showVal val="0"/>
          <c:showCatName val="0"/>
          <c:showSerName val="0"/>
          <c:showPercent val="0"/>
          <c:showBubbleSize val="0"/>
        </c:dLbls>
        <c:gapWidth val="150"/>
        <c:overlap val="100"/>
        <c:axId val="668696096"/>
        <c:axId val="668695616"/>
      </c:barChart>
      <c:catAx>
        <c:axId val="66869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8695616"/>
        <c:crosses val="autoZero"/>
        <c:auto val="1"/>
        <c:lblAlgn val="ctr"/>
        <c:lblOffset val="100"/>
        <c:noMultiLvlLbl val="0"/>
      </c:catAx>
      <c:valAx>
        <c:axId val="668695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869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Detalle de cada cargo y dedicación por año del plan</a:t>
            </a:r>
            <a:r>
              <a:rPr lang="en-US" sz="1100" baseline="0"/>
              <a:t> de estudios</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'porcentaje de cargos por año'!$B$1</c:f>
              <c:strCache>
                <c:ptCount val="1"/>
                <c:pt idx="0">
                  <c:v>ayB-Simple</c:v>
                </c:pt>
              </c:strCache>
            </c:strRef>
          </c:tx>
          <c:spPr>
            <a:solidFill>
              <a:srgbClr val="FFC000"/>
            </a:solidFill>
            <a:ln>
              <a:noFill/>
            </a:ln>
            <a:effectLst/>
          </c:spPr>
          <c:invertIfNegative val="0"/>
          <c:val>
            <c:numRef>
              <c:f>'porcentaje de cargos por año'!$B$2:$B$6</c:f>
              <c:numCache>
                <c:formatCode>General</c:formatCode>
                <c:ptCount val="5"/>
                <c:pt idx="0">
                  <c:v>285</c:v>
                </c:pt>
                <c:pt idx="1">
                  <c:v>191</c:v>
                </c:pt>
                <c:pt idx="2">
                  <c:v>70</c:v>
                </c:pt>
                <c:pt idx="3">
                  <c:v>55</c:v>
                </c:pt>
                <c:pt idx="4">
                  <c:v>9</c:v>
                </c:pt>
              </c:numCache>
            </c:numRef>
          </c:val>
          <c:extLst>
            <c:ext xmlns:c16="http://schemas.microsoft.com/office/drawing/2014/chart" uri="{C3380CC4-5D6E-409C-BE32-E72D297353CC}">
              <c16:uniqueId val="{00000000-D12F-4923-A3E8-1BA1AF516124}"/>
            </c:ext>
          </c:extLst>
        </c:ser>
        <c:ser>
          <c:idx val="1"/>
          <c:order val="1"/>
          <c:tx>
            <c:strRef>
              <c:f>'porcentaje de cargos por año'!$C$1</c:f>
              <c:strCache>
                <c:ptCount val="1"/>
                <c:pt idx="0">
                  <c:v>ayA-Simple</c:v>
                </c:pt>
              </c:strCache>
            </c:strRef>
          </c:tx>
          <c:spPr>
            <a:solidFill>
              <a:schemeClr val="accent1">
                <a:lumMod val="50000"/>
                <a:lumOff val="50000"/>
              </a:schemeClr>
            </a:solidFill>
            <a:ln>
              <a:noFill/>
            </a:ln>
            <a:effectLst/>
          </c:spPr>
          <c:invertIfNegative val="0"/>
          <c:val>
            <c:numRef>
              <c:f>'porcentaje de cargos por año'!$C$2:$C$6</c:f>
              <c:numCache>
                <c:formatCode>General</c:formatCode>
                <c:ptCount val="5"/>
                <c:pt idx="0">
                  <c:v>764</c:v>
                </c:pt>
                <c:pt idx="1">
                  <c:v>650</c:v>
                </c:pt>
                <c:pt idx="2">
                  <c:v>406</c:v>
                </c:pt>
                <c:pt idx="3">
                  <c:v>406</c:v>
                </c:pt>
                <c:pt idx="4">
                  <c:v>248</c:v>
                </c:pt>
              </c:numCache>
            </c:numRef>
          </c:val>
          <c:extLst>
            <c:ext xmlns:c16="http://schemas.microsoft.com/office/drawing/2014/chart" uri="{C3380CC4-5D6E-409C-BE32-E72D297353CC}">
              <c16:uniqueId val="{00000001-D12F-4923-A3E8-1BA1AF516124}"/>
            </c:ext>
          </c:extLst>
        </c:ser>
        <c:ser>
          <c:idx val="2"/>
          <c:order val="2"/>
          <c:tx>
            <c:strRef>
              <c:f>'porcentaje de cargos por año'!$D$1</c:f>
              <c:strCache>
                <c:ptCount val="1"/>
                <c:pt idx="0">
                  <c:v>ayA-Semi</c:v>
                </c:pt>
              </c:strCache>
            </c:strRef>
          </c:tx>
          <c:spPr>
            <a:solidFill>
              <a:schemeClr val="accent3"/>
            </a:solidFill>
            <a:ln>
              <a:noFill/>
            </a:ln>
            <a:effectLst/>
          </c:spPr>
          <c:invertIfNegative val="0"/>
          <c:val>
            <c:numRef>
              <c:f>'porcentaje de cargos por año'!$D$2:$D$6</c:f>
              <c:numCache>
                <c:formatCode>General</c:formatCode>
                <c:ptCount val="5"/>
                <c:pt idx="0">
                  <c:v>54</c:v>
                </c:pt>
                <c:pt idx="1">
                  <c:v>48</c:v>
                </c:pt>
                <c:pt idx="2">
                  <c:v>29</c:v>
                </c:pt>
                <c:pt idx="3">
                  <c:v>28</c:v>
                </c:pt>
                <c:pt idx="4">
                  <c:v>16</c:v>
                </c:pt>
              </c:numCache>
            </c:numRef>
          </c:val>
          <c:extLst>
            <c:ext xmlns:c16="http://schemas.microsoft.com/office/drawing/2014/chart" uri="{C3380CC4-5D6E-409C-BE32-E72D297353CC}">
              <c16:uniqueId val="{00000002-D12F-4923-A3E8-1BA1AF516124}"/>
            </c:ext>
          </c:extLst>
        </c:ser>
        <c:ser>
          <c:idx val="3"/>
          <c:order val="3"/>
          <c:tx>
            <c:strRef>
              <c:f>'porcentaje de cargos por año'!$E$1</c:f>
              <c:strCache>
                <c:ptCount val="1"/>
                <c:pt idx="0">
                  <c:v>ayA-Excl</c:v>
                </c:pt>
              </c:strCache>
            </c:strRef>
          </c:tx>
          <c:spPr>
            <a:solidFill>
              <a:schemeClr val="accent4"/>
            </a:solidFill>
            <a:ln>
              <a:noFill/>
            </a:ln>
            <a:effectLst/>
          </c:spPr>
          <c:invertIfNegative val="0"/>
          <c:val>
            <c:numRef>
              <c:f>'porcentaje de cargos por año'!$E$2:$E$6</c:f>
              <c:numCache>
                <c:formatCode>General</c:formatCode>
                <c:ptCount val="5"/>
                <c:pt idx="0">
                  <c:v>26</c:v>
                </c:pt>
                <c:pt idx="1">
                  <c:v>35</c:v>
                </c:pt>
                <c:pt idx="2">
                  <c:v>24</c:v>
                </c:pt>
                <c:pt idx="3">
                  <c:v>18</c:v>
                </c:pt>
                <c:pt idx="4">
                  <c:v>5</c:v>
                </c:pt>
              </c:numCache>
            </c:numRef>
          </c:val>
          <c:extLst>
            <c:ext xmlns:c16="http://schemas.microsoft.com/office/drawing/2014/chart" uri="{C3380CC4-5D6E-409C-BE32-E72D297353CC}">
              <c16:uniqueId val="{00000003-D12F-4923-A3E8-1BA1AF516124}"/>
            </c:ext>
          </c:extLst>
        </c:ser>
        <c:ser>
          <c:idx val="4"/>
          <c:order val="4"/>
          <c:tx>
            <c:strRef>
              <c:f>'porcentaje de cargos por año'!$F$1</c:f>
              <c:strCache>
                <c:ptCount val="1"/>
                <c:pt idx="0">
                  <c:v>Asist-Simple</c:v>
                </c:pt>
              </c:strCache>
            </c:strRef>
          </c:tx>
          <c:spPr>
            <a:solidFill>
              <a:schemeClr val="accent3">
                <a:lumMod val="60000"/>
                <a:lumOff val="40000"/>
              </a:schemeClr>
            </a:solidFill>
            <a:ln>
              <a:noFill/>
            </a:ln>
            <a:effectLst/>
          </c:spPr>
          <c:invertIfNegative val="0"/>
          <c:val>
            <c:numRef>
              <c:f>'porcentaje de cargos por año'!$F$2:$F$6</c:f>
              <c:numCache>
                <c:formatCode>General</c:formatCode>
                <c:ptCount val="5"/>
                <c:pt idx="0">
                  <c:v>253</c:v>
                </c:pt>
                <c:pt idx="1">
                  <c:v>222</c:v>
                </c:pt>
                <c:pt idx="2">
                  <c:v>190</c:v>
                </c:pt>
                <c:pt idx="3">
                  <c:v>194</c:v>
                </c:pt>
                <c:pt idx="4">
                  <c:v>92</c:v>
                </c:pt>
              </c:numCache>
            </c:numRef>
          </c:val>
          <c:extLst>
            <c:ext xmlns:c16="http://schemas.microsoft.com/office/drawing/2014/chart" uri="{C3380CC4-5D6E-409C-BE32-E72D297353CC}">
              <c16:uniqueId val="{00000004-D12F-4923-A3E8-1BA1AF516124}"/>
            </c:ext>
          </c:extLst>
        </c:ser>
        <c:ser>
          <c:idx val="5"/>
          <c:order val="5"/>
          <c:tx>
            <c:strRef>
              <c:f>'porcentaje de cargos por año'!$G$1</c:f>
              <c:strCache>
                <c:ptCount val="1"/>
                <c:pt idx="0">
                  <c:v>Asist-Semi</c:v>
                </c:pt>
              </c:strCache>
            </c:strRef>
          </c:tx>
          <c:spPr>
            <a:solidFill>
              <a:schemeClr val="accent6"/>
            </a:solidFill>
            <a:ln>
              <a:noFill/>
            </a:ln>
            <a:effectLst/>
          </c:spPr>
          <c:invertIfNegative val="0"/>
          <c:val>
            <c:numRef>
              <c:f>'porcentaje de cargos por año'!$G$2:$G$6</c:f>
              <c:numCache>
                <c:formatCode>General</c:formatCode>
                <c:ptCount val="5"/>
                <c:pt idx="0">
                  <c:v>70</c:v>
                </c:pt>
                <c:pt idx="1">
                  <c:v>49</c:v>
                </c:pt>
                <c:pt idx="2">
                  <c:v>40</c:v>
                </c:pt>
                <c:pt idx="3">
                  <c:v>46</c:v>
                </c:pt>
                <c:pt idx="4">
                  <c:v>20</c:v>
                </c:pt>
              </c:numCache>
            </c:numRef>
          </c:val>
          <c:extLst>
            <c:ext xmlns:c16="http://schemas.microsoft.com/office/drawing/2014/chart" uri="{C3380CC4-5D6E-409C-BE32-E72D297353CC}">
              <c16:uniqueId val="{00000005-D12F-4923-A3E8-1BA1AF516124}"/>
            </c:ext>
          </c:extLst>
        </c:ser>
        <c:ser>
          <c:idx val="6"/>
          <c:order val="6"/>
          <c:tx>
            <c:strRef>
              <c:f>'porcentaje de cargos por año'!$H$1</c:f>
              <c:strCache>
                <c:ptCount val="1"/>
                <c:pt idx="0">
                  <c:v>Asist-Excl</c:v>
                </c:pt>
              </c:strCache>
            </c:strRef>
          </c:tx>
          <c:spPr>
            <a:solidFill>
              <a:schemeClr val="accent1">
                <a:lumMod val="60000"/>
              </a:schemeClr>
            </a:solidFill>
            <a:ln>
              <a:noFill/>
            </a:ln>
            <a:effectLst/>
          </c:spPr>
          <c:invertIfNegative val="0"/>
          <c:val>
            <c:numRef>
              <c:f>'porcentaje de cargos por año'!$H$2:$H$6</c:f>
              <c:numCache>
                <c:formatCode>General</c:formatCode>
                <c:ptCount val="5"/>
                <c:pt idx="0">
                  <c:v>93</c:v>
                </c:pt>
                <c:pt idx="1">
                  <c:v>128</c:v>
                </c:pt>
                <c:pt idx="2">
                  <c:v>74</c:v>
                </c:pt>
                <c:pt idx="3">
                  <c:v>68</c:v>
                </c:pt>
                <c:pt idx="4">
                  <c:v>35</c:v>
                </c:pt>
              </c:numCache>
            </c:numRef>
          </c:val>
          <c:extLst>
            <c:ext xmlns:c16="http://schemas.microsoft.com/office/drawing/2014/chart" uri="{C3380CC4-5D6E-409C-BE32-E72D297353CC}">
              <c16:uniqueId val="{00000006-D12F-4923-A3E8-1BA1AF516124}"/>
            </c:ext>
          </c:extLst>
        </c:ser>
        <c:ser>
          <c:idx val="7"/>
          <c:order val="7"/>
          <c:tx>
            <c:strRef>
              <c:f>'porcentaje de cargos por año'!$I$1</c:f>
              <c:strCache>
                <c:ptCount val="1"/>
                <c:pt idx="0">
                  <c:v>PAdj-Simple</c:v>
                </c:pt>
              </c:strCache>
            </c:strRef>
          </c:tx>
          <c:spPr>
            <a:solidFill>
              <a:srgbClr val="C00000"/>
            </a:solidFill>
            <a:ln>
              <a:noFill/>
            </a:ln>
            <a:effectLst/>
          </c:spPr>
          <c:invertIfNegative val="0"/>
          <c:val>
            <c:numRef>
              <c:f>'porcentaje de cargos por año'!$I$2:$I$6</c:f>
              <c:numCache>
                <c:formatCode>General</c:formatCode>
                <c:ptCount val="5"/>
                <c:pt idx="0">
                  <c:v>187</c:v>
                </c:pt>
                <c:pt idx="1">
                  <c:v>181</c:v>
                </c:pt>
                <c:pt idx="2">
                  <c:v>120</c:v>
                </c:pt>
                <c:pt idx="3">
                  <c:v>120</c:v>
                </c:pt>
                <c:pt idx="4">
                  <c:v>131</c:v>
                </c:pt>
              </c:numCache>
            </c:numRef>
          </c:val>
          <c:extLst>
            <c:ext xmlns:c16="http://schemas.microsoft.com/office/drawing/2014/chart" uri="{C3380CC4-5D6E-409C-BE32-E72D297353CC}">
              <c16:uniqueId val="{00000007-D12F-4923-A3E8-1BA1AF516124}"/>
            </c:ext>
          </c:extLst>
        </c:ser>
        <c:ser>
          <c:idx val="8"/>
          <c:order val="8"/>
          <c:tx>
            <c:strRef>
              <c:f>'porcentaje de cargos por año'!$J$1</c:f>
              <c:strCache>
                <c:ptCount val="1"/>
                <c:pt idx="0">
                  <c:v>PAdj-Semi</c:v>
                </c:pt>
              </c:strCache>
            </c:strRef>
          </c:tx>
          <c:spPr>
            <a:solidFill>
              <a:schemeClr val="accent3">
                <a:lumMod val="60000"/>
              </a:schemeClr>
            </a:solidFill>
            <a:ln>
              <a:noFill/>
            </a:ln>
            <a:effectLst/>
          </c:spPr>
          <c:invertIfNegative val="0"/>
          <c:val>
            <c:numRef>
              <c:f>'porcentaje de cargos por año'!$J$2:$J$6</c:f>
              <c:numCache>
                <c:formatCode>General</c:formatCode>
                <c:ptCount val="5"/>
                <c:pt idx="0">
                  <c:v>80</c:v>
                </c:pt>
                <c:pt idx="1">
                  <c:v>66</c:v>
                </c:pt>
                <c:pt idx="2">
                  <c:v>57</c:v>
                </c:pt>
                <c:pt idx="3">
                  <c:v>65</c:v>
                </c:pt>
                <c:pt idx="4">
                  <c:v>57</c:v>
                </c:pt>
              </c:numCache>
            </c:numRef>
          </c:val>
          <c:extLst>
            <c:ext xmlns:c16="http://schemas.microsoft.com/office/drawing/2014/chart" uri="{C3380CC4-5D6E-409C-BE32-E72D297353CC}">
              <c16:uniqueId val="{00000008-D12F-4923-A3E8-1BA1AF516124}"/>
            </c:ext>
          </c:extLst>
        </c:ser>
        <c:ser>
          <c:idx val="9"/>
          <c:order val="9"/>
          <c:tx>
            <c:strRef>
              <c:f>'porcentaje de cargos por año'!$K$1</c:f>
              <c:strCache>
                <c:ptCount val="1"/>
                <c:pt idx="0">
                  <c:v>PAdj-Excl</c:v>
                </c:pt>
              </c:strCache>
            </c:strRef>
          </c:tx>
          <c:spPr>
            <a:solidFill>
              <a:schemeClr val="accent4">
                <a:lumMod val="60000"/>
              </a:schemeClr>
            </a:solidFill>
            <a:ln>
              <a:noFill/>
            </a:ln>
            <a:effectLst/>
          </c:spPr>
          <c:invertIfNegative val="0"/>
          <c:val>
            <c:numRef>
              <c:f>'porcentaje de cargos por año'!$K$2:$K$6</c:f>
              <c:numCache>
                <c:formatCode>General</c:formatCode>
                <c:ptCount val="5"/>
                <c:pt idx="0">
                  <c:v>166</c:v>
                </c:pt>
                <c:pt idx="1">
                  <c:v>151</c:v>
                </c:pt>
                <c:pt idx="2">
                  <c:v>131</c:v>
                </c:pt>
                <c:pt idx="3">
                  <c:v>126</c:v>
                </c:pt>
                <c:pt idx="4">
                  <c:v>75</c:v>
                </c:pt>
              </c:numCache>
            </c:numRef>
          </c:val>
          <c:extLst>
            <c:ext xmlns:c16="http://schemas.microsoft.com/office/drawing/2014/chart" uri="{C3380CC4-5D6E-409C-BE32-E72D297353CC}">
              <c16:uniqueId val="{00000009-D12F-4923-A3E8-1BA1AF516124}"/>
            </c:ext>
          </c:extLst>
        </c:ser>
        <c:ser>
          <c:idx val="10"/>
          <c:order val="10"/>
          <c:tx>
            <c:strRef>
              <c:f>'porcentaje de cargos por año'!$L$1</c:f>
              <c:strCache>
                <c:ptCount val="1"/>
                <c:pt idx="0">
                  <c:v>PAsoc-Simple</c:v>
                </c:pt>
              </c:strCache>
            </c:strRef>
          </c:tx>
          <c:spPr>
            <a:solidFill>
              <a:schemeClr val="accent5">
                <a:lumMod val="60000"/>
              </a:schemeClr>
            </a:solidFill>
            <a:ln>
              <a:noFill/>
            </a:ln>
            <a:effectLst/>
          </c:spPr>
          <c:invertIfNegative val="0"/>
          <c:val>
            <c:numRef>
              <c:f>'porcentaje de cargos por año'!$L$2:$L$6</c:f>
              <c:numCache>
                <c:formatCode>General</c:formatCode>
                <c:ptCount val="5"/>
                <c:pt idx="0">
                  <c:v>4</c:v>
                </c:pt>
                <c:pt idx="1">
                  <c:v>13</c:v>
                </c:pt>
                <c:pt idx="2">
                  <c:v>19</c:v>
                </c:pt>
                <c:pt idx="3">
                  <c:v>19</c:v>
                </c:pt>
                <c:pt idx="4">
                  <c:v>17</c:v>
                </c:pt>
              </c:numCache>
            </c:numRef>
          </c:val>
          <c:extLst>
            <c:ext xmlns:c16="http://schemas.microsoft.com/office/drawing/2014/chart" uri="{C3380CC4-5D6E-409C-BE32-E72D297353CC}">
              <c16:uniqueId val="{0000000A-D12F-4923-A3E8-1BA1AF516124}"/>
            </c:ext>
          </c:extLst>
        </c:ser>
        <c:ser>
          <c:idx val="11"/>
          <c:order val="11"/>
          <c:tx>
            <c:strRef>
              <c:f>'porcentaje de cargos por año'!$M$1</c:f>
              <c:strCache>
                <c:ptCount val="1"/>
                <c:pt idx="0">
                  <c:v>PAsoc-Semi</c:v>
                </c:pt>
              </c:strCache>
            </c:strRef>
          </c:tx>
          <c:spPr>
            <a:solidFill>
              <a:schemeClr val="accent6">
                <a:lumMod val="60000"/>
              </a:schemeClr>
            </a:solidFill>
            <a:ln>
              <a:noFill/>
            </a:ln>
            <a:effectLst/>
          </c:spPr>
          <c:invertIfNegative val="0"/>
          <c:val>
            <c:numRef>
              <c:f>'porcentaje de cargos por año'!$M$2:$M$6</c:f>
              <c:numCache>
                <c:formatCode>General</c:formatCode>
                <c:ptCount val="5"/>
                <c:pt idx="0">
                  <c:v>1</c:v>
                </c:pt>
                <c:pt idx="1">
                  <c:v>5</c:v>
                </c:pt>
                <c:pt idx="2">
                  <c:v>9</c:v>
                </c:pt>
                <c:pt idx="3">
                  <c:v>12</c:v>
                </c:pt>
                <c:pt idx="4">
                  <c:v>13</c:v>
                </c:pt>
              </c:numCache>
            </c:numRef>
          </c:val>
          <c:extLst>
            <c:ext xmlns:c16="http://schemas.microsoft.com/office/drawing/2014/chart" uri="{C3380CC4-5D6E-409C-BE32-E72D297353CC}">
              <c16:uniqueId val="{0000000B-D12F-4923-A3E8-1BA1AF516124}"/>
            </c:ext>
          </c:extLst>
        </c:ser>
        <c:ser>
          <c:idx val="12"/>
          <c:order val="12"/>
          <c:tx>
            <c:strRef>
              <c:f>'porcentaje de cargos por año'!$N$1</c:f>
              <c:strCache>
                <c:ptCount val="1"/>
                <c:pt idx="0">
                  <c:v>PAsoc-Excl</c:v>
                </c:pt>
              </c:strCache>
            </c:strRef>
          </c:tx>
          <c:spPr>
            <a:solidFill>
              <a:schemeClr val="accent1">
                <a:lumMod val="80000"/>
                <a:lumOff val="20000"/>
              </a:schemeClr>
            </a:solidFill>
            <a:ln>
              <a:noFill/>
            </a:ln>
            <a:effectLst/>
          </c:spPr>
          <c:invertIfNegative val="0"/>
          <c:val>
            <c:numRef>
              <c:f>'porcentaje de cargos por año'!$N$2:$N$6</c:f>
              <c:numCache>
                <c:formatCode>General</c:formatCode>
                <c:ptCount val="5"/>
                <c:pt idx="0">
                  <c:v>49</c:v>
                </c:pt>
                <c:pt idx="1">
                  <c:v>65</c:v>
                </c:pt>
                <c:pt idx="2">
                  <c:v>58</c:v>
                </c:pt>
                <c:pt idx="3">
                  <c:v>55</c:v>
                </c:pt>
                <c:pt idx="4">
                  <c:v>40</c:v>
                </c:pt>
              </c:numCache>
            </c:numRef>
          </c:val>
          <c:extLst>
            <c:ext xmlns:c16="http://schemas.microsoft.com/office/drawing/2014/chart" uri="{C3380CC4-5D6E-409C-BE32-E72D297353CC}">
              <c16:uniqueId val="{0000000C-D12F-4923-A3E8-1BA1AF516124}"/>
            </c:ext>
          </c:extLst>
        </c:ser>
        <c:ser>
          <c:idx val="13"/>
          <c:order val="13"/>
          <c:tx>
            <c:strRef>
              <c:f>'porcentaje de cargos por año'!$O$1</c:f>
              <c:strCache>
                <c:ptCount val="1"/>
                <c:pt idx="0">
                  <c:v>PTit-Simple</c:v>
                </c:pt>
              </c:strCache>
            </c:strRef>
          </c:tx>
          <c:spPr>
            <a:solidFill>
              <a:srgbClr val="FFFF00"/>
            </a:solidFill>
            <a:ln>
              <a:noFill/>
            </a:ln>
            <a:effectLst/>
          </c:spPr>
          <c:invertIfNegative val="0"/>
          <c:val>
            <c:numRef>
              <c:f>'porcentaje de cargos por año'!$O$2:$O$6</c:f>
              <c:numCache>
                <c:formatCode>General</c:formatCode>
                <c:ptCount val="5"/>
                <c:pt idx="0">
                  <c:v>9</c:v>
                </c:pt>
                <c:pt idx="1">
                  <c:v>22</c:v>
                </c:pt>
                <c:pt idx="2">
                  <c:v>33</c:v>
                </c:pt>
                <c:pt idx="3">
                  <c:v>25</c:v>
                </c:pt>
                <c:pt idx="4">
                  <c:v>22</c:v>
                </c:pt>
              </c:numCache>
            </c:numRef>
          </c:val>
          <c:extLst>
            <c:ext xmlns:c16="http://schemas.microsoft.com/office/drawing/2014/chart" uri="{C3380CC4-5D6E-409C-BE32-E72D297353CC}">
              <c16:uniqueId val="{0000000D-D12F-4923-A3E8-1BA1AF516124}"/>
            </c:ext>
          </c:extLst>
        </c:ser>
        <c:ser>
          <c:idx val="14"/>
          <c:order val="14"/>
          <c:tx>
            <c:strRef>
              <c:f>'porcentaje de cargos por año'!$P$1</c:f>
              <c:strCache>
                <c:ptCount val="1"/>
                <c:pt idx="0">
                  <c:v>PTit-Semi</c:v>
                </c:pt>
              </c:strCache>
            </c:strRef>
          </c:tx>
          <c:spPr>
            <a:solidFill>
              <a:srgbClr val="7030A0"/>
            </a:solidFill>
            <a:ln>
              <a:noFill/>
            </a:ln>
            <a:effectLst/>
          </c:spPr>
          <c:invertIfNegative val="0"/>
          <c:val>
            <c:numRef>
              <c:f>'porcentaje de cargos por año'!$P$2:$P$6</c:f>
              <c:numCache>
                <c:formatCode>General</c:formatCode>
                <c:ptCount val="5"/>
                <c:pt idx="0">
                  <c:v>4</c:v>
                </c:pt>
                <c:pt idx="1">
                  <c:v>3</c:v>
                </c:pt>
                <c:pt idx="2">
                  <c:v>1</c:v>
                </c:pt>
                <c:pt idx="3">
                  <c:v>6</c:v>
                </c:pt>
                <c:pt idx="4">
                  <c:v>0</c:v>
                </c:pt>
              </c:numCache>
            </c:numRef>
          </c:val>
          <c:extLst>
            <c:ext xmlns:c16="http://schemas.microsoft.com/office/drawing/2014/chart" uri="{C3380CC4-5D6E-409C-BE32-E72D297353CC}">
              <c16:uniqueId val="{0000000E-D12F-4923-A3E8-1BA1AF516124}"/>
            </c:ext>
          </c:extLst>
        </c:ser>
        <c:ser>
          <c:idx val="15"/>
          <c:order val="15"/>
          <c:tx>
            <c:strRef>
              <c:f>'porcentaje de cargos por año'!$Q$1</c:f>
              <c:strCache>
                <c:ptCount val="1"/>
                <c:pt idx="0">
                  <c:v>PTit-Excl</c:v>
                </c:pt>
              </c:strCache>
            </c:strRef>
          </c:tx>
          <c:spPr>
            <a:solidFill>
              <a:schemeClr val="accent4">
                <a:lumMod val="80000"/>
                <a:lumOff val="20000"/>
              </a:schemeClr>
            </a:solidFill>
            <a:ln>
              <a:noFill/>
            </a:ln>
            <a:effectLst/>
          </c:spPr>
          <c:invertIfNegative val="0"/>
          <c:val>
            <c:numRef>
              <c:f>'porcentaje de cargos por año'!$Q$2:$Q$6</c:f>
              <c:numCache>
                <c:formatCode>General</c:formatCode>
                <c:ptCount val="5"/>
                <c:pt idx="0">
                  <c:v>44</c:v>
                </c:pt>
                <c:pt idx="1">
                  <c:v>65</c:v>
                </c:pt>
                <c:pt idx="2">
                  <c:v>40</c:v>
                </c:pt>
                <c:pt idx="3">
                  <c:v>62</c:v>
                </c:pt>
                <c:pt idx="4">
                  <c:v>24</c:v>
                </c:pt>
              </c:numCache>
            </c:numRef>
          </c:val>
          <c:extLst>
            <c:ext xmlns:c16="http://schemas.microsoft.com/office/drawing/2014/chart" uri="{C3380CC4-5D6E-409C-BE32-E72D297353CC}">
              <c16:uniqueId val="{0000000F-D12F-4923-A3E8-1BA1AF516124}"/>
            </c:ext>
          </c:extLst>
        </c:ser>
        <c:dLbls>
          <c:showLegendKey val="0"/>
          <c:showVal val="0"/>
          <c:showCatName val="0"/>
          <c:showSerName val="0"/>
          <c:showPercent val="0"/>
          <c:showBubbleSize val="0"/>
        </c:dLbls>
        <c:gapWidth val="219"/>
        <c:overlap val="-27"/>
        <c:axId val="752589439"/>
        <c:axId val="752580799"/>
      </c:barChart>
      <c:catAx>
        <c:axId val="7525894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2580799"/>
        <c:crosses val="autoZero"/>
        <c:auto val="1"/>
        <c:lblAlgn val="ctr"/>
        <c:lblOffset val="100"/>
        <c:noMultiLvlLbl val="0"/>
      </c:catAx>
      <c:valAx>
        <c:axId val="752580799"/>
        <c:scaling>
          <c:orientation val="minMax"/>
          <c:max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2589439"/>
        <c:crosses val="autoZero"/>
        <c:crossBetween val="between"/>
      </c:valAx>
      <c:spPr>
        <a:noFill/>
        <a:ln>
          <a:noFill/>
        </a:ln>
        <a:effectLst/>
      </c:spPr>
    </c:plotArea>
    <c:legend>
      <c:legendPos val="b"/>
      <c:layout>
        <c:manualLayout>
          <c:xMode val="edge"/>
          <c:yMode val="edge"/>
          <c:x val="9.7329709237613651E-2"/>
          <c:y val="0.85501268649847428"/>
          <c:w val="0.80534042992704402"/>
          <c:h val="0.143773617392473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Distribución docente del primer año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'porcentaje de cargos por año'!$B$1</c:f>
              <c:strCache>
                <c:ptCount val="1"/>
                <c:pt idx="0">
                  <c:v>ayB-Simple</c:v>
                </c:pt>
              </c:strCache>
            </c:strRef>
          </c:tx>
          <c:spPr>
            <a:solidFill>
              <a:srgbClr val="FFC000"/>
            </a:solidFill>
            <a:ln>
              <a:noFill/>
            </a:ln>
            <a:effectLst/>
          </c:spPr>
          <c:invertIfNegative val="0"/>
          <c:val>
            <c:numRef>
              <c:f>'porcentaje de cargos por año'!$B$2</c:f>
              <c:numCache>
                <c:formatCode>General</c:formatCode>
                <c:ptCount val="1"/>
                <c:pt idx="0">
                  <c:v>285</c:v>
                </c:pt>
              </c:numCache>
            </c:numRef>
          </c:val>
          <c:extLst>
            <c:ext xmlns:c16="http://schemas.microsoft.com/office/drawing/2014/chart" uri="{C3380CC4-5D6E-409C-BE32-E72D297353CC}">
              <c16:uniqueId val="{00000000-9299-4EE3-A1A1-F03ED0F11A72}"/>
            </c:ext>
          </c:extLst>
        </c:ser>
        <c:ser>
          <c:idx val="1"/>
          <c:order val="1"/>
          <c:tx>
            <c:strRef>
              <c:f>'porcentaje de cargos por año'!$C$1</c:f>
              <c:strCache>
                <c:ptCount val="1"/>
                <c:pt idx="0">
                  <c:v>ayA-Simple</c:v>
                </c:pt>
              </c:strCache>
            </c:strRef>
          </c:tx>
          <c:spPr>
            <a:solidFill>
              <a:schemeClr val="accent4">
                <a:lumMod val="75000"/>
              </a:schemeClr>
            </a:solidFill>
            <a:ln>
              <a:noFill/>
            </a:ln>
            <a:effectLst/>
          </c:spPr>
          <c:invertIfNegative val="0"/>
          <c:val>
            <c:numRef>
              <c:f>'porcentaje de cargos por año'!$C$2</c:f>
              <c:numCache>
                <c:formatCode>General</c:formatCode>
                <c:ptCount val="1"/>
                <c:pt idx="0">
                  <c:v>764</c:v>
                </c:pt>
              </c:numCache>
            </c:numRef>
          </c:val>
          <c:extLst>
            <c:ext xmlns:c16="http://schemas.microsoft.com/office/drawing/2014/chart" uri="{C3380CC4-5D6E-409C-BE32-E72D297353CC}">
              <c16:uniqueId val="{00000001-9299-4EE3-A1A1-F03ED0F11A72}"/>
            </c:ext>
          </c:extLst>
        </c:ser>
        <c:ser>
          <c:idx val="2"/>
          <c:order val="2"/>
          <c:tx>
            <c:strRef>
              <c:f>'porcentaje de cargos por año'!$D$1</c:f>
              <c:strCache>
                <c:ptCount val="1"/>
                <c:pt idx="0">
                  <c:v>ayA-Semi</c:v>
                </c:pt>
              </c:strCache>
            </c:strRef>
          </c:tx>
          <c:spPr>
            <a:solidFill>
              <a:schemeClr val="accent3"/>
            </a:solidFill>
            <a:ln>
              <a:noFill/>
            </a:ln>
            <a:effectLst/>
          </c:spPr>
          <c:invertIfNegative val="0"/>
          <c:val>
            <c:numRef>
              <c:f>'porcentaje de cargos por año'!$D$2</c:f>
              <c:numCache>
                <c:formatCode>General</c:formatCode>
                <c:ptCount val="1"/>
                <c:pt idx="0">
                  <c:v>54</c:v>
                </c:pt>
              </c:numCache>
            </c:numRef>
          </c:val>
          <c:extLst>
            <c:ext xmlns:c16="http://schemas.microsoft.com/office/drawing/2014/chart" uri="{C3380CC4-5D6E-409C-BE32-E72D297353CC}">
              <c16:uniqueId val="{00000002-9299-4EE3-A1A1-F03ED0F11A72}"/>
            </c:ext>
          </c:extLst>
        </c:ser>
        <c:ser>
          <c:idx val="3"/>
          <c:order val="3"/>
          <c:tx>
            <c:strRef>
              <c:f>'porcentaje de cargos por año'!$E$1</c:f>
              <c:strCache>
                <c:ptCount val="1"/>
                <c:pt idx="0">
                  <c:v>ayA-Excl</c:v>
                </c:pt>
              </c:strCache>
            </c:strRef>
          </c:tx>
          <c:spPr>
            <a:solidFill>
              <a:schemeClr val="accent4"/>
            </a:solidFill>
            <a:ln>
              <a:noFill/>
            </a:ln>
            <a:effectLst/>
          </c:spPr>
          <c:invertIfNegative val="0"/>
          <c:val>
            <c:numRef>
              <c:f>'porcentaje de cargos por año'!$E$2</c:f>
              <c:numCache>
                <c:formatCode>General</c:formatCode>
                <c:ptCount val="1"/>
                <c:pt idx="0">
                  <c:v>26</c:v>
                </c:pt>
              </c:numCache>
            </c:numRef>
          </c:val>
          <c:extLst>
            <c:ext xmlns:c16="http://schemas.microsoft.com/office/drawing/2014/chart" uri="{C3380CC4-5D6E-409C-BE32-E72D297353CC}">
              <c16:uniqueId val="{00000003-9299-4EE3-A1A1-F03ED0F11A72}"/>
            </c:ext>
          </c:extLst>
        </c:ser>
        <c:ser>
          <c:idx val="4"/>
          <c:order val="4"/>
          <c:tx>
            <c:strRef>
              <c:f>'porcentaje de cargos por año'!$F$1</c:f>
              <c:strCache>
                <c:ptCount val="1"/>
                <c:pt idx="0">
                  <c:v>Asist-Simple</c:v>
                </c:pt>
              </c:strCache>
            </c:strRef>
          </c:tx>
          <c:spPr>
            <a:solidFill>
              <a:srgbClr val="00B050"/>
            </a:solidFill>
            <a:ln>
              <a:noFill/>
            </a:ln>
            <a:effectLst/>
          </c:spPr>
          <c:invertIfNegative val="0"/>
          <c:val>
            <c:numRef>
              <c:f>'porcentaje de cargos por año'!$F$2</c:f>
              <c:numCache>
                <c:formatCode>General</c:formatCode>
                <c:ptCount val="1"/>
                <c:pt idx="0">
                  <c:v>253</c:v>
                </c:pt>
              </c:numCache>
            </c:numRef>
          </c:val>
          <c:extLst>
            <c:ext xmlns:c16="http://schemas.microsoft.com/office/drawing/2014/chart" uri="{C3380CC4-5D6E-409C-BE32-E72D297353CC}">
              <c16:uniqueId val="{00000004-9299-4EE3-A1A1-F03ED0F11A72}"/>
            </c:ext>
          </c:extLst>
        </c:ser>
        <c:ser>
          <c:idx val="5"/>
          <c:order val="5"/>
          <c:tx>
            <c:strRef>
              <c:f>'porcentaje de cargos por año'!$G$1</c:f>
              <c:strCache>
                <c:ptCount val="1"/>
                <c:pt idx="0">
                  <c:v>Asist-Semi</c:v>
                </c:pt>
              </c:strCache>
            </c:strRef>
          </c:tx>
          <c:spPr>
            <a:solidFill>
              <a:schemeClr val="accent6"/>
            </a:solidFill>
            <a:ln>
              <a:noFill/>
            </a:ln>
            <a:effectLst/>
          </c:spPr>
          <c:invertIfNegative val="0"/>
          <c:val>
            <c:numRef>
              <c:f>'porcentaje de cargos por año'!$G$2</c:f>
              <c:numCache>
                <c:formatCode>General</c:formatCode>
                <c:ptCount val="1"/>
                <c:pt idx="0">
                  <c:v>70</c:v>
                </c:pt>
              </c:numCache>
            </c:numRef>
          </c:val>
          <c:extLst>
            <c:ext xmlns:c16="http://schemas.microsoft.com/office/drawing/2014/chart" uri="{C3380CC4-5D6E-409C-BE32-E72D297353CC}">
              <c16:uniqueId val="{00000005-9299-4EE3-A1A1-F03ED0F11A72}"/>
            </c:ext>
          </c:extLst>
        </c:ser>
        <c:ser>
          <c:idx val="6"/>
          <c:order val="6"/>
          <c:tx>
            <c:strRef>
              <c:f>'porcentaje de cargos por año'!$H$1</c:f>
              <c:strCache>
                <c:ptCount val="1"/>
                <c:pt idx="0">
                  <c:v>Asist-Excl</c:v>
                </c:pt>
              </c:strCache>
            </c:strRef>
          </c:tx>
          <c:spPr>
            <a:solidFill>
              <a:schemeClr val="accent1">
                <a:lumMod val="60000"/>
              </a:schemeClr>
            </a:solidFill>
            <a:ln>
              <a:noFill/>
            </a:ln>
            <a:effectLst/>
          </c:spPr>
          <c:invertIfNegative val="0"/>
          <c:val>
            <c:numRef>
              <c:f>'porcentaje de cargos por año'!$H$2</c:f>
              <c:numCache>
                <c:formatCode>General</c:formatCode>
                <c:ptCount val="1"/>
                <c:pt idx="0">
                  <c:v>93</c:v>
                </c:pt>
              </c:numCache>
            </c:numRef>
          </c:val>
          <c:extLst>
            <c:ext xmlns:c16="http://schemas.microsoft.com/office/drawing/2014/chart" uri="{C3380CC4-5D6E-409C-BE32-E72D297353CC}">
              <c16:uniqueId val="{00000006-9299-4EE3-A1A1-F03ED0F11A72}"/>
            </c:ext>
          </c:extLst>
        </c:ser>
        <c:ser>
          <c:idx val="7"/>
          <c:order val="7"/>
          <c:tx>
            <c:strRef>
              <c:f>'porcentaje de cargos por año'!$I$1</c:f>
              <c:strCache>
                <c:ptCount val="1"/>
                <c:pt idx="0">
                  <c:v>PAdj-Simple</c:v>
                </c:pt>
              </c:strCache>
            </c:strRef>
          </c:tx>
          <c:spPr>
            <a:solidFill>
              <a:srgbClr val="C00000"/>
            </a:solidFill>
            <a:ln>
              <a:noFill/>
            </a:ln>
            <a:effectLst/>
          </c:spPr>
          <c:invertIfNegative val="0"/>
          <c:val>
            <c:numRef>
              <c:f>'porcentaje de cargos por año'!$I$2</c:f>
              <c:numCache>
                <c:formatCode>General</c:formatCode>
                <c:ptCount val="1"/>
                <c:pt idx="0">
                  <c:v>187</c:v>
                </c:pt>
              </c:numCache>
            </c:numRef>
          </c:val>
          <c:extLst>
            <c:ext xmlns:c16="http://schemas.microsoft.com/office/drawing/2014/chart" uri="{C3380CC4-5D6E-409C-BE32-E72D297353CC}">
              <c16:uniqueId val="{00000007-9299-4EE3-A1A1-F03ED0F11A72}"/>
            </c:ext>
          </c:extLst>
        </c:ser>
        <c:ser>
          <c:idx val="8"/>
          <c:order val="8"/>
          <c:tx>
            <c:strRef>
              <c:f>'porcentaje de cargos por año'!$J$1</c:f>
              <c:strCache>
                <c:ptCount val="1"/>
                <c:pt idx="0">
                  <c:v>PAdj-Semi</c:v>
                </c:pt>
              </c:strCache>
            </c:strRef>
          </c:tx>
          <c:spPr>
            <a:solidFill>
              <a:schemeClr val="accent3">
                <a:lumMod val="60000"/>
              </a:schemeClr>
            </a:solidFill>
            <a:ln>
              <a:noFill/>
            </a:ln>
            <a:effectLst/>
          </c:spPr>
          <c:invertIfNegative val="0"/>
          <c:val>
            <c:numRef>
              <c:f>'porcentaje de cargos por año'!$J$2</c:f>
              <c:numCache>
                <c:formatCode>General</c:formatCode>
                <c:ptCount val="1"/>
                <c:pt idx="0">
                  <c:v>80</c:v>
                </c:pt>
              </c:numCache>
            </c:numRef>
          </c:val>
          <c:extLst>
            <c:ext xmlns:c16="http://schemas.microsoft.com/office/drawing/2014/chart" uri="{C3380CC4-5D6E-409C-BE32-E72D297353CC}">
              <c16:uniqueId val="{00000008-9299-4EE3-A1A1-F03ED0F11A72}"/>
            </c:ext>
          </c:extLst>
        </c:ser>
        <c:ser>
          <c:idx val="9"/>
          <c:order val="9"/>
          <c:tx>
            <c:strRef>
              <c:f>'porcentaje de cargos por año'!$K$1</c:f>
              <c:strCache>
                <c:ptCount val="1"/>
                <c:pt idx="0">
                  <c:v>PAdj-Excl</c:v>
                </c:pt>
              </c:strCache>
            </c:strRef>
          </c:tx>
          <c:spPr>
            <a:solidFill>
              <a:schemeClr val="accent4">
                <a:lumMod val="60000"/>
              </a:schemeClr>
            </a:solidFill>
            <a:ln>
              <a:noFill/>
            </a:ln>
            <a:effectLst/>
          </c:spPr>
          <c:invertIfNegative val="0"/>
          <c:val>
            <c:numRef>
              <c:f>'porcentaje de cargos por año'!$K$2</c:f>
              <c:numCache>
                <c:formatCode>General</c:formatCode>
                <c:ptCount val="1"/>
                <c:pt idx="0">
                  <c:v>166</c:v>
                </c:pt>
              </c:numCache>
            </c:numRef>
          </c:val>
          <c:extLst>
            <c:ext xmlns:c16="http://schemas.microsoft.com/office/drawing/2014/chart" uri="{C3380CC4-5D6E-409C-BE32-E72D297353CC}">
              <c16:uniqueId val="{00000009-9299-4EE3-A1A1-F03ED0F11A72}"/>
            </c:ext>
          </c:extLst>
        </c:ser>
        <c:ser>
          <c:idx val="10"/>
          <c:order val="10"/>
          <c:tx>
            <c:strRef>
              <c:f>'porcentaje de cargos por año'!$L$1</c:f>
              <c:strCache>
                <c:ptCount val="1"/>
                <c:pt idx="0">
                  <c:v>PAsoc-Simple</c:v>
                </c:pt>
              </c:strCache>
            </c:strRef>
          </c:tx>
          <c:spPr>
            <a:solidFill>
              <a:schemeClr val="accent5">
                <a:lumMod val="60000"/>
              </a:schemeClr>
            </a:solidFill>
            <a:ln>
              <a:noFill/>
            </a:ln>
            <a:effectLst/>
          </c:spPr>
          <c:invertIfNegative val="0"/>
          <c:val>
            <c:numRef>
              <c:f>'porcentaje de cargos por año'!$L$2</c:f>
              <c:numCache>
                <c:formatCode>General</c:formatCode>
                <c:ptCount val="1"/>
                <c:pt idx="0">
                  <c:v>4</c:v>
                </c:pt>
              </c:numCache>
            </c:numRef>
          </c:val>
          <c:extLst>
            <c:ext xmlns:c16="http://schemas.microsoft.com/office/drawing/2014/chart" uri="{C3380CC4-5D6E-409C-BE32-E72D297353CC}">
              <c16:uniqueId val="{0000000A-9299-4EE3-A1A1-F03ED0F11A72}"/>
            </c:ext>
          </c:extLst>
        </c:ser>
        <c:ser>
          <c:idx val="11"/>
          <c:order val="11"/>
          <c:tx>
            <c:strRef>
              <c:f>'porcentaje de cargos por año'!$M$1</c:f>
              <c:strCache>
                <c:ptCount val="1"/>
                <c:pt idx="0">
                  <c:v>PAsoc-Semi</c:v>
                </c:pt>
              </c:strCache>
            </c:strRef>
          </c:tx>
          <c:spPr>
            <a:solidFill>
              <a:schemeClr val="accent6">
                <a:lumMod val="60000"/>
              </a:schemeClr>
            </a:solidFill>
            <a:ln>
              <a:noFill/>
            </a:ln>
            <a:effectLst/>
          </c:spPr>
          <c:invertIfNegative val="0"/>
          <c:val>
            <c:numRef>
              <c:f>'porcentaje de cargos por año'!$M$2</c:f>
              <c:numCache>
                <c:formatCode>General</c:formatCode>
                <c:ptCount val="1"/>
                <c:pt idx="0">
                  <c:v>1</c:v>
                </c:pt>
              </c:numCache>
            </c:numRef>
          </c:val>
          <c:extLst>
            <c:ext xmlns:c16="http://schemas.microsoft.com/office/drawing/2014/chart" uri="{C3380CC4-5D6E-409C-BE32-E72D297353CC}">
              <c16:uniqueId val="{0000000B-9299-4EE3-A1A1-F03ED0F11A72}"/>
            </c:ext>
          </c:extLst>
        </c:ser>
        <c:ser>
          <c:idx val="12"/>
          <c:order val="12"/>
          <c:tx>
            <c:strRef>
              <c:f>'porcentaje de cargos por año'!$N$1</c:f>
              <c:strCache>
                <c:ptCount val="1"/>
                <c:pt idx="0">
                  <c:v>PAsoc-Excl</c:v>
                </c:pt>
              </c:strCache>
            </c:strRef>
          </c:tx>
          <c:spPr>
            <a:solidFill>
              <a:schemeClr val="accent1">
                <a:lumMod val="80000"/>
                <a:lumOff val="20000"/>
              </a:schemeClr>
            </a:solidFill>
            <a:ln>
              <a:noFill/>
            </a:ln>
            <a:effectLst/>
          </c:spPr>
          <c:invertIfNegative val="0"/>
          <c:val>
            <c:numRef>
              <c:f>'porcentaje de cargos por año'!$N$2</c:f>
              <c:numCache>
                <c:formatCode>General</c:formatCode>
                <c:ptCount val="1"/>
                <c:pt idx="0">
                  <c:v>49</c:v>
                </c:pt>
              </c:numCache>
            </c:numRef>
          </c:val>
          <c:extLst>
            <c:ext xmlns:c16="http://schemas.microsoft.com/office/drawing/2014/chart" uri="{C3380CC4-5D6E-409C-BE32-E72D297353CC}">
              <c16:uniqueId val="{0000000C-9299-4EE3-A1A1-F03ED0F11A72}"/>
            </c:ext>
          </c:extLst>
        </c:ser>
        <c:ser>
          <c:idx val="13"/>
          <c:order val="13"/>
          <c:tx>
            <c:strRef>
              <c:f>'porcentaje de cargos por año'!$O$1</c:f>
              <c:strCache>
                <c:ptCount val="1"/>
                <c:pt idx="0">
                  <c:v>PTit-Simple</c:v>
                </c:pt>
              </c:strCache>
            </c:strRef>
          </c:tx>
          <c:spPr>
            <a:solidFill>
              <a:schemeClr val="accent2">
                <a:lumMod val="80000"/>
                <a:lumOff val="20000"/>
              </a:schemeClr>
            </a:solidFill>
            <a:ln>
              <a:noFill/>
            </a:ln>
            <a:effectLst/>
          </c:spPr>
          <c:invertIfNegative val="0"/>
          <c:val>
            <c:numRef>
              <c:f>'porcentaje de cargos por año'!$O$2</c:f>
              <c:numCache>
                <c:formatCode>General</c:formatCode>
                <c:ptCount val="1"/>
                <c:pt idx="0">
                  <c:v>9</c:v>
                </c:pt>
              </c:numCache>
            </c:numRef>
          </c:val>
          <c:extLst>
            <c:ext xmlns:c16="http://schemas.microsoft.com/office/drawing/2014/chart" uri="{C3380CC4-5D6E-409C-BE32-E72D297353CC}">
              <c16:uniqueId val="{0000000D-9299-4EE3-A1A1-F03ED0F11A72}"/>
            </c:ext>
          </c:extLst>
        </c:ser>
        <c:ser>
          <c:idx val="14"/>
          <c:order val="14"/>
          <c:tx>
            <c:strRef>
              <c:f>'porcentaje de cargos por año'!$P$1</c:f>
              <c:strCache>
                <c:ptCount val="1"/>
                <c:pt idx="0">
                  <c:v>PTit-Semi</c:v>
                </c:pt>
              </c:strCache>
            </c:strRef>
          </c:tx>
          <c:spPr>
            <a:solidFill>
              <a:schemeClr val="accent3">
                <a:lumMod val="80000"/>
                <a:lumOff val="20000"/>
              </a:schemeClr>
            </a:solidFill>
            <a:ln>
              <a:noFill/>
            </a:ln>
            <a:effectLst/>
          </c:spPr>
          <c:invertIfNegative val="0"/>
          <c:val>
            <c:numRef>
              <c:f>'porcentaje de cargos por año'!$P$2</c:f>
              <c:numCache>
                <c:formatCode>General</c:formatCode>
                <c:ptCount val="1"/>
                <c:pt idx="0">
                  <c:v>4</c:v>
                </c:pt>
              </c:numCache>
            </c:numRef>
          </c:val>
          <c:extLst>
            <c:ext xmlns:c16="http://schemas.microsoft.com/office/drawing/2014/chart" uri="{C3380CC4-5D6E-409C-BE32-E72D297353CC}">
              <c16:uniqueId val="{0000000E-9299-4EE3-A1A1-F03ED0F11A72}"/>
            </c:ext>
          </c:extLst>
        </c:ser>
        <c:ser>
          <c:idx val="15"/>
          <c:order val="15"/>
          <c:tx>
            <c:strRef>
              <c:f>'porcentaje de cargos por año'!$Q$1</c:f>
              <c:strCache>
                <c:ptCount val="1"/>
                <c:pt idx="0">
                  <c:v>PTit-Excl</c:v>
                </c:pt>
              </c:strCache>
            </c:strRef>
          </c:tx>
          <c:spPr>
            <a:solidFill>
              <a:schemeClr val="accent4">
                <a:lumMod val="80000"/>
                <a:lumOff val="20000"/>
              </a:schemeClr>
            </a:solidFill>
            <a:ln>
              <a:noFill/>
            </a:ln>
            <a:effectLst/>
          </c:spPr>
          <c:invertIfNegative val="0"/>
          <c:val>
            <c:numRef>
              <c:f>'porcentaje de cargos por año'!$Q$2</c:f>
              <c:numCache>
                <c:formatCode>General</c:formatCode>
                <c:ptCount val="1"/>
                <c:pt idx="0">
                  <c:v>44</c:v>
                </c:pt>
              </c:numCache>
            </c:numRef>
          </c:val>
          <c:extLst>
            <c:ext xmlns:c16="http://schemas.microsoft.com/office/drawing/2014/chart" uri="{C3380CC4-5D6E-409C-BE32-E72D297353CC}">
              <c16:uniqueId val="{0000000F-9299-4EE3-A1A1-F03ED0F11A72}"/>
            </c:ext>
          </c:extLst>
        </c:ser>
        <c:dLbls>
          <c:showLegendKey val="0"/>
          <c:showVal val="0"/>
          <c:showCatName val="0"/>
          <c:showSerName val="0"/>
          <c:showPercent val="0"/>
          <c:showBubbleSize val="0"/>
        </c:dLbls>
        <c:gapWidth val="219"/>
        <c:axId val="131129903"/>
        <c:axId val="131126543"/>
      </c:barChart>
      <c:catAx>
        <c:axId val="1311299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126543"/>
        <c:crosses val="autoZero"/>
        <c:auto val="1"/>
        <c:lblAlgn val="ctr"/>
        <c:lblOffset val="100"/>
        <c:noMultiLvlLbl val="0"/>
      </c:catAx>
      <c:valAx>
        <c:axId val="131126543"/>
        <c:scaling>
          <c:orientation val="minMax"/>
          <c:max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129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Cantidad de cargos docentes</a:t>
            </a:r>
            <a:r>
              <a:rPr lang="en-US" sz="1100" baseline="0">
                <a:latin typeface="Times New Roman" panose="02020603050405020304" pitchFamily="18" charset="0"/>
                <a:cs typeface="Times New Roman" panose="02020603050405020304" pitchFamily="18" charset="0"/>
              </a:rPr>
              <a:t> vs número de docentes año a año</a:t>
            </a:r>
            <a:endParaRPr lang="en-US" sz="1100">
              <a:latin typeface="Times New Roman" panose="02020603050405020304" pitchFamily="18" charset="0"/>
              <a:cs typeface="Times New Roman" panose="02020603050405020304" pitchFamily="18" charset="0"/>
            </a:endParaRPr>
          </a:p>
        </c:rich>
      </c:tx>
      <c:layout>
        <c:manualLayout>
          <c:xMode val="edge"/>
          <c:yMode val="edge"/>
          <c:x val="0.14249217621104526"/>
          <c:y val="4.1278721939998847E-2"/>
        </c:manualLayout>
      </c:layout>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'docentes por año'!$B$10</c:f>
              <c:strCache>
                <c:ptCount val="1"/>
                <c:pt idx="0">
                  <c:v>anio</c:v>
                </c:pt>
              </c:strCache>
            </c:strRef>
          </c:tx>
          <c:spPr>
            <a:solidFill>
              <a:schemeClr val="accent1"/>
            </a:solidFill>
            <a:ln>
              <a:noFill/>
            </a:ln>
            <a:effectLst/>
          </c:spPr>
          <c:invertIfNegative val="0"/>
          <c:val>
            <c:numRef>
              <c:f>'docentes por año'!$B$11:$B$15</c:f>
              <c:numCache>
                <c:formatCode>General</c:formatCode>
                <c:ptCount val="5"/>
                <c:pt idx="0">
                  <c:v>1</c:v>
                </c:pt>
                <c:pt idx="1">
                  <c:v>2</c:v>
                </c:pt>
                <c:pt idx="2">
                  <c:v>3</c:v>
                </c:pt>
                <c:pt idx="3">
                  <c:v>4</c:v>
                </c:pt>
                <c:pt idx="4">
                  <c:v>5</c:v>
                </c:pt>
              </c:numCache>
            </c:numRef>
          </c:val>
          <c:extLst>
            <c:ext xmlns:c16="http://schemas.microsoft.com/office/drawing/2014/chart" uri="{C3380CC4-5D6E-409C-BE32-E72D297353CC}">
              <c16:uniqueId val="{00000000-9558-4C2D-AD73-CC62EAB656EE}"/>
            </c:ext>
          </c:extLst>
        </c:ser>
        <c:ser>
          <c:idx val="1"/>
          <c:order val="1"/>
          <c:tx>
            <c:strRef>
              <c:f>'docentes por año'!$C$10</c:f>
              <c:strCache>
                <c:ptCount val="1"/>
                <c:pt idx="0">
                  <c:v>Total Cargos</c:v>
                </c:pt>
              </c:strCache>
            </c:strRef>
          </c:tx>
          <c:spPr>
            <a:solidFill>
              <a:schemeClr val="tx2">
                <a:lumMod val="50000"/>
                <a:lumOff val="50000"/>
              </a:schemeClr>
            </a:solidFill>
            <a:ln>
              <a:noFill/>
            </a:ln>
            <a:effectLst/>
          </c:spPr>
          <c:invertIfNegative val="0"/>
          <c:val>
            <c:numRef>
              <c:f>'docentes por año'!$C$11:$C$15</c:f>
              <c:numCache>
                <c:formatCode>#,##0</c:formatCode>
                <c:ptCount val="5"/>
                <c:pt idx="0">
                  <c:v>2145</c:v>
                </c:pt>
                <c:pt idx="1">
                  <c:v>1960</c:v>
                </c:pt>
                <c:pt idx="2">
                  <c:v>1347</c:v>
                </c:pt>
                <c:pt idx="3">
                  <c:v>1353</c:v>
                </c:pt>
                <c:pt idx="4" formatCode="General">
                  <c:v>827</c:v>
                </c:pt>
              </c:numCache>
            </c:numRef>
          </c:val>
          <c:extLst>
            <c:ext xmlns:c16="http://schemas.microsoft.com/office/drawing/2014/chart" uri="{C3380CC4-5D6E-409C-BE32-E72D297353CC}">
              <c16:uniqueId val="{00000001-9558-4C2D-AD73-CC62EAB656EE}"/>
            </c:ext>
          </c:extLst>
        </c:ser>
        <c:ser>
          <c:idx val="2"/>
          <c:order val="2"/>
          <c:tx>
            <c:strRef>
              <c:f>'docentes por año'!$D$10</c:f>
              <c:strCache>
                <c:ptCount val="1"/>
                <c:pt idx="0">
                  <c:v>Cantidad Docentes</c:v>
                </c:pt>
              </c:strCache>
            </c:strRef>
          </c:tx>
          <c:spPr>
            <a:solidFill>
              <a:schemeClr val="accent3"/>
            </a:solidFill>
            <a:ln>
              <a:noFill/>
            </a:ln>
            <a:effectLst/>
          </c:spPr>
          <c:invertIfNegative val="0"/>
          <c:val>
            <c:numRef>
              <c:f>'docentes por año'!$D$11:$D$15</c:f>
              <c:numCache>
                <c:formatCode>General</c:formatCode>
                <c:ptCount val="5"/>
                <c:pt idx="0">
                  <c:v>704</c:v>
                </c:pt>
                <c:pt idx="1">
                  <c:v>797</c:v>
                </c:pt>
                <c:pt idx="2">
                  <c:v>739</c:v>
                </c:pt>
                <c:pt idx="3">
                  <c:v>757</c:v>
                </c:pt>
                <c:pt idx="4">
                  <c:v>484</c:v>
                </c:pt>
              </c:numCache>
            </c:numRef>
          </c:val>
          <c:extLst>
            <c:ext xmlns:c16="http://schemas.microsoft.com/office/drawing/2014/chart" uri="{C3380CC4-5D6E-409C-BE32-E72D297353CC}">
              <c16:uniqueId val="{00000002-9558-4C2D-AD73-CC62EAB656EE}"/>
            </c:ext>
          </c:extLst>
        </c:ser>
        <c:dLbls>
          <c:showLegendKey val="0"/>
          <c:showVal val="0"/>
          <c:showCatName val="0"/>
          <c:showSerName val="0"/>
          <c:showPercent val="0"/>
          <c:showBubbleSize val="0"/>
        </c:dLbls>
        <c:gapWidth val="219"/>
        <c:overlap val="-27"/>
        <c:axId val="779773471"/>
        <c:axId val="779779231"/>
      </c:barChart>
      <c:catAx>
        <c:axId val="7797734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9779231"/>
        <c:crosses val="autoZero"/>
        <c:auto val="1"/>
        <c:lblAlgn val="ctr"/>
        <c:lblOffset val="100"/>
        <c:noMultiLvlLbl val="0"/>
      </c:catAx>
      <c:valAx>
        <c:axId val="77977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9773471"/>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356938364876184E-2"/>
          <c:y val="4.3392504930966469E-2"/>
          <c:w val="0.88038625639810075"/>
          <c:h val="0.75401893589212277"/>
        </c:manualLayout>
      </c:layout>
      <c:lineChart>
        <c:grouping val="standard"/>
        <c:varyColors val="0"/>
        <c:ser>
          <c:idx val="0"/>
          <c:order val="0"/>
          <c:tx>
            <c:v>Ingresantes</c:v>
          </c:tx>
          <c:spPr>
            <a:ln w="19050" cap="rnd">
              <a:solidFill>
                <a:schemeClr val="accent1"/>
              </a:solidFill>
              <a:round/>
            </a:ln>
            <a:effectLst/>
          </c:spPr>
          <c:marker>
            <c:symbol val="circle"/>
            <c:size val="3"/>
            <c:spPr>
              <a:solidFill>
                <a:schemeClr val="accent1"/>
              </a:solidFill>
              <a:ln w="9525">
                <a:solidFill>
                  <a:schemeClr val="accent1"/>
                </a:solidFill>
              </a:ln>
              <a:effectLst/>
            </c:spPr>
          </c:marker>
          <c:cat>
            <c:strRef>
              <c:f>'gráfico evolución2012-2024'!$A$2:$A$14</c:f>
              <c:strCach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strCache>
              <c:extLst/>
            </c:strRef>
          </c:cat>
          <c:val>
            <c:numRef>
              <c:f>'gráfico evolución2012-2024'!$B$2:$B$14</c:f>
              <c:numCache>
                <c:formatCode>#,###;\-#,###</c:formatCode>
                <c:ptCount val="13"/>
                <c:pt idx="0">
                  <c:v>4064</c:v>
                </c:pt>
                <c:pt idx="1">
                  <c:v>3453</c:v>
                </c:pt>
                <c:pt idx="2">
                  <c:v>4428</c:v>
                </c:pt>
                <c:pt idx="3">
                  <c:v>3930</c:v>
                </c:pt>
                <c:pt idx="4">
                  <c:v>4584</c:v>
                </c:pt>
                <c:pt idx="5">
                  <c:v>5063</c:v>
                </c:pt>
                <c:pt idx="6">
                  <c:v>5562</c:v>
                </c:pt>
                <c:pt idx="7">
                  <c:v>6563</c:v>
                </c:pt>
                <c:pt idx="8">
                  <c:v>7202</c:v>
                </c:pt>
                <c:pt idx="9">
                  <c:v>6899</c:v>
                </c:pt>
                <c:pt idx="10">
                  <c:v>7756</c:v>
                </c:pt>
                <c:pt idx="11">
                  <c:v>6903</c:v>
                </c:pt>
                <c:pt idx="12">
                  <c:v>8244</c:v>
                </c:pt>
              </c:numCache>
              <c:extLst/>
            </c:numRef>
          </c:val>
          <c:smooth val="1"/>
          <c:extLst>
            <c:ext xmlns:c16="http://schemas.microsoft.com/office/drawing/2014/chart" uri="{C3380CC4-5D6E-409C-BE32-E72D297353CC}">
              <c16:uniqueId val="{00000000-1460-46D0-AF2B-401CC16E8D4E}"/>
            </c:ext>
          </c:extLst>
        </c:ser>
        <c:ser>
          <c:idx val="1"/>
          <c:order val="1"/>
          <c:tx>
            <c:v>Egresados</c:v>
          </c:tx>
          <c:spPr>
            <a:ln w="28575" cap="rnd">
              <a:solidFill>
                <a:schemeClr val="accent3">
                  <a:lumMod val="75000"/>
                  <a:alpha val="99000"/>
                </a:schemeClr>
              </a:solidFill>
              <a:round/>
            </a:ln>
            <a:effectLst/>
          </c:spPr>
          <c:marker>
            <c:symbol val="circle"/>
            <c:size val="3"/>
            <c:spPr>
              <a:solidFill>
                <a:schemeClr val="accent3">
                  <a:lumMod val="75000"/>
                </a:schemeClr>
              </a:solidFill>
              <a:ln w="9525">
                <a:solidFill>
                  <a:schemeClr val="accent3">
                    <a:lumMod val="75000"/>
                  </a:schemeClr>
                </a:solidFill>
              </a:ln>
              <a:effectLst/>
            </c:spPr>
          </c:marker>
          <c:cat>
            <c:strRef>
              <c:f>'gráfico evolución2012-2024'!$A$2:$A$14</c:f>
              <c:strCach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strCache>
              <c:extLst/>
            </c:strRef>
          </c:cat>
          <c:val>
            <c:numRef>
              <c:f>'gráfico evolución2012-2024'!$C$2:$C$14</c:f>
              <c:numCache>
                <c:formatCode>#;\-#</c:formatCode>
                <c:ptCount val="13"/>
                <c:pt idx="0">
                  <c:v>1145</c:v>
                </c:pt>
                <c:pt idx="1">
                  <c:v>1160</c:v>
                </c:pt>
                <c:pt idx="2">
                  <c:v>1364</c:v>
                </c:pt>
                <c:pt idx="3">
                  <c:v>1207</c:v>
                </c:pt>
                <c:pt idx="4">
                  <c:v>1276</c:v>
                </c:pt>
                <c:pt idx="5">
                  <c:v>1132</c:v>
                </c:pt>
                <c:pt idx="6">
                  <c:v>1053</c:v>
                </c:pt>
                <c:pt idx="7">
                  <c:v>1216</c:v>
                </c:pt>
                <c:pt idx="8">
                  <c:v>866</c:v>
                </c:pt>
                <c:pt idx="9">
                  <c:v>1577</c:v>
                </c:pt>
                <c:pt idx="10">
                  <c:v>1379</c:v>
                </c:pt>
                <c:pt idx="11">
                  <c:v>1286</c:v>
                </c:pt>
                <c:pt idx="12">
                  <c:v>1237</c:v>
                </c:pt>
              </c:numCache>
              <c:extLst/>
            </c:numRef>
          </c:val>
          <c:smooth val="1"/>
          <c:extLst>
            <c:ext xmlns:c16="http://schemas.microsoft.com/office/drawing/2014/chart" uri="{C3380CC4-5D6E-409C-BE32-E72D297353CC}">
              <c16:uniqueId val="{00000001-1460-46D0-AF2B-401CC16E8D4E}"/>
            </c:ext>
          </c:extLst>
        </c:ser>
        <c:dLbls>
          <c:showLegendKey val="0"/>
          <c:showVal val="0"/>
          <c:showCatName val="0"/>
          <c:showSerName val="0"/>
          <c:showPercent val="0"/>
          <c:showBubbleSize val="0"/>
        </c:dLbls>
        <c:marker val="1"/>
        <c:smooth val="0"/>
        <c:axId val="1578139024"/>
        <c:axId val="1578139504"/>
      </c:lineChart>
      <c:catAx>
        <c:axId val="157813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78139504"/>
        <c:crosses val="autoZero"/>
        <c:auto val="1"/>
        <c:lblAlgn val="ctr"/>
        <c:lblOffset val="100"/>
        <c:noMultiLvlLbl val="0"/>
      </c:catAx>
      <c:valAx>
        <c:axId val="1578139504"/>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78139024"/>
        <c:crosses val="autoZero"/>
        <c:crossBetween val="between"/>
      </c:valAx>
      <c:spPr>
        <a:noFill/>
        <a:ln>
          <a:noFill/>
        </a:ln>
        <a:effectLst/>
      </c:spPr>
    </c:plotArea>
    <c:legend>
      <c:legendPos val="r"/>
      <c:layout>
        <c:manualLayout>
          <c:xMode val="edge"/>
          <c:yMode val="edge"/>
          <c:x val="0.29807779201635543"/>
          <c:y val="0.86662382833030993"/>
          <c:w val="0.43866823208716971"/>
          <c:h val="0.133137026510739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Evolución número de cargos docentes UUNN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Hoja1!$B$3</c:f>
              <c:strCache>
                <c:ptCount val="1"/>
                <c:pt idx="0">
                  <c:v>Docentes</c:v>
                </c:pt>
              </c:strCache>
            </c:strRef>
          </c:tx>
          <c:spPr>
            <a:ln w="19050" cap="rnd">
              <a:solidFill>
                <a:schemeClr val="accent1"/>
              </a:solidFill>
              <a:round/>
            </a:ln>
            <a:effectLst/>
          </c:spPr>
          <c:marker>
            <c:symbol val="circle"/>
            <c:size val="3"/>
            <c:spPr>
              <a:solidFill>
                <a:schemeClr val="accent1"/>
              </a:solidFill>
              <a:ln w="9525">
                <a:solidFill>
                  <a:schemeClr val="accent1"/>
                </a:solidFill>
              </a:ln>
              <a:effectLst/>
            </c:spPr>
          </c:marker>
          <c:xVal>
            <c:numRef>
              <c:f>Hoja1!$A$4:$A$15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xVal>
          <c:yVal>
            <c:numRef>
              <c:f>Hoja1!$B$4:$B$15</c:f>
              <c:numCache>
                <c:formatCode>General</c:formatCode>
                <c:ptCount val="12"/>
                <c:pt idx="0">
                  <c:v>159927</c:v>
                </c:pt>
                <c:pt idx="1">
                  <c:v>162843</c:v>
                </c:pt>
                <c:pt idx="2">
                  <c:v>166671</c:v>
                </c:pt>
                <c:pt idx="3">
                  <c:v>171943</c:v>
                </c:pt>
                <c:pt idx="4">
                  <c:v>176748</c:v>
                </c:pt>
                <c:pt idx="5">
                  <c:v>182044</c:v>
                </c:pt>
                <c:pt idx="6">
                  <c:v>186558</c:v>
                </c:pt>
                <c:pt idx="7">
                  <c:v>191976</c:v>
                </c:pt>
                <c:pt idx="8">
                  <c:v>196551</c:v>
                </c:pt>
                <c:pt idx="9">
                  <c:v>201135</c:v>
                </c:pt>
                <c:pt idx="10">
                  <c:v>206552</c:v>
                </c:pt>
                <c:pt idx="11">
                  <c:v>213857</c:v>
                </c:pt>
              </c:numCache>
            </c:numRef>
          </c:yVal>
          <c:smooth val="1"/>
          <c:extLst>
            <c:ext xmlns:c16="http://schemas.microsoft.com/office/drawing/2014/chart" uri="{C3380CC4-5D6E-409C-BE32-E72D297353CC}">
              <c16:uniqueId val="{00000000-7A5A-40F0-B4AD-9C4B12D9651F}"/>
            </c:ext>
          </c:extLst>
        </c:ser>
        <c:dLbls>
          <c:showLegendKey val="0"/>
          <c:showVal val="0"/>
          <c:showCatName val="0"/>
          <c:showSerName val="0"/>
          <c:showPercent val="0"/>
          <c:showBubbleSize val="0"/>
        </c:dLbls>
        <c:axId val="1111235119"/>
        <c:axId val="1111238479"/>
      </c:scatterChart>
      <c:valAx>
        <c:axId val="1111235119"/>
        <c:scaling>
          <c:orientation val="minMax"/>
          <c:min val="20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1238479"/>
        <c:crosses val="autoZero"/>
        <c:crossBetween val="midCat"/>
      </c:valAx>
      <c:valAx>
        <c:axId val="1111238479"/>
        <c:scaling>
          <c:orientation val="minMax"/>
          <c:min val="15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1235119"/>
        <c:crossesAt val="2010"/>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Evolución Dedicaciones docentes en la UUNN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'Evol. por dedicación UUNN'!$A$4</c:f>
              <c:strCache>
                <c:ptCount val="1"/>
                <c:pt idx="0">
                  <c:v>Ded. Excl. </c:v>
                </c:pt>
              </c:strCache>
            </c:strRef>
          </c:tx>
          <c:spPr>
            <a:ln w="28575" cap="rnd">
              <a:solidFill>
                <a:schemeClr val="accent1"/>
              </a:solidFill>
              <a:round/>
            </a:ln>
            <a:effectLst/>
          </c:spPr>
          <c:marker>
            <c:symbol val="circle"/>
            <c:size val="4"/>
            <c:spPr>
              <a:solidFill>
                <a:schemeClr val="accent1"/>
              </a:solidFill>
              <a:ln w="9525">
                <a:solidFill>
                  <a:schemeClr val="accent1"/>
                </a:solidFill>
              </a:ln>
              <a:effectLst/>
            </c:spPr>
          </c:marker>
          <c:cat>
            <c:numRef>
              <c:f>'Evol. por dedicación UUNN'!$B$3:$M$3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'Evol. por dedicación UUNN'!$B$4:$M$4</c:f>
              <c:numCache>
                <c:formatCode>_ * #,##0_ ;_ * \-#,##0_ ;_ * "-"??_ ;_ @_ </c:formatCode>
                <c:ptCount val="12"/>
                <c:pt idx="0">
                  <c:v>20638</c:v>
                </c:pt>
                <c:pt idx="1">
                  <c:v>20677</c:v>
                </c:pt>
                <c:pt idx="2">
                  <c:v>20931</c:v>
                </c:pt>
                <c:pt idx="3">
                  <c:v>21144</c:v>
                </c:pt>
                <c:pt idx="4">
                  <c:v>21398</c:v>
                </c:pt>
                <c:pt idx="5">
                  <c:v>21332</c:v>
                </c:pt>
                <c:pt idx="6">
                  <c:v>21676</c:v>
                </c:pt>
                <c:pt idx="7">
                  <c:v>21898</c:v>
                </c:pt>
                <c:pt idx="8">
                  <c:v>21864</c:v>
                </c:pt>
                <c:pt idx="9">
                  <c:v>21861</c:v>
                </c:pt>
                <c:pt idx="10">
                  <c:v>21931</c:v>
                </c:pt>
                <c:pt idx="11">
                  <c:v>22091</c:v>
                </c:pt>
              </c:numCache>
            </c:numRef>
          </c:val>
          <c:smooth val="0"/>
          <c:extLst>
            <c:ext xmlns:c16="http://schemas.microsoft.com/office/drawing/2014/chart" uri="{C3380CC4-5D6E-409C-BE32-E72D297353CC}">
              <c16:uniqueId val="{00000000-80E8-49CD-A6AB-471AC3584389}"/>
            </c:ext>
          </c:extLst>
        </c:ser>
        <c:ser>
          <c:idx val="1"/>
          <c:order val="1"/>
          <c:tx>
            <c:strRef>
              <c:f>'Evol. por dedicación UUNN'!$A$5</c:f>
              <c:strCache>
                <c:ptCount val="1"/>
                <c:pt idx="0">
                  <c:v>Ded. Semi</c:v>
                </c:pt>
              </c:strCache>
            </c:strRef>
          </c:tx>
          <c:spPr>
            <a:ln w="28575" cap="rnd">
              <a:solidFill>
                <a:schemeClr val="accent2"/>
              </a:solidFill>
              <a:round/>
            </a:ln>
            <a:effectLst/>
          </c:spPr>
          <c:marker>
            <c:symbol val="circle"/>
            <c:size val="4"/>
            <c:spPr>
              <a:solidFill>
                <a:schemeClr val="accent2"/>
              </a:solidFill>
              <a:ln w="9525">
                <a:solidFill>
                  <a:schemeClr val="accent2"/>
                </a:solidFill>
              </a:ln>
              <a:effectLst/>
            </c:spPr>
          </c:marker>
          <c:cat>
            <c:numRef>
              <c:f>'Evol. por dedicación UUNN'!$B$3:$M$3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'Evol. por dedicación UUNN'!$B$5:$M$5</c:f>
              <c:numCache>
                <c:formatCode>_ * #,##0_ ;_ * \-#,##0_ ;_ * "-"??_ ;_ @_ </c:formatCode>
                <c:ptCount val="12"/>
                <c:pt idx="0">
                  <c:v>30737</c:v>
                </c:pt>
                <c:pt idx="1">
                  <c:v>31386</c:v>
                </c:pt>
                <c:pt idx="2">
                  <c:v>32028</c:v>
                </c:pt>
                <c:pt idx="3">
                  <c:v>33172</c:v>
                </c:pt>
                <c:pt idx="4">
                  <c:v>34088</c:v>
                </c:pt>
                <c:pt idx="5">
                  <c:v>34902</c:v>
                </c:pt>
                <c:pt idx="6">
                  <c:v>35352</c:v>
                </c:pt>
                <c:pt idx="7">
                  <c:v>35863</c:v>
                </c:pt>
                <c:pt idx="8">
                  <c:v>36102</c:v>
                </c:pt>
                <c:pt idx="9">
                  <c:v>36668</c:v>
                </c:pt>
                <c:pt idx="10">
                  <c:v>37189</c:v>
                </c:pt>
                <c:pt idx="11">
                  <c:v>38442</c:v>
                </c:pt>
              </c:numCache>
            </c:numRef>
          </c:val>
          <c:smooth val="0"/>
          <c:extLst>
            <c:ext xmlns:c16="http://schemas.microsoft.com/office/drawing/2014/chart" uri="{C3380CC4-5D6E-409C-BE32-E72D297353CC}">
              <c16:uniqueId val="{00000001-80E8-49CD-A6AB-471AC3584389}"/>
            </c:ext>
          </c:extLst>
        </c:ser>
        <c:ser>
          <c:idx val="2"/>
          <c:order val="2"/>
          <c:tx>
            <c:strRef>
              <c:f>'Evol. por dedicación UUNN'!$A$6</c:f>
              <c:strCache>
                <c:ptCount val="1"/>
                <c:pt idx="0">
                  <c:v>Ded. Simple</c:v>
                </c:pt>
              </c:strCache>
            </c:strRef>
          </c:tx>
          <c:spPr>
            <a:ln w="28575" cap="rnd">
              <a:solidFill>
                <a:schemeClr val="accent3"/>
              </a:solidFill>
              <a:round/>
            </a:ln>
            <a:effectLst/>
          </c:spPr>
          <c:marker>
            <c:symbol val="circle"/>
            <c:size val="4"/>
            <c:spPr>
              <a:solidFill>
                <a:schemeClr val="accent3"/>
              </a:solidFill>
              <a:ln w="9525">
                <a:solidFill>
                  <a:schemeClr val="accent3"/>
                </a:solidFill>
              </a:ln>
              <a:effectLst/>
            </c:spPr>
          </c:marker>
          <c:cat>
            <c:numRef>
              <c:f>'Evol. por dedicación UUNN'!$B$3:$M$3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'Evol. por dedicación UUNN'!$B$6:$M$6</c:f>
              <c:numCache>
                <c:formatCode>_ * #,##0_ ;_ * \-#,##0_ ;_ * "-"??_ ;_ @_ </c:formatCode>
                <c:ptCount val="12"/>
                <c:pt idx="0">
                  <c:v>106158</c:v>
                </c:pt>
                <c:pt idx="1">
                  <c:v>108264</c:v>
                </c:pt>
                <c:pt idx="2">
                  <c:v>111060</c:v>
                </c:pt>
                <c:pt idx="3">
                  <c:v>117627</c:v>
                </c:pt>
                <c:pt idx="4">
                  <c:v>121262</c:v>
                </c:pt>
                <c:pt idx="5">
                  <c:v>125810</c:v>
                </c:pt>
                <c:pt idx="6">
                  <c:v>129530</c:v>
                </c:pt>
                <c:pt idx="7">
                  <c:v>134215</c:v>
                </c:pt>
                <c:pt idx="8">
                  <c:v>138585</c:v>
                </c:pt>
                <c:pt idx="9">
                  <c:v>142623</c:v>
                </c:pt>
                <c:pt idx="10">
                  <c:v>147432</c:v>
                </c:pt>
                <c:pt idx="11">
                  <c:v>153324</c:v>
                </c:pt>
              </c:numCache>
            </c:numRef>
          </c:val>
          <c:smooth val="1"/>
          <c:extLst>
            <c:ext xmlns:c16="http://schemas.microsoft.com/office/drawing/2014/chart" uri="{C3380CC4-5D6E-409C-BE32-E72D297353CC}">
              <c16:uniqueId val="{00000002-80E8-49CD-A6AB-471AC3584389}"/>
            </c:ext>
          </c:extLst>
        </c:ser>
        <c:dLbls>
          <c:showLegendKey val="0"/>
          <c:showVal val="0"/>
          <c:showCatName val="0"/>
          <c:showSerName val="0"/>
          <c:showPercent val="0"/>
          <c:showBubbleSize val="0"/>
        </c:dLbls>
        <c:marker val="1"/>
        <c:smooth val="0"/>
        <c:axId val="525071808"/>
        <c:axId val="525077088"/>
      </c:lineChart>
      <c:catAx>
        <c:axId val="52507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5077088"/>
        <c:crosses val="autoZero"/>
        <c:auto val="1"/>
        <c:lblAlgn val="ctr"/>
        <c:lblOffset val="100"/>
        <c:noMultiLvlLbl val="0"/>
      </c:catAx>
      <c:valAx>
        <c:axId val="525077088"/>
        <c:scaling>
          <c:orientation val="minMax"/>
        </c:scaling>
        <c:delete val="0"/>
        <c:axPos val="l"/>
        <c:majorGridlines>
          <c:spPr>
            <a:ln w="9525" cap="flat" cmpd="sng" algn="ctr">
              <a:solidFill>
                <a:schemeClr val="tx1">
                  <a:lumMod val="15000"/>
                  <a:lumOff val="85000"/>
                </a:schemeClr>
              </a:solidFill>
              <a:round/>
            </a:ln>
            <a:effectLst/>
          </c:spPr>
        </c:majorGridlines>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507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Evolución</a:t>
            </a:r>
            <a:r>
              <a:rPr lang="en-US" sz="1100" baseline="0">
                <a:latin typeface="Times New Roman" panose="02020603050405020304" pitchFamily="18" charset="0"/>
                <a:cs typeface="Times New Roman" panose="02020603050405020304" pitchFamily="18" charset="0"/>
              </a:rPr>
              <a:t> cargos</a:t>
            </a:r>
            <a:r>
              <a:rPr lang="en-US" sz="1100">
                <a:latin typeface="Times New Roman" panose="02020603050405020304" pitchFamily="18" charset="0"/>
                <a:cs typeface="Times New Roman" panose="02020603050405020304" pitchFamily="18" charset="0"/>
              </a:rPr>
              <a:t> docentes UNS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Hoja1!$B$1</c:f>
              <c:strCache>
                <c:ptCount val="1"/>
                <c:pt idx="0">
                  <c:v>Total docentes</c:v>
                </c:pt>
              </c:strCache>
            </c:strRef>
          </c:tx>
          <c:spPr>
            <a:ln w="19050" cap="rnd">
              <a:solidFill>
                <a:schemeClr val="accent1"/>
              </a:solidFill>
              <a:round/>
            </a:ln>
            <a:effectLst/>
          </c:spPr>
          <c:marker>
            <c:symbol val="circle"/>
            <c:size val="3"/>
            <c:spPr>
              <a:solidFill>
                <a:schemeClr val="accent1"/>
              </a:solidFill>
              <a:ln w="9525">
                <a:solidFill>
                  <a:schemeClr val="accent1"/>
                </a:solidFill>
              </a:ln>
              <a:effectLst/>
            </c:spPr>
          </c:marker>
          <c:xVal>
            <c:numRef>
              <c:f>Hoja1!$A$2:$A$14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Hoja1!$B$2:$B$14</c:f>
              <c:numCache>
                <c:formatCode>General</c:formatCode>
                <c:ptCount val="13"/>
                <c:pt idx="0">
                  <c:v>2994</c:v>
                </c:pt>
                <c:pt idx="1">
                  <c:v>2825</c:v>
                </c:pt>
                <c:pt idx="2">
                  <c:v>2792</c:v>
                </c:pt>
                <c:pt idx="3">
                  <c:v>2850</c:v>
                </c:pt>
                <c:pt idx="4">
                  <c:v>2935</c:v>
                </c:pt>
                <c:pt idx="5">
                  <c:v>3011</c:v>
                </c:pt>
                <c:pt idx="6">
                  <c:v>3099</c:v>
                </c:pt>
                <c:pt idx="7">
                  <c:v>3331</c:v>
                </c:pt>
                <c:pt idx="8">
                  <c:v>3272</c:v>
                </c:pt>
                <c:pt idx="9">
                  <c:v>3315</c:v>
                </c:pt>
                <c:pt idx="10">
                  <c:v>3285</c:v>
                </c:pt>
                <c:pt idx="11">
                  <c:v>3331</c:v>
                </c:pt>
                <c:pt idx="12">
                  <c:v>3316</c:v>
                </c:pt>
              </c:numCache>
            </c:numRef>
          </c:yVal>
          <c:smooth val="1"/>
          <c:extLst>
            <c:ext xmlns:c16="http://schemas.microsoft.com/office/drawing/2014/chart" uri="{C3380CC4-5D6E-409C-BE32-E72D297353CC}">
              <c16:uniqueId val="{00000000-9C85-4941-BA94-7AFE5A89AED4}"/>
            </c:ext>
          </c:extLst>
        </c:ser>
        <c:dLbls>
          <c:showLegendKey val="0"/>
          <c:showVal val="0"/>
          <c:showCatName val="0"/>
          <c:showSerName val="0"/>
          <c:showPercent val="0"/>
          <c:showBubbleSize val="0"/>
        </c:dLbls>
        <c:axId val="578002463"/>
        <c:axId val="578005343"/>
      </c:scatterChart>
      <c:valAx>
        <c:axId val="578002463"/>
        <c:scaling>
          <c:orientation val="minMax"/>
          <c:max val="2024"/>
          <c:min val="201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8005343"/>
        <c:crosses val="autoZero"/>
        <c:crossBetween val="midCat"/>
      </c:valAx>
      <c:valAx>
        <c:axId val="578005343"/>
        <c:scaling>
          <c:orientation val="minMax"/>
          <c:max val="3500"/>
          <c:min val="2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800246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Evolución dedicaciones docentes</a:t>
            </a:r>
            <a:r>
              <a:rPr lang="en-US" sz="1050" baseline="0">
                <a:latin typeface="Times New Roman" panose="02020603050405020304" pitchFamily="18" charset="0"/>
                <a:cs typeface="Times New Roman" panose="02020603050405020304" pitchFamily="18" charset="0"/>
              </a:rPr>
              <a:t> UNS</a:t>
            </a:r>
            <a:endParaRPr lang="en-US" sz="105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Hoja1!$H$1</c:f>
              <c:strCache>
                <c:ptCount val="1"/>
                <c:pt idx="0">
                  <c:v>Exclusiva</c:v>
                </c:pt>
              </c:strCache>
            </c:strRef>
          </c:tx>
          <c:spPr>
            <a:ln w="28575" cap="rnd">
              <a:solidFill>
                <a:schemeClr val="accent1"/>
              </a:solidFill>
              <a:round/>
            </a:ln>
            <a:effectLst/>
          </c:spPr>
          <c:marker>
            <c:symbol val="circle"/>
            <c:size val="3"/>
            <c:spPr>
              <a:solidFill>
                <a:schemeClr val="accent1"/>
              </a:solidFill>
              <a:ln w="9525">
                <a:solidFill>
                  <a:schemeClr val="accent1"/>
                </a:solidFill>
              </a:ln>
              <a:effectLst/>
            </c:spPr>
          </c:marker>
          <c:cat>
            <c:numRef>
              <c:f>Hoja1!$G$2:$G$14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Hoja1!$H$2:$H$14</c:f>
              <c:numCache>
                <c:formatCode>General</c:formatCode>
                <c:ptCount val="13"/>
                <c:pt idx="0">
                  <c:v>648</c:v>
                </c:pt>
                <c:pt idx="1">
                  <c:v>656</c:v>
                </c:pt>
                <c:pt idx="2">
                  <c:v>643</c:v>
                </c:pt>
                <c:pt idx="3">
                  <c:v>646</c:v>
                </c:pt>
                <c:pt idx="4">
                  <c:v>640</c:v>
                </c:pt>
                <c:pt idx="5">
                  <c:v>639</c:v>
                </c:pt>
                <c:pt idx="6">
                  <c:v>651</c:v>
                </c:pt>
                <c:pt idx="7">
                  <c:v>628</c:v>
                </c:pt>
                <c:pt idx="8">
                  <c:v>626</c:v>
                </c:pt>
                <c:pt idx="9">
                  <c:v>625</c:v>
                </c:pt>
                <c:pt idx="10">
                  <c:v>618</c:v>
                </c:pt>
                <c:pt idx="11">
                  <c:v>604</c:v>
                </c:pt>
                <c:pt idx="12">
                  <c:v>602</c:v>
                </c:pt>
              </c:numCache>
            </c:numRef>
          </c:val>
          <c:smooth val="1"/>
          <c:extLst>
            <c:ext xmlns:c16="http://schemas.microsoft.com/office/drawing/2014/chart" uri="{C3380CC4-5D6E-409C-BE32-E72D297353CC}">
              <c16:uniqueId val="{00000000-0AFA-4C05-9DE5-60925057C05C}"/>
            </c:ext>
          </c:extLst>
        </c:ser>
        <c:ser>
          <c:idx val="1"/>
          <c:order val="1"/>
          <c:tx>
            <c:strRef>
              <c:f>Hoja1!$I$1</c:f>
              <c:strCache>
                <c:ptCount val="1"/>
                <c:pt idx="0">
                  <c:v>Semi</c:v>
                </c:pt>
              </c:strCache>
            </c:strRef>
          </c:tx>
          <c:spPr>
            <a:ln w="28575" cap="rnd">
              <a:solidFill>
                <a:schemeClr val="accent2"/>
              </a:solidFill>
              <a:round/>
            </a:ln>
            <a:effectLst/>
          </c:spPr>
          <c:marker>
            <c:symbol val="circle"/>
            <c:size val="3"/>
            <c:spPr>
              <a:solidFill>
                <a:schemeClr val="accent2"/>
              </a:solidFill>
              <a:ln w="9525">
                <a:solidFill>
                  <a:schemeClr val="accent2"/>
                </a:solidFill>
              </a:ln>
              <a:effectLst/>
            </c:spPr>
          </c:marker>
          <c:cat>
            <c:numRef>
              <c:f>Hoja1!$G$2:$G$14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Hoja1!$I$2:$I$14</c:f>
              <c:numCache>
                <c:formatCode>General</c:formatCode>
                <c:ptCount val="13"/>
                <c:pt idx="0">
                  <c:v>299</c:v>
                </c:pt>
                <c:pt idx="1">
                  <c:v>292</c:v>
                </c:pt>
                <c:pt idx="2">
                  <c:v>291</c:v>
                </c:pt>
                <c:pt idx="3">
                  <c:v>314</c:v>
                </c:pt>
                <c:pt idx="4">
                  <c:v>309</c:v>
                </c:pt>
                <c:pt idx="5">
                  <c:v>321</c:v>
                </c:pt>
                <c:pt idx="6">
                  <c:v>327</c:v>
                </c:pt>
                <c:pt idx="7">
                  <c:v>316</c:v>
                </c:pt>
                <c:pt idx="8">
                  <c:v>339</c:v>
                </c:pt>
                <c:pt idx="9">
                  <c:v>342</c:v>
                </c:pt>
                <c:pt idx="10">
                  <c:v>347</c:v>
                </c:pt>
                <c:pt idx="11">
                  <c:v>339</c:v>
                </c:pt>
                <c:pt idx="12">
                  <c:v>350</c:v>
                </c:pt>
              </c:numCache>
            </c:numRef>
          </c:val>
          <c:smooth val="1"/>
          <c:extLst>
            <c:ext xmlns:c16="http://schemas.microsoft.com/office/drawing/2014/chart" uri="{C3380CC4-5D6E-409C-BE32-E72D297353CC}">
              <c16:uniqueId val="{00000001-0AFA-4C05-9DE5-60925057C05C}"/>
            </c:ext>
          </c:extLst>
        </c:ser>
        <c:ser>
          <c:idx val="2"/>
          <c:order val="2"/>
          <c:tx>
            <c:strRef>
              <c:f>Hoja1!$J$1</c:f>
              <c:strCache>
                <c:ptCount val="1"/>
                <c:pt idx="0">
                  <c:v>Simple</c:v>
                </c:pt>
              </c:strCache>
            </c:strRef>
          </c:tx>
          <c:spPr>
            <a:ln w="28575" cap="rnd">
              <a:solidFill>
                <a:schemeClr val="accent3"/>
              </a:solidFill>
              <a:round/>
            </a:ln>
            <a:effectLst/>
          </c:spPr>
          <c:marker>
            <c:symbol val="circle"/>
            <c:size val="3"/>
            <c:spPr>
              <a:solidFill>
                <a:schemeClr val="accent3"/>
              </a:solidFill>
              <a:ln w="9525">
                <a:solidFill>
                  <a:schemeClr val="accent3"/>
                </a:solidFill>
              </a:ln>
              <a:effectLst/>
            </c:spPr>
          </c:marker>
          <c:cat>
            <c:numRef>
              <c:f>Hoja1!$G$2:$G$14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Hoja1!$J$2:$J$14</c:f>
              <c:numCache>
                <c:formatCode>General</c:formatCode>
                <c:ptCount val="13"/>
                <c:pt idx="0">
                  <c:v>2047</c:v>
                </c:pt>
                <c:pt idx="1">
                  <c:v>1877</c:v>
                </c:pt>
                <c:pt idx="2">
                  <c:v>1858</c:v>
                </c:pt>
                <c:pt idx="3">
                  <c:v>1890</c:v>
                </c:pt>
                <c:pt idx="4">
                  <c:v>1986</c:v>
                </c:pt>
                <c:pt idx="5">
                  <c:v>2051</c:v>
                </c:pt>
                <c:pt idx="6">
                  <c:v>2121</c:v>
                </c:pt>
                <c:pt idx="7">
                  <c:v>2387</c:v>
                </c:pt>
                <c:pt idx="8">
                  <c:v>2307</c:v>
                </c:pt>
                <c:pt idx="9">
                  <c:v>2348</c:v>
                </c:pt>
                <c:pt idx="10">
                  <c:v>2320</c:v>
                </c:pt>
                <c:pt idx="11">
                  <c:v>2388</c:v>
                </c:pt>
                <c:pt idx="12">
                  <c:v>2364</c:v>
                </c:pt>
              </c:numCache>
            </c:numRef>
          </c:val>
          <c:smooth val="1"/>
          <c:extLst>
            <c:ext xmlns:c16="http://schemas.microsoft.com/office/drawing/2014/chart" uri="{C3380CC4-5D6E-409C-BE32-E72D297353CC}">
              <c16:uniqueId val="{00000002-0AFA-4C05-9DE5-60925057C05C}"/>
            </c:ext>
          </c:extLst>
        </c:ser>
        <c:dLbls>
          <c:showLegendKey val="0"/>
          <c:showVal val="0"/>
          <c:showCatName val="0"/>
          <c:showSerName val="0"/>
          <c:showPercent val="0"/>
          <c:showBubbleSize val="0"/>
        </c:dLbls>
        <c:marker val="1"/>
        <c:smooth val="0"/>
        <c:axId val="910205392"/>
        <c:axId val="910213552"/>
      </c:lineChart>
      <c:catAx>
        <c:axId val="91020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0213552"/>
        <c:crosses val="autoZero"/>
        <c:auto val="1"/>
        <c:lblAlgn val="ctr"/>
        <c:lblOffset val="100"/>
        <c:noMultiLvlLbl val="0"/>
      </c:catAx>
      <c:valAx>
        <c:axId val="91021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020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16007945150016E-2"/>
          <c:y val="5.4732041049030788E-2"/>
          <c:w val="0.90290720261774093"/>
          <c:h val="0.75211538924606913"/>
        </c:manualLayout>
      </c:layout>
      <c:barChart>
        <c:barDir val="col"/>
        <c:grouping val="clustered"/>
        <c:varyColors val="0"/>
        <c:ser>
          <c:idx val="0"/>
          <c:order val="0"/>
          <c:tx>
            <c:strRef>
              <c:f>'dpto servicio'!$E$2</c:f>
              <c:strCache>
                <c:ptCount val="1"/>
                <c:pt idx="0">
                  <c:v>Nºcarreras que ofrece materias</c:v>
                </c:pt>
              </c:strCache>
            </c:strRef>
          </c:tx>
          <c:spPr>
            <a:solidFill>
              <a:schemeClr val="accent1"/>
            </a:solidFill>
            <a:ln>
              <a:noFill/>
            </a:ln>
            <a:effectLst/>
          </c:spPr>
          <c:invertIfNegative val="0"/>
          <c:cat>
            <c:strRef>
              <c:f>'dpto servicio'!$C$3:$C$19</c:f>
              <c:strCache>
                <c:ptCount val="17"/>
                <c:pt idx="0">
                  <c:v>Agron.</c:v>
                </c:pt>
                <c:pt idx="1">
                  <c:v>BBF</c:v>
                </c:pt>
                <c:pt idx="2">
                  <c:v>Adm.</c:v>
                </c:pt>
                <c:pt idx="3">
                  <c:v>Educ.</c:v>
                </c:pt>
                <c:pt idx="4">
                  <c:v>Salud</c:v>
                </c:pt>
                <c:pt idx="5">
                  <c:v>Comp.</c:v>
                </c:pt>
                <c:pt idx="6">
                  <c:v>Der.</c:v>
                </c:pt>
                <c:pt idx="7">
                  <c:v>Ec.</c:v>
                </c:pt>
                <c:pt idx="8">
                  <c:v>Fís.</c:v>
                </c:pt>
                <c:pt idx="9">
                  <c:v>GyT</c:v>
                </c:pt>
                <c:pt idx="10">
                  <c:v>Geol.</c:v>
                </c:pt>
                <c:pt idx="11">
                  <c:v>Hum.</c:v>
                </c:pt>
                <c:pt idx="12">
                  <c:v>Ing.</c:v>
                </c:pt>
                <c:pt idx="13">
                  <c:v>Ing.Elect.</c:v>
                </c:pt>
                <c:pt idx="14">
                  <c:v>Ing.Quím.</c:v>
                </c:pt>
                <c:pt idx="15">
                  <c:v>Matemática</c:v>
                </c:pt>
                <c:pt idx="16">
                  <c:v>Quím.</c:v>
                </c:pt>
              </c:strCache>
            </c:strRef>
          </c:cat>
          <c:val>
            <c:numRef>
              <c:f>'dpto servicio'!$E$3:$E$19</c:f>
              <c:numCache>
                <c:formatCode>General</c:formatCode>
                <c:ptCount val="17"/>
                <c:pt idx="0">
                  <c:v>1</c:v>
                </c:pt>
                <c:pt idx="1">
                  <c:v>4</c:v>
                </c:pt>
                <c:pt idx="2">
                  <c:v>5</c:v>
                </c:pt>
                <c:pt idx="3">
                  <c:v>7</c:v>
                </c:pt>
                <c:pt idx="4">
                  <c:v>3</c:v>
                </c:pt>
                <c:pt idx="5">
                  <c:v>6</c:v>
                </c:pt>
                <c:pt idx="6">
                  <c:v>4</c:v>
                </c:pt>
                <c:pt idx="7">
                  <c:v>6</c:v>
                </c:pt>
                <c:pt idx="8">
                  <c:v>14</c:v>
                </c:pt>
                <c:pt idx="9">
                  <c:v>6</c:v>
                </c:pt>
                <c:pt idx="10">
                  <c:v>7</c:v>
                </c:pt>
                <c:pt idx="11">
                  <c:v>14</c:v>
                </c:pt>
                <c:pt idx="12">
                  <c:v>9</c:v>
                </c:pt>
                <c:pt idx="13">
                  <c:v>2</c:v>
                </c:pt>
                <c:pt idx="14">
                  <c:v>2</c:v>
                </c:pt>
                <c:pt idx="15">
                  <c:v>33</c:v>
                </c:pt>
                <c:pt idx="16">
                  <c:v>20</c:v>
                </c:pt>
              </c:numCache>
            </c:numRef>
          </c:val>
          <c:extLst>
            <c:ext xmlns:c16="http://schemas.microsoft.com/office/drawing/2014/chart" uri="{C3380CC4-5D6E-409C-BE32-E72D297353CC}">
              <c16:uniqueId val="{00000000-1BA0-46EF-9CFC-C4AE009DC244}"/>
            </c:ext>
          </c:extLst>
        </c:ser>
        <c:dLbls>
          <c:showLegendKey val="0"/>
          <c:showVal val="0"/>
          <c:showCatName val="0"/>
          <c:showSerName val="0"/>
          <c:showPercent val="0"/>
          <c:showBubbleSize val="0"/>
        </c:dLbls>
        <c:gapWidth val="219"/>
        <c:overlap val="-27"/>
        <c:axId val="708307199"/>
        <c:axId val="708306719"/>
      </c:barChart>
      <c:catAx>
        <c:axId val="708307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8306719"/>
        <c:crosses val="autoZero"/>
        <c:auto val="1"/>
        <c:lblAlgn val="ctr"/>
        <c:lblOffset val="100"/>
        <c:noMultiLvlLbl val="0"/>
      </c:catAx>
      <c:valAx>
        <c:axId val="708306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83071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Total de inscripciones</a:t>
            </a:r>
            <a:r>
              <a:rPr lang="en-US" sz="1100" baseline="0">
                <a:latin typeface="Times New Roman" panose="02020603050405020304" pitchFamily="18" charset="0"/>
                <a:cs typeface="Times New Roman" panose="02020603050405020304" pitchFamily="18" charset="0"/>
              </a:rPr>
              <a:t> estudiantiles por año del plan de estudios</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Hoja1!$B$1</c:f>
              <c:strCache>
                <c:ptCount val="1"/>
                <c:pt idx="0">
                  <c:v>Total</c:v>
                </c:pt>
              </c:strCache>
            </c:strRef>
          </c:tx>
          <c:spPr>
            <a:solidFill>
              <a:schemeClr val="accent1"/>
            </a:solidFill>
            <a:ln>
              <a:noFill/>
            </a:ln>
            <a:effectLst/>
          </c:spPr>
          <c:invertIfNegative val="0"/>
          <c:cat>
            <c:numRef>
              <c:f>Hoja1!$A$2:$A$6</c:f>
              <c:numCache>
                <c:formatCode>General</c:formatCode>
                <c:ptCount val="5"/>
                <c:pt idx="0">
                  <c:v>1</c:v>
                </c:pt>
                <c:pt idx="1">
                  <c:v>2</c:v>
                </c:pt>
                <c:pt idx="2">
                  <c:v>3</c:v>
                </c:pt>
                <c:pt idx="3">
                  <c:v>4</c:v>
                </c:pt>
                <c:pt idx="4">
                  <c:v>5</c:v>
                </c:pt>
              </c:numCache>
            </c:numRef>
          </c:cat>
          <c:val>
            <c:numRef>
              <c:f>Hoja1!$B$2:$B$6</c:f>
              <c:numCache>
                <c:formatCode>#,##0</c:formatCode>
                <c:ptCount val="5"/>
                <c:pt idx="0">
                  <c:v>33318</c:v>
                </c:pt>
                <c:pt idx="1">
                  <c:v>19127</c:v>
                </c:pt>
                <c:pt idx="2">
                  <c:v>12345</c:v>
                </c:pt>
                <c:pt idx="3">
                  <c:v>10640</c:v>
                </c:pt>
                <c:pt idx="4">
                  <c:v>5647</c:v>
                </c:pt>
              </c:numCache>
            </c:numRef>
          </c:val>
          <c:extLst>
            <c:ext xmlns:c16="http://schemas.microsoft.com/office/drawing/2014/chart" uri="{C3380CC4-5D6E-409C-BE32-E72D297353CC}">
              <c16:uniqueId val="{00000000-CB24-4013-8BE6-A1D33CB7BBB9}"/>
            </c:ext>
          </c:extLst>
        </c:ser>
        <c:dLbls>
          <c:showLegendKey val="0"/>
          <c:showVal val="0"/>
          <c:showCatName val="0"/>
          <c:showSerName val="0"/>
          <c:showPercent val="0"/>
          <c:showBubbleSize val="0"/>
        </c:dLbls>
        <c:gapWidth val="219"/>
        <c:overlap val="-27"/>
        <c:axId val="231662304"/>
        <c:axId val="231660864"/>
      </c:barChart>
      <c:catAx>
        <c:axId val="23166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1660864"/>
        <c:crosses val="autoZero"/>
        <c:auto val="1"/>
        <c:lblAlgn val="ctr"/>
        <c:lblOffset val="100"/>
        <c:noMultiLvlLbl val="0"/>
      </c:catAx>
      <c:valAx>
        <c:axId val="231660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166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1C'!$C$4:$C$13</c:f>
            </c:numRef>
          </c:val>
          <c:extLst>
            <c:ext xmlns:c16="http://schemas.microsoft.com/office/drawing/2014/chart" uri="{C3380CC4-5D6E-409C-BE32-E72D297353CC}">
              <c16:uniqueId val="{00000000-93E6-45F7-8BD3-6EE8A4376E9F}"/>
            </c:ext>
          </c:extLst>
        </c:ser>
        <c:ser>
          <c:idx val="1"/>
          <c:order val="1"/>
          <c:spPr>
            <a:solidFill>
              <a:schemeClr val="accent2"/>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1C'!$D$4:$D$13</c:f>
            </c:numRef>
          </c:val>
          <c:extLst>
            <c:ext xmlns:c16="http://schemas.microsoft.com/office/drawing/2014/chart" uri="{C3380CC4-5D6E-409C-BE32-E72D297353CC}">
              <c16:uniqueId val="{00000001-93E6-45F7-8BD3-6EE8A4376E9F}"/>
            </c:ext>
          </c:extLst>
        </c:ser>
        <c:ser>
          <c:idx val="2"/>
          <c:order val="2"/>
          <c:spPr>
            <a:solidFill>
              <a:schemeClr val="accent3"/>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1C'!$E$4:$E$13</c:f>
            </c:numRef>
          </c:val>
          <c:extLst>
            <c:ext xmlns:c16="http://schemas.microsoft.com/office/drawing/2014/chart" uri="{C3380CC4-5D6E-409C-BE32-E72D297353CC}">
              <c16:uniqueId val="{00000002-93E6-45F7-8BD3-6EE8A4376E9F}"/>
            </c:ext>
          </c:extLst>
        </c:ser>
        <c:ser>
          <c:idx val="3"/>
          <c:order val="3"/>
          <c:spPr>
            <a:solidFill>
              <a:schemeClr val="accent4"/>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1C'!$F$4:$F$13</c:f>
            </c:numRef>
          </c:val>
          <c:extLst>
            <c:ext xmlns:c16="http://schemas.microsoft.com/office/drawing/2014/chart" uri="{C3380CC4-5D6E-409C-BE32-E72D297353CC}">
              <c16:uniqueId val="{00000003-93E6-45F7-8BD3-6EE8A4376E9F}"/>
            </c:ext>
          </c:extLst>
        </c:ser>
        <c:ser>
          <c:idx val="4"/>
          <c:order val="4"/>
          <c:spPr>
            <a:solidFill>
              <a:schemeClr val="accent5"/>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1C'!$G$4:$G$13</c:f>
            </c:numRef>
          </c:val>
          <c:extLst>
            <c:ext xmlns:c16="http://schemas.microsoft.com/office/drawing/2014/chart" uri="{C3380CC4-5D6E-409C-BE32-E72D297353CC}">
              <c16:uniqueId val="{00000004-93E6-45F7-8BD3-6EE8A4376E9F}"/>
            </c:ext>
          </c:extLst>
        </c:ser>
        <c:ser>
          <c:idx val="5"/>
          <c:order val="5"/>
          <c:spPr>
            <a:solidFill>
              <a:schemeClr val="accent6"/>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1C'!$H$4:$H$13</c:f>
            </c:numRef>
          </c:val>
          <c:extLst>
            <c:ext xmlns:c16="http://schemas.microsoft.com/office/drawing/2014/chart" uri="{C3380CC4-5D6E-409C-BE32-E72D297353CC}">
              <c16:uniqueId val="{00000005-93E6-45F7-8BD3-6EE8A4376E9F}"/>
            </c:ext>
          </c:extLst>
        </c:ser>
        <c:ser>
          <c:idx val="6"/>
          <c:order val="6"/>
          <c:spPr>
            <a:solidFill>
              <a:schemeClr val="accent1">
                <a:lumMod val="60000"/>
              </a:schemeClr>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1C'!$I$4:$I$13</c:f>
            </c:numRef>
          </c:val>
          <c:extLst>
            <c:ext xmlns:c16="http://schemas.microsoft.com/office/drawing/2014/chart" uri="{C3380CC4-5D6E-409C-BE32-E72D297353CC}">
              <c16:uniqueId val="{00000006-93E6-45F7-8BD3-6EE8A4376E9F}"/>
            </c:ext>
          </c:extLst>
        </c:ser>
        <c:ser>
          <c:idx val="7"/>
          <c:order val="7"/>
          <c:spPr>
            <a:solidFill>
              <a:schemeClr val="accent2">
                <a:lumMod val="60000"/>
              </a:schemeClr>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1C'!$J$4:$J$13</c:f>
            </c:numRef>
          </c:val>
          <c:extLst>
            <c:ext xmlns:c16="http://schemas.microsoft.com/office/drawing/2014/chart" uri="{C3380CC4-5D6E-409C-BE32-E72D297353CC}">
              <c16:uniqueId val="{00000007-93E6-45F7-8BD3-6EE8A4376E9F}"/>
            </c:ext>
          </c:extLst>
        </c:ser>
        <c:ser>
          <c:idx val="8"/>
          <c:order val="8"/>
          <c:spPr>
            <a:solidFill>
              <a:schemeClr val="accent3">
                <a:lumMod val="60000"/>
              </a:schemeClr>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1C'!$K$4:$K$13</c:f>
            </c:numRef>
          </c:val>
          <c:extLst>
            <c:ext xmlns:c16="http://schemas.microsoft.com/office/drawing/2014/chart" uri="{C3380CC4-5D6E-409C-BE32-E72D297353CC}">
              <c16:uniqueId val="{00000008-93E6-45F7-8BD3-6EE8A4376E9F}"/>
            </c:ext>
          </c:extLst>
        </c:ser>
        <c:ser>
          <c:idx val="9"/>
          <c:order val="9"/>
          <c:spPr>
            <a:solidFill>
              <a:srgbClr val="0070C0"/>
            </a:solidFill>
            <a:ln>
              <a:noFill/>
            </a:ln>
            <a:effectLst/>
          </c:spPr>
          <c:invertIfNegative val="0"/>
          <c:cat>
            <c:strRef>
              <c:f>'inscriptos 2024 1C'!$B$4:$B$13</c:f>
              <c:strCache>
                <c:ptCount val="10"/>
                <c:pt idx="0">
                  <c:v>Análisis Matemático I</c:v>
                </c:pt>
                <c:pt idx="1">
                  <c:v>Álgebra y geometría</c:v>
                </c:pt>
                <c:pt idx="2">
                  <c:v>Resolución de problemas y algoritmos</c:v>
                </c:pt>
                <c:pt idx="3">
                  <c:v>Matemática IC</c:v>
                </c:pt>
                <c:pt idx="4">
                  <c:v>Elementos de álgebra y geometría</c:v>
                </c:pt>
                <c:pt idx="5">
                  <c:v>Cálculo I</c:v>
                </c:pt>
                <c:pt idx="6">
                  <c:v>Introducción al estudio de las ciencias sociales</c:v>
                </c:pt>
                <c:pt idx="7">
                  <c:v>Introducción al derecho</c:v>
                </c:pt>
                <c:pt idx="8">
                  <c:v>Contabilidad Básica</c:v>
                </c:pt>
                <c:pt idx="9">
                  <c:v>Introducción a la administración</c:v>
                </c:pt>
              </c:strCache>
            </c:strRef>
          </c:cat>
          <c:val>
            <c:numRef>
              <c:f>'inscriptos 2024 1C'!$L$4:$L$13</c:f>
              <c:numCache>
                <c:formatCode>General</c:formatCode>
                <c:ptCount val="10"/>
                <c:pt idx="0">
                  <c:v>1274</c:v>
                </c:pt>
                <c:pt idx="1">
                  <c:v>780</c:v>
                </c:pt>
                <c:pt idx="2">
                  <c:v>619</c:v>
                </c:pt>
                <c:pt idx="3">
                  <c:v>615</c:v>
                </c:pt>
                <c:pt idx="4">
                  <c:v>608</c:v>
                </c:pt>
                <c:pt idx="5">
                  <c:v>578</c:v>
                </c:pt>
                <c:pt idx="6">
                  <c:v>571</c:v>
                </c:pt>
                <c:pt idx="7">
                  <c:v>542</c:v>
                </c:pt>
                <c:pt idx="8">
                  <c:v>465</c:v>
                </c:pt>
                <c:pt idx="9">
                  <c:v>460</c:v>
                </c:pt>
              </c:numCache>
            </c:numRef>
          </c:val>
          <c:extLst>
            <c:ext xmlns:c16="http://schemas.microsoft.com/office/drawing/2014/chart" uri="{C3380CC4-5D6E-409C-BE32-E72D297353CC}">
              <c16:uniqueId val="{00000009-93E6-45F7-8BD3-6EE8A4376E9F}"/>
            </c:ext>
          </c:extLst>
        </c:ser>
        <c:dLbls>
          <c:showLegendKey val="0"/>
          <c:showVal val="0"/>
          <c:showCatName val="0"/>
          <c:showSerName val="0"/>
          <c:showPercent val="0"/>
          <c:showBubbleSize val="0"/>
        </c:dLbls>
        <c:gapWidth val="182"/>
        <c:axId val="1067443200"/>
        <c:axId val="1067445120"/>
      </c:barChart>
      <c:catAx>
        <c:axId val="1067443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67445120"/>
        <c:crosses val="autoZero"/>
        <c:auto val="1"/>
        <c:lblAlgn val="ctr"/>
        <c:lblOffset val="100"/>
        <c:noMultiLvlLbl val="0"/>
      </c:catAx>
      <c:valAx>
        <c:axId val="1067445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67443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Override1.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12.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13.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14.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15.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16.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17.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2.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3.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4.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5.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6.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7.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8.xml.rels><?xml version="1.0" encoding="UTF-8" standalone="yes"?>
<Relationships xmlns="http://schemas.openxmlformats.org/package/2006/relationships"><Relationship Id="rId1" Type="http://schemas.openxmlformats.org/officeDocument/2006/relationships/image" Target="../media/image3.jpeg"/></Relationships>
</file>

<file path=word/theme/_rels/themeOverride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10.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13.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14.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15.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16.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17.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2.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3.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4.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5.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6.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7.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8.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word/theme/themeOverride9.xml><?xml version="1.0" encoding="utf-8"?>
<a:themeOverride xmlns:a="http://schemas.openxmlformats.org/drawingml/2006/main">
  <a:clrScheme name="colores tesis">
    <a:dk1>
      <a:sysClr val="windowText" lastClr="000000"/>
    </a:dk1>
    <a:lt1>
      <a:sysClr val="window" lastClr="FFFFFF"/>
    </a:lt1>
    <a:dk2>
      <a:srgbClr val="0E2841"/>
    </a:dk2>
    <a:lt2>
      <a:srgbClr val="E8E8E8"/>
    </a:lt2>
    <a:accent1>
      <a:srgbClr val="002060"/>
    </a:accent1>
    <a:accent2>
      <a:srgbClr val="AECCD4"/>
    </a:accent2>
    <a:accent3>
      <a:srgbClr val="1A7526"/>
    </a:accent3>
    <a:accent4>
      <a:srgbClr val="97BAFF"/>
    </a:accent4>
    <a:accent5>
      <a:srgbClr val="4D94D8"/>
    </a:accent5>
    <a:accent6>
      <a:srgbClr val="7F7F7F"/>
    </a:accent6>
    <a:hlink>
      <a:srgbClr val="467886"/>
    </a:hlink>
    <a:folHlink>
      <a:srgbClr val="96607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119</TotalTime>
  <Pages>24</Pages>
  <Words>11823</Words>
  <Characters>67395</Characters>
  <Application>Microsoft Office Word</Application>
  <DocSecurity>0</DocSecurity>
  <Lines>561</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Cecilia Pérez Millán</cp:lastModifiedBy>
  <cp:revision>13</cp:revision>
  <dcterms:created xsi:type="dcterms:W3CDTF">2026-03-14T03:50:00Z</dcterms:created>
  <dcterms:modified xsi:type="dcterms:W3CDTF">2026-07-01T21:39:00Z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id="P19NEi1F"/&gt;&lt;style id="http://www.zotero.org/styles/apa-no-ampersand" locale="es-ES"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