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DB3483" w14:textId="77777777" w:rsidR="00C802F5" w:rsidRPr="009A101B" w:rsidRDefault="00C802F5" w:rsidP="001923DC">
      <w:pPr>
        <w:jc w:val="center"/>
        <w:rPr>
          <w:rFonts w:ascii="Times New Roman" w:hAnsi="Times New Roman" w:cs="Times New Roman"/>
        </w:rPr>
      </w:pPr>
    </w:p>
    <w:p w14:paraId="4850C652" w14:textId="77777777" w:rsidR="00A17BC5" w:rsidRPr="009A101B" w:rsidRDefault="00A17BC5" w:rsidP="00A17BC5">
      <w:pPr>
        <w:spacing w:before="1440" w:after="480"/>
        <w:jc w:val="center"/>
        <w:rPr>
          <w:rFonts w:ascii="Times New Roman" w:hAnsi="Times New Roman" w:cs="Times New Roman"/>
        </w:rPr>
      </w:pPr>
      <w:r w:rsidRPr="009A101B">
        <w:rPr>
          <w:rFonts w:ascii="Times New Roman" w:hAnsi="Times New Roman" w:cs="Times New Roman"/>
          <w:b/>
          <w:bCs/>
        </w:rPr>
        <w:t>El destino del doctorado: inserción profesional y transformaciones del trabajo académico en contextos de crisis</w:t>
      </w:r>
    </w:p>
    <w:p w14:paraId="43C49479" w14:textId="77777777" w:rsidR="005F3B2E" w:rsidRPr="009A101B" w:rsidRDefault="005F3B2E" w:rsidP="001923DC">
      <w:pPr>
        <w:jc w:val="center"/>
        <w:rPr>
          <w:rFonts w:ascii="Times New Roman" w:hAnsi="Times New Roman" w:cs="Times New Roman"/>
        </w:rPr>
      </w:pPr>
    </w:p>
    <w:p w14:paraId="5FE6BD5F" w14:textId="77777777" w:rsidR="00A17BC5" w:rsidRPr="009A101B" w:rsidRDefault="00A17BC5" w:rsidP="005F3B2E">
      <w:pPr>
        <w:spacing w:after="0" w:line="240" w:lineRule="auto"/>
        <w:jc w:val="right"/>
        <w:rPr>
          <w:rFonts w:ascii="Times New Roman" w:hAnsi="Times New Roman" w:cs="Times New Roman"/>
        </w:rPr>
      </w:pPr>
      <w:r w:rsidRPr="009A101B">
        <w:rPr>
          <w:rFonts w:ascii="Times New Roman" w:hAnsi="Times New Roman" w:cs="Times New Roman"/>
        </w:rPr>
        <w:t>Sergio Emiliozzi</w:t>
      </w:r>
    </w:p>
    <w:p w14:paraId="629EE337" w14:textId="77777777" w:rsidR="00A17BC5" w:rsidRPr="009A101B" w:rsidRDefault="00A17BC5" w:rsidP="005F3B2E">
      <w:pPr>
        <w:spacing w:after="0" w:line="240" w:lineRule="auto"/>
        <w:jc w:val="right"/>
        <w:rPr>
          <w:rFonts w:ascii="Times New Roman" w:hAnsi="Times New Roman" w:cs="Times New Roman"/>
        </w:rPr>
      </w:pPr>
      <w:r w:rsidRPr="009A101B">
        <w:rPr>
          <w:rFonts w:ascii="Times New Roman" w:hAnsi="Times New Roman" w:cs="Times New Roman"/>
        </w:rPr>
        <w:t>Universidad de Buenos Aires</w:t>
      </w:r>
    </w:p>
    <w:p w14:paraId="697B03E7" w14:textId="5C79EF5D" w:rsidR="00A17BC5" w:rsidRDefault="00A17BC5" w:rsidP="00A17BC5">
      <w:pPr>
        <w:jc w:val="right"/>
        <w:rPr>
          <w:rFonts w:ascii="Times New Roman" w:hAnsi="Times New Roman" w:cs="Times New Roman"/>
        </w:rPr>
      </w:pPr>
      <w:hyperlink r:id="rId6" w:history="1">
        <w:proofErr w:type="spellStart"/>
        <w:r w:rsidRPr="009A101B">
          <w:rPr>
            <w:rStyle w:val="Hipervnculo"/>
            <w:rFonts w:ascii="Times New Roman" w:hAnsi="Times New Roman" w:cs="Times New Roman"/>
          </w:rPr>
          <w:t>emiliozzi@gmailcom</w:t>
        </w:r>
        <w:proofErr w:type="spellEnd"/>
      </w:hyperlink>
    </w:p>
    <w:p w14:paraId="4CE0B460" w14:textId="6374AECC" w:rsidR="0035298A" w:rsidRDefault="0035298A" w:rsidP="00A17BC5">
      <w:pPr>
        <w:jc w:val="right"/>
        <w:rPr>
          <w:rFonts w:ascii="Times New Roman" w:hAnsi="Times New Roman" w:cs="Times New Roman"/>
        </w:rPr>
      </w:pPr>
    </w:p>
    <w:p w14:paraId="0E62C5D8" w14:textId="7E4C9B00" w:rsidR="0035298A" w:rsidRDefault="0035298A" w:rsidP="00A17BC5">
      <w:pPr>
        <w:jc w:val="right"/>
        <w:rPr>
          <w:rFonts w:ascii="Times New Roman" w:hAnsi="Times New Roman" w:cs="Times New Roman"/>
        </w:rPr>
      </w:pPr>
    </w:p>
    <w:p w14:paraId="5BE33D4B" w14:textId="77777777" w:rsidR="0035298A" w:rsidRPr="009A101B" w:rsidRDefault="0035298A" w:rsidP="0035298A">
      <w:pPr>
        <w:jc w:val="center"/>
        <w:rPr>
          <w:rFonts w:ascii="Times New Roman" w:hAnsi="Times New Roman" w:cs="Times New Roman"/>
        </w:rPr>
      </w:pPr>
      <w:bookmarkStart w:id="0" w:name="_GoBack"/>
      <w:bookmarkEnd w:id="0"/>
    </w:p>
    <w:p w14:paraId="3ECFD756" w14:textId="77777777" w:rsidR="009A101B" w:rsidRPr="009A101B" w:rsidRDefault="009A101B" w:rsidP="009A101B">
      <w:pPr>
        <w:pageBreakBefore/>
        <w:spacing w:before="100" w:beforeAutospacing="1" w:after="100" w:afterAutospacing="1"/>
        <w:jc w:val="both"/>
        <w:rPr>
          <w:rFonts w:ascii="Times New Roman" w:hAnsi="Times New Roman" w:cs="Times New Roman"/>
        </w:rPr>
      </w:pPr>
      <w:r w:rsidRPr="009A101B">
        <w:rPr>
          <w:rFonts w:ascii="Times New Roman" w:hAnsi="Times New Roman" w:cs="Times New Roman"/>
          <w:b/>
          <w:bCs/>
          <w:color w:val="000000"/>
        </w:rPr>
        <w:lastRenderedPageBreak/>
        <w:t>Resumen:</w:t>
      </w:r>
      <w:r w:rsidRPr="009A101B">
        <w:rPr>
          <w:rFonts w:ascii="Times New Roman" w:hAnsi="Times New Roman" w:cs="Times New Roman"/>
          <w:b/>
          <w:bCs/>
          <w:color w:val="000000"/>
        </w:rPr>
        <w:br/>
      </w:r>
      <w:r w:rsidRPr="009A101B">
        <w:rPr>
          <w:rFonts w:ascii="Times New Roman" w:hAnsi="Times New Roman" w:cs="Times New Roman"/>
        </w:rPr>
        <w:t>En las últimas décadas, la expansión de la formación doctoral ha reconfigurado las relaciones entre el sistema científico-académico y los mercados de trabajo altamente calificados, planteando nuevos interrogantes acerca de la inserción laboral de los doctores recientes. En Argentina, este proceso se ve atravesado por un contexto particularmente complejo, caracterizado por restricciones presupuestarias en el sistema científico-tecnológico, inestabilidad institucional y normativa, así como una persistente crisis económica que incide sobre las oportunidades de empleo calificado. En este marco, el presente trabajo expone avances de una investigación en curso centrada en el análisis de las trayectorias de inserción laboral de egresados de doctorado de la Universidad de Buenos Aires (UBA), considerando el conjunto de las disciplinas. El estudio se propone indagar en qué medida las oportunidades de inserción laboral de los doctores se corresponden con las expectativas formativas y profesionales construidas durante el trayecto doctoral, así como identificar patrones diferenciados según áreas de conocimiento.</w:t>
      </w:r>
    </w:p>
    <w:p w14:paraId="4684DB61" w14:textId="77777777" w:rsidR="009A101B" w:rsidRPr="009A101B" w:rsidRDefault="009A101B" w:rsidP="009A101B">
      <w:pPr>
        <w:spacing w:line="259" w:lineRule="auto"/>
        <w:jc w:val="both"/>
        <w:rPr>
          <w:rFonts w:ascii="Times New Roman" w:hAnsi="Times New Roman" w:cs="Times New Roman"/>
        </w:rPr>
      </w:pPr>
      <w:r w:rsidRPr="00FF007D">
        <w:rPr>
          <w:rFonts w:ascii="Times New Roman" w:hAnsi="Times New Roman" w:cs="Times New Roman"/>
        </w:rPr>
        <w:t>Pala</w:t>
      </w:r>
      <w:r w:rsidRPr="009A101B">
        <w:rPr>
          <w:rFonts w:ascii="Times New Roman" w:hAnsi="Times New Roman" w:cs="Times New Roman"/>
        </w:rPr>
        <w:t>b</w:t>
      </w:r>
      <w:r w:rsidRPr="00FF007D">
        <w:rPr>
          <w:rFonts w:ascii="Times New Roman" w:hAnsi="Times New Roman" w:cs="Times New Roman"/>
        </w:rPr>
        <w:t>ras clave: DOCTORADOS, UNIVERSIDAD, INSERCIÓN LABORAL</w:t>
      </w:r>
      <w:r w:rsidRPr="009A101B">
        <w:rPr>
          <w:rFonts w:ascii="Times New Roman" w:hAnsi="Times New Roman" w:cs="Times New Roman"/>
        </w:rPr>
        <w:t>, UBA, SISTEMA CIENTÍFICO-TECNOLÓGICO</w:t>
      </w:r>
    </w:p>
    <w:p w14:paraId="71E0E99C" w14:textId="77777777" w:rsidR="009A101B" w:rsidRPr="009A101B" w:rsidRDefault="009A101B" w:rsidP="009A101B">
      <w:pPr>
        <w:rPr>
          <w:b/>
        </w:rPr>
      </w:pPr>
      <w:r w:rsidRPr="009A101B">
        <w:rPr>
          <w:b/>
        </w:rPr>
        <w:t>1. Introducción: el problema del destino doctoral en contexto de crisis</w:t>
      </w:r>
    </w:p>
    <w:p w14:paraId="5C6EE98D" w14:textId="77777777" w:rsidR="009A101B" w:rsidRPr="009A101B" w:rsidRDefault="009A101B" w:rsidP="009A101B">
      <w:pPr>
        <w:spacing w:before="100" w:beforeAutospacing="1" w:after="100" w:afterAutospacing="1" w:line="240" w:lineRule="auto"/>
        <w:jc w:val="both"/>
        <w:rPr>
          <w:rFonts w:ascii="Times New Roman" w:hAnsi="Times New Roman" w:cs="Times New Roman"/>
        </w:rPr>
      </w:pPr>
      <w:r w:rsidRPr="009A101B">
        <w:rPr>
          <w:rFonts w:ascii="Times New Roman" w:hAnsi="Times New Roman" w:cs="Times New Roman"/>
        </w:rPr>
        <w:t>Las últimas décadas han sido testigos de una expansión notable de la formación doctoral a escala global. Argentina no fue ajena a esta tendencia: el número de doctores egresados creció de manera sostenida desde la recuperación democrática y se aceleró significativamente durante los años 2000 y 2010, en el marco de políticas activas de fortalecimiento del sistema científico-tecnológico nacional. La creación del Ministerio de Ciencia, Tecnología e Innovación Productiva en 2007, el incremento sostenido del presupuesto en ciencia y técnica, y la expansión de las becas doctorales del CONICET constituyeron los pilares de un modelo de desarrollo científico que apostó por la formación de recursos humanos altamente calificados como condición de un proyecto de desarrollo nacional. Sin embargo, esta expansión cuantitativa ha coexistido —y convive cada vez más conflictivamente— con una creciente dificultad para garantizar la inserción calificada de los graduados doctorales en el mercado de trabajo. La tensión entre la formación y el destino profesional no es nueva en el sistema universitario argentino, pero adquiere en el presente una intensidad y una urgencia particulares.</w:t>
      </w:r>
    </w:p>
    <w:p w14:paraId="2602A502" w14:textId="77777777" w:rsidR="009A101B" w:rsidRPr="009A101B" w:rsidRDefault="009A101B" w:rsidP="009A101B">
      <w:pPr>
        <w:spacing w:before="100" w:beforeAutospacing="1" w:after="100" w:afterAutospacing="1" w:line="240" w:lineRule="auto"/>
        <w:jc w:val="both"/>
        <w:rPr>
          <w:rFonts w:ascii="Times New Roman" w:hAnsi="Times New Roman" w:cs="Times New Roman"/>
        </w:rPr>
      </w:pPr>
      <w:r w:rsidRPr="009A101B">
        <w:rPr>
          <w:rFonts w:ascii="Times New Roman" w:hAnsi="Times New Roman" w:cs="Times New Roman"/>
        </w:rPr>
        <w:t xml:space="preserve">Esta ponencia expone avances de una investigación en curso sobre las trayectorias de inserción laboral de egresados de doctorado de la Universidad de Buenos Aires (UBA), la institución que concentra la mayor producción doctoral del país y que abarca el conjunto de las disciplinas académicas. El estudio se propone indagar en qué medida las oportunidades de inserción laboral de los doctores se corresponden con las expectativas formativas y profesionales construidas durante el trayecto doctoral, identificar patrones diferenciados según áreas de conocimiento, y analizar las transformaciones en las </w:t>
      </w:r>
      <w:r w:rsidRPr="009A101B">
        <w:rPr>
          <w:rFonts w:ascii="Times New Roman" w:hAnsi="Times New Roman" w:cs="Times New Roman"/>
        </w:rPr>
        <w:lastRenderedPageBreak/>
        <w:t>condiciones de contratación, la calidad del empleo y las percepciones subjetivas de los egresados sobre su situación laboral. La investigación se inscribe en el cruce entre la sociología de la educación superior, la sociología del trabajo y los estudios sobre ciencia y tecnología, y adopta una perspectiva crítica que procura articular los datos empíricos con las transformaciones estructurales del campo académico y el contexto de crisis en que estas se producen.</w:t>
      </w:r>
    </w:p>
    <w:p w14:paraId="4E810EF3" w14:textId="77777777" w:rsidR="009A101B" w:rsidRPr="009A101B" w:rsidRDefault="009A101B" w:rsidP="009A101B">
      <w:pPr>
        <w:spacing w:before="100" w:beforeAutospacing="1" w:after="100" w:afterAutospacing="1" w:line="240" w:lineRule="auto"/>
        <w:jc w:val="both"/>
        <w:rPr>
          <w:rFonts w:ascii="Times New Roman" w:hAnsi="Times New Roman" w:cs="Times New Roman"/>
        </w:rPr>
      </w:pPr>
      <w:r w:rsidRPr="009A101B">
        <w:rPr>
          <w:rFonts w:ascii="Times New Roman" w:hAnsi="Times New Roman" w:cs="Times New Roman"/>
        </w:rPr>
        <w:t>El período de análisis es, en este sentido, particularmente significativo. La investigación recoge información de doctores graduados en los últimos años, en un momento en que el sistema científico-tecnológico argentino atraviesa una de sus crisis más severas de las últimas décadas: reducción presupuestaria drástica en organismos como el CONICET, deterioro pronunciado del poder adquisitivo de los salarios científicos, paralización o restricción severa de las convocatorias a ingreso a la carrera del investigador, y un clima de incertidumbre institucional y normativa que redefine los horizontes posibles para los doctores recientes. Lejos de tratarse de perturbaciones meramente coyunturales, estas condiciones expresan una contradicción estructural del modelo de desarrollo científico argentino: un sistema que produjo cohortes sucesivas de doctores altamente calificados sin generar simultáneamente los puestos de trabajo estables y bien remunerados que su formación requería y que su inserción productiva demandaría. La crisis actual no crea esta contradicción, pero la hace visible con una crudeza difícil de eludir.</w:t>
      </w:r>
    </w:p>
    <w:p w14:paraId="48275638" w14:textId="77777777" w:rsidR="009A101B" w:rsidRPr="009A101B" w:rsidRDefault="009A101B" w:rsidP="009A101B">
      <w:pPr>
        <w:spacing w:before="100" w:beforeAutospacing="1" w:after="100" w:afterAutospacing="1" w:line="240" w:lineRule="auto"/>
        <w:jc w:val="both"/>
        <w:rPr>
          <w:rFonts w:ascii="Times New Roman" w:hAnsi="Times New Roman" w:cs="Times New Roman"/>
        </w:rPr>
      </w:pPr>
      <w:r w:rsidRPr="009A101B">
        <w:rPr>
          <w:rFonts w:ascii="Times New Roman" w:hAnsi="Times New Roman" w:cs="Times New Roman"/>
        </w:rPr>
        <w:t>La ponencia se organiza del siguiente modo: en primer lugar, se sitúa el problema en el debate teórico sobre el campo académico, la empleabilidad doctoral y las transformaciones del trabajo científico. En segundo lugar, se describe la estrategia metodológica del estudio. En tercer lugar, se presentan y analizan los principales resultados empíricos, organizados en torno a los ejes de perfil de los graduados, estado laboral y categorías de inserción, diferencias disciplinares, condiciones materiales y satisfacción, movilidad geográfica y colaboración internacional. Finalmente, se discuten las implicancias de estos hallazgos para la política universitaria y científica y se proponen algunas conclusiones de carácter analítico.</w:t>
      </w:r>
    </w:p>
    <w:p w14:paraId="2823894C" w14:textId="77777777" w:rsidR="009A101B" w:rsidRPr="009A101B" w:rsidRDefault="009A101B" w:rsidP="009A101B">
      <w:pPr>
        <w:rPr>
          <w:b/>
        </w:rPr>
      </w:pPr>
      <w:r w:rsidRPr="009A101B">
        <w:rPr>
          <w:b/>
        </w:rPr>
        <w:t>2. Marco teórico: campo académico, trabajo científico y crisis de reproducción</w:t>
      </w:r>
    </w:p>
    <w:p w14:paraId="7656F21C" w14:textId="77777777" w:rsidR="009A101B" w:rsidRPr="009A101B" w:rsidRDefault="009A101B" w:rsidP="009A101B">
      <w:pPr>
        <w:rPr>
          <w:b/>
        </w:rPr>
      </w:pPr>
      <w:r w:rsidRPr="009A101B">
        <w:rPr>
          <w:b/>
        </w:rPr>
        <w:t>2.1. El campo académico y sus condiciones de reproducción</w:t>
      </w:r>
    </w:p>
    <w:p w14:paraId="009323A5" w14:textId="77777777" w:rsidR="009A101B" w:rsidRPr="009A101B" w:rsidRDefault="009A101B" w:rsidP="009A101B">
      <w:pPr>
        <w:spacing w:before="100" w:beforeAutospacing="1" w:after="100" w:afterAutospacing="1" w:line="240" w:lineRule="auto"/>
        <w:jc w:val="both"/>
        <w:rPr>
          <w:rFonts w:ascii="Times New Roman" w:hAnsi="Times New Roman" w:cs="Times New Roman"/>
        </w:rPr>
      </w:pPr>
      <w:r w:rsidRPr="009A101B">
        <w:rPr>
          <w:rFonts w:ascii="Times New Roman" w:hAnsi="Times New Roman" w:cs="Times New Roman"/>
        </w:rPr>
        <w:t xml:space="preserve">La comprensión sociológica de los problemas de inserción doctoral exige recuperar y poner en tensión la perspectiva de Bourdieu sobre el campo académico como espacio estructurado de posiciones y luchas en torno a formas específicas de capital —científico, institucional, social— cuya acumulación y conversión regula el acceso a los puestos y el reconocimiento legítimo (Bourdieu, 1984, 2008). Desde esta perspectiva, la inserción de los doctores no es simplemente un problema de competencias individuales o de adecuación entre formación y mercado: es, ante todo, un problema de estructura del campo, de apertura o cierre de las posiciones disponibles, de las condiciones objetivas bajo las cuales opera la </w:t>
      </w:r>
      <w:proofErr w:type="spellStart"/>
      <w:r w:rsidRPr="009A101B">
        <w:rPr>
          <w:rFonts w:ascii="Times New Roman" w:hAnsi="Times New Roman" w:cs="Times New Roman"/>
          <w:i/>
        </w:rPr>
        <w:t>illusio</w:t>
      </w:r>
      <w:proofErr w:type="spellEnd"/>
      <w:r w:rsidRPr="009A101B">
        <w:rPr>
          <w:rFonts w:ascii="Times New Roman" w:hAnsi="Times New Roman" w:cs="Times New Roman"/>
          <w:i/>
        </w:rPr>
        <w:t xml:space="preserve"> académica</w:t>
      </w:r>
      <w:r w:rsidRPr="009A101B">
        <w:rPr>
          <w:rFonts w:ascii="Times New Roman" w:hAnsi="Times New Roman" w:cs="Times New Roman"/>
        </w:rPr>
        <w:t xml:space="preserve"> —la adhesión práctica al juego del campo— que sostiene la inversión prolongada de tiempo, energía y recursos que implica el </w:t>
      </w:r>
      <w:r w:rsidRPr="009A101B">
        <w:rPr>
          <w:rFonts w:ascii="Times New Roman" w:hAnsi="Times New Roman" w:cs="Times New Roman"/>
        </w:rPr>
        <w:lastRenderedPageBreak/>
        <w:t xml:space="preserve">doctorado. La decisión de cursar un doctorado supone una apuesta por la reproducción en el campo que solo tiene sentido si las posiciones que ese campo ofrece justifican la inversión. Cuando esas posiciones se contraen o se degradan, la </w:t>
      </w:r>
      <w:proofErr w:type="spellStart"/>
      <w:r w:rsidRPr="009A101B">
        <w:rPr>
          <w:rFonts w:ascii="Times New Roman" w:hAnsi="Times New Roman" w:cs="Times New Roman"/>
        </w:rPr>
        <w:t>illusio</w:t>
      </w:r>
      <w:proofErr w:type="spellEnd"/>
      <w:r w:rsidRPr="009A101B">
        <w:rPr>
          <w:rFonts w:ascii="Times New Roman" w:hAnsi="Times New Roman" w:cs="Times New Roman"/>
        </w:rPr>
        <w:t xml:space="preserve"> se tensa y puede quebrarse.</w:t>
      </w:r>
    </w:p>
    <w:p w14:paraId="27CB3401" w14:textId="77777777" w:rsidR="009A101B" w:rsidRPr="009A101B" w:rsidRDefault="009A101B" w:rsidP="009A101B">
      <w:pPr>
        <w:spacing w:before="100" w:beforeAutospacing="1" w:after="100" w:afterAutospacing="1" w:line="240" w:lineRule="auto"/>
        <w:jc w:val="both"/>
        <w:rPr>
          <w:rFonts w:ascii="Times New Roman" w:hAnsi="Times New Roman" w:cs="Times New Roman"/>
        </w:rPr>
      </w:pPr>
      <w:r w:rsidRPr="009A101B">
        <w:rPr>
          <w:rFonts w:ascii="Times New Roman" w:hAnsi="Times New Roman" w:cs="Times New Roman"/>
        </w:rPr>
        <w:t xml:space="preserve">En el caso argentino, las condiciones de reproducción del campo académico han estado históricamente articuladas en torno a la universidad pública y al sistema científico-tecnológico estatal, con el CONICET como institución central de financiamiento y legitimación de la carrera investigadora. Esta configuración particular —que distingue al sistema argentino de los de la región y lo aproxima, en algunos aspectos, a modelos europeos continentales— define un horizonte de expectativas para los doctores que, como veremos, entra en tensión creciente con las posibilidades efectivas de inserción. </w:t>
      </w:r>
      <w:proofErr w:type="spellStart"/>
      <w:r w:rsidRPr="009A101B">
        <w:rPr>
          <w:rFonts w:ascii="Times New Roman" w:hAnsi="Times New Roman" w:cs="Times New Roman"/>
        </w:rPr>
        <w:t>Buchbinder</w:t>
      </w:r>
      <w:proofErr w:type="spellEnd"/>
      <w:r w:rsidRPr="009A101B">
        <w:rPr>
          <w:rFonts w:ascii="Times New Roman" w:hAnsi="Times New Roman" w:cs="Times New Roman"/>
        </w:rPr>
        <w:t xml:space="preserve"> (2010) ha analizado el desarrollo histórico de la universidad argentina como institución atravesada por disputas políticas e institucionales que condicionan sus capacidades de expansión y consolidación. En el período reciente, esas disputas adquieren una dimensión de crisis sistémica que trasciende la coyuntura política inmediata y que pone en cuestión el propio modelo de universidad pública de investigación que Argentina construyó durante las últimas décadas.</w:t>
      </w:r>
    </w:p>
    <w:p w14:paraId="3996D3A5" w14:textId="77777777" w:rsidR="009A101B" w:rsidRPr="009A101B" w:rsidRDefault="009A101B" w:rsidP="009A101B">
      <w:pPr>
        <w:rPr>
          <w:b/>
        </w:rPr>
      </w:pPr>
      <w:r w:rsidRPr="009A101B">
        <w:rPr>
          <w:b/>
        </w:rPr>
        <w:t>2.2. La profesionalización del doctorado y la cuestión de la empleabilidad</w:t>
      </w:r>
    </w:p>
    <w:p w14:paraId="6A4238A5" w14:textId="77777777" w:rsidR="009A101B" w:rsidRPr="009A101B" w:rsidRDefault="009A101B" w:rsidP="009A101B">
      <w:pPr>
        <w:spacing w:before="100" w:beforeAutospacing="1" w:after="100" w:afterAutospacing="1" w:line="240" w:lineRule="auto"/>
        <w:jc w:val="both"/>
        <w:rPr>
          <w:rFonts w:ascii="Times New Roman" w:hAnsi="Times New Roman" w:cs="Times New Roman"/>
        </w:rPr>
      </w:pPr>
      <w:r w:rsidRPr="009A101B">
        <w:rPr>
          <w:rFonts w:ascii="Times New Roman" w:hAnsi="Times New Roman" w:cs="Times New Roman"/>
        </w:rPr>
        <w:t xml:space="preserve">Un segundo vector teórico refiere al debate internacional sobre la profesionalización del doctorado. Desde los años noventa, diversas reformas en los sistemas de educación superior —impulsadas por organismos como la OCDE y el Banco Mundial— han tendido a reconfigurar el doctorado como una credencial orientada no solo hacia la carrera académica sino hacia el mercado de trabajo en sentido amplio. El concepto de empleabilidad, en este marco, ha colonizado progresivamente los discursos sobre la formación doctoral, introduciendo una lógica instrumental que </w:t>
      </w:r>
      <w:proofErr w:type="spellStart"/>
      <w:r w:rsidRPr="009A101B">
        <w:rPr>
          <w:rFonts w:ascii="Times New Roman" w:hAnsi="Times New Roman" w:cs="Times New Roman"/>
        </w:rPr>
        <w:t>Naidorf</w:t>
      </w:r>
      <w:proofErr w:type="spellEnd"/>
      <w:r w:rsidRPr="009A101B">
        <w:rPr>
          <w:rFonts w:ascii="Times New Roman" w:hAnsi="Times New Roman" w:cs="Times New Roman"/>
        </w:rPr>
        <w:t xml:space="preserve"> y colaboradores han conceptualizado como parte de la transformación de la universidad bajo el signo de la mercantilización del conocimiento y la subordinación de la agenda científica a criterios de utilidad económica inmediata (</w:t>
      </w:r>
      <w:proofErr w:type="spellStart"/>
      <w:r w:rsidRPr="009A101B">
        <w:rPr>
          <w:rFonts w:ascii="Times New Roman" w:hAnsi="Times New Roman" w:cs="Times New Roman"/>
        </w:rPr>
        <w:t>Naidorf</w:t>
      </w:r>
      <w:proofErr w:type="spellEnd"/>
      <w:r w:rsidRPr="009A101B">
        <w:rPr>
          <w:rFonts w:ascii="Times New Roman" w:hAnsi="Times New Roman" w:cs="Times New Roman"/>
        </w:rPr>
        <w:t xml:space="preserve">, 2011; </w:t>
      </w:r>
      <w:proofErr w:type="spellStart"/>
      <w:r w:rsidRPr="009A101B">
        <w:rPr>
          <w:rFonts w:ascii="Times New Roman" w:hAnsi="Times New Roman" w:cs="Times New Roman"/>
        </w:rPr>
        <w:t>Naidorf</w:t>
      </w:r>
      <w:proofErr w:type="spellEnd"/>
      <w:r w:rsidRPr="009A101B">
        <w:rPr>
          <w:rFonts w:ascii="Times New Roman" w:hAnsi="Times New Roman" w:cs="Times New Roman"/>
        </w:rPr>
        <w:t xml:space="preserve"> y Pérez Mora, 2012). Esta transformación no es únicamente discursiva: se expresa en cambios concretos en las estructuras de financiamiento, en los sistemas de evaluación de la producción académica y en las demandas que los organismos de fomento dirigen a los investigadores.</w:t>
      </w:r>
    </w:p>
    <w:p w14:paraId="0983F00E" w14:textId="77777777" w:rsidR="009A101B" w:rsidRPr="009A101B" w:rsidRDefault="009A101B" w:rsidP="009A101B">
      <w:pPr>
        <w:spacing w:before="100" w:beforeAutospacing="1" w:after="100" w:afterAutospacing="1" w:line="240" w:lineRule="auto"/>
        <w:jc w:val="both"/>
        <w:rPr>
          <w:rFonts w:ascii="Times New Roman" w:hAnsi="Times New Roman" w:cs="Times New Roman"/>
        </w:rPr>
      </w:pPr>
      <w:r w:rsidRPr="009A101B">
        <w:rPr>
          <w:rFonts w:ascii="Times New Roman" w:hAnsi="Times New Roman" w:cs="Times New Roman"/>
        </w:rPr>
        <w:t xml:space="preserve">La tensión entre la función formativa del doctorado —orientada a la producción de conocimiento original y a la reproducción de la comunidad científica— y su reconfiguración como herramienta de inserción en mercados laborales más amplios no se resuelve fácilmente en ningún sistema nacional. En el caso argentino, la coexistencia de un modelo de financiamiento doctoral predominantemente público y orientado a la carrera académica, con la emergencia de nuevas demandas de aplicación en el sector productivo y la sociedad civil, genera tensiones específicas que la investigación procura documentar empíricamente. La noción de desajuste entre formación y empleo, que la literatura anglosajona ha abordado bajo el concepto de </w:t>
      </w:r>
      <w:proofErr w:type="spellStart"/>
      <w:r w:rsidRPr="009A101B">
        <w:rPr>
          <w:rFonts w:ascii="Times New Roman" w:hAnsi="Times New Roman" w:cs="Times New Roman"/>
        </w:rPr>
        <w:t>overeducation</w:t>
      </w:r>
      <w:proofErr w:type="spellEnd"/>
      <w:r w:rsidRPr="009A101B">
        <w:rPr>
          <w:rFonts w:ascii="Times New Roman" w:hAnsi="Times New Roman" w:cs="Times New Roman"/>
        </w:rPr>
        <w:t xml:space="preserve"> o </w:t>
      </w:r>
      <w:proofErr w:type="spellStart"/>
      <w:r w:rsidRPr="009A101B">
        <w:rPr>
          <w:rFonts w:ascii="Times New Roman" w:hAnsi="Times New Roman" w:cs="Times New Roman"/>
        </w:rPr>
        <w:t>mismatch</w:t>
      </w:r>
      <w:proofErr w:type="spellEnd"/>
      <w:r w:rsidRPr="009A101B">
        <w:rPr>
          <w:rFonts w:ascii="Times New Roman" w:hAnsi="Times New Roman" w:cs="Times New Roman"/>
        </w:rPr>
        <w:t xml:space="preserve">, adquiere en este contexto una configuración particular: no se trata simplemente de que </w:t>
      </w:r>
      <w:r w:rsidRPr="009A101B">
        <w:rPr>
          <w:rFonts w:ascii="Times New Roman" w:hAnsi="Times New Roman" w:cs="Times New Roman"/>
        </w:rPr>
        <w:lastRenderedPageBreak/>
        <w:t xml:space="preserve">los doctores estén </w:t>
      </w:r>
      <w:proofErr w:type="spellStart"/>
      <w:r w:rsidRPr="009A101B">
        <w:rPr>
          <w:rFonts w:ascii="Times New Roman" w:hAnsi="Times New Roman" w:cs="Times New Roman"/>
        </w:rPr>
        <w:t>sobrecalificados</w:t>
      </w:r>
      <w:proofErr w:type="spellEnd"/>
      <w:r w:rsidRPr="009A101B">
        <w:rPr>
          <w:rFonts w:ascii="Times New Roman" w:hAnsi="Times New Roman" w:cs="Times New Roman"/>
        </w:rPr>
        <w:t xml:space="preserve"> para los puestos que ocupan, sino de que el sistema ha producido un tipo de capital académico cuya conversión en posiciones laborales estables se ve obstruida por restricciones estructurales del campo científico.</w:t>
      </w:r>
    </w:p>
    <w:p w14:paraId="259D01F5" w14:textId="77777777" w:rsidR="009A101B" w:rsidRPr="009A101B" w:rsidRDefault="009A101B" w:rsidP="009A101B">
      <w:pPr>
        <w:rPr>
          <w:b/>
        </w:rPr>
      </w:pPr>
      <w:r w:rsidRPr="009A101B">
        <w:rPr>
          <w:b/>
        </w:rPr>
        <w:t>2.3. La precarización del trabajo académico</w:t>
      </w:r>
    </w:p>
    <w:p w14:paraId="1360E8AD" w14:textId="77777777" w:rsidR="009A101B" w:rsidRPr="009A101B" w:rsidRDefault="009A101B" w:rsidP="009A101B">
      <w:pPr>
        <w:spacing w:before="100" w:beforeAutospacing="1" w:after="100" w:afterAutospacing="1" w:line="240" w:lineRule="auto"/>
        <w:jc w:val="both"/>
        <w:rPr>
          <w:rFonts w:ascii="Times New Roman" w:hAnsi="Times New Roman" w:cs="Times New Roman"/>
        </w:rPr>
      </w:pPr>
      <w:r w:rsidRPr="009A101B">
        <w:rPr>
          <w:rFonts w:ascii="Times New Roman" w:hAnsi="Times New Roman" w:cs="Times New Roman"/>
        </w:rPr>
        <w:t>Un tercer eje teórico es el de las transformaciones del trabajo académico en el contexto del capitalismo cognitivo y las políticas de austeridad. La literatura internacional ha dado cuenta de un proceso generalizado de precarización del trabajo intelectual que en el caso académico se expresa en la expansión de contratos temporarios, la intensificación de la evaluación por rendimientos, la multiplicación de figuras contractuales inestables y la devaluación relativa de los salarios reales (</w:t>
      </w:r>
      <w:proofErr w:type="spellStart"/>
      <w:r w:rsidRPr="009A101B">
        <w:rPr>
          <w:rFonts w:ascii="Times New Roman" w:hAnsi="Times New Roman" w:cs="Times New Roman"/>
        </w:rPr>
        <w:t>Slaughter</w:t>
      </w:r>
      <w:proofErr w:type="spellEnd"/>
      <w:r w:rsidRPr="009A101B">
        <w:rPr>
          <w:rFonts w:ascii="Times New Roman" w:hAnsi="Times New Roman" w:cs="Times New Roman"/>
        </w:rPr>
        <w:t xml:space="preserve"> y </w:t>
      </w:r>
      <w:proofErr w:type="spellStart"/>
      <w:r w:rsidRPr="009A101B">
        <w:rPr>
          <w:rFonts w:ascii="Times New Roman" w:hAnsi="Times New Roman" w:cs="Times New Roman"/>
        </w:rPr>
        <w:t>Rhoades</w:t>
      </w:r>
      <w:proofErr w:type="spellEnd"/>
      <w:r w:rsidRPr="009A101B">
        <w:rPr>
          <w:rFonts w:ascii="Times New Roman" w:hAnsi="Times New Roman" w:cs="Times New Roman"/>
        </w:rPr>
        <w:t xml:space="preserve">, 2004; </w:t>
      </w:r>
      <w:proofErr w:type="spellStart"/>
      <w:r w:rsidRPr="009A101B">
        <w:rPr>
          <w:rFonts w:ascii="Times New Roman" w:hAnsi="Times New Roman" w:cs="Times New Roman"/>
        </w:rPr>
        <w:t>Musselin</w:t>
      </w:r>
      <w:proofErr w:type="spellEnd"/>
      <w:r w:rsidRPr="009A101B">
        <w:rPr>
          <w:rFonts w:ascii="Times New Roman" w:hAnsi="Times New Roman" w:cs="Times New Roman"/>
        </w:rPr>
        <w:t xml:space="preserve">, 2007; Standing, 2011). En Argentina, estos procesos tienen configuraciones específicas ligadas a la estructura del sistema universitario y científico público, y se articulan con una crisis económica que erosiona las condiciones materiales de la investigación de manera inédita en la historia reciente. García de </w:t>
      </w:r>
      <w:proofErr w:type="spellStart"/>
      <w:r w:rsidRPr="009A101B">
        <w:rPr>
          <w:rFonts w:ascii="Times New Roman" w:hAnsi="Times New Roman" w:cs="Times New Roman"/>
        </w:rPr>
        <w:t>Fanelli</w:t>
      </w:r>
      <w:proofErr w:type="spellEnd"/>
      <w:r w:rsidRPr="009A101B">
        <w:rPr>
          <w:rFonts w:ascii="Times New Roman" w:hAnsi="Times New Roman" w:cs="Times New Roman"/>
        </w:rPr>
        <w:t xml:space="preserve"> (2008, 2018) ha analizado las condiciones del mercado académico argentino, poniendo de relieve la segmentación entre posiciones estables e inestables, y entre el núcleo de investigadores de CONICET y la periferia de docentes universitarios con dedicaciones parciales. La investigación que aquí se presenta procura articular esa perspectiva estructural con la reconstrucción de las trayectorias individuales y las percepciones subjetivas de los doctores recientemente graduados, prestando atención tanto a los indicadores objetivos de precariedad como a las formas en que los sujetos experimentan, interpretan y gestionan esa precariedad.</w:t>
      </w:r>
    </w:p>
    <w:p w14:paraId="07CAF211" w14:textId="77777777" w:rsidR="009A101B" w:rsidRPr="009A101B" w:rsidRDefault="009A101B" w:rsidP="009A101B">
      <w:pPr>
        <w:rPr>
          <w:b/>
        </w:rPr>
      </w:pPr>
      <w:r w:rsidRPr="009A101B">
        <w:rPr>
          <w:b/>
        </w:rPr>
        <w:t>3. Estrategia metodológica</w:t>
      </w:r>
    </w:p>
    <w:p w14:paraId="0FB53904" w14:textId="77777777" w:rsidR="009A101B" w:rsidRPr="009A101B" w:rsidRDefault="009A101B" w:rsidP="009A101B">
      <w:pPr>
        <w:spacing w:before="100" w:beforeAutospacing="1" w:after="100" w:afterAutospacing="1" w:line="240" w:lineRule="auto"/>
        <w:jc w:val="both"/>
        <w:rPr>
          <w:rFonts w:ascii="Times New Roman" w:hAnsi="Times New Roman" w:cs="Times New Roman"/>
        </w:rPr>
      </w:pPr>
      <w:r w:rsidRPr="009A101B">
        <w:rPr>
          <w:rFonts w:ascii="Times New Roman" w:hAnsi="Times New Roman" w:cs="Times New Roman"/>
        </w:rPr>
        <w:t xml:space="preserve">La investigación adopta un diseño de métodos mixtos que articula fuentes cuantitativas y cualitativas. En el plano cuantitativo, se trabajó con datos provenientes de un relevamiento propio mediante encuesta </w:t>
      </w:r>
      <w:proofErr w:type="spellStart"/>
      <w:r w:rsidRPr="009A101B">
        <w:rPr>
          <w:rFonts w:ascii="Times New Roman" w:hAnsi="Times New Roman" w:cs="Times New Roman"/>
        </w:rPr>
        <w:t>autoadministrada</w:t>
      </w:r>
      <w:proofErr w:type="spellEnd"/>
      <w:r w:rsidRPr="009A101B">
        <w:rPr>
          <w:rFonts w:ascii="Times New Roman" w:hAnsi="Times New Roman" w:cs="Times New Roman"/>
        </w:rPr>
        <w:t xml:space="preserve"> aplicada a egresados de doctorado de todas las unidades académicas de la UBA. La muestra del estudio alcanza 789 respuestas válidas, distribuidas entre las doce facultades de la universidad, con presencia significativa en las disciplinas de Ciencias Exactas y Naturales —el área disciplinar más representada, dada su peso relativo en la producción doctoral de la institución—, Ciencias Sociales, Filosofía y Letras, Farmacia y Bioquímica, Medicina, Derecho, Ciencias Económicas, y Arquitectura, Diseño y Urbanismo, entre otras. La distribución por género muestra un leve predominio femenino (55,7%) sobre el masculino (44,3%), con variaciones significativas según área disciplinar: en Psicología, el 90% de los encuestados son mujeres; en Ciencias Económicas, el 79% son hombres.</w:t>
      </w:r>
    </w:p>
    <w:p w14:paraId="365902D4" w14:textId="77777777" w:rsidR="009A101B" w:rsidRPr="009A101B" w:rsidRDefault="009A101B" w:rsidP="009A101B">
      <w:pPr>
        <w:spacing w:before="100" w:beforeAutospacing="1" w:after="100" w:afterAutospacing="1" w:line="240" w:lineRule="auto"/>
        <w:jc w:val="both"/>
        <w:rPr>
          <w:rFonts w:ascii="Times New Roman" w:hAnsi="Times New Roman" w:cs="Times New Roman"/>
        </w:rPr>
      </w:pPr>
      <w:r w:rsidRPr="009A101B">
        <w:rPr>
          <w:rFonts w:ascii="Times New Roman" w:hAnsi="Times New Roman" w:cs="Times New Roman"/>
        </w:rPr>
        <w:t xml:space="preserve">El instrumento de relevamiento incluyó preguntas sobre el perfil sociodemográfico de los graduados, las condiciones de realización del doctorado (financiamiento, duración, estudios previos), el estado laboral actual, las características del empleo principal (sector, tipo de contratación, jornada, modalidad), la satisfacción con distintas dimensiones del trabajo, la relación percibida entre la formación doctoral y el empleo desempeñado, la movilidad geográfica posdoctoral y la colaboración internacional, y el acceso a </w:t>
      </w:r>
      <w:r w:rsidRPr="009A101B">
        <w:rPr>
          <w:rFonts w:ascii="Times New Roman" w:hAnsi="Times New Roman" w:cs="Times New Roman"/>
        </w:rPr>
        <w:lastRenderedPageBreak/>
        <w:t>financiamiento de investigación posdoctoral. La estrategia de análisis cuantitativo incluyó el procesamiento de distribuciones de frecuencias y la construcción de tablas de contingencia cruzadas por área de conocimiento (facultad de doctorado), lo que permite identificar patrones diferenciados según disciplina.</w:t>
      </w:r>
    </w:p>
    <w:p w14:paraId="0FCE5796" w14:textId="77777777" w:rsidR="009A101B" w:rsidRPr="009A101B" w:rsidRDefault="009A101B" w:rsidP="009A101B">
      <w:pPr>
        <w:spacing w:before="100" w:beforeAutospacing="1" w:after="100" w:afterAutospacing="1" w:line="240" w:lineRule="auto"/>
        <w:jc w:val="both"/>
        <w:rPr>
          <w:rFonts w:ascii="Times New Roman" w:hAnsi="Times New Roman" w:cs="Times New Roman"/>
        </w:rPr>
      </w:pPr>
      <w:r w:rsidRPr="009A101B">
        <w:rPr>
          <w:rFonts w:ascii="Times New Roman" w:hAnsi="Times New Roman" w:cs="Times New Roman"/>
        </w:rPr>
        <w:t>En el plano cualitativo, se realizaron entrevistas en profundidad a doctores recientemente graduados en distintas disciplinas, con el objetivo de reconstruir las trayectorias de inserción, las estrategias desarrolladas frente a la incertidumbre y las percepciones sobre la adecuación entre la formación doctoral y las demandas del mercado laboral. Las entrevistas, de carácter semiestructurado, abordan tanto las dimensiones objetivas de la trayectoria —puestos ocupados, contratos suscritos, ingresos percibidos— como las dimensiones subjetivas: expectativas construidas durante el doctorado, experiencias de frustración o adaptación, evaluaciones sobre el valor del título en distintos mercados de trabajo, y proyecciones sobre el futuro profesional. La articulación de ambas dimensiones permite superar tanto el reduccionismo estadístico como el particularismo biográfico, y apunta a una comprensión que es, a la vez, estructural y experiencial.</w:t>
      </w:r>
    </w:p>
    <w:p w14:paraId="7A02BD6D" w14:textId="77777777" w:rsidR="009A101B" w:rsidRPr="009A101B" w:rsidRDefault="009A101B" w:rsidP="009A101B">
      <w:pPr>
        <w:rPr>
          <w:b/>
        </w:rPr>
      </w:pPr>
      <w:r w:rsidRPr="009A101B">
        <w:rPr>
          <w:b/>
        </w:rPr>
        <w:t>4. Resultados: patrones de inserción, precarización y diversificación</w:t>
      </w:r>
    </w:p>
    <w:p w14:paraId="5629F7AE" w14:textId="77777777" w:rsidR="009A101B" w:rsidRPr="009A101B" w:rsidRDefault="009A101B" w:rsidP="009A101B">
      <w:pPr>
        <w:rPr>
          <w:b/>
        </w:rPr>
      </w:pPr>
      <w:r w:rsidRPr="009A101B">
        <w:rPr>
          <w:b/>
        </w:rPr>
        <w:t>4.1. Perfil sociodemográfico y condiciones de formación</w:t>
      </w:r>
    </w:p>
    <w:p w14:paraId="230FBC6F" w14:textId="77777777" w:rsidR="009A101B" w:rsidRPr="009A101B" w:rsidRDefault="009A101B" w:rsidP="009A101B">
      <w:pPr>
        <w:spacing w:before="100" w:beforeAutospacing="1" w:after="100" w:afterAutospacing="1" w:line="240" w:lineRule="auto"/>
        <w:jc w:val="both"/>
        <w:rPr>
          <w:rFonts w:ascii="Times New Roman" w:hAnsi="Times New Roman" w:cs="Times New Roman"/>
        </w:rPr>
      </w:pPr>
      <w:r w:rsidRPr="009A101B">
        <w:rPr>
          <w:rFonts w:ascii="Times New Roman" w:hAnsi="Times New Roman" w:cs="Times New Roman"/>
        </w:rPr>
        <w:t>El colectivo encuestado está compuesto mayoritariamente por mujeres (55,7%) y por doctores cuya edad al momento del relevamiento se concentra en el tramo de 30 a 39 años (65,7%), lo que refleja una inserción tardía en el mercado de trabajo calificado respecto de estándares internacionales. Esta concentración etaria guarda relación directa con la duración promedio del doctorado: en el total de la muestra, los graduados tardaron en promedio 6,1 años en completar su doctorado, con una variación mínima de 1 año y una máxima de 28 años. Las diferencias por disciplina son notables: en Ciencias Exactas y Naturales el promedio es de 5,5 años y en Medicina de 5,8, mientras que en Derecho se eleva a 9,2 años y en Arquitectura, Diseño y Urbanismo a 8,2 años. Esta extensión temporal del trayecto doctoral —que frecuentemente supera los cuatro o cinco años previstos por las becas— constituye un factor de precariedad en sí mismo, puesto que implica períodos prolongados de ingresos inciertos o dependientes de la renovación de subsidios. Es relevante señalar que únicamente el 0,6% de los encuestados es menor de 30 años, lo que pone en evidencia que el doctorado argentino se completa mayoritariamente bien entrada la tercera o cuarta década de vida, con las implicancias personales, familiares y económicas que ello supone.</w:t>
      </w:r>
    </w:p>
    <w:p w14:paraId="2DBCA938" w14:textId="77777777" w:rsidR="009A101B" w:rsidRPr="009A101B" w:rsidRDefault="009A101B" w:rsidP="009A101B">
      <w:pPr>
        <w:spacing w:before="100" w:beforeAutospacing="1" w:after="100" w:afterAutospacing="1" w:line="240" w:lineRule="auto"/>
        <w:jc w:val="both"/>
        <w:rPr>
          <w:rFonts w:ascii="Times New Roman" w:hAnsi="Times New Roman" w:cs="Times New Roman"/>
        </w:rPr>
      </w:pPr>
      <w:r w:rsidRPr="009A101B">
        <w:rPr>
          <w:rFonts w:ascii="Times New Roman" w:hAnsi="Times New Roman" w:cs="Times New Roman"/>
        </w:rPr>
        <w:t xml:space="preserve">En cuanto al financiamiento del doctorado, el 78,9% de los encuestados realizó su doctorado mediante beca doctoral, con una marcada concentración en becas de CONICET (65,1% entre quienes tuvieron beca). Esta dependencia estructural del sistema de becas estatal como mecanismo de financiamiento doctoral tiene consecuencias directas para la inserción: la beca define tanto el horizonte temporal del trayecto como el tipo de inserción esperada (la carrera académico-científica), generando lo que podría denominarse una expectativa institucionalmente producida que luego choca con la escasez de posiciones </w:t>
      </w:r>
      <w:r w:rsidRPr="009A101B">
        <w:rPr>
          <w:rFonts w:ascii="Times New Roman" w:hAnsi="Times New Roman" w:cs="Times New Roman"/>
        </w:rPr>
        <w:lastRenderedPageBreak/>
        <w:t>disponibles. El 12,9% financió su doctorado mediante trabajo en relación de dependencia, el 4,9% mediante trabajo independiente y el 1,2% mediante ahorros propios. La articulación entre doctorado y trabajo remunerado —que muchos encuestados describieron como fuente de extensión del trayecto formativo— es especialmente frecuente en Derecho (41,7% financiados por trabajo en relación de dependencia) y en Ciencias Económicas (21,1%), disciplinas con mayor inserción temprana en el mercado de trabajo formal. El 36,7% de los encuestados realizó o realiza estudios posdoctorales, con diferencias disciplinares que van desde el 69% en Ciencias Exactas y Naturales hasta el 10% en Arquitectura, Diseño y Urbanismo.</w:t>
      </w:r>
    </w:p>
    <w:p w14:paraId="39B49A58" w14:textId="77777777" w:rsidR="009A101B" w:rsidRPr="009A101B" w:rsidRDefault="009A101B" w:rsidP="009A101B">
      <w:pPr>
        <w:spacing w:before="100" w:beforeAutospacing="1" w:after="100" w:afterAutospacing="1" w:line="240" w:lineRule="auto"/>
        <w:jc w:val="both"/>
        <w:rPr>
          <w:rFonts w:ascii="Times New Roman" w:hAnsi="Times New Roman" w:cs="Times New Roman"/>
        </w:rPr>
      </w:pPr>
      <w:r w:rsidRPr="009A101B">
        <w:rPr>
          <w:rFonts w:ascii="Times New Roman" w:hAnsi="Times New Roman" w:cs="Times New Roman"/>
        </w:rPr>
        <w:t xml:space="preserve">En lo que refiere a la trayectoria formativa previa al doctorado, el 83,7% no realizó posgrados previos del tipo diplomatura, mientras que el 27,2% sí completó una maestría antes del doctorado. Esta proporción varía significativamente entre disciplinas: en Ciencias Económicas el 47,4% realizó una maestría previa, y en Derecho el 50%, lo que indica que en estas áreas el doctorado no es la primera instancia de especialización </w:t>
      </w:r>
      <w:proofErr w:type="spellStart"/>
      <w:r w:rsidRPr="009A101B">
        <w:rPr>
          <w:rFonts w:ascii="Times New Roman" w:hAnsi="Times New Roman" w:cs="Times New Roman"/>
        </w:rPr>
        <w:t>postitular</w:t>
      </w:r>
      <w:proofErr w:type="spellEnd"/>
      <w:r w:rsidRPr="009A101B">
        <w:rPr>
          <w:rFonts w:ascii="Times New Roman" w:hAnsi="Times New Roman" w:cs="Times New Roman"/>
        </w:rPr>
        <w:t>. Por el contrario, en Ciencias Exactas y Naturales solo el 3,7% realizó una maestría previa, consistentemente con un modelo de formación que articula directamente la licenciatura con el doctorado a través de la beca de iniciación. Estas diferencias en los recorridos previos tienen implicancias para la comprensión del doctorado como credencial: su peso relativo en el campo varía según la estructura formativa de cada disciplina y, por tanto, también varía el desajuste que su no-aprovechamiento genera.</w:t>
      </w:r>
    </w:p>
    <w:p w14:paraId="6091E301" w14:textId="77777777" w:rsidR="009A101B" w:rsidRPr="009A101B" w:rsidRDefault="009A101B" w:rsidP="009A101B">
      <w:pPr>
        <w:rPr>
          <w:b/>
        </w:rPr>
      </w:pPr>
      <w:r w:rsidRPr="009A101B">
        <w:rPr>
          <w:b/>
        </w:rPr>
        <w:t>4.2. Estado laboral y categorías de ocupación</w:t>
      </w:r>
    </w:p>
    <w:p w14:paraId="57BE90AD" w14:textId="77777777" w:rsidR="009A101B" w:rsidRPr="009A101B" w:rsidRDefault="009A101B" w:rsidP="009A101B">
      <w:pPr>
        <w:spacing w:before="100" w:beforeAutospacing="1" w:after="100" w:afterAutospacing="1" w:line="240" w:lineRule="auto"/>
        <w:jc w:val="both"/>
        <w:rPr>
          <w:rFonts w:ascii="Times New Roman" w:hAnsi="Times New Roman" w:cs="Times New Roman"/>
        </w:rPr>
      </w:pPr>
      <w:r w:rsidRPr="009A101B">
        <w:rPr>
          <w:rFonts w:ascii="Times New Roman" w:hAnsi="Times New Roman" w:cs="Times New Roman"/>
        </w:rPr>
        <w:t>Los datos cuantitativos revelan que la gran mayoría de los encuestados se encuentra ocupada al momento del relevamiento: el 96,5% declara estar trabajando, mientras que el 1,5% se halla desocupado y el 2% inactivo. Sin embargo, la categoría de ocupado esconde una heterogeneidad estructural considerable. La forma de inserción dominante es el trabajo asalariado registrado de forma estable, que agrupa al 55% del total (395 casos); le siguen en importancia los becarios posdoctorales (24,7%, equivalente a 177 casos), el trabajo asalariado registrado temporario (10,2%), el trabajo independiente (4,5%) y el trabajo asalariado no registrado (2%). La figura del becario posdoctoral, que en muchos casos se prolonga durante tres o cuatro años después del doctorado, expresa con claridad la postergación del acceso a posiciones estables en el sistema académico-científico: se trata de trabajadores altamente calificados, con tesis defendida y publicaciones en revistas indexadas, que sin embargo se encuentran en una situación contractual que carece de los derechos laborales propios de la relación de empleo formal.</w:t>
      </w:r>
    </w:p>
    <w:p w14:paraId="44C12B97" w14:textId="77777777" w:rsidR="009A101B" w:rsidRPr="009A101B" w:rsidRDefault="009A101B" w:rsidP="009A101B">
      <w:pPr>
        <w:spacing w:before="100" w:beforeAutospacing="1" w:after="100" w:afterAutospacing="1" w:line="240" w:lineRule="auto"/>
        <w:jc w:val="both"/>
        <w:rPr>
          <w:rFonts w:ascii="Times New Roman" w:hAnsi="Times New Roman" w:cs="Times New Roman"/>
        </w:rPr>
      </w:pPr>
      <w:r w:rsidRPr="009A101B">
        <w:rPr>
          <w:rFonts w:ascii="Times New Roman" w:hAnsi="Times New Roman" w:cs="Times New Roman"/>
        </w:rPr>
        <w:t xml:space="preserve">La distribución por sector de actividad de la ocupación principal muestra el peso todavía dominante del sistema científico-tecnológico y el sistema educativo universitario como destinos laborales de los doctores de la UBA. El 38,3% trabaja en organismos científicos públicos (275 casos) y el 27,9% en el sistema educativo universitario (200 casos). No obstante, es significativa la proporción que se inserta en otros sectores: el 14,6% en empresas (105 casos), el 6,1% como profesional independiente (44 casos), el 6,1% en el sector gubernamental no científico (44 casos), el 1,5% en organizaciones no </w:t>
      </w:r>
      <w:r w:rsidRPr="009A101B">
        <w:rPr>
          <w:rFonts w:ascii="Times New Roman" w:hAnsi="Times New Roman" w:cs="Times New Roman"/>
        </w:rPr>
        <w:lastRenderedPageBreak/>
        <w:t>gubernamentales (11 casos) y el 1,4% en el sistema educativo no universitario (20 casos). Este panorama muestra un proceso de diversificación que, aunque desigual según disciplina, indica que el sistema académico ha dejado de ser el destino casi exclusivo de la formación doctoral. Un elemento adicional de interés es la incidencia de la docencia en el empleo principal: el 51,5% de los encuestados declara que su ocupación principal incluye labores de docencia, lo que subraya el peso de la función docente en las trayectorias de los doctores, incluso en aquellos casos en que la orientación principal del empleo es la investigación o la gestión.</w:t>
      </w:r>
    </w:p>
    <w:p w14:paraId="41B22B87" w14:textId="77777777" w:rsidR="009A101B" w:rsidRPr="009A101B" w:rsidRDefault="009A101B" w:rsidP="009A101B">
      <w:pPr>
        <w:spacing w:before="100" w:beforeAutospacing="1" w:after="100" w:afterAutospacing="1" w:line="240" w:lineRule="auto"/>
        <w:jc w:val="both"/>
        <w:rPr>
          <w:rFonts w:ascii="Times New Roman" w:hAnsi="Times New Roman" w:cs="Times New Roman"/>
        </w:rPr>
      </w:pPr>
      <w:r w:rsidRPr="009A101B">
        <w:rPr>
          <w:rFonts w:ascii="Times New Roman" w:hAnsi="Times New Roman" w:cs="Times New Roman"/>
        </w:rPr>
        <w:t xml:space="preserve">En cuanto a la modalidad de trabajo, el 52,5% realiza su trabajo de forma presencial, el 43% en modalidad híbrida (presencial y virtual) y el 4,5% de manera completamente virtual. Esta distribución refleja las transformaciones en la organización del trabajo académico aceleradas por la pandemia de COVID-19 y consolidadas en el período </w:t>
      </w:r>
      <w:proofErr w:type="spellStart"/>
      <w:r w:rsidRPr="009A101B">
        <w:rPr>
          <w:rFonts w:ascii="Times New Roman" w:hAnsi="Times New Roman" w:cs="Times New Roman"/>
        </w:rPr>
        <w:t>postpandémico</w:t>
      </w:r>
      <w:proofErr w:type="spellEnd"/>
      <w:r w:rsidRPr="009A101B">
        <w:rPr>
          <w:rFonts w:ascii="Times New Roman" w:hAnsi="Times New Roman" w:cs="Times New Roman"/>
        </w:rPr>
        <w:t>, con una adopción generalizada del trabajo híbrido especialmente en el sector académico y científico. La jornada laboral completa es predominante: el 85,1% trabaja jornada completa y el 13,5% jornada parcial, aunque con variaciones según el tipo de inserción: entre los becarios posdoctorales, la jornada parcial es más frecuente, en tanto la beca posdoctoral no implica necesariamente una dedicación exclusiva comparable a la de un cargo de investigador.</w:t>
      </w:r>
    </w:p>
    <w:p w14:paraId="6B3CB48E" w14:textId="77777777" w:rsidR="009A101B" w:rsidRPr="009A101B" w:rsidRDefault="009A101B" w:rsidP="009A101B">
      <w:pPr>
        <w:rPr>
          <w:b/>
        </w:rPr>
      </w:pPr>
      <w:r w:rsidRPr="009A101B">
        <w:rPr>
          <w:b/>
        </w:rPr>
        <w:t>4.3. Diferencias disciplinares: la heterogeneidad estructural del campo</w:t>
      </w:r>
    </w:p>
    <w:p w14:paraId="12E7959D" w14:textId="77777777" w:rsidR="009A101B" w:rsidRPr="009A101B" w:rsidRDefault="009A101B" w:rsidP="009A101B">
      <w:pPr>
        <w:spacing w:before="100" w:beforeAutospacing="1" w:after="100" w:afterAutospacing="1" w:line="240" w:lineRule="auto"/>
        <w:jc w:val="both"/>
        <w:rPr>
          <w:rFonts w:ascii="Times New Roman" w:hAnsi="Times New Roman" w:cs="Times New Roman"/>
        </w:rPr>
      </w:pPr>
      <w:r w:rsidRPr="009A101B">
        <w:rPr>
          <w:rFonts w:ascii="Times New Roman" w:hAnsi="Times New Roman" w:cs="Times New Roman"/>
        </w:rPr>
        <w:t>Uno de los hallazgos más relevantes de la investigación es la marcada heterogeneidad de los patrones de inserción según el área de conocimiento. En Ciencias Exactas y Naturales, que concentra el mayor número de encuestados de la muestra, el trabajo en organismos científicos públicos es la modalidad dominante (48,3%), y la inserción empresarial ocupa un segundo lugar significativo (22,5%), lo que refleja la existencia de circuitos de transferencia entre la ciencia básica y el sector privado de biotecnología, química y tecnología de alimentos, entre otros. En Ciencias Sociales, en cambio, el sistema educativo universitario (43,6%) y los organismos científicos públicos (35%) constituyen los principales destinos, con una presencia modesta del sector privado empresarial (2,1%), lo que expresa las menores oportunidades de valorización comercial del conocimiento producido en estas disciplinas.</w:t>
      </w:r>
    </w:p>
    <w:p w14:paraId="59635C69" w14:textId="77777777" w:rsidR="009A101B" w:rsidRPr="009A101B" w:rsidRDefault="009A101B" w:rsidP="009A101B">
      <w:pPr>
        <w:spacing w:before="100" w:beforeAutospacing="1" w:after="100" w:afterAutospacing="1" w:line="240" w:lineRule="auto"/>
        <w:jc w:val="both"/>
        <w:rPr>
          <w:rFonts w:ascii="Times New Roman" w:hAnsi="Times New Roman" w:cs="Times New Roman"/>
        </w:rPr>
      </w:pPr>
      <w:r w:rsidRPr="009A101B">
        <w:rPr>
          <w:rFonts w:ascii="Times New Roman" w:hAnsi="Times New Roman" w:cs="Times New Roman"/>
        </w:rPr>
        <w:t xml:space="preserve">Las diferencias son aún más notorias cuando se examina el tipo de jornada y contratación por disciplina. En Farmacia y Bioquímica, el 65,2% tiene trabajo asalariado estable y el 93,9% trabaja jornada completa, lo que apunta a una inserción relativamente sólida en el sector de investigación biomédica y en la industria farmacéutica. En Ciencias Económicas, en cambio, la distribución de categorías ocupacionales es más heterogénea: el 35,3% tiene trabajo estable, pero el 29,4% trabaja de forma independiente y el 23,5% como becario posdoctoral, con una notable incidencia de la jornada parcial (17,6%). En Filosofía y Letras, la proporción de becarios posdoctorales llega al 32,6%, la del trabajo asalariado temporario al 4,7% y la del trabajo no registrado al 7%, lo que configura un cuadro de precariedad contractual significativa en un área con escasas alternativas de inserción fuera del sistema universitario público. En Derecho, la combinación de trabajo </w:t>
      </w:r>
      <w:r w:rsidRPr="009A101B">
        <w:rPr>
          <w:rFonts w:ascii="Times New Roman" w:hAnsi="Times New Roman" w:cs="Times New Roman"/>
        </w:rPr>
        <w:lastRenderedPageBreak/>
        <w:t xml:space="preserve">asalariado estable (70,8%) y trabajo independiente (20,8%) describe un patrón de inserción más diversificado, vinculado a la demanda de </w:t>
      </w:r>
      <w:proofErr w:type="spellStart"/>
      <w:r w:rsidRPr="009A101B">
        <w:rPr>
          <w:rFonts w:ascii="Times New Roman" w:hAnsi="Times New Roman" w:cs="Times New Roman"/>
        </w:rPr>
        <w:t>expertise</w:t>
      </w:r>
      <w:proofErr w:type="spellEnd"/>
      <w:r w:rsidRPr="009A101B">
        <w:rPr>
          <w:rFonts w:ascii="Times New Roman" w:hAnsi="Times New Roman" w:cs="Times New Roman"/>
        </w:rPr>
        <w:t xml:space="preserve"> jurídico en el sector estatal y privado.</w:t>
      </w:r>
    </w:p>
    <w:p w14:paraId="53DD00B5" w14:textId="77777777" w:rsidR="009A101B" w:rsidRPr="009A101B" w:rsidRDefault="009A101B" w:rsidP="009A101B">
      <w:pPr>
        <w:spacing w:before="100" w:beforeAutospacing="1" w:after="100" w:afterAutospacing="1" w:line="240" w:lineRule="auto"/>
        <w:jc w:val="both"/>
        <w:rPr>
          <w:rFonts w:ascii="Times New Roman" w:hAnsi="Times New Roman" w:cs="Times New Roman"/>
        </w:rPr>
      </w:pPr>
      <w:r w:rsidRPr="009A101B">
        <w:rPr>
          <w:rFonts w:ascii="Times New Roman" w:hAnsi="Times New Roman" w:cs="Times New Roman"/>
        </w:rPr>
        <w:t xml:space="preserve">La modalidad de trabajo también presenta diferencias disciplinares relevantes. Mientras que en Ciencias Exactas y Naturales el trabajo presencial es predominante (58,2%), en Ciencias Sociales y Filosofía y Letras el trabajo híbrido adquiere mayor peso (60% y 55,8% respectivamente), consistentemente con la naturaleza de las tareas que caracterizan la investigación social y humanística —lectura, escritura, análisis de datos secundarios— que se adaptan más fácilmente a la modalidad remota. En Medicina, donde el trabajo clínico e institucional impone restricciones a la virtualización, la </w:t>
      </w:r>
      <w:proofErr w:type="spellStart"/>
      <w:r w:rsidRPr="009A101B">
        <w:rPr>
          <w:rFonts w:ascii="Times New Roman" w:hAnsi="Times New Roman" w:cs="Times New Roman"/>
        </w:rPr>
        <w:t>presencialidad</w:t>
      </w:r>
      <w:proofErr w:type="spellEnd"/>
      <w:r w:rsidRPr="009A101B">
        <w:rPr>
          <w:rFonts w:ascii="Times New Roman" w:hAnsi="Times New Roman" w:cs="Times New Roman"/>
        </w:rPr>
        <w:t xml:space="preserve"> es dominante (59,4%).</w:t>
      </w:r>
    </w:p>
    <w:p w14:paraId="6071146A" w14:textId="77777777" w:rsidR="009A101B" w:rsidRPr="009A101B" w:rsidRDefault="009A101B" w:rsidP="009A101B">
      <w:pPr>
        <w:rPr>
          <w:b/>
        </w:rPr>
      </w:pPr>
      <w:r w:rsidRPr="009A101B">
        <w:rPr>
          <w:b/>
        </w:rPr>
        <w:t>4.4. Condiciones materiales: salarios, beneficios y seguridad en el empleo</w:t>
      </w:r>
    </w:p>
    <w:p w14:paraId="6D291F97" w14:textId="77777777" w:rsidR="009A101B" w:rsidRPr="009A101B" w:rsidRDefault="009A101B" w:rsidP="009A101B">
      <w:pPr>
        <w:spacing w:before="100" w:beforeAutospacing="1" w:after="100" w:afterAutospacing="1" w:line="240" w:lineRule="auto"/>
        <w:jc w:val="both"/>
        <w:rPr>
          <w:rFonts w:ascii="Times New Roman" w:hAnsi="Times New Roman" w:cs="Times New Roman"/>
        </w:rPr>
      </w:pPr>
      <w:r w:rsidRPr="009A101B">
        <w:rPr>
          <w:rFonts w:ascii="Times New Roman" w:hAnsi="Times New Roman" w:cs="Times New Roman"/>
        </w:rPr>
        <w:t>La dimensión de las condiciones materiales de trabajo constituye uno de los ejes centrales del análisis, especialmente en el contexto de deterioro económico que caracteriza al período reciente. Los datos sobre satisfacción salarial son elocuentes: en el total de la muestra, solo el 44,1% declara estar satisfecho o muy satisfecho con sus salarios e ingresos, mientras que el 27,8% expresa poco o ningún nivel de satisfacción y el 17,8% adopta una posición intermedia. Esta insatisfacción generalizada varía por disciplina: es particularmente pronunciada en Filosofía y Letras, donde el porcentaje de satisfechos o muy satisfechos alcanza apenas el 33,7%, y en Ciencias Sociales (30,7%). En el extremo opuesto, Ciencias Económicas presenta el mayor nivel de satisfacción salarial (50%), consistentemente con una inserción más frecuente en el sector privado y en empleos de mayor remuneración relativa.</w:t>
      </w:r>
    </w:p>
    <w:p w14:paraId="5DADD213" w14:textId="77777777" w:rsidR="009A101B" w:rsidRPr="009A101B" w:rsidRDefault="009A101B" w:rsidP="009A101B">
      <w:pPr>
        <w:spacing w:before="100" w:beforeAutospacing="1" w:after="100" w:afterAutospacing="1" w:line="240" w:lineRule="auto"/>
        <w:jc w:val="both"/>
        <w:rPr>
          <w:rFonts w:ascii="Times New Roman" w:hAnsi="Times New Roman" w:cs="Times New Roman"/>
        </w:rPr>
      </w:pPr>
      <w:r w:rsidRPr="009A101B">
        <w:rPr>
          <w:rFonts w:ascii="Times New Roman" w:hAnsi="Times New Roman" w:cs="Times New Roman"/>
        </w:rPr>
        <w:t xml:space="preserve">La satisfacción con los beneficios complementarios —premios, coberturas de salud, adicionales— sigue un patrón </w:t>
      </w:r>
      <w:proofErr w:type="gramStart"/>
      <w:r w:rsidRPr="009A101B">
        <w:rPr>
          <w:rFonts w:ascii="Times New Roman" w:hAnsi="Times New Roman" w:cs="Times New Roman"/>
        </w:rPr>
        <w:t>similar</w:t>
      </w:r>
      <w:proofErr w:type="gramEnd"/>
      <w:r w:rsidRPr="009A101B">
        <w:rPr>
          <w:rFonts w:ascii="Times New Roman" w:hAnsi="Times New Roman" w:cs="Times New Roman"/>
        </w:rPr>
        <w:t xml:space="preserve"> aunque con valores levemente diferentes: el 43,8% del total se declara satisfecho o muy satisfecho, con los máximos en Ciencias Económicas (56,3%) y los mínimos en Filosofía y Letras (38,9%) y Ciencias Exactas y Naturales (39,2%). La satisfacción con la seguridad en el empleo muestra un perfil más favorable: el 47,2% del total se declara satisfecho o muy satisfecho con su estabilidad laboral, aunque con marcadas diferencias disciplinares. En Ciencias Económicas, el 56,3% expresa satisfacción en esta dimensión, mientras que en Filosofía y Letras apenas el 38,4% y en Medicina el 40,6%. La dimensión de ubicación del trabajo —indicador de accesibilidad geográfica y posibilidades de conciliación— presenta los mayores niveles de satisfacción del conjunto: el 72,7% del total se declara satisfecho o muy satisfecho, lo que sugiere que la flexibilización geográfica del trabajo </w:t>
      </w:r>
      <w:proofErr w:type="spellStart"/>
      <w:r w:rsidRPr="009A101B">
        <w:rPr>
          <w:rFonts w:ascii="Times New Roman" w:hAnsi="Times New Roman" w:cs="Times New Roman"/>
        </w:rPr>
        <w:t>postpandemia</w:t>
      </w:r>
      <w:proofErr w:type="spellEnd"/>
      <w:r w:rsidRPr="009A101B">
        <w:rPr>
          <w:rFonts w:ascii="Times New Roman" w:hAnsi="Times New Roman" w:cs="Times New Roman"/>
        </w:rPr>
        <w:t xml:space="preserve"> ha generado cierta mejora percibida en esta dimensión, aunque los bajos niveles de satisfacción salarial siguen siendo el factor más crítico.</w:t>
      </w:r>
    </w:p>
    <w:p w14:paraId="7061043B" w14:textId="77777777" w:rsidR="009A101B" w:rsidRPr="009A101B" w:rsidRDefault="009A101B" w:rsidP="009A101B">
      <w:pPr>
        <w:spacing w:before="100" w:beforeAutospacing="1" w:after="100" w:afterAutospacing="1" w:line="240" w:lineRule="auto"/>
        <w:jc w:val="both"/>
        <w:rPr>
          <w:rFonts w:ascii="Times New Roman" w:hAnsi="Times New Roman" w:cs="Times New Roman"/>
        </w:rPr>
      </w:pPr>
      <w:r w:rsidRPr="009A101B">
        <w:rPr>
          <w:rFonts w:ascii="Times New Roman" w:hAnsi="Times New Roman" w:cs="Times New Roman"/>
        </w:rPr>
        <w:t xml:space="preserve">El cuadro de insatisfacción laboral se completa con el dato sobre la relación percibida entre el trabajo realizado y el doctorado. En el total de la muestra, el promedio de correspondencia entre la ocupación actual y la formación doctoral es del 79,1 sobre 100, </w:t>
      </w:r>
      <w:r w:rsidRPr="009A101B">
        <w:rPr>
          <w:rFonts w:ascii="Times New Roman" w:hAnsi="Times New Roman" w:cs="Times New Roman"/>
        </w:rPr>
        <w:lastRenderedPageBreak/>
        <w:t>con una desviación estándar de 28,2 puntos que indica una dispersión considerable. Las disciplinas con mayor adecuación percibida son Agronomía (97,5) y Ciencias Sociales (83,7), mientras que las de menor adecuación son Veterinaria (68,8) y Medicina (71,2). Este dato es llamativo en el caso de Medicina, dado que se trata de una disciplina con alta tasa de ocupación y fuerte demanda de profesionales calificados: sugiere que la formación doctoral específicamente no siempre es valorada en los mercados de trabajo del área de la salud, donde la especialización clínica puede tener mayor peso que el entrenamiento en investigación.</w:t>
      </w:r>
    </w:p>
    <w:p w14:paraId="54EC49C3" w14:textId="77777777" w:rsidR="009A101B" w:rsidRPr="009A101B" w:rsidRDefault="009A101B" w:rsidP="009A101B">
      <w:pPr>
        <w:rPr>
          <w:b/>
        </w:rPr>
      </w:pPr>
      <w:r w:rsidRPr="009A101B">
        <w:rPr>
          <w:b/>
        </w:rPr>
        <w:t>4.5. Movilidad geográfica, colaboración internacional y financiamiento de investigación</w:t>
      </w:r>
    </w:p>
    <w:p w14:paraId="07D6A146" w14:textId="77777777" w:rsidR="009A101B" w:rsidRPr="009A101B" w:rsidRDefault="009A101B" w:rsidP="009A101B">
      <w:pPr>
        <w:spacing w:before="100" w:beforeAutospacing="1" w:after="100" w:afterAutospacing="1" w:line="240" w:lineRule="auto"/>
        <w:jc w:val="both"/>
        <w:rPr>
          <w:rFonts w:ascii="Times New Roman" w:hAnsi="Times New Roman" w:cs="Times New Roman"/>
        </w:rPr>
      </w:pPr>
      <w:r w:rsidRPr="009A101B">
        <w:rPr>
          <w:rFonts w:ascii="Times New Roman" w:hAnsi="Times New Roman" w:cs="Times New Roman"/>
        </w:rPr>
        <w:t>El análisis de la movilidad geográfica posdoctoral y las intenciones de emigración constituye uno de los hallazgos más preocupantes de la investigación, en tanto da cuenta del impacto de la crisis sobre la retención del capital humano científico. El 30,7% de los encuestados ha residido en un país distinto a Argentina por más de tres meses después de obtener el doctorado, para estudiar, trabajar o realizar investigación. Este indicador —que revela una significativa movilidad internacional de la comunidad doctoral— adquiere una dimensión crítica cuando se lo articula con las intenciones de emigración declaradas: el 42,1% de quienes residen actualmente en Argentina considera la posibilidad de radicarse en el extranjero. Un 18,2% adicional ya reside fuera del país, lo que significa que más de la mitad del colectivo encuestado o bien ya emigró o considera hacerlo. Esta proporción es especialmente elevada en Ciencias Exactas y Naturales, donde el 42,6% de quienes residen en Argentina contempla la emigración y el 26,7% ya reside en el exterior.</w:t>
      </w:r>
    </w:p>
    <w:p w14:paraId="4FF5AF54" w14:textId="77777777" w:rsidR="009A101B" w:rsidRPr="009A101B" w:rsidRDefault="009A101B" w:rsidP="009A101B">
      <w:pPr>
        <w:spacing w:before="100" w:beforeAutospacing="1" w:after="100" w:afterAutospacing="1" w:line="240" w:lineRule="auto"/>
        <w:jc w:val="both"/>
        <w:rPr>
          <w:rFonts w:ascii="Times New Roman" w:hAnsi="Times New Roman" w:cs="Times New Roman"/>
        </w:rPr>
      </w:pPr>
      <w:r w:rsidRPr="009A101B">
        <w:rPr>
          <w:rFonts w:ascii="Times New Roman" w:hAnsi="Times New Roman" w:cs="Times New Roman"/>
        </w:rPr>
        <w:t>La colaboración internacional en investigación está también presente de manera significativa: el 53,4% de los encuestados realiza o realizó investigación con colegas de otros países desde que se doctoró, y de estos, el 61,6% declara que esa investigación está financiada. Esta cifra contrasta con los datos sobre financiamiento doméstico: solo el 49,2% de los encuestados fue beneficiado en los últimos cinco años con algún instrumento público de financiamiento de investigación de organismos argentinos. El principal organismo financiador es el FONCYT (19,1%), seguido por el sistema universitario, particularmente la UBA a través de sus programas propios (20,7%), y el CONICET mediante el subsidio PIP (20,9%). El acceso al financiamiento doméstico es especialmente crítico en Derecho (17,4%) y en Arquitectura, Diseño y Urbanismo (30%), disciplinas con menor tradición de financiamiento externo para investigación.</w:t>
      </w:r>
    </w:p>
    <w:p w14:paraId="1F540C80" w14:textId="77777777" w:rsidR="009A101B" w:rsidRPr="009A101B" w:rsidRDefault="009A101B" w:rsidP="009A101B">
      <w:pPr>
        <w:spacing w:before="100" w:beforeAutospacing="1" w:after="100" w:afterAutospacing="1" w:line="240" w:lineRule="auto"/>
        <w:jc w:val="both"/>
        <w:rPr>
          <w:rFonts w:ascii="Times New Roman" w:hAnsi="Times New Roman" w:cs="Times New Roman"/>
        </w:rPr>
      </w:pPr>
      <w:r w:rsidRPr="009A101B">
        <w:rPr>
          <w:rFonts w:ascii="Times New Roman" w:hAnsi="Times New Roman" w:cs="Times New Roman"/>
        </w:rPr>
        <w:t>La paradoja que emerge de estos datos es reveladora: los doctores argentinos están más integrados internacionalmente que nunca —en términos de colaboraciones, movilidades y redes— pero simultáneamente están más desconectados que en décadas recientes del sistema de financiamiento nacional que debería sostener su trabajo. Esta desconexión no es el resultado de una elección racional de los investigadores, sino la consecuencia de un deterioro de las condiciones del sistema doméstico que empuja hacia la internacionalización como estrategia de supervivencia académica.</w:t>
      </w:r>
    </w:p>
    <w:p w14:paraId="76703BF3" w14:textId="77777777" w:rsidR="009A101B" w:rsidRPr="009A101B" w:rsidRDefault="009A101B" w:rsidP="009A101B">
      <w:pPr>
        <w:rPr>
          <w:b/>
        </w:rPr>
      </w:pPr>
      <w:r w:rsidRPr="009A101B">
        <w:rPr>
          <w:b/>
        </w:rPr>
        <w:lastRenderedPageBreak/>
        <w:t>4.6. Adecuación entre formación y trabajo: la experiencia del desajuste</w:t>
      </w:r>
    </w:p>
    <w:p w14:paraId="4AB8D4FC" w14:textId="77777777" w:rsidR="009A101B" w:rsidRPr="009A101B" w:rsidRDefault="009A101B" w:rsidP="009A101B">
      <w:pPr>
        <w:spacing w:before="100" w:beforeAutospacing="1" w:after="100" w:afterAutospacing="1" w:line="240" w:lineRule="auto"/>
        <w:jc w:val="both"/>
        <w:rPr>
          <w:rFonts w:ascii="Times New Roman" w:hAnsi="Times New Roman" w:cs="Times New Roman"/>
        </w:rPr>
      </w:pPr>
      <w:r w:rsidRPr="009A101B">
        <w:rPr>
          <w:rFonts w:ascii="Times New Roman" w:hAnsi="Times New Roman" w:cs="Times New Roman"/>
        </w:rPr>
        <w:t>La dimensión subjetiva del desajuste entre formación y empleo se revela con particular nitidez en las entrevistas en profundidad realizadas en el marco de la investigación. Los doctores entrevistados describen con frecuencia una sensación de fractura entre la identidad construida durante el doctorado —la del científico o investigador dedicado a la producción de conocimiento original— y las exigencias concretas de los puestos laborales en los que se desempeñan. En algunos casos, esta fractura toma la forma de una subutilización de las competencias investigativas adquiridas: doctores que trabajan en puestos de gestión o docencia que no requieren las habilidades específicas del entrenamiento doctoral. En otros casos, adopta la forma de una tensión entre los ritmos y las lógicas del trabajo académico —orientado a plazos largos, a la profundidad y a la originalidad— y las demandas de los empleadores no académicos, que priorizan la inmediatez, la aplicabilidad y la eficiencia.</w:t>
      </w:r>
    </w:p>
    <w:p w14:paraId="2FCF9D31" w14:textId="77777777" w:rsidR="009A101B" w:rsidRPr="009A101B" w:rsidRDefault="009A101B" w:rsidP="009A101B">
      <w:pPr>
        <w:spacing w:before="100" w:beforeAutospacing="1" w:after="100" w:afterAutospacing="1" w:line="240" w:lineRule="auto"/>
        <w:jc w:val="both"/>
        <w:rPr>
          <w:rFonts w:ascii="Times New Roman" w:hAnsi="Times New Roman" w:cs="Times New Roman"/>
        </w:rPr>
      </w:pPr>
      <w:r w:rsidRPr="009A101B">
        <w:rPr>
          <w:rFonts w:ascii="Times New Roman" w:hAnsi="Times New Roman" w:cs="Times New Roman"/>
        </w:rPr>
        <w:t xml:space="preserve">Esta experiencia de desajuste no es uniforme. Los doctores en Ciencias Exactas y Naturales con inserción en el sector privado describieron estrategias de </w:t>
      </w:r>
      <w:proofErr w:type="spellStart"/>
      <w:r w:rsidRPr="009A101B">
        <w:rPr>
          <w:rFonts w:ascii="Times New Roman" w:hAnsi="Times New Roman" w:cs="Times New Roman"/>
        </w:rPr>
        <w:t>reencuadre</w:t>
      </w:r>
      <w:proofErr w:type="spellEnd"/>
      <w:r w:rsidRPr="009A101B">
        <w:rPr>
          <w:rFonts w:ascii="Times New Roman" w:hAnsi="Times New Roman" w:cs="Times New Roman"/>
        </w:rPr>
        <w:t xml:space="preserve"> de sus competencias que les permitieron valorizar el entrenamiento doctoral en contextos industriales. Los doctores en humanidades y ciencias sociales insertados en el sector gubernamental señalaron, en cambio, la dificultad de comunicar el valor de una tesis doctoral ante empleadores que no reconocen la especificidad de la producción científica en estas áreas. En ambos casos, aparece la necesidad de lo que podría denominarse una traducción de capitales: la conversión del capital académico en formas de capital valoradas en campos distintos del académico, proceso que no es automático ni siempre exitoso, y que depende tanto de las condiciones estructurales de cada campo profesional como de los recursos relacionales y simbólicos que cada doctor puede movilizar.</w:t>
      </w:r>
    </w:p>
    <w:p w14:paraId="4ACE2BE1" w14:textId="77777777" w:rsidR="009A101B" w:rsidRPr="00BC3E5E" w:rsidRDefault="009A101B" w:rsidP="00BC3E5E">
      <w:pPr>
        <w:rPr>
          <w:b/>
        </w:rPr>
      </w:pPr>
      <w:r w:rsidRPr="00BC3E5E">
        <w:rPr>
          <w:b/>
        </w:rPr>
        <w:t>5. Discusión: la crisis como reveladora de contradicciones estructurales</w:t>
      </w:r>
    </w:p>
    <w:p w14:paraId="627630BA" w14:textId="77777777" w:rsidR="009A101B" w:rsidRPr="009A101B" w:rsidRDefault="009A101B" w:rsidP="009A101B">
      <w:pPr>
        <w:spacing w:before="100" w:beforeAutospacing="1" w:after="100" w:afterAutospacing="1" w:line="240" w:lineRule="auto"/>
        <w:jc w:val="both"/>
        <w:rPr>
          <w:rFonts w:ascii="Times New Roman" w:hAnsi="Times New Roman" w:cs="Times New Roman"/>
        </w:rPr>
      </w:pPr>
      <w:r w:rsidRPr="009A101B">
        <w:rPr>
          <w:rFonts w:ascii="Times New Roman" w:hAnsi="Times New Roman" w:cs="Times New Roman"/>
        </w:rPr>
        <w:t xml:space="preserve">Los datos presentados permiten articular algunas conclusiones de carácter más analítico sobre el problema del destino doctoral en Argentina. En primer lugar, queda de manifiesto que la crisis actual no hace sino exacerbar contradicciones que son anteriores a ella y que están inscriptas en la propia estructura del sistema de formación doctoral. La expansión de los doctorados durante los años 2000 y 2010 se produjo en el marco de una apuesta por el desarrollo científico-tecnológico que no fue acompañada por la creación de suficientes puestos estables para absorber a los graduados. El resultado es una acumulación de capital académico —de tesis, publicaciones, competencias investigativas— que no encuentra posiciones de destino proporcionales. En términos </w:t>
      </w:r>
      <w:proofErr w:type="spellStart"/>
      <w:r w:rsidRPr="009A101B">
        <w:rPr>
          <w:rFonts w:ascii="Times New Roman" w:hAnsi="Times New Roman" w:cs="Times New Roman"/>
        </w:rPr>
        <w:t>bourdianos</w:t>
      </w:r>
      <w:proofErr w:type="spellEnd"/>
      <w:r w:rsidRPr="009A101B">
        <w:rPr>
          <w:rFonts w:ascii="Times New Roman" w:hAnsi="Times New Roman" w:cs="Times New Roman"/>
        </w:rPr>
        <w:t>, esto puede leerse como una forma de inflación de credenciales específica del campo científico: el título doctoral pierde poder de conversión en posiciones porque la oferta de títulos crece más rápido que la oferta de puestos. La consecuencia no es solo el desempleo o el subempleo de los doctores, sino la devaluación simbólica del doctorado como credencial, que queda desacoplada de las recompensas materiales que debería garantizar.</w:t>
      </w:r>
    </w:p>
    <w:p w14:paraId="6B382F2D" w14:textId="77777777" w:rsidR="009A101B" w:rsidRPr="009A101B" w:rsidRDefault="009A101B" w:rsidP="009A101B">
      <w:pPr>
        <w:spacing w:before="100" w:beforeAutospacing="1" w:after="100" w:afterAutospacing="1" w:line="240" w:lineRule="auto"/>
        <w:jc w:val="both"/>
        <w:rPr>
          <w:rFonts w:ascii="Times New Roman" w:hAnsi="Times New Roman" w:cs="Times New Roman"/>
        </w:rPr>
      </w:pPr>
      <w:r w:rsidRPr="009A101B">
        <w:rPr>
          <w:rFonts w:ascii="Times New Roman" w:hAnsi="Times New Roman" w:cs="Times New Roman"/>
        </w:rPr>
        <w:lastRenderedPageBreak/>
        <w:t xml:space="preserve">En segundo lugar, la diversificación de los destinos laborales de los doctores hacia el sector público no científico, las organizaciones de la sociedad civil y el sector privado no debe leerse simplemente como una señal de flexibilidad o de ampliación del horizonte profesional del doctorado. En muchos casos, constituye más bien una salida forzada de un campo académico que no puede absorber a quienes se han formado para reproducirlo. La distinción entre diversificación voluntaria y diversificación forzada es analíticamente crucial y difícil de establecer empíricamente, dado que las condiciones objetivas moldean las preferencias subjetivas y redefinen retroactivamente las expectativas. Como señala </w:t>
      </w:r>
      <w:proofErr w:type="spellStart"/>
      <w:r w:rsidRPr="009A101B">
        <w:rPr>
          <w:rFonts w:ascii="Times New Roman" w:hAnsi="Times New Roman" w:cs="Times New Roman"/>
        </w:rPr>
        <w:t>Naidorf</w:t>
      </w:r>
      <w:proofErr w:type="spellEnd"/>
      <w:r w:rsidRPr="009A101B">
        <w:rPr>
          <w:rFonts w:ascii="Times New Roman" w:hAnsi="Times New Roman" w:cs="Times New Roman"/>
        </w:rPr>
        <w:t xml:space="preserve"> (2011), la transformación de las identidades profesionales de los investigadores bajo la presión de la mercantilización no es simplemente una adaptación racional: es también una reestructuración de los esquemas de percepción y apreciación que los sujetos aplican a su propio trabajo. Los doctores aprenden a presentar su formación en el lenguaje de la </w:t>
      </w:r>
      <w:proofErr w:type="gramStart"/>
      <w:r w:rsidRPr="009A101B">
        <w:rPr>
          <w:rFonts w:ascii="Times New Roman" w:hAnsi="Times New Roman" w:cs="Times New Roman"/>
        </w:rPr>
        <w:t>empleabilidad</w:t>
      </w:r>
      <w:proofErr w:type="gramEnd"/>
      <w:r w:rsidRPr="009A101B">
        <w:rPr>
          <w:rFonts w:ascii="Times New Roman" w:hAnsi="Times New Roman" w:cs="Times New Roman"/>
        </w:rPr>
        <w:t xml:space="preserve"> aunque su vocación haya sido la investigación básica, y este </w:t>
      </w:r>
      <w:proofErr w:type="spellStart"/>
      <w:r w:rsidRPr="009A101B">
        <w:rPr>
          <w:rFonts w:ascii="Times New Roman" w:hAnsi="Times New Roman" w:cs="Times New Roman"/>
        </w:rPr>
        <w:t>reencuadre</w:t>
      </w:r>
      <w:proofErr w:type="spellEnd"/>
      <w:r w:rsidRPr="009A101B">
        <w:rPr>
          <w:rFonts w:ascii="Times New Roman" w:hAnsi="Times New Roman" w:cs="Times New Roman"/>
        </w:rPr>
        <w:t xml:space="preserve"> tiene costos subjetivos que los datos cuantitativos no capturan del todo.</w:t>
      </w:r>
    </w:p>
    <w:p w14:paraId="6576C8DB" w14:textId="77777777" w:rsidR="009A101B" w:rsidRPr="009A101B" w:rsidRDefault="009A101B" w:rsidP="009A101B">
      <w:pPr>
        <w:spacing w:before="100" w:beforeAutospacing="1" w:after="100" w:afterAutospacing="1" w:line="240" w:lineRule="auto"/>
        <w:jc w:val="both"/>
        <w:rPr>
          <w:rFonts w:ascii="Times New Roman" w:hAnsi="Times New Roman" w:cs="Times New Roman"/>
        </w:rPr>
      </w:pPr>
      <w:r w:rsidRPr="009A101B">
        <w:rPr>
          <w:rFonts w:ascii="Times New Roman" w:hAnsi="Times New Roman" w:cs="Times New Roman"/>
        </w:rPr>
        <w:t>En tercer lugar, las diferencias disciplinares en los patrones de inserción exigen una política universitaria y científica que no puede ser homogénea. Las humanidades y las ciencias sociales enfrentan desafíos de inserción cualitativamente diferentes de los de las ciencias naturales o las ingenierías, y que no pueden resolverse con los mismos instrumentos. La escasa presencia del sector privado como destino laboral para los doctores en humanidades no es el resultado de una inadecuación de la formación: es el reflejo de una estructura económica que no ha desarrollado mecanismos de valorización del conocimiento humanístico fuera del sistema educativo público. La respuesta política a esta situación no puede ser exclusivamente la exhortación a los doctores a diversificarse: debe incluir la creación de condiciones institucionales —posiciones, financiamiento, reconocimiento— que hagan posible esa diversificación en términos laboralmente dignos y académicamente productivos.</w:t>
      </w:r>
    </w:p>
    <w:p w14:paraId="19046EF9" w14:textId="77777777" w:rsidR="009A101B" w:rsidRPr="009A101B" w:rsidRDefault="009A101B" w:rsidP="009A101B">
      <w:pPr>
        <w:spacing w:before="100" w:beforeAutospacing="1" w:after="100" w:afterAutospacing="1" w:line="240" w:lineRule="auto"/>
        <w:jc w:val="both"/>
        <w:rPr>
          <w:rFonts w:ascii="Times New Roman" w:hAnsi="Times New Roman" w:cs="Times New Roman"/>
        </w:rPr>
      </w:pPr>
      <w:r w:rsidRPr="009A101B">
        <w:rPr>
          <w:rFonts w:ascii="Times New Roman" w:hAnsi="Times New Roman" w:cs="Times New Roman"/>
        </w:rPr>
        <w:t>En cuarto lugar, el dato sobre la intención de emigrar merece una reflexión específica. Argentina ha invertido recursos públicos considerables en la formación de estos doctores —a través de becas que pueden alcanzar varios años de financiamiento, posiciones docentes, infraestructura universitaria, subsidios de investigación— y la emigración masiva de graduados no solo implica la pérdida de ese capital humano: implica también la ruptura de las redes de colaboración construidas durante el doctorado, la descapitalización de los equipos de investigación y el debilitamiento de la capacidad científica nacional en el mediano y largo plazo. La migración internacional de científicos no es en sí misma negativa —puede ser una forma de intercambio y circulación de conocimiento que enriquece al sistema— pero cuando adopta la forma de una salida irreversible ante la imposibilidad de continuar trabajando en condiciones materialmente aceptables, constituye un síntoma de crisis sistémica de una gravedad que trasciende lo económico y que compromete la propia reproducción del campo científico.</w:t>
      </w:r>
    </w:p>
    <w:p w14:paraId="5A221222" w14:textId="77777777" w:rsidR="009A101B" w:rsidRPr="009A101B" w:rsidRDefault="009A101B" w:rsidP="009A101B">
      <w:pPr>
        <w:spacing w:before="100" w:beforeAutospacing="1" w:after="100" w:afterAutospacing="1" w:line="240" w:lineRule="auto"/>
        <w:jc w:val="both"/>
        <w:rPr>
          <w:rFonts w:ascii="Times New Roman" w:hAnsi="Times New Roman" w:cs="Times New Roman"/>
        </w:rPr>
      </w:pPr>
      <w:r w:rsidRPr="009A101B">
        <w:rPr>
          <w:rFonts w:ascii="Times New Roman" w:hAnsi="Times New Roman" w:cs="Times New Roman"/>
        </w:rPr>
        <w:t xml:space="preserve">Finalmente, los datos sobre satisfacción laboral —y en particular, la satisfacción salarial como la dimensión más crítica— ponen en evidencia la tensión entre la vocación científica y las condiciones materiales de su ejercicio. La </w:t>
      </w:r>
      <w:proofErr w:type="spellStart"/>
      <w:r w:rsidRPr="00BC3E5E">
        <w:rPr>
          <w:rFonts w:ascii="Times New Roman" w:hAnsi="Times New Roman" w:cs="Times New Roman"/>
          <w:i/>
        </w:rPr>
        <w:t>illusio</w:t>
      </w:r>
      <w:proofErr w:type="spellEnd"/>
      <w:r w:rsidRPr="00BC3E5E">
        <w:rPr>
          <w:rFonts w:ascii="Times New Roman" w:hAnsi="Times New Roman" w:cs="Times New Roman"/>
          <w:i/>
        </w:rPr>
        <w:t xml:space="preserve"> académica</w:t>
      </w:r>
      <w:r w:rsidRPr="009A101B">
        <w:rPr>
          <w:rFonts w:ascii="Times New Roman" w:hAnsi="Times New Roman" w:cs="Times New Roman"/>
        </w:rPr>
        <w:t xml:space="preserve">, la adhesión </w:t>
      </w:r>
      <w:r w:rsidRPr="009A101B">
        <w:rPr>
          <w:rFonts w:ascii="Times New Roman" w:hAnsi="Times New Roman" w:cs="Times New Roman"/>
        </w:rPr>
        <w:lastRenderedPageBreak/>
        <w:t xml:space="preserve">al juego del campo que sostiene la inversión en la carrera científica, puede mantenerse durante períodos de adversidad objetiva, pero no indefinidamente. Cuando las condiciones de trabajo se deterioran de manera sostenida, cuando los salarios pierden poder adquisitivo, cuando la incertidumbre contractual se convierte en el estado normal de los investigadores jóvenes, la </w:t>
      </w:r>
      <w:proofErr w:type="spellStart"/>
      <w:r w:rsidRPr="009A101B">
        <w:rPr>
          <w:rFonts w:ascii="Times New Roman" w:hAnsi="Times New Roman" w:cs="Times New Roman"/>
        </w:rPr>
        <w:t>illusio</w:t>
      </w:r>
      <w:proofErr w:type="spellEnd"/>
      <w:r w:rsidRPr="009A101B">
        <w:rPr>
          <w:rFonts w:ascii="Times New Roman" w:hAnsi="Times New Roman" w:cs="Times New Roman"/>
        </w:rPr>
        <w:t xml:space="preserve"> comienza a quebrarse. Los datos sobre intención de emigración y sobre insatisfacción salarial son la cara cuantitativa de ese quiebre. Las entrevistas revelan su cara vivida: la de doctores que amaron lo que aprendieron y que dudan, cada vez más, de si pueden seguir haciéndolo en Argentina.</w:t>
      </w:r>
    </w:p>
    <w:p w14:paraId="681E8DB9" w14:textId="77777777" w:rsidR="009A101B" w:rsidRPr="009A101B" w:rsidRDefault="009A101B" w:rsidP="009A101B">
      <w:pPr>
        <w:rPr>
          <w:rFonts w:ascii="Times New Roman" w:hAnsi="Times New Roman" w:cs="Times New Roman"/>
          <w:b/>
        </w:rPr>
      </w:pPr>
      <w:r w:rsidRPr="009A101B">
        <w:rPr>
          <w:rFonts w:ascii="Times New Roman" w:hAnsi="Times New Roman" w:cs="Times New Roman"/>
          <w:b/>
        </w:rPr>
        <w:t>6. Conclusiones: hacia una política doctoral en tiempos de crisis</w:t>
      </w:r>
    </w:p>
    <w:p w14:paraId="772FD735" w14:textId="77777777" w:rsidR="009A101B" w:rsidRPr="009A101B" w:rsidRDefault="009A101B" w:rsidP="009A101B">
      <w:pPr>
        <w:spacing w:before="100" w:beforeAutospacing="1" w:after="100" w:afterAutospacing="1" w:line="240" w:lineRule="auto"/>
        <w:jc w:val="both"/>
        <w:rPr>
          <w:rFonts w:ascii="Times New Roman" w:hAnsi="Times New Roman" w:cs="Times New Roman"/>
        </w:rPr>
      </w:pPr>
      <w:r w:rsidRPr="009A101B">
        <w:rPr>
          <w:rFonts w:ascii="Times New Roman" w:hAnsi="Times New Roman" w:cs="Times New Roman"/>
        </w:rPr>
        <w:t>La investigación cuyos avances se exponen en esta ponencia permite sostener que el problema del destino doctoral en Argentina no es, fundamentalmente, un problema de empleabilidad individual ni de desajuste entre competencias y demandas del mercado. Es, en su núcleo, un problema político: el resultado de decisiones —y de ausencias de decisión— sobre el financiamiento, la expansión y la orientación del sistema científico-tecnológico nacional. La formación doctoral de alto nivel requiere tiempo, recursos y condiciones institucionales estables; cuando esas condiciones se degradan o se vuelven inciertas, el sistema pierde su capacidad de producir y retener a los investigadores que ha formado, y las inversiones realizadas —tanto públicas como individuales— no generan los retornos esperados para la sociedad que las realizó.</w:t>
      </w:r>
    </w:p>
    <w:p w14:paraId="016006C4" w14:textId="77777777" w:rsidR="009A101B" w:rsidRPr="009A101B" w:rsidRDefault="009A101B" w:rsidP="009A101B">
      <w:pPr>
        <w:spacing w:before="100" w:beforeAutospacing="1" w:after="100" w:afterAutospacing="1" w:line="240" w:lineRule="auto"/>
        <w:jc w:val="both"/>
        <w:rPr>
          <w:rFonts w:ascii="Times New Roman" w:hAnsi="Times New Roman" w:cs="Times New Roman"/>
        </w:rPr>
      </w:pPr>
      <w:r w:rsidRPr="009A101B">
        <w:rPr>
          <w:rFonts w:ascii="Times New Roman" w:hAnsi="Times New Roman" w:cs="Times New Roman"/>
        </w:rPr>
        <w:t>Los datos presentados indican que la mayoría de los doctores de la UBA está trabajando, y que una proporción significativa lo hace en empleos relacionados con su formación. Pero esa inserción está atravesada por la precariedad contractual, la insatisfacción salarial pronunciada, la incertidumbre sobre la continuidad del financiamiento de investigación, y la tentación —o la necesidad— de emigrar hacia sistemas científicos que ofrecen mejores condiciones. El capital académico acumulado durante el doctorado no encuentra condiciones materiales que permitan su pleno despliegue, lo que genera un desperdicio estructural de formación: graduados altamente calificados que trabajan en condiciones que no les permiten desarrollar líneas de investigación sostenidas, construir las trayectorias que su formación haría posibles, ni contribuir plenamente al sistema científico en el que fueron formados.</w:t>
      </w:r>
    </w:p>
    <w:p w14:paraId="5BF04014" w14:textId="77777777" w:rsidR="009A101B" w:rsidRPr="009A101B" w:rsidRDefault="009A101B" w:rsidP="009A101B">
      <w:pPr>
        <w:spacing w:before="100" w:beforeAutospacing="1" w:after="100" w:afterAutospacing="1" w:line="240" w:lineRule="auto"/>
        <w:jc w:val="both"/>
        <w:rPr>
          <w:rFonts w:ascii="Times New Roman" w:hAnsi="Times New Roman" w:cs="Times New Roman"/>
        </w:rPr>
      </w:pPr>
      <w:r w:rsidRPr="009A101B">
        <w:rPr>
          <w:rFonts w:ascii="Times New Roman" w:hAnsi="Times New Roman" w:cs="Times New Roman"/>
        </w:rPr>
        <w:t>Las diferencias disciplinares documentadas obligan a pensar políticas diferenciadas. La talla única no funciona para un sistema tan diverso como el de la UBA: lo que necesitan los doctores en Ciencias Exactas para insertarse en el sector privado no es lo mismo que lo que necesitan los doctores en Filosofía para encontrar espacios laborales más allá del sistema universitario, y lo que necesitan ambos es diferente a lo que necesitan los doctores en Medicina para valorizar su entrenamiento investigativo. Una política doctoral inteligente debe mapear estas diferencias, identificar los obstáculos específicos de cada área y diseñar intervenciones focalizadas que reconozcan la heterogeneidad del campo.</w:t>
      </w:r>
    </w:p>
    <w:p w14:paraId="2AD725EC" w14:textId="77777777" w:rsidR="009A101B" w:rsidRPr="009A101B" w:rsidRDefault="009A101B" w:rsidP="009A101B">
      <w:pPr>
        <w:spacing w:before="100" w:beforeAutospacing="1" w:after="100" w:afterAutospacing="1" w:line="240" w:lineRule="auto"/>
        <w:jc w:val="both"/>
        <w:rPr>
          <w:rFonts w:ascii="Times New Roman" w:hAnsi="Times New Roman" w:cs="Times New Roman"/>
        </w:rPr>
      </w:pPr>
      <w:r w:rsidRPr="009A101B">
        <w:rPr>
          <w:rFonts w:ascii="Times New Roman" w:hAnsi="Times New Roman" w:cs="Times New Roman"/>
        </w:rPr>
        <w:t xml:space="preserve">La respuesta a la crisis actual no puede limitarse a reformas curriculares del doctorado, ni a la incorporación de módulos de empleabilidad o de orientación profesional. Requiere, </w:t>
      </w:r>
      <w:r w:rsidRPr="009A101B">
        <w:rPr>
          <w:rFonts w:ascii="Times New Roman" w:hAnsi="Times New Roman" w:cs="Times New Roman"/>
        </w:rPr>
        <w:lastRenderedPageBreak/>
        <w:t>en cambio, una decisión política sobre el lugar que la ciencia y la formación doctoral ocupan en el proyecto de desarrollo del país: financiamiento sostenido del sistema científico, creación de posiciones estables para investigadores jóvenes, articulación entre el sistema universitario y los sectores productivos en términos que no impliquen la subordinación de la agenda científica a los intereses de corto plazo del mercado, y una política activa de retención de talentos que haga posible la permanencia en Argentina de quienes aquí se han formado.</w:t>
      </w:r>
    </w:p>
    <w:p w14:paraId="1AD687D5" w14:textId="77777777" w:rsidR="009A101B" w:rsidRPr="009A101B" w:rsidRDefault="009A101B" w:rsidP="009A101B">
      <w:pPr>
        <w:spacing w:before="100" w:beforeAutospacing="1" w:after="100" w:afterAutospacing="1" w:line="240" w:lineRule="auto"/>
        <w:jc w:val="both"/>
        <w:rPr>
          <w:rFonts w:ascii="Times New Roman" w:hAnsi="Times New Roman" w:cs="Times New Roman"/>
        </w:rPr>
      </w:pPr>
      <w:r w:rsidRPr="009A101B">
        <w:rPr>
          <w:rFonts w:ascii="Times New Roman" w:hAnsi="Times New Roman" w:cs="Times New Roman"/>
        </w:rPr>
        <w:t>El doctorado es, en definitiva, una apuesta por el futuro: una inversión colectiva en la capacidad de una sociedad de producir, comprender y transformar su propia realidad. El debilitamiento de las condiciones para realizar esa apuesta —en un momento histórico en que la complejidad de los desafíos globales requiere más ciencia, no menos— no es un ajuste técnico ni una necesidad fiscal: es también una decisión sobre qué tipo de sociedad y qué tipo de futuro son posibles. Los doctores que consideran emigrar, los que trabajan por debajo de su potencial, los que sostienen su vocación científica a pesar de las condiciones objetivas, no son estadísticas: son el resultado visible de ese tipo de decisiones.</w:t>
      </w:r>
    </w:p>
    <w:p w14:paraId="3325B997" w14:textId="77777777" w:rsidR="009A101B" w:rsidRPr="009A101B" w:rsidRDefault="009A101B" w:rsidP="009A101B">
      <w:pPr>
        <w:rPr>
          <w:b/>
        </w:rPr>
      </w:pPr>
      <w:r w:rsidRPr="009A101B">
        <w:rPr>
          <w:b/>
        </w:rPr>
        <w:t>Referencias bibliográficas</w:t>
      </w:r>
    </w:p>
    <w:p w14:paraId="494DAD12" w14:textId="77777777" w:rsidR="009A101B" w:rsidRPr="009A101B" w:rsidRDefault="009A101B" w:rsidP="009A101B">
      <w:pPr>
        <w:spacing w:before="100" w:beforeAutospacing="1" w:after="100" w:afterAutospacing="1" w:line="240" w:lineRule="auto"/>
        <w:jc w:val="both"/>
        <w:rPr>
          <w:rFonts w:ascii="Times New Roman" w:hAnsi="Times New Roman" w:cs="Times New Roman"/>
        </w:rPr>
      </w:pPr>
      <w:r w:rsidRPr="009A101B">
        <w:rPr>
          <w:rFonts w:ascii="Times New Roman" w:hAnsi="Times New Roman" w:cs="Times New Roman"/>
        </w:rPr>
        <w:t xml:space="preserve">Bourdieu, P. (1984). Homo </w:t>
      </w:r>
      <w:proofErr w:type="spellStart"/>
      <w:r w:rsidRPr="009A101B">
        <w:rPr>
          <w:rFonts w:ascii="Times New Roman" w:hAnsi="Times New Roman" w:cs="Times New Roman"/>
        </w:rPr>
        <w:t>academicus</w:t>
      </w:r>
      <w:proofErr w:type="spellEnd"/>
      <w:r w:rsidRPr="009A101B">
        <w:rPr>
          <w:rFonts w:ascii="Times New Roman" w:hAnsi="Times New Roman" w:cs="Times New Roman"/>
        </w:rPr>
        <w:t xml:space="preserve">. Les </w:t>
      </w:r>
      <w:proofErr w:type="spellStart"/>
      <w:r w:rsidRPr="009A101B">
        <w:rPr>
          <w:rFonts w:ascii="Times New Roman" w:hAnsi="Times New Roman" w:cs="Times New Roman"/>
        </w:rPr>
        <w:t>Éditions</w:t>
      </w:r>
      <w:proofErr w:type="spellEnd"/>
      <w:r w:rsidRPr="009A101B">
        <w:rPr>
          <w:rFonts w:ascii="Times New Roman" w:hAnsi="Times New Roman" w:cs="Times New Roman"/>
        </w:rPr>
        <w:t xml:space="preserve"> de </w:t>
      </w:r>
      <w:proofErr w:type="spellStart"/>
      <w:r w:rsidRPr="009A101B">
        <w:rPr>
          <w:rFonts w:ascii="Times New Roman" w:hAnsi="Times New Roman" w:cs="Times New Roman"/>
        </w:rPr>
        <w:t>Minuit</w:t>
      </w:r>
      <w:proofErr w:type="spellEnd"/>
      <w:r w:rsidRPr="009A101B">
        <w:rPr>
          <w:rFonts w:ascii="Times New Roman" w:hAnsi="Times New Roman" w:cs="Times New Roman"/>
        </w:rPr>
        <w:t>.</w:t>
      </w:r>
    </w:p>
    <w:p w14:paraId="43F575DD" w14:textId="77777777" w:rsidR="009A101B" w:rsidRPr="009A101B" w:rsidRDefault="009A101B" w:rsidP="009A101B">
      <w:pPr>
        <w:spacing w:before="100" w:beforeAutospacing="1" w:after="100" w:afterAutospacing="1" w:line="240" w:lineRule="auto"/>
        <w:jc w:val="both"/>
        <w:rPr>
          <w:rFonts w:ascii="Times New Roman" w:hAnsi="Times New Roman" w:cs="Times New Roman"/>
        </w:rPr>
      </w:pPr>
      <w:r w:rsidRPr="009A101B">
        <w:rPr>
          <w:rFonts w:ascii="Times New Roman" w:hAnsi="Times New Roman" w:cs="Times New Roman"/>
        </w:rPr>
        <w:t>Bourdieu, P. (2008). El sentido práctico. Siglo XXI Editores.</w:t>
      </w:r>
    </w:p>
    <w:p w14:paraId="3AB76F76" w14:textId="251DDE15" w:rsidR="009A101B" w:rsidRDefault="009A101B" w:rsidP="009A101B">
      <w:pPr>
        <w:spacing w:before="100" w:beforeAutospacing="1" w:after="100" w:afterAutospacing="1" w:line="240" w:lineRule="auto"/>
        <w:jc w:val="both"/>
        <w:rPr>
          <w:rFonts w:ascii="Times New Roman" w:hAnsi="Times New Roman" w:cs="Times New Roman"/>
        </w:rPr>
      </w:pPr>
      <w:proofErr w:type="spellStart"/>
      <w:r w:rsidRPr="009A101B">
        <w:rPr>
          <w:rFonts w:ascii="Times New Roman" w:hAnsi="Times New Roman" w:cs="Times New Roman"/>
        </w:rPr>
        <w:t>Buchbinder</w:t>
      </w:r>
      <w:proofErr w:type="spellEnd"/>
      <w:r w:rsidRPr="009A101B">
        <w:rPr>
          <w:rFonts w:ascii="Times New Roman" w:hAnsi="Times New Roman" w:cs="Times New Roman"/>
        </w:rPr>
        <w:t>, P. (2010). Historia de las universidades argentinas. Sudamericana.</w:t>
      </w:r>
    </w:p>
    <w:p w14:paraId="64E8746F" w14:textId="56B42CF5" w:rsidR="00BC3E5E" w:rsidRPr="00AC0E82" w:rsidRDefault="00BC3E5E" w:rsidP="00AC0E82">
      <w:pPr>
        <w:spacing w:before="100" w:beforeAutospacing="1" w:after="100" w:afterAutospacing="1" w:line="240" w:lineRule="auto"/>
        <w:jc w:val="both"/>
        <w:rPr>
          <w:rFonts w:ascii="Times New Roman" w:hAnsi="Times New Roman" w:cs="Times New Roman"/>
        </w:rPr>
      </w:pPr>
      <w:r w:rsidRPr="00AC0E82">
        <w:rPr>
          <w:rFonts w:ascii="Times New Roman" w:hAnsi="Times New Roman" w:cs="Times New Roman"/>
        </w:rPr>
        <w:t>Cruz Castro</w:t>
      </w:r>
      <w:r w:rsidRPr="00AC0E82">
        <w:rPr>
          <w:rFonts w:ascii="Times New Roman" w:hAnsi="Times New Roman" w:cs="Times New Roman"/>
        </w:rPr>
        <w:t>, L., S</w:t>
      </w:r>
      <w:r w:rsidRPr="00AC0E82">
        <w:rPr>
          <w:rFonts w:ascii="Times New Roman" w:hAnsi="Times New Roman" w:cs="Times New Roman"/>
        </w:rPr>
        <w:t>anz</w:t>
      </w:r>
      <w:r w:rsidRPr="00AC0E82">
        <w:rPr>
          <w:rFonts w:ascii="Times New Roman" w:hAnsi="Times New Roman" w:cs="Times New Roman"/>
        </w:rPr>
        <w:t xml:space="preserve"> </w:t>
      </w:r>
      <w:proofErr w:type="spellStart"/>
      <w:r w:rsidRPr="00AC0E82">
        <w:rPr>
          <w:rFonts w:ascii="Times New Roman" w:hAnsi="Times New Roman" w:cs="Times New Roman"/>
        </w:rPr>
        <w:t>M</w:t>
      </w:r>
      <w:r w:rsidRPr="00AC0E82">
        <w:rPr>
          <w:rFonts w:ascii="Times New Roman" w:hAnsi="Times New Roman" w:cs="Times New Roman"/>
        </w:rPr>
        <w:t>enendez</w:t>
      </w:r>
      <w:proofErr w:type="spellEnd"/>
      <w:r w:rsidRPr="00AC0E82">
        <w:rPr>
          <w:rFonts w:ascii="Times New Roman" w:hAnsi="Times New Roman" w:cs="Times New Roman"/>
        </w:rPr>
        <w:t xml:space="preserve">, L. (2010). </w:t>
      </w:r>
      <w:r w:rsidRPr="00AC0E82">
        <w:rPr>
          <w:rFonts w:ascii="Times New Roman" w:hAnsi="Times New Roman" w:cs="Times New Roman"/>
          <w:lang w:val="en-US"/>
        </w:rPr>
        <w:t xml:space="preserve">Mobility versus job stability: Assessing tenure and productivity outcomes. </w:t>
      </w:r>
      <w:proofErr w:type="spellStart"/>
      <w:r w:rsidRPr="00AC0E82">
        <w:rPr>
          <w:rFonts w:ascii="Times New Roman" w:hAnsi="Times New Roman" w:cs="Times New Roman"/>
          <w:i/>
          <w:iCs/>
        </w:rPr>
        <w:t>Research</w:t>
      </w:r>
      <w:proofErr w:type="spellEnd"/>
      <w:r w:rsidRPr="00AC0E82">
        <w:rPr>
          <w:rFonts w:ascii="Times New Roman" w:hAnsi="Times New Roman" w:cs="Times New Roman"/>
          <w:i/>
          <w:iCs/>
        </w:rPr>
        <w:t xml:space="preserve"> </w:t>
      </w:r>
      <w:proofErr w:type="spellStart"/>
      <w:r w:rsidRPr="00AC0E82">
        <w:rPr>
          <w:rFonts w:ascii="Times New Roman" w:hAnsi="Times New Roman" w:cs="Times New Roman"/>
          <w:i/>
          <w:iCs/>
        </w:rPr>
        <w:t>Policy</w:t>
      </w:r>
      <w:proofErr w:type="spellEnd"/>
      <w:r w:rsidRPr="00AC0E82">
        <w:rPr>
          <w:rFonts w:ascii="Times New Roman" w:hAnsi="Times New Roman" w:cs="Times New Roman"/>
        </w:rPr>
        <w:t>, 39(1): 27-38.</w:t>
      </w:r>
    </w:p>
    <w:p w14:paraId="44C7BCA3" w14:textId="3202CC3E" w:rsidR="00BC3E5E" w:rsidRPr="00AC0E82" w:rsidRDefault="00BC3E5E" w:rsidP="00AC0E82">
      <w:pPr>
        <w:spacing w:before="100" w:beforeAutospacing="1" w:after="100" w:afterAutospacing="1" w:line="240" w:lineRule="auto"/>
        <w:jc w:val="both"/>
        <w:rPr>
          <w:rFonts w:ascii="Times New Roman" w:hAnsi="Times New Roman" w:cs="Times New Roman"/>
        </w:rPr>
      </w:pPr>
      <w:r w:rsidRPr="00AC0E82">
        <w:rPr>
          <w:rFonts w:ascii="Times New Roman" w:hAnsi="Times New Roman" w:cs="Times New Roman"/>
        </w:rPr>
        <w:t>E</w:t>
      </w:r>
      <w:r w:rsidRPr="00AC0E82">
        <w:rPr>
          <w:rFonts w:ascii="Times New Roman" w:hAnsi="Times New Roman" w:cs="Times New Roman"/>
        </w:rPr>
        <w:t>miliozzi</w:t>
      </w:r>
      <w:r w:rsidRPr="00AC0E82">
        <w:rPr>
          <w:rFonts w:ascii="Times New Roman" w:hAnsi="Times New Roman" w:cs="Times New Roman"/>
        </w:rPr>
        <w:t xml:space="preserve">, S. (2015). Tendencias Mundiales en la Formación e Inserción de Recursos Humanos Altamente Calificados. </w:t>
      </w:r>
      <w:r w:rsidRPr="00AC0E82">
        <w:rPr>
          <w:rFonts w:ascii="Times New Roman" w:hAnsi="Times New Roman" w:cs="Times New Roman"/>
          <w:i/>
          <w:iCs/>
        </w:rPr>
        <w:t>Revista Sociedad</w:t>
      </w:r>
      <w:r w:rsidRPr="00AC0E82">
        <w:rPr>
          <w:rFonts w:ascii="Times New Roman" w:hAnsi="Times New Roman" w:cs="Times New Roman"/>
        </w:rPr>
        <w:t>, 33, 39-72.</w:t>
      </w:r>
    </w:p>
    <w:p w14:paraId="3D9C8BC9" w14:textId="6DC11B2D" w:rsidR="00BC3E5E" w:rsidRPr="00AC0E82" w:rsidRDefault="00BC3E5E" w:rsidP="00AC0E82">
      <w:pPr>
        <w:spacing w:before="100" w:beforeAutospacing="1" w:after="100" w:afterAutospacing="1" w:line="240" w:lineRule="auto"/>
        <w:jc w:val="both"/>
        <w:rPr>
          <w:rFonts w:ascii="Times New Roman" w:hAnsi="Times New Roman" w:cs="Times New Roman"/>
        </w:rPr>
      </w:pPr>
      <w:r w:rsidRPr="00AC0E82">
        <w:rPr>
          <w:rFonts w:ascii="Times New Roman" w:hAnsi="Times New Roman" w:cs="Times New Roman"/>
        </w:rPr>
        <w:t>Emiliozzi</w:t>
      </w:r>
      <w:r w:rsidRPr="00AC0E82">
        <w:rPr>
          <w:rFonts w:ascii="Times New Roman" w:hAnsi="Times New Roman" w:cs="Times New Roman"/>
        </w:rPr>
        <w:t xml:space="preserve">, S. (2020). Los/as Doctores/as en Ciencias Sociales en Argentina. Un análisis de sus trayectorias formativas, </w:t>
      </w:r>
      <w:r w:rsidRPr="00AC0E82">
        <w:rPr>
          <w:rFonts w:ascii="Times New Roman" w:hAnsi="Times New Roman" w:cs="Times New Roman"/>
          <w:i/>
          <w:iCs/>
        </w:rPr>
        <w:t>Revista Argumentos nº 22</w:t>
      </w:r>
      <w:r w:rsidRPr="00AC0E82">
        <w:rPr>
          <w:rFonts w:ascii="Times New Roman" w:hAnsi="Times New Roman" w:cs="Times New Roman"/>
        </w:rPr>
        <w:t>, IIGG.</w:t>
      </w:r>
    </w:p>
    <w:p w14:paraId="05DD8CE5" w14:textId="39D53833" w:rsidR="00BC3E5E" w:rsidRPr="009A101B" w:rsidRDefault="00AC0E82" w:rsidP="009A101B">
      <w:pPr>
        <w:spacing w:before="100" w:beforeAutospacing="1" w:after="100" w:afterAutospacing="1" w:line="240" w:lineRule="auto"/>
        <w:jc w:val="both"/>
        <w:rPr>
          <w:rFonts w:ascii="Times New Roman" w:hAnsi="Times New Roman" w:cs="Times New Roman"/>
        </w:rPr>
      </w:pPr>
      <w:r w:rsidRPr="00AC0E82">
        <w:rPr>
          <w:rFonts w:ascii="Times New Roman" w:hAnsi="Times New Roman" w:cs="Times New Roman"/>
        </w:rPr>
        <w:t>Fernández</w:t>
      </w:r>
      <w:r w:rsidR="00BC3E5E" w:rsidRPr="00AC0E82">
        <w:rPr>
          <w:rFonts w:ascii="Times New Roman" w:hAnsi="Times New Roman" w:cs="Times New Roman"/>
        </w:rPr>
        <w:t xml:space="preserve"> </w:t>
      </w:r>
      <w:proofErr w:type="spellStart"/>
      <w:r w:rsidR="00BC3E5E" w:rsidRPr="00AC0E82">
        <w:rPr>
          <w:rFonts w:ascii="Times New Roman" w:hAnsi="Times New Roman" w:cs="Times New Roman"/>
        </w:rPr>
        <w:t>Lamarra</w:t>
      </w:r>
      <w:proofErr w:type="spellEnd"/>
      <w:r w:rsidR="00BC3E5E" w:rsidRPr="00AC0E82">
        <w:rPr>
          <w:rFonts w:ascii="Times New Roman" w:hAnsi="Times New Roman" w:cs="Times New Roman"/>
        </w:rPr>
        <w:t>, Norberto y M</w:t>
      </w:r>
      <w:r w:rsidRPr="00AC0E82">
        <w:rPr>
          <w:rFonts w:ascii="Times New Roman" w:hAnsi="Times New Roman" w:cs="Times New Roman"/>
        </w:rPr>
        <w:t>arquina</w:t>
      </w:r>
      <w:r w:rsidR="00BC3E5E" w:rsidRPr="00AC0E82">
        <w:rPr>
          <w:rFonts w:ascii="Times New Roman" w:hAnsi="Times New Roman" w:cs="Times New Roman"/>
        </w:rPr>
        <w:t>, Mónica. (coord.) (2011). El futuro de la Profesión Académica: desafíos para los países emergentes. Buenos Aires: EDUNTREF.</w:t>
      </w:r>
    </w:p>
    <w:p w14:paraId="2A3BC2FB" w14:textId="77777777" w:rsidR="009A101B" w:rsidRPr="009A101B" w:rsidRDefault="009A101B" w:rsidP="009A101B">
      <w:pPr>
        <w:spacing w:before="100" w:beforeAutospacing="1" w:after="100" w:afterAutospacing="1" w:line="240" w:lineRule="auto"/>
        <w:jc w:val="both"/>
        <w:rPr>
          <w:rFonts w:ascii="Times New Roman" w:hAnsi="Times New Roman" w:cs="Times New Roman"/>
        </w:rPr>
      </w:pPr>
      <w:r w:rsidRPr="009A101B">
        <w:rPr>
          <w:rFonts w:ascii="Times New Roman" w:hAnsi="Times New Roman" w:cs="Times New Roman"/>
        </w:rPr>
        <w:t xml:space="preserve">García de </w:t>
      </w:r>
      <w:proofErr w:type="spellStart"/>
      <w:r w:rsidRPr="009A101B">
        <w:rPr>
          <w:rFonts w:ascii="Times New Roman" w:hAnsi="Times New Roman" w:cs="Times New Roman"/>
        </w:rPr>
        <w:t>Fanelli</w:t>
      </w:r>
      <w:proofErr w:type="spellEnd"/>
      <w:r w:rsidRPr="009A101B">
        <w:rPr>
          <w:rFonts w:ascii="Times New Roman" w:hAnsi="Times New Roman" w:cs="Times New Roman"/>
        </w:rPr>
        <w:t>, A. (2008). Profesión académica en la Argentina: Carrera e incentivos a los docentes en las universidades nacionales. CEDES.</w:t>
      </w:r>
    </w:p>
    <w:p w14:paraId="51B3EB1A" w14:textId="77777777" w:rsidR="009A101B" w:rsidRPr="009A101B" w:rsidRDefault="009A101B" w:rsidP="009A101B">
      <w:pPr>
        <w:spacing w:before="100" w:beforeAutospacing="1" w:after="100" w:afterAutospacing="1" w:line="240" w:lineRule="auto"/>
        <w:jc w:val="both"/>
        <w:rPr>
          <w:rFonts w:ascii="Times New Roman" w:hAnsi="Times New Roman" w:cs="Times New Roman"/>
        </w:rPr>
      </w:pPr>
      <w:r w:rsidRPr="009A101B">
        <w:rPr>
          <w:rFonts w:ascii="Times New Roman" w:hAnsi="Times New Roman" w:cs="Times New Roman"/>
        </w:rPr>
        <w:t xml:space="preserve">García de </w:t>
      </w:r>
      <w:proofErr w:type="spellStart"/>
      <w:r w:rsidRPr="009A101B">
        <w:rPr>
          <w:rFonts w:ascii="Times New Roman" w:hAnsi="Times New Roman" w:cs="Times New Roman"/>
        </w:rPr>
        <w:t>Fanelli</w:t>
      </w:r>
      <w:proofErr w:type="spellEnd"/>
      <w:r w:rsidRPr="009A101B">
        <w:rPr>
          <w:rFonts w:ascii="Times New Roman" w:hAnsi="Times New Roman" w:cs="Times New Roman"/>
        </w:rPr>
        <w:t>, A. (2018). La cuestión de la graduación en las universidades nacionales de la Argentina: Indicadores y políticas públicas a comienzos del siglo XXI. Propuesta Educativa, 27(49), 20–31.</w:t>
      </w:r>
    </w:p>
    <w:p w14:paraId="7E4F2F11" w14:textId="77777777" w:rsidR="009A101B" w:rsidRPr="009A101B" w:rsidRDefault="009A101B" w:rsidP="009A101B">
      <w:pPr>
        <w:spacing w:before="100" w:beforeAutospacing="1" w:after="100" w:afterAutospacing="1" w:line="240" w:lineRule="auto"/>
        <w:jc w:val="both"/>
        <w:rPr>
          <w:rFonts w:ascii="Times New Roman" w:hAnsi="Times New Roman" w:cs="Times New Roman"/>
        </w:rPr>
      </w:pPr>
      <w:proofErr w:type="spellStart"/>
      <w:r w:rsidRPr="009A101B">
        <w:rPr>
          <w:rFonts w:ascii="Times New Roman" w:hAnsi="Times New Roman" w:cs="Times New Roman"/>
        </w:rPr>
        <w:lastRenderedPageBreak/>
        <w:t>Musselin</w:t>
      </w:r>
      <w:proofErr w:type="spellEnd"/>
      <w:r w:rsidRPr="009A101B">
        <w:rPr>
          <w:rFonts w:ascii="Times New Roman" w:hAnsi="Times New Roman" w:cs="Times New Roman"/>
        </w:rPr>
        <w:t xml:space="preserve">, C. (2007). </w:t>
      </w:r>
      <w:proofErr w:type="spellStart"/>
      <w:r w:rsidRPr="009A101B">
        <w:rPr>
          <w:rFonts w:ascii="Times New Roman" w:hAnsi="Times New Roman" w:cs="Times New Roman"/>
        </w:rPr>
        <w:t>The</w:t>
      </w:r>
      <w:proofErr w:type="spellEnd"/>
      <w:r w:rsidRPr="009A101B">
        <w:rPr>
          <w:rFonts w:ascii="Times New Roman" w:hAnsi="Times New Roman" w:cs="Times New Roman"/>
        </w:rPr>
        <w:t xml:space="preserve"> </w:t>
      </w:r>
      <w:proofErr w:type="spellStart"/>
      <w:r w:rsidRPr="009A101B">
        <w:rPr>
          <w:rFonts w:ascii="Times New Roman" w:hAnsi="Times New Roman" w:cs="Times New Roman"/>
        </w:rPr>
        <w:t>transformation</w:t>
      </w:r>
      <w:proofErr w:type="spellEnd"/>
      <w:r w:rsidRPr="009A101B">
        <w:rPr>
          <w:rFonts w:ascii="Times New Roman" w:hAnsi="Times New Roman" w:cs="Times New Roman"/>
        </w:rPr>
        <w:t xml:space="preserve"> of </w:t>
      </w:r>
      <w:proofErr w:type="spellStart"/>
      <w:r w:rsidRPr="009A101B">
        <w:rPr>
          <w:rFonts w:ascii="Times New Roman" w:hAnsi="Times New Roman" w:cs="Times New Roman"/>
        </w:rPr>
        <w:t>academic</w:t>
      </w:r>
      <w:proofErr w:type="spellEnd"/>
      <w:r w:rsidRPr="009A101B">
        <w:rPr>
          <w:rFonts w:ascii="Times New Roman" w:hAnsi="Times New Roman" w:cs="Times New Roman"/>
        </w:rPr>
        <w:t xml:space="preserve"> </w:t>
      </w:r>
      <w:proofErr w:type="spellStart"/>
      <w:r w:rsidRPr="009A101B">
        <w:rPr>
          <w:rFonts w:ascii="Times New Roman" w:hAnsi="Times New Roman" w:cs="Times New Roman"/>
        </w:rPr>
        <w:t>work</w:t>
      </w:r>
      <w:proofErr w:type="spellEnd"/>
      <w:r w:rsidRPr="009A101B">
        <w:rPr>
          <w:rFonts w:ascii="Times New Roman" w:hAnsi="Times New Roman" w:cs="Times New Roman"/>
        </w:rPr>
        <w:t xml:space="preserve">: </w:t>
      </w:r>
      <w:proofErr w:type="spellStart"/>
      <w:r w:rsidRPr="009A101B">
        <w:rPr>
          <w:rFonts w:ascii="Times New Roman" w:hAnsi="Times New Roman" w:cs="Times New Roman"/>
        </w:rPr>
        <w:t>Facts</w:t>
      </w:r>
      <w:proofErr w:type="spellEnd"/>
      <w:r w:rsidRPr="009A101B">
        <w:rPr>
          <w:rFonts w:ascii="Times New Roman" w:hAnsi="Times New Roman" w:cs="Times New Roman"/>
        </w:rPr>
        <w:t xml:space="preserve"> and </w:t>
      </w:r>
      <w:proofErr w:type="spellStart"/>
      <w:r w:rsidRPr="009A101B">
        <w:rPr>
          <w:rFonts w:ascii="Times New Roman" w:hAnsi="Times New Roman" w:cs="Times New Roman"/>
        </w:rPr>
        <w:t>analysis</w:t>
      </w:r>
      <w:proofErr w:type="spellEnd"/>
      <w:r w:rsidRPr="009A101B">
        <w:rPr>
          <w:rFonts w:ascii="Times New Roman" w:hAnsi="Times New Roman" w:cs="Times New Roman"/>
        </w:rPr>
        <w:t xml:space="preserve">. </w:t>
      </w:r>
      <w:proofErr w:type="spellStart"/>
      <w:r w:rsidRPr="009A101B">
        <w:rPr>
          <w:rFonts w:ascii="Times New Roman" w:hAnsi="Times New Roman" w:cs="Times New Roman"/>
        </w:rPr>
        <w:t>Research</w:t>
      </w:r>
      <w:proofErr w:type="spellEnd"/>
      <w:r w:rsidRPr="009A101B">
        <w:rPr>
          <w:rFonts w:ascii="Times New Roman" w:hAnsi="Times New Roman" w:cs="Times New Roman"/>
        </w:rPr>
        <w:t xml:space="preserve"> &amp; </w:t>
      </w:r>
      <w:proofErr w:type="spellStart"/>
      <w:r w:rsidRPr="009A101B">
        <w:rPr>
          <w:rFonts w:ascii="Times New Roman" w:hAnsi="Times New Roman" w:cs="Times New Roman"/>
        </w:rPr>
        <w:t>Occasional</w:t>
      </w:r>
      <w:proofErr w:type="spellEnd"/>
      <w:r w:rsidRPr="009A101B">
        <w:rPr>
          <w:rFonts w:ascii="Times New Roman" w:hAnsi="Times New Roman" w:cs="Times New Roman"/>
        </w:rPr>
        <w:t xml:space="preserve"> </w:t>
      </w:r>
      <w:proofErr w:type="spellStart"/>
      <w:r w:rsidRPr="009A101B">
        <w:rPr>
          <w:rFonts w:ascii="Times New Roman" w:hAnsi="Times New Roman" w:cs="Times New Roman"/>
        </w:rPr>
        <w:t>Paper</w:t>
      </w:r>
      <w:proofErr w:type="spellEnd"/>
      <w:r w:rsidRPr="009A101B">
        <w:rPr>
          <w:rFonts w:ascii="Times New Roman" w:hAnsi="Times New Roman" w:cs="Times New Roman"/>
        </w:rPr>
        <w:t xml:space="preserve"> Series, CSHE 4.07. </w:t>
      </w:r>
      <w:proofErr w:type="spellStart"/>
      <w:r w:rsidRPr="009A101B">
        <w:rPr>
          <w:rFonts w:ascii="Times New Roman" w:hAnsi="Times New Roman" w:cs="Times New Roman"/>
        </w:rPr>
        <w:t>University</w:t>
      </w:r>
      <w:proofErr w:type="spellEnd"/>
      <w:r w:rsidRPr="009A101B">
        <w:rPr>
          <w:rFonts w:ascii="Times New Roman" w:hAnsi="Times New Roman" w:cs="Times New Roman"/>
        </w:rPr>
        <w:t xml:space="preserve"> of California, Berkeley.</w:t>
      </w:r>
    </w:p>
    <w:p w14:paraId="3ECD8B39" w14:textId="77777777" w:rsidR="009A101B" w:rsidRPr="009A101B" w:rsidRDefault="009A101B" w:rsidP="009A101B">
      <w:pPr>
        <w:spacing w:before="100" w:beforeAutospacing="1" w:after="100" w:afterAutospacing="1" w:line="240" w:lineRule="auto"/>
        <w:jc w:val="both"/>
        <w:rPr>
          <w:rFonts w:ascii="Times New Roman" w:hAnsi="Times New Roman" w:cs="Times New Roman"/>
        </w:rPr>
      </w:pPr>
      <w:proofErr w:type="spellStart"/>
      <w:r w:rsidRPr="009A101B">
        <w:rPr>
          <w:rFonts w:ascii="Times New Roman" w:hAnsi="Times New Roman" w:cs="Times New Roman"/>
        </w:rPr>
        <w:t>Naidorf</w:t>
      </w:r>
      <w:proofErr w:type="spellEnd"/>
      <w:r w:rsidRPr="009A101B">
        <w:rPr>
          <w:rFonts w:ascii="Times New Roman" w:hAnsi="Times New Roman" w:cs="Times New Roman"/>
        </w:rPr>
        <w:t>, J. (2011). Criterios de relevancia y pertinencia de la investigación universitaria y su traducción en forma de prioridades. Revista de la Educación Superior, 40(158), 81–103.</w:t>
      </w:r>
    </w:p>
    <w:p w14:paraId="6E62E0D9" w14:textId="77777777" w:rsidR="009A101B" w:rsidRPr="009A101B" w:rsidRDefault="009A101B" w:rsidP="009A101B">
      <w:pPr>
        <w:spacing w:before="100" w:beforeAutospacing="1" w:after="100" w:afterAutospacing="1" w:line="240" w:lineRule="auto"/>
        <w:jc w:val="both"/>
        <w:rPr>
          <w:rFonts w:ascii="Times New Roman" w:hAnsi="Times New Roman" w:cs="Times New Roman"/>
        </w:rPr>
      </w:pPr>
      <w:proofErr w:type="spellStart"/>
      <w:r w:rsidRPr="009A101B">
        <w:rPr>
          <w:rFonts w:ascii="Times New Roman" w:hAnsi="Times New Roman" w:cs="Times New Roman"/>
        </w:rPr>
        <w:t>Naidorf</w:t>
      </w:r>
      <w:proofErr w:type="spellEnd"/>
      <w:r w:rsidRPr="009A101B">
        <w:rPr>
          <w:rFonts w:ascii="Times New Roman" w:hAnsi="Times New Roman" w:cs="Times New Roman"/>
        </w:rPr>
        <w:t>, J. y Pérez Mora, R. (2012). Las condiciones de producción intelectual de los académicos en Argentina, México y Brasil. Miño y Dávila.</w:t>
      </w:r>
    </w:p>
    <w:p w14:paraId="6258C82F" w14:textId="77777777" w:rsidR="009A101B" w:rsidRPr="009A101B" w:rsidRDefault="009A101B" w:rsidP="009A101B">
      <w:pPr>
        <w:spacing w:before="100" w:beforeAutospacing="1" w:after="100" w:afterAutospacing="1" w:line="240" w:lineRule="auto"/>
        <w:jc w:val="both"/>
        <w:rPr>
          <w:rFonts w:ascii="Times New Roman" w:hAnsi="Times New Roman" w:cs="Times New Roman"/>
        </w:rPr>
      </w:pPr>
      <w:proofErr w:type="spellStart"/>
      <w:r w:rsidRPr="009A101B">
        <w:rPr>
          <w:rFonts w:ascii="Times New Roman" w:hAnsi="Times New Roman" w:cs="Times New Roman"/>
        </w:rPr>
        <w:t>Slaughter</w:t>
      </w:r>
      <w:proofErr w:type="spellEnd"/>
      <w:r w:rsidRPr="009A101B">
        <w:rPr>
          <w:rFonts w:ascii="Times New Roman" w:hAnsi="Times New Roman" w:cs="Times New Roman"/>
        </w:rPr>
        <w:t xml:space="preserve">, S. y </w:t>
      </w:r>
      <w:proofErr w:type="spellStart"/>
      <w:r w:rsidRPr="009A101B">
        <w:rPr>
          <w:rFonts w:ascii="Times New Roman" w:hAnsi="Times New Roman" w:cs="Times New Roman"/>
        </w:rPr>
        <w:t>Rhoades</w:t>
      </w:r>
      <w:proofErr w:type="spellEnd"/>
      <w:r w:rsidRPr="009A101B">
        <w:rPr>
          <w:rFonts w:ascii="Times New Roman" w:hAnsi="Times New Roman" w:cs="Times New Roman"/>
        </w:rPr>
        <w:t xml:space="preserve">, G. (2004). </w:t>
      </w:r>
      <w:proofErr w:type="spellStart"/>
      <w:r w:rsidRPr="009A101B">
        <w:rPr>
          <w:rFonts w:ascii="Times New Roman" w:hAnsi="Times New Roman" w:cs="Times New Roman"/>
        </w:rPr>
        <w:t>Academic</w:t>
      </w:r>
      <w:proofErr w:type="spellEnd"/>
      <w:r w:rsidRPr="009A101B">
        <w:rPr>
          <w:rFonts w:ascii="Times New Roman" w:hAnsi="Times New Roman" w:cs="Times New Roman"/>
        </w:rPr>
        <w:t xml:space="preserve"> </w:t>
      </w:r>
      <w:proofErr w:type="spellStart"/>
      <w:r w:rsidRPr="009A101B">
        <w:rPr>
          <w:rFonts w:ascii="Times New Roman" w:hAnsi="Times New Roman" w:cs="Times New Roman"/>
        </w:rPr>
        <w:t>capitalism</w:t>
      </w:r>
      <w:proofErr w:type="spellEnd"/>
      <w:r w:rsidRPr="009A101B">
        <w:rPr>
          <w:rFonts w:ascii="Times New Roman" w:hAnsi="Times New Roman" w:cs="Times New Roman"/>
        </w:rPr>
        <w:t xml:space="preserve"> and </w:t>
      </w:r>
      <w:proofErr w:type="spellStart"/>
      <w:r w:rsidRPr="009A101B">
        <w:rPr>
          <w:rFonts w:ascii="Times New Roman" w:hAnsi="Times New Roman" w:cs="Times New Roman"/>
        </w:rPr>
        <w:t>the</w:t>
      </w:r>
      <w:proofErr w:type="spellEnd"/>
      <w:r w:rsidRPr="009A101B">
        <w:rPr>
          <w:rFonts w:ascii="Times New Roman" w:hAnsi="Times New Roman" w:cs="Times New Roman"/>
        </w:rPr>
        <w:t xml:space="preserve"> new </w:t>
      </w:r>
      <w:proofErr w:type="spellStart"/>
      <w:r w:rsidRPr="009A101B">
        <w:rPr>
          <w:rFonts w:ascii="Times New Roman" w:hAnsi="Times New Roman" w:cs="Times New Roman"/>
        </w:rPr>
        <w:t>economy</w:t>
      </w:r>
      <w:proofErr w:type="spellEnd"/>
      <w:r w:rsidRPr="009A101B">
        <w:rPr>
          <w:rFonts w:ascii="Times New Roman" w:hAnsi="Times New Roman" w:cs="Times New Roman"/>
        </w:rPr>
        <w:t xml:space="preserve">: </w:t>
      </w:r>
      <w:proofErr w:type="spellStart"/>
      <w:r w:rsidRPr="009A101B">
        <w:rPr>
          <w:rFonts w:ascii="Times New Roman" w:hAnsi="Times New Roman" w:cs="Times New Roman"/>
        </w:rPr>
        <w:t>Markets</w:t>
      </w:r>
      <w:proofErr w:type="spellEnd"/>
      <w:r w:rsidRPr="009A101B">
        <w:rPr>
          <w:rFonts w:ascii="Times New Roman" w:hAnsi="Times New Roman" w:cs="Times New Roman"/>
        </w:rPr>
        <w:t xml:space="preserve">, </w:t>
      </w:r>
      <w:proofErr w:type="spellStart"/>
      <w:r w:rsidRPr="009A101B">
        <w:rPr>
          <w:rFonts w:ascii="Times New Roman" w:hAnsi="Times New Roman" w:cs="Times New Roman"/>
        </w:rPr>
        <w:t>state</w:t>
      </w:r>
      <w:proofErr w:type="spellEnd"/>
      <w:r w:rsidRPr="009A101B">
        <w:rPr>
          <w:rFonts w:ascii="Times New Roman" w:hAnsi="Times New Roman" w:cs="Times New Roman"/>
        </w:rPr>
        <w:t xml:space="preserve">, and </w:t>
      </w:r>
      <w:proofErr w:type="spellStart"/>
      <w:r w:rsidRPr="009A101B">
        <w:rPr>
          <w:rFonts w:ascii="Times New Roman" w:hAnsi="Times New Roman" w:cs="Times New Roman"/>
        </w:rPr>
        <w:t>higher</w:t>
      </w:r>
      <w:proofErr w:type="spellEnd"/>
      <w:r w:rsidRPr="009A101B">
        <w:rPr>
          <w:rFonts w:ascii="Times New Roman" w:hAnsi="Times New Roman" w:cs="Times New Roman"/>
        </w:rPr>
        <w:t xml:space="preserve"> </w:t>
      </w:r>
      <w:proofErr w:type="spellStart"/>
      <w:r w:rsidRPr="009A101B">
        <w:rPr>
          <w:rFonts w:ascii="Times New Roman" w:hAnsi="Times New Roman" w:cs="Times New Roman"/>
        </w:rPr>
        <w:t>education</w:t>
      </w:r>
      <w:proofErr w:type="spellEnd"/>
      <w:r w:rsidRPr="009A101B">
        <w:rPr>
          <w:rFonts w:ascii="Times New Roman" w:hAnsi="Times New Roman" w:cs="Times New Roman"/>
        </w:rPr>
        <w:t xml:space="preserve">. Johns Hopkins </w:t>
      </w:r>
      <w:proofErr w:type="spellStart"/>
      <w:r w:rsidRPr="009A101B">
        <w:rPr>
          <w:rFonts w:ascii="Times New Roman" w:hAnsi="Times New Roman" w:cs="Times New Roman"/>
        </w:rPr>
        <w:t>University</w:t>
      </w:r>
      <w:proofErr w:type="spellEnd"/>
      <w:r w:rsidRPr="009A101B">
        <w:rPr>
          <w:rFonts w:ascii="Times New Roman" w:hAnsi="Times New Roman" w:cs="Times New Roman"/>
        </w:rPr>
        <w:t xml:space="preserve"> </w:t>
      </w:r>
      <w:proofErr w:type="spellStart"/>
      <w:r w:rsidRPr="009A101B">
        <w:rPr>
          <w:rFonts w:ascii="Times New Roman" w:hAnsi="Times New Roman" w:cs="Times New Roman"/>
        </w:rPr>
        <w:t>Press</w:t>
      </w:r>
      <w:proofErr w:type="spellEnd"/>
      <w:r w:rsidRPr="009A101B">
        <w:rPr>
          <w:rFonts w:ascii="Times New Roman" w:hAnsi="Times New Roman" w:cs="Times New Roman"/>
        </w:rPr>
        <w:t>.</w:t>
      </w:r>
    </w:p>
    <w:p w14:paraId="0304ADE3" w14:textId="77777777" w:rsidR="009A101B" w:rsidRPr="009A101B" w:rsidRDefault="009A101B" w:rsidP="009A101B">
      <w:pPr>
        <w:spacing w:before="100" w:beforeAutospacing="1" w:after="100" w:afterAutospacing="1" w:line="240" w:lineRule="auto"/>
        <w:jc w:val="both"/>
        <w:rPr>
          <w:rFonts w:ascii="Times New Roman" w:hAnsi="Times New Roman" w:cs="Times New Roman"/>
        </w:rPr>
      </w:pPr>
      <w:r w:rsidRPr="009A101B">
        <w:rPr>
          <w:rFonts w:ascii="Times New Roman" w:hAnsi="Times New Roman" w:cs="Times New Roman"/>
        </w:rPr>
        <w:t xml:space="preserve">Standing, G. (2011). </w:t>
      </w:r>
      <w:proofErr w:type="spellStart"/>
      <w:r w:rsidRPr="009A101B">
        <w:rPr>
          <w:rFonts w:ascii="Times New Roman" w:hAnsi="Times New Roman" w:cs="Times New Roman"/>
        </w:rPr>
        <w:t>The</w:t>
      </w:r>
      <w:proofErr w:type="spellEnd"/>
      <w:r w:rsidRPr="009A101B">
        <w:rPr>
          <w:rFonts w:ascii="Times New Roman" w:hAnsi="Times New Roman" w:cs="Times New Roman"/>
        </w:rPr>
        <w:t xml:space="preserve"> </w:t>
      </w:r>
      <w:proofErr w:type="spellStart"/>
      <w:r w:rsidRPr="009A101B">
        <w:rPr>
          <w:rFonts w:ascii="Times New Roman" w:hAnsi="Times New Roman" w:cs="Times New Roman"/>
        </w:rPr>
        <w:t>precariat</w:t>
      </w:r>
      <w:proofErr w:type="spellEnd"/>
      <w:r w:rsidRPr="009A101B">
        <w:rPr>
          <w:rFonts w:ascii="Times New Roman" w:hAnsi="Times New Roman" w:cs="Times New Roman"/>
        </w:rPr>
        <w:t xml:space="preserve">: </w:t>
      </w:r>
      <w:proofErr w:type="spellStart"/>
      <w:r w:rsidRPr="009A101B">
        <w:rPr>
          <w:rFonts w:ascii="Times New Roman" w:hAnsi="Times New Roman" w:cs="Times New Roman"/>
        </w:rPr>
        <w:t>The</w:t>
      </w:r>
      <w:proofErr w:type="spellEnd"/>
      <w:r w:rsidRPr="009A101B">
        <w:rPr>
          <w:rFonts w:ascii="Times New Roman" w:hAnsi="Times New Roman" w:cs="Times New Roman"/>
        </w:rPr>
        <w:t xml:space="preserve"> new </w:t>
      </w:r>
      <w:proofErr w:type="spellStart"/>
      <w:r w:rsidRPr="009A101B">
        <w:rPr>
          <w:rFonts w:ascii="Times New Roman" w:hAnsi="Times New Roman" w:cs="Times New Roman"/>
        </w:rPr>
        <w:t>dangerous</w:t>
      </w:r>
      <w:proofErr w:type="spellEnd"/>
      <w:r w:rsidRPr="009A101B">
        <w:rPr>
          <w:rFonts w:ascii="Times New Roman" w:hAnsi="Times New Roman" w:cs="Times New Roman"/>
        </w:rPr>
        <w:t xml:space="preserve"> </w:t>
      </w:r>
      <w:proofErr w:type="spellStart"/>
      <w:r w:rsidRPr="009A101B">
        <w:rPr>
          <w:rFonts w:ascii="Times New Roman" w:hAnsi="Times New Roman" w:cs="Times New Roman"/>
        </w:rPr>
        <w:t>class</w:t>
      </w:r>
      <w:proofErr w:type="spellEnd"/>
      <w:r w:rsidRPr="009A101B">
        <w:rPr>
          <w:rFonts w:ascii="Times New Roman" w:hAnsi="Times New Roman" w:cs="Times New Roman"/>
        </w:rPr>
        <w:t xml:space="preserve">. </w:t>
      </w:r>
      <w:proofErr w:type="spellStart"/>
      <w:r w:rsidRPr="009A101B">
        <w:rPr>
          <w:rFonts w:ascii="Times New Roman" w:hAnsi="Times New Roman" w:cs="Times New Roman"/>
        </w:rPr>
        <w:t>Bloomsbury</w:t>
      </w:r>
      <w:proofErr w:type="spellEnd"/>
      <w:r w:rsidRPr="009A101B">
        <w:rPr>
          <w:rFonts w:ascii="Times New Roman" w:hAnsi="Times New Roman" w:cs="Times New Roman"/>
        </w:rPr>
        <w:t>.</w:t>
      </w:r>
    </w:p>
    <w:p w14:paraId="1D6C8B74" w14:textId="2FC4D751" w:rsidR="00AC0E82" w:rsidRPr="00AC0E82" w:rsidRDefault="00AC0E82" w:rsidP="00AC0E82">
      <w:pPr>
        <w:spacing w:before="100" w:beforeAutospacing="1" w:after="100" w:afterAutospacing="1" w:line="240" w:lineRule="auto"/>
        <w:jc w:val="both"/>
        <w:rPr>
          <w:rFonts w:ascii="Times New Roman" w:hAnsi="Times New Roman" w:cs="Times New Roman"/>
        </w:rPr>
      </w:pPr>
      <w:proofErr w:type="spellStart"/>
      <w:r w:rsidRPr="00AC0E82">
        <w:rPr>
          <w:rFonts w:ascii="Times New Roman" w:hAnsi="Times New Roman" w:cs="Times New Roman"/>
        </w:rPr>
        <w:t>Rovelli</w:t>
      </w:r>
      <w:proofErr w:type="spellEnd"/>
      <w:r w:rsidRPr="00AC0E82">
        <w:rPr>
          <w:rFonts w:ascii="Times New Roman" w:hAnsi="Times New Roman" w:cs="Times New Roman"/>
        </w:rPr>
        <w:t xml:space="preserve">, Laura. (2011) “Migraciones científicas y profesión académica en el área metropolitana de Buenos Aires. Un estudio de caso en las universidades nacionales de Quilmes, General Sarmiento y General San Martín”. En Construyendo la Investigación Social. Buenos Aires: Instituto Gino </w:t>
      </w:r>
      <w:proofErr w:type="spellStart"/>
      <w:r w:rsidRPr="00AC0E82">
        <w:rPr>
          <w:rFonts w:ascii="Times New Roman" w:hAnsi="Times New Roman" w:cs="Times New Roman"/>
        </w:rPr>
        <w:t>Germani</w:t>
      </w:r>
      <w:proofErr w:type="spellEnd"/>
      <w:r w:rsidRPr="00AC0E82">
        <w:rPr>
          <w:rFonts w:ascii="Times New Roman" w:hAnsi="Times New Roman" w:cs="Times New Roman"/>
        </w:rPr>
        <w:t xml:space="preserve"> &amp; CLACSO.</w:t>
      </w:r>
    </w:p>
    <w:p w14:paraId="682E96DD" w14:textId="3C55017B" w:rsidR="00AC0E82" w:rsidRPr="00AC0E82" w:rsidRDefault="00AC0E82" w:rsidP="00AC0E82">
      <w:pPr>
        <w:spacing w:before="100" w:beforeAutospacing="1" w:after="100" w:afterAutospacing="1" w:line="240" w:lineRule="auto"/>
        <w:jc w:val="both"/>
        <w:rPr>
          <w:rFonts w:ascii="Times New Roman" w:hAnsi="Times New Roman" w:cs="Times New Roman"/>
        </w:rPr>
      </w:pPr>
      <w:proofErr w:type="spellStart"/>
      <w:r w:rsidRPr="00AC0E82">
        <w:rPr>
          <w:rFonts w:ascii="Times New Roman" w:hAnsi="Times New Roman" w:cs="Times New Roman"/>
        </w:rPr>
        <w:t>Unuzué</w:t>
      </w:r>
      <w:proofErr w:type="spellEnd"/>
      <w:r w:rsidRPr="00AC0E82">
        <w:rPr>
          <w:rFonts w:ascii="Times New Roman" w:hAnsi="Times New Roman" w:cs="Times New Roman"/>
        </w:rPr>
        <w:t xml:space="preserve">, M. (2013). Autonomía, evaluación y políticas públicas. Tendencias y límites en los sistemas universitarios de Argentina y Brasil. En M. </w:t>
      </w:r>
      <w:proofErr w:type="spellStart"/>
      <w:r w:rsidRPr="00AC0E82">
        <w:rPr>
          <w:rFonts w:ascii="Times New Roman" w:hAnsi="Times New Roman" w:cs="Times New Roman"/>
        </w:rPr>
        <w:t>Unzué</w:t>
      </w:r>
      <w:proofErr w:type="spellEnd"/>
      <w:r w:rsidRPr="00AC0E82">
        <w:rPr>
          <w:rFonts w:ascii="Times New Roman" w:hAnsi="Times New Roman" w:cs="Times New Roman"/>
        </w:rPr>
        <w:t xml:space="preserve"> y S. Emiliozzi (</w:t>
      </w:r>
      <w:proofErr w:type="spellStart"/>
      <w:r w:rsidRPr="00AC0E82">
        <w:rPr>
          <w:rFonts w:ascii="Times New Roman" w:hAnsi="Times New Roman" w:cs="Times New Roman"/>
        </w:rPr>
        <w:t>comp.</w:t>
      </w:r>
      <w:proofErr w:type="spellEnd"/>
      <w:r w:rsidRPr="00AC0E82">
        <w:rPr>
          <w:rFonts w:ascii="Times New Roman" w:hAnsi="Times New Roman" w:cs="Times New Roman"/>
        </w:rPr>
        <w:t xml:space="preserve">). Universidad y políticas públicas. ¿En busca del tiempo perdido? Argentina y Brasil en clave comparada. Buenos Aires: Imago </w:t>
      </w:r>
      <w:proofErr w:type="spellStart"/>
      <w:r w:rsidRPr="00AC0E82">
        <w:rPr>
          <w:rFonts w:ascii="Times New Roman" w:hAnsi="Times New Roman" w:cs="Times New Roman"/>
        </w:rPr>
        <w:t>Mundi</w:t>
      </w:r>
      <w:proofErr w:type="spellEnd"/>
      <w:r w:rsidRPr="00AC0E82">
        <w:rPr>
          <w:rFonts w:ascii="Times New Roman" w:hAnsi="Times New Roman" w:cs="Times New Roman"/>
        </w:rPr>
        <w:t>.</w:t>
      </w:r>
    </w:p>
    <w:p w14:paraId="5E5E7F30" w14:textId="31501C80" w:rsidR="00AC0E82" w:rsidRPr="00AC0E82" w:rsidRDefault="00AC0E82" w:rsidP="00AC0E82">
      <w:pPr>
        <w:spacing w:before="100" w:beforeAutospacing="1" w:after="100" w:afterAutospacing="1" w:line="240" w:lineRule="auto"/>
        <w:jc w:val="both"/>
        <w:rPr>
          <w:rFonts w:ascii="Times New Roman" w:hAnsi="Times New Roman" w:cs="Times New Roman"/>
        </w:rPr>
      </w:pPr>
      <w:proofErr w:type="spellStart"/>
      <w:r w:rsidRPr="00AC0E82">
        <w:rPr>
          <w:rFonts w:ascii="Times New Roman" w:hAnsi="Times New Roman" w:cs="Times New Roman"/>
        </w:rPr>
        <w:t>Unzué</w:t>
      </w:r>
      <w:proofErr w:type="spellEnd"/>
      <w:r w:rsidRPr="00AC0E82">
        <w:rPr>
          <w:rFonts w:ascii="Times New Roman" w:hAnsi="Times New Roman" w:cs="Times New Roman"/>
        </w:rPr>
        <w:t xml:space="preserve">, M. Y </w:t>
      </w:r>
      <w:proofErr w:type="spellStart"/>
      <w:r w:rsidRPr="00AC0E82">
        <w:rPr>
          <w:rFonts w:ascii="Times New Roman" w:hAnsi="Times New Roman" w:cs="Times New Roman"/>
        </w:rPr>
        <w:t>R</w:t>
      </w:r>
      <w:r w:rsidRPr="00AC0E82">
        <w:rPr>
          <w:rFonts w:ascii="Times New Roman" w:hAnsi="Times New Roman" w:cs="Times New Roman"/>
        </w:rPr>
        <w:t>ovelli</w:t>
      </w:r>
      <w:proofErr w:type="spellEnd"/>
      <w:r w:rsidRPr="00AC0E82">
        <w:rPr>
          <w:rFonts w:ascii="Times New Roman" w:hAnsi="Times New Roman" w:cs="Times New Roman"/>
        </w:rPr>
        <w:t xml:space="preserve">, L. (2017). Cambios, tendencias y desafíos de las políticas científicas recientes en las universidades nacionales de Argentina. Revista </w:t>
      </w:r>
      <w:proofErr w:type="spellStart"/>
      <w:r w:rsidRPr="00AC0E82">
        <w:rPr>
          <w:rFonts w:ascii="Times New Roman" w:hAnsi="Times New Roman" w:cs="Times New Roman"/>
        </w:rPr>
        <w:t>Tla</w:t>
      </w:r>
      <w:proofErr w:type="spellEnd"/>
      <w:r w:rsidRPr="00AC0E82">
        <w:rPr>
          <w:rFonts w:ascii="Times New Roman" w:hAnsi="Times New Roman" w:cs="Times New Roman"/>
        </w:rPr>
        <w:t xml:space="preserve"> </w:t>
      </w:r>
      <w:proofErr w:type="spellStart"/>
      <w:r w:rsidRPr="00AC0E82">
        <w:rPr>
          <w:rFonts w:ascii="Times New Roman" w:hAnsi="Times New Roman" w:cs="Times New Roman"/>
        </w:rPr>
        <w:t>Melaua</w:t>
      </w:r>
      <w:proofErr w:type="spellEnd"/>
      <w:r w:rsidRPr="00AC0E82">
        <w:rPr>
          <w:rFonts w:ascii="Times New Roman" w:hAnsi="Times New Roman" w:cs="Times New Roman"/>
        </w:rPr>
        <w:t>, 42, 242-261.</w:t>
      </w:r>
    </w:p>
    <w:p w14:paraId="6A424BA5" w14:textId="69A4CC3A" w:rsidR="00AC0E82" w:rsidRPr="00AC0E82" w:rsidRDefault="00AC0E82" w:rsidP="00AC0E82">
      <w:pPr>
        <w:spacing w:before="100" w:beforeAutospacing="1" w:after="100" w:afterAutospacing="1" w:line="240" w:lineRule="auto"/>
        <w:jc w:val="both"/>
        <w:rPr>
          <w:rFonts w:ascii="Times New Roman" w:hAnsi="Times New Roman" w:cs="Times New Roman"/>
        </w:rPr>
      </w:pPr>
      <w:proofErr w:type="spellStart"/>
      <w:r w:rsidRPr="00AC0E82">
        <w:rPr>
          <w:rFonts w:ascii="Times New Roman" w:hAnsi="Times New Roman" w:cs="Times New Roman"/>
        </w:rPr>
        <w:t>Unzué</w:t>
      </w:r>
      <w:proofErr w:type="spellEnd"/>
      <w:r w:rsidRPr="00AC0E82">
        <w:rPr>
          <w:rFonts w:ascii="Times New Roman" w:hAnsi="Times New Roman" w:cs="Times New Roman"/>
        </w:rPr>
        <w:t xml:space="preserve">, M. Y </w:t>
      </w:r>
      <w:proofErr w:type="spellStart"/>
      <w:r w:rsidRPr="00AC0E82">
        <w:rPr>
          <w:rFonts w:ascii="Times New Roman" w:hAnsi="Times New Roman" w:cs="Times New Roman"/>
        </w:rPr>
        <w:t>R</w:t>
      </w:r>
      <w:r w:rsidRPr="00AC0E82">
        <w:rPr>
          <w:rFonts w:ascii="Times New Roman" w:hAnsi="Times New Roman" w:cs="Times New Roman"/>
        </w:rPr>
        <w:t>ovelli</w:t>
      </w:r>
      <w:proofErr w:type="spellEnd"/>
      <w:r w:rsidRPr="00AC0E82">
        <w:rPr>
          <w:rFonts w:ascii="Times New Roman" w:hAnsi="Times New Roman" w:cs="Times New Roman"/>
        </w:rPr>
        <w:t>, L. (2020). Expectativas laborales, movilidad e inserción de personas recientemente doctoradas en el área de Ciencias Sociales en Argentina, Pensamiento Universitario, (19), 38-51.</w:t>
      </w:r>
    </w:p>
    <w:p w14:paraId="1B43FD84" w14:textId="77777777" w:rsidR="001923DC" w:rsidRPr="009A101B" w:rsidRDefault="001923DC" w:rsidP="009A101B">
      <w:pPr>
        <w:jc w:val="both"/>
        <w:rPr>
          <w:rFonts w:ascii="Times New Roman" w:hAnsi="Times New Roman" w:cs="Times New Roman"/>
        </w:rPr>
      </w:pPr>
    </w:p>
    <w:sectPr w:rsidR="001923DC" w:rsidRPr="009A101B" w:rsidSect="00701F64">
      <w:headerReference w:type="default" r:id="rId7"/>
      <w:footerReference w:type="default" r:id="rId8"/>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38845E" w14:textId="77777777" w:rsidR="00D8714A" w:rsidRPr="00BA642E" w:rsidRDefault="00D8714A" w:rsidP="00C802F5">
      <w:pPr>
        <w:spacing w:after="0" w:line="240" w:lineRule="auto"/>
      </w:pPr>
      <w:r w:rsidRPr="00BA642E">
        <w:separator/>
      </w:r>
    </w:p>
  </w:endnote>
  <w:endnote w:type="continuationSeparator" w:id="0">
    <w:p w14:paraId="002F283D" w14:textId="77777777" w:rsidR="00D8714A" w:rsidRPr="00BA642E" w:rsidRDefault="00D8714A"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1CC46" w14:textId="732B193D" w:rsidR="00701F64" w:rsidRPr="00BA642E" w:rsidRDefault="00BA642E">
    <w:pPr>
      <w:pStyle w:val="Piedepgina"/>
    </w:pPr>
    <w:r w:rsidRPr="00BA642E">
      <w:rPr>
        <w:noProof/>
        <w:lang w:val="es-ES" w:eastAsia="es-ES"/>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B09840" w14:textId="77777777" w:rsidR="00D8714A" w:rsidRPr="00BA642E" w:rsidRDefault="00D8714A" w:rsidP="00C802F5">
      <w:pPr>
        <w:spacing w:after="0" w:line="240" w:lineRule="auto"/>
      </w:pPr>
      <w:r w:rsidRPr="00BA642E">
        <w:separator/>
      </w:r>
    </w:p>
  </w:footnote>
  <w:footnote w:type="continuationSeparator" w:id="0">
    <w:p w14:paraId="3396FE18" w14:textId="77777777" w:rsidR="00D8714A" w:rsidRPr="00BA642E" w:rsidRDefault="00D8714A"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4B213" w14:textId="0B58DBD9" w:rsidR="00C802F5" w:rsidRPr="00BA642E" w:rsidRDefault="00C802F5" w:rsidP="00C802F5">
    <w:pPr>
      <w:pStyle w:val="Encabezado"/>
      <w:jc w:val="center"/>
    </w:pPr>
    <w:r w:rsidRPr="00BA642E">
      <w:rPr>
        <w:noProof/>
        <w:lang w:val="es-ES" w:eastAsia="es-ES"/>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DC"/>
    <w:rsid w:val="001816D6"/>
    <w:rsid w:val="00185F5E"/>
    <w:rsid w:val="001923DC"/>
    <w:rsid w:val="002327C3"/>
    <w:rsid w:val="00312392"/>
    <w:rsid w:val="0035298A"/>
    <w:rsid w:val="004040C0"/>
    <w:rsid w:val="00437E9C"/>
    <w:rsid w:val="00550766"/>
    <w:rsid w:val="005F3B2E"/>
    <w:rsid w:val="00701F64"/>
    <w:rsid w:val="007B5B5F"/>
    <w:rsid w:val="007D233B"/>
    <w:rsid w:val="0085070B"/>
    <w:rsid w:val="009A101B"/>
    <w:rsid w:val="00A17247"/>
    <w:rsid w:val="00A17BC5"/>
    <w:rsid w:val="00AC0E82"/>
    <w:rsid w:val="00BA642E"/>
    <w:rsid w:val="00BC236F"/>
    <w:rsid w:val="00BC3E5E"/>
    <w:rsid w:val="00C802F5"/>
    <w:rsid w:val="00C96B2C"/>
    <w:rsid w:val="00CC04C1"/>
    <w:rsid w:val="00D843EC"/>
    <w:rsid w:val="00D8714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miliozzi@gamil.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6801</Words>
  <Characters>37408</Characters>
  <Application>Microsoft Office Word</Application>
  <DocSecurity>0</DocSecurity>
  <Lines>311</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sergio emiliozzi</cp:lastModifiedBy>
  <cp:revision>3</cp:revision>
  <dcterms:created xsi:type="dcterms:W3CDTF">2026-07-13T02:49:00Z</dcterms:created>
  <dcterms:modified xsi:type="dcterms:W3CDTF">2026-07-13T02:49:00Z</dcterms:modified>
</cp:coreProperties>
</file>