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223536" w:rsidRDefault="00C802F5" w:rsidP="001923DC">
      <w:pPr>
        <w:jc w:val="center"/>
        <w:rPr>
          <w:rFonts w:ascii="Times New Roman" w:hAnsi="Times New Roman" w:cs="Times New Roman"/>
        </w:rPr>
      </w:pPr>
    </w:p>
    <w:p w14:paraId="206EAD2C" w14:textId="77777777" w:rsidR="00181018" w:rsidRPr="00613A70" w:rsidRDefault="00181018" w:rsidP="00181018">
      <w:pPr>
        <w:jc w:val="center"/>
        <w:rPr>
          <w:rFonts w:ascii="Times New Roman" w:hAnsi="Times New Roman" w:cs="Times New Roman"/>
          <w:b/>
          <w:bCs/>
          <w:lang w:val="es-AR"/>
        </w:rPr>
      </w:pPr>
      <w:r>
        <w:rPr>
          <w:rFonts w:ascii="Times New Roman" w:hAnsi="Times New Roman" w:cs="Times New Roman"/>
          <w:b/>
          <w:bCs/>
          <w:lang w:val="es-AR"/>
        </w:rPr>
        <w:t>IA generativa y prácticas de estudio en ingeniería: más allá de la respuesta automática</w:t>
      </w:r>
    </w:p>
    <w:p w14:paraId="43C49479" w14:textId="77777777" w:rsidR="005F3B2E" w:rsidRPr="00613A70" w:rsidRDefault="005F3B2E" w:rsidP="001923DC">
      <w:pPr>
        <w:jc w:val="center"/>
        <w:rPr>
          <w:rFonts w:ascii="Times New Roman" w:hAnsi="Times New Roman" w:cs="Times New Roman"/>
          <w:lang w:val="es-AR"/>
        </w:rPr>
      </w:pPr>
    </w:p>
    <w:p w14:paraId="4E738780" w14:textId="600AF19D" w:rsidR="005F3B2E" w:rsidRPr="00613A70" w:rsidRDefault="00181018" w:rsidP="005F3B2E">
      <w:pPr>
        <w:spacing w:after="0" w:line="240" w:lineRule="auto"/>
        <w:jc w:val="right"/>
        <w:rPr>
          <w:rFonts w:ascii="Times New Roman" w:hAnsi="Times New Roman" w:cs="Times New Roman"/>
        </w:rPr>
      </w:pPr>
      <w:r>
        <w:rPr>
          <w:rFonts w:ascii="Times New Roman" w:hAnsi="Times New Roman" w:cs="Times New Roman"/>
        </w:rPr>
        <w:t>Gei, Anabella Karina</w:t>
      </w:r>
    </w:p>
    <w:p w14:paraId="6C2AECCA" w14:textId="7A213C91" w:rsidR="005F3B2E" w:rsidRPr="00613A70" w:rsidRDefault="00181018" w:rsidP="005F3B2E">
      <w:pPr>
        <w:spacing w:after="0" w:line="240" w:lineRule="auto"/>
        <w:jc w:val="right"/>
        <w:rPr>
          <w:rFonts w:ascii="Times New Roman" w:hAnsi="Times New Roman" w:cs="Times New Roman"/>
        </w:rPr>
      </w:pPr>
      <w:r>
        <w:rPr>
          <w:rFonts w:ascii="Times New Roman" w:hAnsi="Times New Roman" w:cs="Times New Roman"/>
        </w:rPr>
        <w:t>Universidad Nacional de Luján</w:t>
      </w:r>
    </w:p>
    <w:p w14:paraId="7D0026CD" w14:textId="2FB47BEE" w:rsidR="005F3B2E" w:rsidRPr="00613A70" w:rsidRDefault="00181018" w:rsidP="005F3B2E">
      <w:pPr>
        <w:spacing w:after="0" w:line="240" w:lineRule="auto"/>
        <w:jc w:val="right"/>
        <w:rPr>
          <w:rFonts w:ascii="Times New Roman" w:hAnsi="Times New Roman" w:cs="Times New Roman"/>
        </w:rPr>
      </w:pPr>
      <w:r>
        <w:rPr>
          <w:rFonts w:ascii="Times New Roman" w:hAnsi="Times New Roman" w:cs="Times New Roman"/>
        </w:rPr>
        <w:t>agei@unlu.edu.ar</w:t>
      </w:r>
    </w:p>
    <w:p w14:paraId="1FA0F857" w14:textId="77777777" w:rsidR="005F3B2E" w:rsidRPr="00613A70" w:rsidRDefault="005F3B2E" w:rsidP="005F3B2E">
      <w:pPr>
        <w:rPr>
          <w:rFonts w:ascii="Times New Roman" w:hAnsi="Times New Roman" w:cs="Times New Roman"/>
        </w:rPr>
      </w:pPr>
    </w:p>
    <w:p w14:paraId="1275A9C7" w14:textId="61CB6902" w:rsidR="005F3B2E" w:rsidRPr="00613A70" w:rsidRDefault="00181018" w:rsidP="005F3B2E">
      <w:pPr>
        <w:spacing w:after="0" w:line="240" w:lineRule="auto"/>
        <w:jc w:val="right"/>
        <w:rPr>
          <w:rFonts w:ascii="Times New Roman" w:hAnsi="Times New Roman" w:cs="Times New Roman"/>
        </w:rPr>
      </w:pPr>
      <w:r>
        <w:rPr>
          <w:rFonts w:ascii="Times New Roman" w:hAnsi="Times New Roman" w:cs="Times New Roman"/>
        </w:rPr>
        <w:t>García, Alejandra Ivana</w:t>
      </w:r>
    </w:p>
    <w:p w14:paraId="46FEEBE4" w14:textId="50750E2B" w:rsidR="005F3B2E" w:rsidRPr="00613A70" w:rsidRDefault="00181018" w:rsidP="005F3B2E">
      <w:pPr>
        <w:spacing w:after="0" w:line="240" w:lineRule="auto"/>
        <w:jc w:val="right"/>
        <w:rPr>
          <w:rFonts w:ascii="Times New Roman" w:hAnsi="Times New Roman" w:cs="Times New Roman"/>
        </w:rPr>
      </w:pPr>
      <w:r>
        <w:rPr>
          <w:rFonts w:ascii="Times New Roman" w:hAnsi="Times New Roman" w:cs="Times New Roman"/>
        </w:rPr>
        <w:t>Universidad Nacional de Luján</w:t>
      </w:r>
    </w:p>
    <w:p w14:paraId="3CAC774D" w14:textId="1EFB0C61" w:rsidR="005F3B2E" w:rsidRPr="00613A70" w:rsidRDefault="00181018" w:rsidP="005F3B2E">
      <w:pPr>
        <w:spacing w:after="0" w:line="240" w:lineRule="auto"/>
        <w:jc w:val="right"/>
        <w:rPr>
          <w:rFonts w:ascii="Times New Roman" w:hAnsi="Times New Roman" w:cs="Times New Roman"/>
        </w:rPr>
      </w:pPr>
      <w:r>
        <w:rPr>
          <w:rFonts w:ascii="Times New Roman" w:hAnsi="Times New Roman" w:cs="Times New Roman"/>
        </w:rPr>
        <w:t>aigarcia@unlu.edu.ar</w:t>
      </w:r>
    </w:p>
    <w:p w14:paraId="640847CC" w14:textId="77777777" w:rsidR="005F3B2E" w:rsidRPr="00613A70" w:rsidRDefault="005F3B2E" w:rsidP="005F3B2E">
      <w:pPr>
        <w:spacing w:after="0" w:line="240" w:lineRule="auto"/>
        <w:jc w:val="right"/>
        <w:rPr>
          <w:rFonts w:ascii="Times New Roman" w:hAnsi="Times New Roman" w:cs="Times New Roman"/>
        </w:rPr>
      </w:pPr>
    </w:p>
    <w:p w14:paraId="3D73DB11" w14:textId="09FA5712" w:rsidR="005F3B2E" w:rsidRPr="00613A70" w:rsidRDefault="005F3B2E" w:rsidP="00181018">
      <w:pPr>
        <w:tabs>
          <w:tab w:val="center" w:pos="4252"/>
          <w:tab w:val="right" w:pos="8504"/>
        </w:tabs>
        <w:spacing w:after="0" w:line="240" w:lineRule="auto"/>
        <w:rPr>
          <w:rFonts w:ascii="Times New Roman" w:hAnsi="Times New Roman" w:cs="Times New Roman"/>
        </w:rPr>
      </w:pPr>
    </w:p>
    <w:p w14:paraId="1AF2F8B1" w14:textId="77777777" w:rsidR="000E029E" w:rsidRPr="000E029E" w:rsidRDefault="00BA642E" w:rsidP="000E029E">
      <w:pPr>
        <w:spacing w:line="240" w:lineRule="auto"/>
        <w:jc w:val="both"/>
        <w:rPr>
          <w:rFonts w:ascii="Times New Roman" w:hAnsi="Times New Roman" w:cs="Times New Roman"/>
          <w:lang w:val="es-AR"/>
        </w:rPr>
      </w:pPr>
      <w:r>
        <w:rPr>
          <w:rFonts w:ascii="Times New Roman" w:hAnsi="Times New Roman" w:cs="Times New Roman"/>
          <w:b/>
          <w:bCs/>
          <w:lang w:val="es-AR"/>
        </w:rPr>
        <w:t xml:space="preserve">Resumen: </w:t>
      </w:r>
      <w:r w:rsidR="000E029E" w:rsidRPr="000E029E">
        <w:rPr>
          <w:rFonts w:ascii="Times New Roman" w:hAnsi="Times New Roman" w:cs="Times New Roman"/>
          <w:b/>
          <w:bCs/>
          <w:lang w:val="es-AR"/>
        </w:rPr>
        <w:t>IA generativa y prácticas de estudio en ingeniería: más allá de la respuesta automática</w:t>
      </w:r>
    </w:p>
    <w:p w14:paraId="763B6B40" w14:textId="77777777" w:rsidR="000E029E" w:rsidRPr="000E029E" w:rsidRDefault="000E029E" w:rsidP="000E029E">
      <w:pPr>
        <w:spacing w:line="240" w:lineRule="auto"/>
        <w:jc w:val="both"/>
        <w:rPr>
          <w:rFonts w:ascii="Times New Roman" w:hAnsi="Times New Roman" w:cs="Times New Roman"/>
          <w:lang w:val="es-AR"/>
        </w:rPr>
      </w:pPr>
      <w:r w:rsidRPr="000E029E">
        <w:rPr>
          <w:rFonts w:ascii="Times New Roman" w:hAnsi="Times New Roman" w:cs="Times New Roman"/>
          <w:lang w:val="es-AR"/>
        </w:rPr>
        <w:t xml:space="preserve">La expansión de la inteligencia artificial generativa está modificando profundamente las prácticas de estudio universitarias al permitir que tareas tradicionalmente asociadas al trabajo cognitivo de los estudiantes, como la búsqueda, organización y producción de información, puedan ser parcialmente externalizadas en sistemas capaces de generar respuestas académicamente plausibles. Este trabajo analiza una intervención pedagógica desarrollada en la asignatura Proyectos de Ingeniería de la Universidad Nacional de Luján, cuyo propósito es explorar las implicancias de estas transformaciones para la enseñanza universitaria y reconstruir el proceso de diseño de una propuesta didáctica orientada a desplazar el foco desde la obtención de respuestas hacia el análisis de los procesos mediante los cuales dichas respuestas son producidas, validadas y justificadas. El estudio se inscribe en un enfoque cualitativo de estudio de caso y reconstruye una secuencia de observaciones realizadas durante la corrección de proyectos integradores y el desarrollo de actividades de aula, que evidenciaron cambios en las producciones estudiantiles: informes técnicamente plausibles y discursivamente consistentes, pero con crecientes dificultades para reconstruir los razonamientos, identificar los supuestos adoptados y fundamentar las decisiones técnicas. A partir de este diagnóstico se diseñó una intervención pedagógica basada en el uso guiado de tres herramientas de inteligencia artificial con funciones diferenciadas: un modelo de lenguaje para estimar la tasa de corte de un proyecto de inversión, un motor de búsqueda con citación de fuentes para validar información macroeconómica y una herramienta de generación musical utilizada como recurso disparador para problematizar el uso de la IA. La actividad incorporó prompts deliberadamente imprecisos con el propósito de convertir las respuestas generadas en objeto de análisis, favoreciendo la identificación de supuestos, la contrastación de información y la discusión crítica de los resultados obtenidos. Las evidencias recogidas muestran que, cuando la mediación docente orienta el análisis de las respuestas producidas por los sistemas de IA, los estudiantes desplazan progresivamente la atención </w:t>
      </w:r>
      <w:r w:rsidRPr="000E029E">
        <w:rPr>
          <w:rFonts w:ascii="Times New Roman" w:hAnsi="Times New Roman" w:cs="Times New Roman"/>
          <w:lang w:val="es-AR"/>
        </w:rPr>
        <w:lastRenderedPageBreak/>
        <w:t>desde la aceptación acrítica de resultados hacia procesos de validación, contextualización y fundamentación de decisiones. En este sentido, la experiencia sugiere que el principal desafío pedagógico no consiste en detectar o restringir el uso de inteligencia artificial, sino en rediseñar las prácticas de enseñanza para hacer visibles los procesos intelectuales que subyacen a la construcción del conocimiento. Más que sustituir el trabajo cognitivo del estudiante, la inteligencia artificial puede constituirse en un recurso para fortalecer el juicio crítico cuando sus producciones se transforman en objeto de reflexión dentro del proceso de aprendizaje.</w:t>
      </w:r>
    </w:p>
    <w:p w14:paraId="2994BAB3" w14:textId="44A3CF89" w:rsidR="00BA642E" w:rsidRPr="00613A70" w:rsidRDefault="00BA642E" w:rsidP="007B5B5F">
      <w:pPr>
        <w:spacing w:line="240" w:lineRule="auto"/>
        <w:jc w:val="both"/>
        <w:rPr>
          <w:rFonts w:ascii="Times New Roman" w:hAnsi="Times New Roman" w:cs="Times New Roman"/>
          <w:b/>
          <w:bCs/>
          <w:lang w:val="es-AR"/>
        </w:rPr>
      </w:pPr>
      <w:r>
        <w:rPr>
          <w:rFonts w:ascii="Times New Roman" w:hAnsi="Times New Roman" w:cs="Times New Roman"/>
          <w:b/>
          <w:bCs/>
          <w:lang w:val="es-AR"/>
        </w:rPr>
        <w:t xml:space="preserve">Palabras clave: </w:t>
      </w:r>
      <w:r>
        <w:rPr>
          <w:rFonts w:ascii="Times New Roman" w:hAnsi="Times New Roman" w:cs="Times New Roman"/>
        </w:rPr>
        <w:t>Inteligencia Artificial Generativa, Prácticas de Estudio Universitarias, Enseñanza de la Ingeniería</w:t>
      </w:r>
    </w:p>
    <w:p w14:paraId="6A5547A1" w14:textId="36B7FAC2" w:rsidR="00BA642E" w:rsidRPr="00613A70" w:rsidRDefault="00BA642E" w:rsidP="007B5B5F">
      <w:pPr>
        <w:spacing w:line="240" w:lineRule="auto"/>
        <w:rPr>
          <w:rFonts w:ascii="Times New Roman" w:hAnsi="Times New Roman" w:cs="Times New Roman"/>
          <w:b/>
          <w:bCs/>
          <w:lang w:val="es-AR"/>
        </w:rPr>
      </w:pPr>
      <w:r>
        <w:rPr>
          <w:rFonts w:ascii="Times New Roman" w:hAnsi="Times New Roman" w:cs="Times New Roman"/>
          <w:b/>
          <w:bCs/>
          <w:lang w:val="es-AR"/>
        </w:rPr>
        <w:t>Introducción</w:t>
      </w:r>
    </w:p>
    <w:p w14:paraId="3BA14B51" w14:textId="19737889"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La expansión de las herramientas de inteligencia artificial generativa (IA o IAG) en el ámbito universitario ha modificado de manera significativa las prácticas de búsqueda, producción y circulación del conocimiento. En carreras de ingeniería, donde una parte importante de la formación se apoya en la resolución de problemas, la fundamentación de decisiones y la elaboración de informes técnicos, estas transformaciones plantean interrogantes específicos sobre qué significa aprender y cómo se evidencian los procesos de comprensión cuando parte del trabajo cognitivo puede ser parcialmente externalizado en sistemas capaces de generar respuestas académicamente aceptables.</w:t>
      </w:r>
    </w:p>
    <w:p w14:paraId="35D32E2E" w14:textId="39D317A6"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En la asignatura Proyectos de Ingeniería de la Universidad Nacional de Luján, estas preguntas comenzaron a emerger a partir de observaciones realizadas durante la corrección de proyectos integradores y actividades de aula. Más que una preocupación inicial por detectar el uso de inteligencia artificial, el equipo docente advirtió cambios en las formas de escribir, argumentar y justificar decisiones técnicas: informes con mayor calidad formal, abundante información y estructuras discursivas homogéneas, pero acompañados en ocasiones por dificultades para reconstruir los razonamientos que sustentaban las decisiones adoptadas y para justificar adecuadamente la información utilizada.</w:t>
      </w:r>
    </w:p>
    <w:p w14:paraId="2C9278EA" w14:textId="77777777" w:rsidR="00D166BC" w:rsidRPr="00613A70" w:rsidRDefault="00D166BC" w:rsidP="00D166BC">
      <w:pPr>
        <w:spacing w:line="240" w:lineRule="auto"/>
        <w:jc w:val="both"/>
        <w:rPr>
          <w:rFonts w:ascii="Times New Roman" w:hAnsi="Times New Roman" w:cs="Times New Roman"/>
          <w:lang w:val="es-AR"/>
        </w:rPr>
      </w:pPr>
      <w:r>
        <w:rPr>
          <w:rFonts w:ascii="Times New Roman" w:hAnsi="Times New Roman" w:cs="Times New Roman"/>
          <w:lang w:val="es-AR"/>
        </w:rPr>
        <w:t>Estas observaciones motivaron un proceso de revisión de las estrategias de enseñanza y evaluación de la asignatura. A partir de ellas, el equipo docente comenzó a desarrollar distintas intervenciones orientadas a comprender cómo la incorporación de herramientas de inteligencia artificial generativa estaba modificando las prácticas de estudio de los estudiantes y a explorar alternativas pedagógicas para abordar dichos cambios. La actividad sobre determinación de la tasa de corte de proyectos de inversión, analizada en este trabajo, constituye una de las expresiones de ese proceso de reflexión y rediseño pedagógico.</w:t>
      </w:r>
    </w:p>
    <w:p w14:paraId="5B334ED2" w14:textId="34334F12" w:rsidR="00181018" w:rsidRPr="00613A70" w:rsidRDefault="00181018" w:rsidP="00181018">
      <w:pPr>
        <w:spacing w:line="240" w:lineRule="auto"/>
        <w:jc w:val="both"/>
        <w:rPr>
          <w:rFonts w:ascii="Times New Roman" w:hAnsi="Times New Roman" w:cs="Times New Roman"/>
        </w:rPr>
      </w:pPr>
      <w:r w:rsidRPr="00A802E0">
        <w:rPr>
          <w:rFonts w:ascii="Times New Roman" w:hAnsi="Times New Roman" w:cs="Times New Roman"/>
        </w:rPr>
        <w:t xml:space="preserve">El propósito de la ponencia es reconstruir el proceso de diagnóstico y diseño de una secuencia didáctica basada en el uso guiado y críticamente problematizado de herramientas de inteligencia artificial generativa, así como analizar de qué manera dicha secuencia puede contribuir a transformar la relación de los estudiantes con las respuestas producidas por estos sistemas mientras se adquieren las competencias técnicas involucradas en la actividad. La propuesta no busca optimizar el uso instrumental de la </w:t>
      </w:r>
      <w:r w:rsidRPr="00A802E0">
        <w:rPr>
          <w:rFonts w:ascii="Times New Roman" w:hAnsi="Times New Roman" w:cs="Times New Roman"/>
        </w:rPr>
        <w:lastRenderedPageBreak/>
        <w:t>IA ni evaluar la precisión técnica de las herramientas empleadas, ni medir su impacto en los resultados de aprendizaje</w:t>
      </w:r>
      <w:r w:rsidR="00F00095" w:rsidRPr="00A802E0">
        <w:rPr>
          <w:rFonts w:ascii="Times New Roman" w:hAnsi="Times New Roman" w:cs="Times New Roman"/>
        </w:rPr>
        <w:t xml:space="preserve">, </w:t>
      </w:r>
      <w:r w:rsidRPr="00A802E0">
        <w:rPr>
          <w:rFonts w:ascii="Times New Roman" w:hAnsi="Times New Roman" w:cs="Times New Roman"/>
        </w:rPr>
        <w:t>cuestión que se plantea como línea de trabajo futura</w:t>
      </w:r>
      <w:r>
        <w:rPr>
          <w:rFonts w:ascii="Times New Roman" w:hAnsi="Times New Roman" w:cs="Times New Roman"/>
        </w:rPr>
        <w:t>, sino explorar de qué manera dichas respuestas pueden convertirse en objetos de análisis dentro del proceso de aprendizaje.</w:t>
      </w:r>
    </w:p>
    <w:p w14:paraId="5A63A2CF" w14:textId="70710918"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Desde el punto de vista metodológico, el trabajo se inscribe en un estudio de caso exploratorio de carácter cualitativo, basado en el análisis de intervenciones pedagógicas desarrolladas en una asignatura universitaria de ingeniería. La ponencia reconstruye las observaciones que dieron origen a la intervención, describe las decisiones didácticas adoptadas y discute sus implicancias para la enseñanza y el aprendizaje en contextos atravesados por inteligencia artificial generativa. Las evidencias consideradas incluyeron observaciones realizadas durante la corrección de proyectos integradores, producciones elaboradas en actividades de aula y registros de interacciones compartidos por los estudiantes durante las experiencias desarrolladas.</w:t>
      </w:r>
    </w:p>
    <w:p w14:paraId="3B69C04F" w14:textId="77777777" w:rsidR="00181018" w:rsidRPr="00613A70" w:rsidRDefault="00181018" w:rsidP="00181018">
      <w:pPr>
        <w:spacing w:line="240" w:lineRule="auto"/>
        <w:jc w:val="both"/>
        <w:rPr>
          <w:rFonts w:ascii="Times New Roman" w:hAnsi="Times New Roman" w:cs="Times New Roman"/>
          <w:b/>
          <w:bCs/>
        </w:rPr>
      </w:pPr>
      <w:r>
        <w:rPr>
          <w:rFonts w:ascii="Times New Roman" w:hAnsi="Times New Roman" w:cs="Times New Roman"/>
          <w:b/>
          <w:bCs/>
        </w:rPr>
        <w:t>IA generativa y prácticas de estudio universitarias</w:t>
      </w:r>
    </w:p>
    <w:p w14:paraId="630359C2"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La expansión de las herramientas de inteligencia artificial generativa constituye una de las transformaciones más significativas que atraviesan actualmente los procesos de enseñanza y aprendizaje en la educación superior. A diferencia de tecnologías digitales previas orientadas principalmente al acceso, almacenamiento o circulación de información, los sistemas basados en modelos de lenguaje de gran escala poseen la capacidad de generar textos, sintetizar información, responder consultas complejas y producir contenidos académicamente plausibles en lenguaje natural. Esta característica introduce modificaciones sustantivas en las prácticas de estudio universitarias al permitir que determinadas tareas tradicionalmente asociadas al trabajo cognitivo de los estudiantes puedan ser parcialmente externalizadas en sistemas algorítmicos.</w:t>
      </w:r>
    </w:p>
    <w:p w14:paraId="1297571F" w14:textId="7F690825" w:rsidR="00181018" w:rsidRPr="00613A70" w:rsidRDefault="00822FCD" w:rsidP="00181018">
      <w:pPr>
        <w:spacing w:line="240" w:lineRule="auto"/>
        <w:jc w:val="both"/>
        <w:rPr>
          <w:rFonts w:ascii="Times New Roman" w:hAnsi="Times New Roman" w:cs="Times New Roman"/>
        </w:rPr>
      </w:pPr>
      <w:r>
        <w:rPr>
          <w:rFonts w:ascii="Times New Roman" w:hAnsi="Times New Roman" w:cs="Times New Roman"/>
        </w:rPr>
        <w:t>El impacto educativo de estas herramientas no puede analizarse exclusivamente desde una perspectiva tecnológica, la UNESCO (2024) advierte que la creciente sofisticación de los sistemas de IA generativa exige fortalecer las capacidades humanas de evaluación crítica, validación y toma de decisiones, ya que los resultados producidos por estas herramientas requieren necesariamente interpretación y supervisión por parte de usuarios calificados. Desde esta perspectiva, el desafío educativo no consiste únicamente en aprender a utilizar nuevas tecnologías, sino en comprender sus alcances, limitaciones y condiciones de uso.</w:t>
      </w:r>
    </w:p>
    <w:p w14:paraId="52F60C77" w14:textId="040FB36B"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En el ámbito universitario, la incorporación de inteligencia artificial generativa ha dado lugar a debates centrados inicialmente en la integridad académica, la autoría y las posibilidades de detección de contenidos generados artificialmente. Sin embargo, investigaciones recientes sugieren que estas preocupaciones, aunque relevantes, resultan insuficientes para comprender las transformaciones más profundas que estas tecnologías introducen en los procesos de aprendizaje (Cotton, Cotton y Shipway, 2024). El foco comienza a desplazarse progresivamente desde la pregunta acerca de si los estudiantes utilizan inteligencia artificial hacia interrogantes relacionados con cómo la utilizan, para qué finalidades y qué efectos produce dicha utilización sobre sus modos de relacionarse con el conocimiento.</w:t>
      </w:r>
    </w:p>
    <w:p w14:paraId="444900A8"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lastRenderedPageBreak/>
        <w:t>Una de las cuestiones más relevantes en este debate es la relación entre inteligencia artificial generativa y pensamiento crítico. La capacidad de estos sistemas para producir respuestas coherentes, persuasivas y formalmente correctas puede favorecer procesos de aprendizaje cuando sus resultados son sometidos a análisis y contrastación. Sin embargo, también puede generar riesgos asociados a la aceptación acrítica de información incorrecta, incompleta o insuficientemente contextualizada. Como señalan Muñoz Martínez, Roger-Monzo y Castelló Sirvent (2025), el potencial educativo de estas herramientas depende en gran medida de los marcos pedagógicos que orientan su utilización y de las capacidades desarrolladas por estudiantes y docentes para evaluar críticamente la información producida.</w:t>
      </w:r>
    </w:p>
    <w:p w14:paraId="3FAAF530" w14:textId="56B65F6E" w:rsidR="00181018" w:rsidRPr="00613A70" w:rsidRDefault="00654507" w:rsidP="00181018">
      <w:pPr>
        <w:spacing w:line="240" w:lineRule="auto"/>
        <w:jc w:val="both"/>
        <w:rPr>
          <w:rFonts w:ascii="Times New Roman" w:hAnsi="Times New Roman" w:cs="Times New Roman"/>
        </w:rPr>
      </w:pPr>
      <w:r>
        <w:rPr>
          <w:rFonts w:ascii="Times New Roman" w:hAnsi="Times New Roman" w:cs="Times New Roman"/>
        </w:rPr>
        <w:t>Diversos estudios (Tlili, 2023; Russell Group, 2023, citados en UNESCO, 202</w:t>
      </w:r>
      <w:r w:rsidR="00377779">
        <w:rPr>
          <w:rFonts w:ascii="Times New Roman" w:hAnsi="Times New Roman" w:cs="Times New Roman"/>
        </w:rPr>
        <w:t>4</w:t>
      </w:r>
      <w:r>
        <w:rPr>
          <w:rFonts w:ascii="Times New Roman" w:hAnsi="Times New Roman" w:cs="Times New Roman"/>
        </w:rPr>
        <w:t>) coinciden en señalar que las respuestas pedagógicas basadas exclusivamente en la prohibición o restricción de estas tecnologías resultan cada vez menos sostenibles. En cambio, emerge la necesidad de diseñar propuestas de enseñanza que incorporen la inteligencia artificial como objeto de reflexión y análisis dentro de los procesos formativos (Mollick &amp; Mollick, 2023). Desde esta perspectiva, el problema educativo central deja de ser la producción automática de respuestas y pasa a ser la formación de sujetos capaces de interrogar, contextualizar y evaluar críticamente la información generada por sistemas algorítmicos.</w:t>
      </w:r>
    </w:p>
    <w:p w14:paraId="1C8D0935" w14:textId="1EF5D201"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Las transformaciones asociadas a la inteligencia artificial generativa no afectan únicamente la producción de textos o la búsqueda de información. También modifican las formas en que los estudiantes organizan sus tareas, construyen explicaciones y validan conocimientos, en última instancia, estudian y aprenden. Comprender estos cambios constituye una condición necesaria para el diseño de propuestas pedagógicas que permitan integrar críticamente estas tecnologías a la formación universitaria.</w:t>
      </w:r>
    </w:p>
    <w:p w14:paraId="69A6F6C4" w14:textId="77777777" w:rsidR="00181018" w:rsidRPr="00613A70" w:rsidRDefault="00181018" w:rsidP="00181018">
      <w:pPr>
        <w:spacing w:line="240" w:lineRule="auto"/>
        <w:jc w:val="both"/>
        <w:rPr>
          <w:rFonts w:ascii="Times New Roman" w:hAnsi="Times New Roman" w:cs="Times New Roman"/>
          <w:b/>
          <w:bCs/>
        </w:rPr>
      </w:pPr>
      <w:r>
        <w:rPr>
          <w:rFonts w:ascii="Times New Roman" w:hAnsi="Times New Roman" w:cs="Times New Roman"/>
          <w:b/>
          <w:bCs/>
        </w:rPr>
        <w:t>Aprendizaje universitario, prácticas de estudio y explicitación de procesos</w:t>
      </w:r>
    </w:p>
    <w:p w14:paraId="4555A61A"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Las investigaciones sobre aprendizaje universitario han mostrado que el ingreso y la permanencia en la educación superior implican mucho más que la adquisición de contenidos disciplinares. Aprender en la universidad supone incorporarse progresivamente a formas específicas de leer, escribir, argumentar y construir conocimiento propias de cada campo académico. Desde esta perspectiva, las prácticas de estudio no constituyen únicamente un conjunto de técnicas individuales, sino modos socialmente construidos de relacionarse con el saber y participar de una comunidad disciplinar.</w:t>
      </w:r>
    </w:p>
    <w:p w14:paraId="01D218AD"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Coulon (1995) sostiene que el oficio de estudiante universitario requiere un proceso de afiliación intelectual mediante el cual los estudiantes aprenden las reglas, códigos y formas de trabajo propias de la institución universitaria. Esta afiliación no se limita al dominio de contenidos conceptuales, sino que incluye la apropiación de criterios para seleccionar información relevante, construir argumentos, justificar afirmaciones y producir textos acordes a las expectativas académicas de cada disciplina.</w:t>
      </w:r>
    </w:p>
    <w:p w14:paraId="74096788" w14:textId="601AEB8B"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 xml:space="preserve">En una línea convergente, Carlino (2005) señala que leer y escribir en la universidad constituyen prácticas específicas de construcción de conocimiento y no simples </w:t>
      </w:r>
      <w:r>
        <w:rPr>
          <w:rFonts w:ascii="Times New Roman" w:hAnsi="Times New Roman" w:cs="Times New Roman"/>
        </w:rPr>
        <w:lastRenderedPageBreak/>
        <w:t>herramientas de comunicación. Los estudiantes deben aprender a participar de formas particulares de producción discursiva en las cuales la explicitación de fuentes, la fundamentación de afirmaciones y la articulación entre evidencia y argumentación ocupan un lugar central. Desde esta perspectiva, las dificultades observadas en las producciones académicas</w:t>
      </w:r>
      <w:r w:rsidR="009D030F">
        <w:rPr>
          <w:rFonts w:ascii="Times New Roman" w:hAnsi="Times New Roman" w:cs="Times New Roman"/>
        </w:rPr>
        <w:t>,</w:t>
      </w:r>
      <w:r w:rsidR="001B61BD">
        <w:rPr>
          <w:rFonts w:ascii="Times New Roman" w:hAnsi="Times New Roman" w:cs="Times New Roman"/>
        </w:rPr>
        <w:t xml:space="preserve"> frecuentes en estudiantes de ingeniería, </w:t>
      </w:r>
      <w:r>
        <w:rPr>
          <w:rFonts w:ascii="Times New Roman" w:hAnsi="Times New Roman" w:cs="Times New Roman"/>
        </w:rPr>
        <w:t>no pueden interpretarse exclusivamente como problemas de redacción o dominio conceptual, sino también como manifestaciones de procesos de apropiación aún incompletos de las prácticas académicas propias de cada campo de formación.</w:t>
      </w:r>
    </w:p>
    <w:p w14:paraId="067371C6" w14:textId="66AA9361" w:rsidR="0080443F" w:rsidRPr="00613A70" w:rsidRDefault="0080443F" w:rsidP="0080443F">
      <w:pPr>
        <w:spacing w:line="240" w:lineRule="auto"/>
        <w:jc w:val="both"/>
        <w:rPr>
          <w:rFonts w:ascii="Times New Roman" w:hAnsi="Times New Roman" w:cs="Times New Roman"/>
          <w:lang w:val="es-AR"/>
        </w:rPr>
      </w:pPr>
      <w:r>
        <w:rPr>
          <w:rFonts w:ascii="Times New Roman" w:hAnsi="Times New Roman" w:cs="Times New Roman"/>
          <w:lang w:val="es-AR"/>
        </w:rPr>
        <w:t xml:space="preserve">La expansión de la inteligencia artificial generativa introduce nuevos interrogantes sobre estos procesos de afiliación y construcción de conocimiento. Cuando sistemas capaces de producir textos coherentes y formalmente correctos pasan a formar parte de las prácticas habituales de estudio, </w:t>
      </w:r>
      <w:r w:rsidR="001B61BD">
        <w:rPr>
          <w:rFonts w:ascii="Times New Roman" w:hAnsi="Times New Roman" w:cs="Times New Roman"/>
          <w:lang w:val="es-AR"/>
        </w:rPr>
        <w:t xml:space="preserve">las </w:t>
      </w:r>
      <w:r>
        <w:rPr>
          <w:rFonts w:ascii="Times New Roman" w:hAnsi="Times New Roman" w:cs="Times New Roman"/>
          <w:lang w:val="es-AR"/>
        </w:rPr>
        <w:t>actividades tradicionalmente asociadas al aprendizaje universitario como la búsqueda de información, la elaboración de síntesis o la producción de textos académicos</w:t>
      </w:r>
      <w:r w:rsidR="001B61BD">
        <w:rPr>
          <w:rFonts w:ascii="Times New Roman" w:hAnsi="Times New Roman" w:cs="Times New Roman"/>
          <w:lang w:val="es-AR"/>
        </w:rPr>
        <w:t xml:space="preserve">, </w:t>
      </w:r>
      <w:r>
        <w:rPr>
          <w:rFonts w:ascii="Times New Roman" w:hAnsi="Times New Roman" w:cs="Times New Roman"/>
          <w:lang w:val="es-AR"/>
        </w:rPr>
        <w:t>adquieren nuevas configuraciones. La cuestión ya no se limita a quién produce un determinado texto, sino a comprender qué procesos intelectuales intervienen en su elaboración, revisión, validación y apropiación.</w:t>
      </w:r>
    </w:p>
    <w:p w14:paraId="7FCF0F4F" w14:textId="77777777" w:rsidR="009553F8" w:rsidRPr="00613A70" w:rsidRDefault="0080443F" w:rsidP="00181018">
      <w:pPr>
        <w:spacing w:line="240" w:lineRule="auto"/>
        <w:jc w:val="both"/>
        <w:rPr>
          <w:rFonts w:ascii="Times New Roman" w:hAnsi="Times New Roman" w:cs="Times New Roman"/>
          <w:lang w:val="es-AR"/>
        </w:rPr>
      </w:pPr>
      <w:r>
        <w:rPr>
          <w:rFonts w:ascii="Times New Roman" w:hAnsi="Times New Roman" w:cs="Times New Roman"/>
          <w:lang w:val="es-AR"/>
        </w:rPr>
        <w:t>En este contexto, adquiere especial relevancia la explicitación de los procesos mediante los cuales se construyen las respuestas académicas. Formular problemas, identificar supuestos, seleccionar fuentes, contrastar información y justificar decisiones continúan siendo actividades centrales del trabajo intelectual universitario, aun cuando intervengan herramientas de inteligencia artificial. Desde esta perspectiva, el desafío pedagógico no consiste únicamente en incorporar nuevas tecnologías a las prácticas de estudio, sino en generar condiciones para que los estudiantes desarrollen capacidades que les permitan analizar críticamente las respuestas producidas por dichas herramientas.</w:t>
      </w:r>
    </w:p>
    <w:p w14:paraId="1FE4EA1B" w14:textId="53730D38" w:rsidR="00181018" w:rsidRPr="00613A70" w:rsidRDefault="00181018" w:rsidP="00181018">
      <w:pPr>
        <w:spacing w:line="240" w:lineRule="auto"/>
        <w:jc w:val="both"/>
        <w:rPr>
          <w:rFonts w:ascii="Times New Roman" w:hAnsi="Times New Roman" w:cs="Times New Roman"/>
          <w:lang w:val="es-AR"/>
        </w:rPr>
      </w:pPr>
      <w:r>
        <w:rPr>
          <w:rFonts w:ascii="Times New Roman" w:hAnsi="Times New Roman" w:cs="Times New Roman"/>
          <w:b/>
          <w:bCs/>
        </w:rPr>
        <w:t>Formación en ingeniería, incertidumbre y juicio profesional</w:t>
      </w:r>
    </w:p>
    <w:p w14:paraId="2BF5BDFD"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La formación en ingeniería en Argentina ha experimentado en las últimas décadas un proceso de transformación orientado hacia modelos centrados en el desarrollo de competencias. Los estándares de segunda generación propuestos por el Consejo Federal de Decanos de Ingeniería (CONFEDI, 2018) plantean que la formación de los futuros ingenieros debe trascender la mera adquisición de conocimientos técnicos e incorporar capacidades vinculadas con la resolución de problemas complejos, el análisis crítico de información, la toma de decisiones fundamentadas y el aprendizaje permanente.</w:t>
      </w:r>
    </w:p>
    <w:p w14:paraId="0D8664E3"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En este marco, el ejercicio profesional de la ingeniería se caracteriza por desarrollarse en contextos donde la información disponible suele ser incompleta, incierta o cambiante. Los problemas que enfrentan los ingenieros rara vez admiten una única solución correcta y frecuentemente requieren formular supuestos, evaluar alternativas, ponderar riesgos y justificar decisiones frente a distintos actores. Por esta razón, el juicio profesional constituye una dimensión central de la formación disciplinar.</w:t>
      </w:r>
    </w:p>
    <w:p w14:paraId="5F4A3A1B" w14:textId="77777777" w:rsidR="007A6C26" w:rsidRPr="00613A70" w:rsidRDefault="007A6C26" w:rsidP="007A6C26">
      <w:pPr>
        <w:spacing w:line="240" w:lineRule="auto"/>
        <w:jc w:val="both"/>
        <w:rPr>
          <w:rFonts w:ascii="Times New Roman" w:hAnsi="Times New Roman" w:cs="Times New Roman"/>
          <w:lang w:val="es-AR"/>
        </w:rPr>
      </w:pPr>
      <w:r>
        <w:rPr>
          <w:rFonts w:ascii="Times New Roman" w:hAnsi="Times New Roman" w:cs="Times New Roman"/>
          <w:lang w:val="es-AR"/>
        </w:rPr>
        <w:t xml:space="preserve">La incorporación de herramientas de inteligencia artificial generativa introduce nuevas tensiones en este escenario. Si bien estas tecnologías facilitan el acceso a información y la producción de respuestas formalmente correctas, el ejercicio profesional de la ingeniería continúa requiriendo capacidades que no pueden delegarse completamente en </w:t>
      </w:r>
      <w:r>
        <w:rPr>
          <w:rFonts w:ascii="Times New Roman" w:hAnsi="Times New Roman" w:cs="Times New Roman"/>
          <w:lang w:val="es-AR"/>
        </w:rPr>
        <w:lastRenderedPageBreak/>
        <w:t>sistemas algorítmicos: formular supuestos, evaluar la pertinencia de la información disponible, justificar decisiones y asumir responsabilidad sobre sus consecuencias.</w:t>
      </w:r>
    </w:p>
    <w:p w14:paraId="3DA41445" w14:textId="77777777" w:rsidR="007A6C26" w:rsidRPr="00613A70" w:rsidRDefault="007A6C26" w:rsidP="007A6C26">
      <w:pPr>
        <w:spacing w:line="240" w:lineRule="auto"/>
        <w:jc w:val="both"/>
        <w:rPr>
          <w:rFonts w:ascii="Times New Roman" w:hAnsi="Times New Roman" w:cs="Times New Roman"/>
          <w:lang w:val="es-AR"/>
        </w:rPr>
      </w:pPr>
      <w:r>
        <w:rPr>
          <w:rFonts w:ascii="Times New Roman" w:hAnsi="Times New Roman" w:cs="Times New Roman"/>
          <w:lang w:val="es-AR"/>
        </w:rPr>
        <w:t>Desde esta perspectiva, la evaluación de proyectos de inversión constituye un contexto particularmente relevante para explorar propuestas pedagógicas vinculadas con el uso crítico de la inteligencia artificial. La determinación de la tasa de corte exige integrar información proveniente de múltiples fuentes, trabajar bajo condiciones de incertidumbre y fundamentar decisiones que no pueden derivarse mecánicamente de un procedimiento de cálculo. En consecuencia, ofrece una oportunidad especialmente adecuada para problematizar las respuestas producidas por sistemas de IA y promover el desarrollo de competencias asociadas al juicio profesional.</w:t>
      </w:r>
    </w:p>
    <w:p w14:paraId="2FD138AD" w14:textId="65FB0755" w:rsidR="005F3B2E" w:rsidRPr="00613A70" w:rsidRDefault="005F3B2E" w:rsidP="007B5B5F">
      <w:pPr>
        <w:spacing w:line="240" w:lineRule="auto"/>
        <w:rPr>
          <w:rFonts w:ascii="Times New Roman" w:hAnsi="Times New Roman" w:cs="Times New Roman"/>
          <w:b/>
          <w:bCs/>
          <w:lang w:val="es-AR"/>
        </w:rPr>
      </w:pPr>
      <w:r>
        <w:rPr>
          <w:rFonts w:ascii="Times New Roman" w:hAnsi="Times New Roman" w:cs="Times New Roman"/>
          <w:b/>
          <w:bCs/>
          <w:lang w:val="es-AR"/>
        </w:rPr>
        <w:t>Desarrollo</w:t>
      </w:r>
    </w:p>
    <w:p w14:paraId="16B05BC6" w14:textId="77777777" w:rsidR="00181018" w:rsidRPr="00613A70" w:rsidRDefault="00181018" w:rsidP="00181018">
      <w:pPr>
        <w:spacing w:line="240" w:lineRule="auto"/>
        <w:jc w:val="both"/>
        <w:rPr>
          <w:rFonts w:ascii="Times New Roman" w:hAnsi="Times New Roman" w:cs="Times New Roman"/>
          <w:b/>
          <w:bCs/>
        </w:rPr>
      </w:pPr>
      <w:r>
        <w:rPr>
          <w:rFonts w:ascii="Times New Roman" w:hAnsi="Times New Roman" w:cs="Times New Roman"/>
          <w:b/>
          <w:bCs/>
        </w:rPr>
        <w:t>Observaciones surgidas en la asignatura ante la incorporación de herramientas de IA generativa</w:t>
      </w:r>
    </w:p>
    <w:p w14:paraId="06BD87BC"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Las reflexiones que dieron origen a la propuesta presentada en este trabajo no surgieron inicialmente de una preocupación por la detección del uso de herramientas de inteligencia artificial generativa, sino de una serie de transformaciones observadas en las producciones académicas de los estudiantes durante la corrección y seguimiento de proyectos integradores desarrollados en la asignatura Proyectos de Ingeniería.</w:t>
      </w:r>
    </w:p>
    <w:p w14:paraId="300CF1BE" w14:textId="13F93A4F"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En los últimos años comenzó a registrarse una mejora significativa en la calidad formal de los informes presentados. Los trabajos evidenciaban una redacción más fluida, una estructura más homogénea, una presentación más cuidada y una mayor cantidad de bibliografía citada. En una primera aproximación, estas características podían interpretarse como indicadores positivos del proceso formativo. Sin embargo, el análisis detallado de los proyectos permitió advertir que la mejora formal de los documentos no siempre se correspondía con un fortalecimiento equivalente de la argumentación técnica o de la comprensión conceptual de los problemas abordados.</w:t>
      </w:r>
    </w:p>
    <w:p w14:paraId="7BA2D392" w14:textId="7678BF83"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Entre las situaciones observadas con mayor frecuencia se identificaron dificultades para explicitar los supuestos que sustentaban determinadas decisiones técnicas o económicas, escasa trazabilidad de algunas fuentes utilizadas y una creciente presencia de afirmaciones con apariencia de solidez argumentativa, pero insuficientemente fundamentadas. En diversos casos, conceptos, modelos o parámetros aparecían correctamente formulados desde el punto de vista discursivo, aunque resultaba complejo reconstruir el razonamiento que justificaba su utilización o verificar la procedencia de la información empleada.</w:t>
      </w:r>
    </w:p>
    <w:p w14:paraId="2C6A45CC" w14:textId="53F25DE6" w:rsidR="009860DC" w:rsidRPr="00613A70" w:rsidRDefault="00181018" w:rsidP="00181018">
      <w:pPr>
        <w:spacing w:line="240" w:lineRule="auto"/>
        <w:jc w:val="both"/>
        <w:rPr>
          <w:rFonts w:ascii="Times New Roman" w:hAnsi="Times New Roman" w:cs="Times New Roman"/>
        </w:rPr>
      </w:pPr>
      <w:r>
        <w:rPr>
          <w:rFonts w:ascii="Times New Roman" w:hAnsi="Times New Roman" w:cs="Times New Roman"/>
        </w:rPr>
        <w:t>Asimismo, comenzaron a detectarse modificaciones en los estilos de escritura utilizados por los estudiantes. Los informes tendían a presentar una elevada fragmentación textual, con abundancia de párrafos breves, frecuentes reformulaciones de una misma idea y utilización reiterada de recursos discursivos orientados a reforzar el impacto comunicativo del texto. Entre los cambios observados también comenzaron a aparecer con mayor frecuencia formulaciones valorativas amplias que no siempre se encontraban acompañadas por evidencias o datos que las sustentaran.</w:t>
      </w:r>
    </w:p>
    <w:p w14:paraId="59C3A479" w14:textId="5E349855"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lastRenderedPageBreak/>
        <w:t>Estas transformaciones resultaron especialmente significativas en una asignatura dedicada a la formulación y evaluación de proyectos de ingeniería plasmados en informes técnicos que requieren precisión conceptual, fundamentación de decisiones y trazabilidad de las fuentes utilizadas. En consecuencia, la preocupación del equipo docente no estuvo asociada a una disminución de la calidad formal de los trabajos, sino a la creciente dificultad para inferir procesos de comprensión y construcción de conocimiento a partir de productos discursivamente cada vez más elaborados.</w:t>
      </w:r>
    </w:p>
    <w:p w14:paraId="41D31FC2" w14:textId="2C49AAD4" w:rsidR="002945E7" w:rsidRPr="00613A70" w:rsidRDefault="002945E7" w:rsidP="002945E7">
      <w:pPr>
        <w:spacing w:line="240" w:lineRule="auto"/>
        <w:jc w:val="both"/>
        <w:rPr>
          <w:rFonts w:ascii="Times New Roman" w:hAnsi="Times New Roman" w:cs="Times New Roman"/>
          <w:lang w:val="es-AR"/>
        </w:rPr>
      </w:pPr>
      <w:r>
        <w:rPr>
          <w:rFonts w:ascii="Times New Roman" w:hAnsi="Times New Roman" w:cs="Times New Roman"/>
          <w:lang w:val="es-AR"/>
        </w:rPr>
        <w:t>La identificación recurrente de estas características llevó al equipo docente a problematizar el impacto que las herramientas de inteligencia artificial generativa podían estar teniendo sobre las prácticas de estudio de los estudiantes, particularmente en los procesos de búsqueda, producción y validación de información. Más que una preocupación centrada en la detección de su uso comenzó a emerger el interrogante acerca de cómo estas herramientas estaban modificando las formas en que los estudiantes construían y justificaban conocimiento dentro de la asignatura.</w:t>
      </w:r>
    </w:p>
    <w:p w14:paraId="5B762520" w14:textId="77777777" w:rsidR="002945E7" w:rsidRDefault="002945E7" w:rsidP="002945E7">
      <w:pPr>
        <w:spacing w:line="240" w:lineRule="auto"/>
        <w:jc w:val="both"/>
        <w:rPr>
          <w:rFonts w:ascii="Times New Roman" w:hAnsi="Times New Roman" w:cs="Times New Roman"/>
          <w:lang w:val="es-AR"/>
        </w:rPr>
      </w:pPr>
      <w:r>
        <w:rPr>
          <w:rFonts w:ascii="Times New Roman" w:hAnsi="Times New Roman" w:cs="Times New Roman"/>
          <w:lang w:val="es-AR"/>
        </w:rPr>
        <w:t>A partir de estas observaciones se inició un proceso de revisión de las estrategias de enseñanza y evaluación implementadas en la materia. Las primeras intervenciones tuvieron carácter exploratorio y buscaron comprender con mayor precisión los modos en que los estudiantes incorporaban herramientas de inteligencia artificial a sus prácticas habituales de trabajo. Las actividades desarrolladas en esta etapa constituyen el punto de partida de la propuesta pedagógica que se presenta en este trabajo.</w:t>
      </w:r>
    </w:p>
    <w:p w14:paraId="302F6156" w14:textId="77777777" w:rsidR="002A180E" w:rsidRDefault="002A180E" w:rsidP="002A180E">
      <w:pPr>
        <w:spacing w:line="240" w:lineRule="auto"/>
        <w:jc w:val="both"/>
        <w:rPr>
          <w:rFonts w:ascii="Times New Roman" w:hAnsi="Times New Roman" w:cs="Times New Roman"/>
          <w:b/>
          <w:bCs/>
        </w:rPr>
      </w:pPr>
      <w:r w:rsidRPr="005305D1">
        <w:rPr>
          <w:rFonts w:ascii="Times New Roman" w:hAnsi="Times New Roman" w:cs="Times New Roman"/>
          <w:b/>
          <w:bCs/>
        </w:rPr>
        <w:t>Actividades exploratorias y evidencias preliminares</w:t>
      </w:r>
    </w:p>
    <w:p w14:paraId="28A701E5" w14:textId="77777777" w:rsidR="00556F7B" w:rsidRPr="00403513" w:rsidRDefault="00403513" w:rsidP="00556F7B">
      <w:pPr>
        <w:spacing w:line="240" w:lineRule="auto"/>
        <w:jc w:val="both"/>
        <w:rPr>
          <w:rFonts w:ascii="Times New Roman" w:hAnsi="Times New Roman" w:cs="Times New Roman"/>
          <w:lang w:val="es-AR"/>
        </w:rPr>
      </w:pPr>
      <w:r w:rsidRPr="00403513">
        <w:rPr>
          <w:rFonts w:ascii="Times New Roman" w:hAnsi="Times New Roman" w:cs="Times New Roman"/>
          <w:lang w:val="es-AR"/>
        </w:rPr>
        <w:t xml:space="preserve">Las observaciones realizadas durante la corrección de proyectos integradores motivaron la incorporación progresiva de actividades orientadas a explorar cómo los estudiantes estaban incorporando herramientas de inteligencia artificial generativa a sus prácticas habituales de estudio. Estas primeras intervenciones tuvieron un carácter exploratorio y buscaron comprender </w:t>
      </w:r>
      <w:r w:rsidR="00556F7B" w:rsidRPr="00403513">
        <w:rPr>
          <w:rFonts w:ascii="Times New Roman" w:hAnsi="Times New Roman" w:cs="Times New Roman"/>
          <w:lang w:val="es-AR"/>
        </w:rPr>
        <w:t>de qué manera dichas herramientas comenzaban a modificar las formas de búsqueda, producción y fundamentación de la información en la asignatura.</w:t>
      </w:r>
    </w:p>
    <w:p w14:paraId="7092E632" w14:textId="77777777" w:rsidR="009F312E" w:rsidRDefault="009F312E" w:rsidP="002A180E">
      <w:pPr>
        <w:spacing w:line="240" w:lineRule="auto"/>
        <w:jc w:val="both"/>
        <w:rPr>
          <w:rFonts w:ascii="Times New Roman" w:hAnsi="Times New Roman" w:cs="Times New Roman"/>
        </w:rPr>
      </w:pPr>
      <w:r w:rsidRPr="009F312E">
        <w:rPr>
          <w:rFonts w:ascii="Times New Roman" w:hAnsi="Times New Roman" w:cs="Times New Roman"/>
        </w:rPr>
        <w:t>Como parte de estas primeras intervenciones, durante 2026 la asignatura estableció lineamientos explícitos para el uso de herramientas de IA. La propuesta partía del reconocimiento de que estas tecnologías ya formaban parte de las prácticas habituales de estudio y producción académica de los estudiantes, por lo que se buscó promover un uso transparente, responsable y críticamente fundamentado. En este marco, se incorporó la exigencia de declarar su utilización y, cuando correspondiera, documentar los intercambios mantenidos con dichas herramientas, explicitando que la validación de la información, la toma de decisiones y la autoría intelectual de los trabajos continuaban siendo responsabilidad indelegable de los estudiantes. Asimismo, se desarrollaron instancias destinadas a abordar sus potencialidades y limitaciones, incluyendo cuestiones vinculadas con sesgos, alucinaciones y validación de información. Más que constituir un fin en sí mismas, estas medidas buscaron generar condiciones que permitieran observar con mayor claridad cómo los estudiantes incorporaban estas herramientas a sus prácticas habituales de estudio.</w:t>
      </w:r>
    </w:p>
    <w:p w14:paraId="165BB59F" w14:textId="61EA3227" w:rsidR="00F91158" w:rsidRDefault="00F91158" w:rsidP="002A180E">
      <w:pPr>
        <w:spacing w:line="240" w:lineRule="auto"/>
        <w:jc w:val="both"/>
        <w:rPr>
          <w:rFonts w:ascii="Times New Roman" w:hAnsi="Times New Roman" w:cs="Times New Roman"/>
        </w:rPr>
      </w:pPr>
      <w:r w:rsidRPr="00F91158">
        <w:rPr>
          <w:rFonts w:ascii="Times New Roman" w:hAnsi="Times New Roman" w:cs="Times New Roman"/>
        </w:rPr>
        <w:lastRenderedPageBreak/>
        <w:t>La primera actividad exploratoria consistió en la elaboración de una matriz FODA a partir de un prompt deliberadamente ambiguo. La mayoría de los estudiantes trabajó sobre la primera respuesta generada por la herramienta, sin reformular el prompt ni cuestionar los supuestos implícitos utilizados para construir la matriz, lo que condujo a aceptar clasificaciones inconsistentes sin advertirlo.</w:t>
      </w:r>
    </w:p>
    <w:p w14:paraId="302EE431" w14:textId="77777777" w:rsidR="006B4A8F" w:rsidRDefault="006B4A8F" w:rsidP="006B4A8F">
      <w:pPr>
        <w:spacing w:line="240" w:lineRule="auto"/>
        <w:jc w:val="both"/>
        <w:rPr>
          <w:rFonts w:ascii="Times New Roman" w:hAnsi="Times New Roman" w:cs="Times New Roman"/>
          <w:lang w:val="es-AR"/>
        </w:rPr>
      </w:pPr>
      <w:r w:rsidRPr="006B4A8F">
        <w:rPr>
          <w:rFonts w:ascii="Times New Roman" w:hAnsi="Times New Roman" w:cs="Times New Roman"/>
        </w:rPr>
        <w:t>Una segunda actividad, desarrollada mediante diez minicasos de estudio de mercado con uso libre de IA, permitió observar un patrón complementario</w:t>
      </w:r>
      <w:r>
        <w:rPr>
          <w:rFonts w:ascii="Times New Roman" w:hAnsi="Times New Roman" w:cs="Times New Roman"/>
        </w:rPr>
        <w:t xml:space="preserve">, </w:t>
      </w:r>
      <w:r w:rsidRPr="0013428B">
        <w:rPr>
          <w:rFonts w:ascii="Times New Roman" w:hAnsi="Times New Roman" w:cs="Times New Roman"/>
          <w:lang w:val="es-AR"/>
        </w:rPr>
        <w:t>se observó heterogeneidad en la declaración del uso de IA: un grupo no la mencionó, otro la declaró de forma genérica y solo una minoría documentó completamente sus interacciones, pese a que en varios casos era reconocible el uso de IA aunque no estuviera declarado.</w:t>
      </w:r>
    </w:p>
    <w:p w14:paraId="2DF33D64" w14:textId="77777777" w:rsidR="00AE5BD0" w:rsidRDefault="00AE5BD0" w:rsidP="00AE5BD0">
      <w:pPr>
        <w:spacing w:line="240" w:lineRule="auto"/>
        <w:jc w:val="both"/>
        <w:rPr>
          <w:rFonts w:ascii="Times New Roman" w:hAnsi="Times New Roman" w:cs="Times New Roman"/>
          <w:lang w:val="es-AR"/>
        </w:rPr>
      </w:pPr>
      <w:r w:rsidRPr="00AE5BD0">
        <w:rPr>
          <w:rFonts w:ascii="Times New Roman" w:hAnsi="Times New Roman" w:cs="Times New Roman"/>
          <w:lang w:val="es-AR"/>
        </w:rPr>
        <w:t>En conjunto, ambas experiencias mostraron que la existencia de lineamientos explícitos y actividades de sensibilización resultaba insuficiente para promover prácticas sistemáticas de documentación, análisis crítico y fundamentación de las respuestas producidas mediante IA. Las observaciones permitieron consolidar la hipótesis de que las dificultades no provenían del uso de las herramientas en sí mismas, sino de la necesidad de diseñar propuestas capaces de hacer visibles los procesos de construcción del conocimiento que dichas respuestas tendían a ocultar. Esta constatación dio origen al rediseño pedagógico desarrollado posteriormente.</w:t>
      </w:r>
    </w:p>
    <w:p w14:paraId="0B835194" w14:textId="77777777" w:rsidR="00895897" w:rsidRPr="00895897" w:rsidRDefault="00895897" w:rsidP="00895897">
      <w:pPr>
        <w:spacing w:line="240" w:lineRule="auto"/>
        <w:jc w:val="both"/>
        <w:rPr>
          <w:rFonts w:ascii="Times New Roman" w:hAnsi="Times New Roman" w:cs="Times New Roman"/>
          <w:b/>
          <w:bCs/>
          <w:lang w:val="es-AR"/>
        </w:rPr>
      </w:pPr>
      <w:r w:rsidRPr="00895897">
        <w:rPr>
          <w:rFonts w:ascii="Times New Roman" w:hAnsi="Times New Roman" w:cs="Times New Roman"/>
          <w:b/>
          <w:bCs/>
          <w:lang w:val="es-AR"/>
        </w:rPr>
        <w:t>Del diagnóstico al rediseño pedagógico</w:t>
      </w:r>
    </w:p>
    <w:p w14:paraId="47DD4F24" w14:textId="77777777" w:rsidR="00895897" w:rsidRPr="00895897" w:rsidRDefault="00895897" w:rsidP="00895897">
      <w:pPr>
        <w:spacing w:line="240" w:lineRule="auto"/>
        <w:jc w:val="both"/>
        <w:rPr>
          <w:rFonts w:ascii="Times New Roman" w:hAnsi="Times New Roman" w:cs="Times New Roman"/>
          <w:lang w:val="es-AR"/>
        </w:rPr>
      </w:pPr>
      <w:r w:rsidRPr="00895897">
        <w:rPr>
          <w:rFonts w:ascii="Times New Roman" w:hAnsi="Times New Roman" w:cs="Times New Roman"/>
          <w:lang w:val="es-AR"/>
        </w:rPr>
        <w:t>Las evidencias obtenidas durante las primeras actividades exploratorias mostraron que la incorporación de lineamientos explícitos sobre el uso de inteligencia artificial y de instancias iniciales de sensibilización no resultaba suficiente para promover prácticas sistemáticas de análisis crítico de las respuestas producidas por estos sistemas. En particular, persistían dificultades para reconstruir los razonamientos que sustentaban las respuestas obtenidas y para justificar las decisiones adoptadas.</w:t>
      </w:r>
    </w:p>
    <w:p w14:paraId="1031F0A6" w14:textId="77777777" w:rsidR="00895897" w:rsidRPr="00895897" w:rsidRDefault="00895897" w:rsidP="00895897">
      <w:pPr>
        <w:spacing w:line="240" w:lineRule="auto"/>
        <w:jc w:val="both"/>
        <w:rPr>
          <w:rFonts w:ascii="Times New Roman" w:hAnsi="Times New Roman" w:cs="Times New Roman"/>
          <w:lang w:val="es-AR"/>
        </w:rPr>
      </w:pPr>
      <w:r w:rsidRPr="00895897">
        <w:rPr>
          <w:rFonts w:ascii="Times New Roman" w:hAnsi="Times New Roman" w:cs="Times New Roman"/>
          <w:lang w:val="es-AR"/>
        </w:rPr>
        <w:t>Esta constatación llevó al equipo docente a reconsiderar el diseño de las actividades desarrolladas en la asignatura. Más que perfeccionar el uso de las herramientas o promover la elaboración de prompts más precisos, el desafío consistía en diseñar situaciones de aprendizaje en las cuales las respuestas generadas por la inteligencia artificial dejaran de ocupar el lugar de solución para convertirse en objeto de análisis.</w:t>
      </w:r>
    </w:p>
    <w:p w14:paraId="66E9B83D" w14:textId="77777777" w:rsidR="00895897" w:rsidRPr="00895897" w:rsidRDefault="00895897" w:rsidP="00895897">
      <w:pPr>
        <w:spacing w:line="240" w:lineRule="auto"/>
        <w:jc w:val="both"/>
        <w:rPr>
          <w:rFonts w:ascii="Times New Roman" w:hAnsi="Times New Roman" w:cs="Times New Roman"/>
          <w:lang w:val="es-AR"/>
        </w:rPr>
      </w:pPr>
      <w:r w:rsidRPr="00895897">
        <w:rPr>
          <w:rFonts w:ascii="Times New Roman" w:hAnsi="Times New Roman" w:cs="Times New Roman"/>
          <w:lang w:val="es-AR"/>
        </w:rPr>
        <w:t>En consecuencia, el rediseño pedagógico comenzó a orientarse hacia propuestas en las que los estudiantes debieran contrastar la información obtenida, explicitar los criterios adoptados y evaluar críticamente la pertinencia de las respuestas producidas en función del contexto específico del problema analizado.</w:t>
      </w:r>
    </w:p>
    <w:p w14:paraId="2F4DF53F" w14:textId="77777777" w:rsidR="00895897" w:rsidRPr="00895897" w:rsidRDefault="00895897" w:rsidP="00895897">
      <w:pPr>
        <w:spacing w:line="240" w:lineRule="auto"/>
        <w:jc w:val="both"/>
        <w:rPr>
          <w:rFonts w:ascii="Times New Roman" w:hAnsi="Times New Roman" w:cs="Times New Roman"/>
          <w:lang w:val="es-AR"/>
        </w:rPr>
      </w:pPr>
      <w:r w:rsidRPr="00895897">
        <w:rPr>
          <w:rFonts w:ascii="Times New Roman" w:hAnsi="Times New Roman" w:cs="Times New Roman"/>
          <w:lang w:val="es-AR"/>
        </w:rPr>
        <w:t>La actividad desarrollada en torno a la determinación de la tasa de corte de proyectos de inversión constituye la expresión más elaborada de esta línea de trabajo y procura integrar, en una única secuencia didáctica, los principales desafíos identificados durante las experiencias exploratorias desarrolladas previamente en la asignatura.</w:t>
      </w:r>
    </w:p>
    <w:p w14:paraId="40CCD762" w14:textId="77777777" w:rsidR="00181018" w:rsidRPr="00613A70" w:rsidRDefault="00181018" w:rsidP="00181018">
      <w:pPr>
        <w:spacing w:line="240" w:lineRule="auto"/>
        <w:jc w:val="both"/>
        <w:rPr>
          <w:rFonts w:ascii="Times New Roman" w:hAnsi="Times New Roman" w:cs="Times New Roman"/>
          <w:b/>
          <w:bCs/>
        </w:rPr>
      </w:pPr>
      <w:r>
        <w:rPr>
          <w:rFonts w:ascii="Times New Roman" w:hAnsi="Times New Roman" w:cs="Times New Roman"/>
          <w:b/>
          <w:bCs/>
        </w:rPr>
        <w:t>La elección de la tasa de corte como objeto de intervención pedagógica</w:t>
      </w:r>
    </w:p>
    <w:p w14:paraId="0D6FA39F" w14:textId="1865516E"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lastRenderedPageBreak/>
        <w:t>La selección de la determinación de la tasa de corte como eje de la intervención no respondió únicamente a su relevancia</w:t>
      </w:r>
      <w:r w:rsidR="00474094">
        <w:rPr>
          <w:rFonts w:ascii="Times New Roman" w:hAnsi="Times New Roman" w:cs="Times New Roman"/>
        </w:rPr>
        <w:t xml:space="preserve"> y ubicación del contenido</w:t>
      </w:r>
      <w:r>
        <w:rPr>
          <w:rFonts w:ascii="Times New Roman" w:hAnsi="Times New Roman" w:cs="Times New Roman"/>
        </w:rPr>
        <w:t xml:space="preserve"> dentro del programa de la asignatura</w:t>
      </w:r>
      <w:r w:rsidR="0089540A">
        <w:rPr>
          <w:rFonts w:ascii="Times New Roman" w:hAnsi="Times New Roman" w:cs="Times New Roman"/>
        </w:rPr>
        <w:t xml:space="preserve"> (Universidad Nacional de Luján, 2025)</w:t>
      </w:r>
      <w:r>
        <w:rPr>
          <w:rFonts w:ascii="Times New Roman" w:hAnsi="Times New Roman" w:cs="Times New Roman"/>
        </w:rPr>
        <w:t>, sino también a las características particulares que presenta como problema de enseñanza y aprendizaje en el contexto actual de expansión de herramientas de inteligencia artificial generativa.</w:t>
      </w:r>
    </w:p>
    <w:p w14:paraId="0EE4B626"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La tasa de corte constituye uno de los conceptos centrales de la evaluación económico-financiera de proyectos de inversión. Su determinación condiciona la aceptación o rechazo de una alternativa de inversión y requiere integrar conocimientos vinculados con finanzas, análisis macroeconómico, riesgo, inflación y comportamiento de los mercados de capitales. A diferencia de otros contenidos que admiten procedimientos relativamente estandarizados, la definición de una tasa de corte adecuada involucra necesariamente la adopción de supuestos y decisiones que dependen del contexto específico en el que se desarrolla el proyecto.</w:t>
      </w:r>
    </w:p>
    <w:p w14:paraId="772C89CC" w14:textId="5F26159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En la experiencia de la asignatura, este contenido suele representar una dificultad particular para los estudiantes. Con frecuencia se observa una tendencia a interpretar herramientas como el CAPM (modelo de determinación del rendimiento de activos financieros, por sus siglas en inglés, capital asset pricing model) o el WACC (costo promedio ponderado del capital, por sus siglas en inglés) como algoritmos de cálculo cuya aplicación conduce a un resultado único y objetivamente correcto. Sin embargo, la selección de los parámetros que integran dichos modelos exige definir criterios, justificar fuentes de información y adoptar decisiones respecto del contexto económico considerado. En otras palabras, la tasa de corte no constituye un dato que pueda obtenerse mecánicamente, sino una construcción analítica que requiere argumentación y juicio profesional.</w:t>
      </w:r>
    </w:p>
    <w:p w14:paraId="02AF4795" w14:textId="77777777"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Estas características adquieren especial relevancia en economías con elevados niveles de incertidumbre macroeconómica. En contextos como el argentino, variables tales como inflación, riesgo país, costo del financiamiento o expectativas de rentabilidad presentan niveles de volatilidad que dificultan la utilización acrítica de valores de referencia genéricos. La pertinencia de una tasa de corte depende entonces no sólo de la consistencia matemática del cálculo realizado, sino también de la razonabilidad de los supuestos adoptados y de la adecuación de las fuentes utilizadas.</w:t>
      </w:r>
    </w:p>
    <w:p w14:paraId="08D6FA77" w14:textId="77777777" w:rsidR="00FE0D91" w:rsidRPr="00613A70" w:rsidRDefault="00FE0D91" w:rsidP="00FE0D91">
      <w:pPr>
        <w:spacing w:line="240" w:lineRule="auto"/>
        <w:jc w:val="both"/>
        <w:rPr>
          <w:rFonts w:ascii="Times New Roman" w:hAnsi="Times New Roman" w:cs="Times New Roman"/>
          <w:lang w:val="es-AR"/>
        </w:rPr>
      </w:pPr>
      <w:r>
        <w:rPr>
          <w:rFonts w:ascii="Times New Roman" w:hAnsi="Times New Roman" w:cs="Times New Roman"/>
          <w:lang w:val="es-AR"/>
        </w:rPr>
        <w:t>Precisamente por estas razones, la determinación de la tasa de corte constituye un terreno particularmente fértil para analizar el impacto de las herramientas de inteligencia artificial generativa sobre las prácticas de estudio. Frente a consignas amplias o insuficientemente definidas, estos sistemas suelen producir respuestas formalmente plausibles, con fórmulas correctamente expresadas y argumentaciones coherentes desde el punto de vista discursivo. Sin embargo, tales respuestas pueden incorporar supuestos implícitos, utilizar parámetros desactualizados o adoptar criterios incompatibles con las condiciones específicas del proyecto analizado.</w:t>
      </w:r>
    </w:p>
    <w:p w14:paraId="3A535576" w14:textId="77777777" w:rsidR="00FE0D91" w:rsidRPr="00613A70" w:rsidRDefault="00FE0D91" w:rsidP="00FE0D91">
      <w:pPr>
        <w:spacing w:line="240" w:lineRule="auto"/>
        <w:jc w:val="both"/>
        <w:rPr>
          <w:rFonts w:ascii="Times New Roman" w:hAnsi="Times New Roman" w:cs="Times New Roman"/>
          <w:lang w:val="es-AR"/>
        </w:rPr>
      </w:pPr>
      <w:r>
        <w:rPr>
          <w:rFonts w:ascii="Times New Roman" w:hAnsi="Times New Roman" w:cs="Times New Roman"/>
          <w:lang w:val="es-AR"/>
        </w:rPr>
        <w:t xml:space="preserve">Esta situación recupera varios de los problemas identificados en las actividades exploratorias desarrolladas previamente en la asignatura. Al igual que en los ejercicios de diagnóstico estratégico y estudio de mercado, los estudiantes se enfrentan a respuestas </w:t>
      </w:r>
      <w:r>
        <w:rPr>
          <w:rFonts w:ascii="Times New Roman" w:hAnsi="Times New Roman" w:cs="Times New Roman"/>
          <w:lang w:val="es-AR"/>
        </w:rPr>
        <w:lastRenderedPageBreak/>
        <w:t>que no pueden ser aceptadas únicamente por su apariencia de corrección. Resulta necesario reconstruir los supuestos sobre los cuales fueron elaboradas, evaluar la pertinencia de las fuentes empleadas y justificar las decisiones finalmente adoptadas.</w:t>
      </w:r>
    </w:p>
    <w:p w14:paraId="2A026C7B" w14:textId="184BB3A7" w:rsidR="00FE0D91" w:rsidRPr="00613A70" w:rsidRDefault="00FE0D91" w:rsidP="00FE0D91">
      <w:pPr>
        <w:spacing w:line="240" w:lineRule="auto"/>
        <w:jc w:val="both"/>
        <w:rPr>
          <w:rFonts w:ascii="Times New Roman" w:hAnsi="Times New Roman" w:cs="Times New Roman"/>
          <w:lang w:val="es-AR"/>
        </w:rPr>
      </w:pPr>
      <w:r>
        <w:rPr>
          <w:rFonts w:ascii="Times New Roman" w:hAnsi="Times New Roman" w:cs="Times New Roman"/>
          <w:lang w:val="es-AR"/>
        </w:rPr>
        <w:t xml:space="preserve">La elección de este contenido respondió, precisamente, a la posibilidad de convertir esas respuestas en objeto de análisis dentro del proceso de aprendizaje. Más que determinar si una herramienta era capaz de calcular correctamente una tasa de corte, la propuesta buscó </w:t>
      </w:r>
      <w:r>
        <w:rPr>
          <w:rFonts w:ascii="Times New Roman" w:hAnsi="Times New Roman" w:cs="Times New Roman"/>
        </w:rPr>
        <w:t xml:space="preserve">promover capacidades vinculadas con el análisis crítico de los razonamientos involucrados y el ejercicio del juicio profesional. </w:t>
      </w:r>
      <w:r>
        <w:rPr>
          <w:rFonts w:ascii="Times New Roman" w:hAnsi="Times New Roman" w:cs="Times New Roman"/>
          <w:lang w:val="es-AR"/>
        </w:rPr>
        <w:t>En este sentido, la tasa de corte no constituye un dato que pueda obtenerse mecánicamente, sino una construcción analítica que requiere argumentación y fundamentación contextual.</w:t>
      </w:r>
    </w:p>
    <w:p w14:paraId="0669E406" w14:textId="33A5C8CA" w:rsidR="00181018" w:rsidRPr="00613A70" w:rsidRDefault="00181018" w:rsidP="00181018">
      <w:pPr>
        <w:spacing w:line="240" w:lineRule="auto"/>
        <w:jc w:val="both"/>
        <w:rPr>
          <w:rFonts w:ascii="Times New Roman" w:hAnsi="Times New Roman" w:cs="Times New Roman"/>
          <w:b/>
          <w:bCs/>
        </w:rPr>
      </w:pPr>
      <w:r>
        <w:rPr>
          <w:rFonts w:ascii="Times New Roman" w:hAnsi="Times New Roman" w:cs="Times New Roman"/>
          <w:b/>
          <w:bCs/>
        </w:rPr>
        <w:t>Diseño de la intervención pedagógica</w:t>
      </w:r>
    </w:p>
    <w:p w14:paraId="403FFEF5" w14:textId="397424C2" w:rsidR="00EE332B" w:rsidRPr="007713E8" w:rsidRDefault="00EE332B" w:rsidP="00EE332B">
      <w:pPr>
        <w:spacing w:line="240" w:lineRule="auto"/>
        <w:jc w:val="both"/>
        <w:rPr>
          <w:rFonts w:ascii="Times New Roman" w:hAnsi="Times New Roman" w:cs="Times New Roman"/>
          <w:b/>
          <w:bCs/>
        </w:rPr>
      </w:pPr>
      <w:r w:rsidRPr="007713E8">
        <w:rPr>
          <w:rFonts w:ascii="Times New Roman" w:hAnsi="Times New Roman" w:cs="Times New Roman"/>
          <w:b/>
          <w:bCs/>
        </w:rPr>
        <w:t>Dinámica de la actividad</w:t>
      </w:r>
    </w:p>
    <w:p w14:paraId="31AF6ADB" w14:textId="73AD43AA" w:rsidR="00EE332B" w:rsidRPr="00613A70" w:rsidRDefault="00E77333" w:rsidP="00EE332B">
      <w:pPr>
        <w:spacing w:line="240" w:lineRule="auto"/>
        <w:jc w:val="both"/>
        <w:rPr>
          <w:rFonts w:ascii="Times New Roman" w:hAnsi="Times New Roman" w:cs="Times New Roman"/>
          <w:lang w:val="es-AR"/>
        </w:rPr>
      </w:pPr>
      <w:r>
        <w:rPr>
          <w:rFonts w:ascii="Times New Roman" w:hAnsi="Times New Roman" w:cs="Times New Roman"/>
          <w:lang w:val="es-AR"/>
        </w:rPr>
        <w:t xml:space="preserve">La intervención se diseñó a partir de la hipótesis de que las respuestas producidas por herramientas de inteligencia artificial generativa podían convertirse en objeto de análisis dentro del proceso de aprendizaje. En consecuencia, el foco de la actividad no estuvo puesto en obtener resultados más precisos, sino en promover el </w:t>
      </w:r>
      <w:r>
        <w:rPr>
          <w:rFonts w:ascii="Times New Roman" w:hAnsi="Times New Roman" w:cs="Times New Roman"/>
        </w:rPr>
        <w:t xml:space="preserve">análisis de los procesos mediante los cuales las respuestas son construidas y justificadas. </w:t>
      </w:r>
      <w:r>
        <w:rPr>
          <w:rFonts w:ascii="Times New Roman" w:hAnsi="Times New Roman" w:cs="Times New Roman"/>
          <w:lang w:val="es-AR"/>
        </w:rPr>
        <w:t>La secuencia didáctica se estructura en cuatro fases encadenadas que combinan activación, producción, validación y reflexión crítica.</w:t>
      </w:r>
      <w:r w:rsidR="00345872">
        <w:rPr>
          <w:rFonts w:ascii="Times New Roman" w:hAnsi="Times New Roman" w:cs="Times New Roman"/>
          <w:lang w:val="es-AR"/>
        </w:rPr>
        <w:t xml:space="preserve"> </w:t>
      </w:r>
    </w:p>
    <w:p w14:paraId="701A3D44" w14:textId="6BBA7790" w:rsidR="00B40CF6" w:rsidRPr="00613A70" w:rsidRDefault="00436163" w:rsidP="00181018">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6B89B763" wp14:editId="5019A25C">
            <wp:extent cx="5000625" cy="2305050"/>
            <wp:effectExtent l="38100" t="19050" r="9525" b="38100"/>
            <wp:docPr id="1446675157"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BC5C7A4" w14:textId="77777777" w:rsidR="00B4196E" w:rsidRPr="00613A70" w:rsidRDefault="00B40CF6" w:rsidP="00181018">
      <w:pPr>
        <w:spacing w:line="240" w:lineRule="auto"/>
        <w:jc w:val="both"/>
        <w:rPr>
          <w:rFonts w:ascii="Times New Roman" w:hAnsi="Times New Roman" w:cs="Times New Roman"/>
        </w:rPr>
      </w:pPr>
      <w:r>
        <w:rPr>
          <w:rFonts w:ascii="Times New Roman" w:hAnsi="Times New Roman" w:cs="Times New Roman"/>
        </w:rPr>
        <w:t>Fase 1: Activación</w:t>
      </w:r>
    </w:p>
    <w:p w14:paraId="2C067EF2" w14:textId="60AEFDAE" w:rsidR="00C36410" w:rsidRPr="00613A70" w:rsidRDefault="00976D90" w:rsidP="0065480C">
      <w:pPr>
        <w:spacing w:line="240" w:lineRule="auto"/>
        <w:jc w:val="both"/>
        <w:rPr>
          <w:rFonts w:ascii="Times New Roman" w:hAnsi="Times New Roman" w:cs="Times New Roman"/>
        </w:rPr>
      </w:pPr>
      <w:r>
        <w:rPr>
          <w:rFonts w:ascii="Times New Roman" w:hAnsi="Times New Roman" w:cs="Times New Roman"/>
        </w:rPr>
        <w:t>La clase presencial se inicia con la presentación de un breve tema musical generado con IA (Suno) cuyo contenido alude, en tono lúdico, a la “tasa de corte”, el riesgo y la inversión.</w:t>
      </w:r>
      <w:r>
        <w:rPr>
          <w:rFonts w:ascii="Times New Roman" w:hAnsi="Times New Roman" w:cs="Times New Roman"/>
          <w:sz w:val="22"/>
          <w:szCs w:val="22"/>
        </w:rPr>
        <w:t xml:space="preserve"> Este</w:t>
      </w:r>
      <w:r>
        <w:rPr>
          <w:rFonts w:ascii="Times New Roman" w:hAnsi="Times New Roman" w:cs="Times New Roman"/>
        </w:rPr>
        <w:t xml:space="preserve"> recurso disparador elaborado con herramientas de inteligencia artificial generativa promueve una reflexión inicial acerca de la capacidad de estos sistemas para producir contenidos culturalmente aceptables, formalmente coherentes y que se vuelven más precisos en la medida en que las herramientas evolucionan. El objetivo de esta etapa triangula sobre las siguientes acciones:</w:t>
      </w:r>
    </w:p>
    <w:p w14:paraId="6845A784" w14:textId="77777777" w:rsidR="00C36410" w:rsidRPr="00734236" w:rsidRDefault="00434843" w:rsidP="00C36410">
      <w:pPr>
        <w:pStyle w:val="Prrafodelista"/>
        <w:numPr>
          <w:ilvl w:val="0"/>
          <w:numId w:val="7"/>
        </w:numPr>
        <w:spacing w:line="240" w:lineRule="auto"/>
        <w:jc w:val="both"/>
        <w:rPr>
          <w:rFonts w:ascii="Times New Roman" w:hAnsi="Times New Roman" w:cs="Times New Roman"/>
        </w:rPr>
      </w:pPr>
      <w:r>
        <w:rPr>
          <w:rFonts w:ascii="Times New Roman" w:hAnsi="Times New Roman" w:cs="Times New Roman"/>
        </w:rPr>
        <w:lastRenderedPageBreak/>
        <w:t xml:space="preserve">generar un espacio de </w:t>
      </w:r>
      <w:r w:rsidRPr="00734236">
        <w:rPr>
          <w:rFonts w:ascii="Times New Roman" w:hAnsi="Times New Roman" w:cs="Times New Roman"/>
        </w:rPr>
        <w:t xml:space="preserve">activación cognitiva y afectiva, favoreciendo la disposición al aprendizaje </w:t>
      </w:r>
    </w:p>
    <w:p w14:paraId="7BBDCBB8" w14:textId="77777777" w:rsidR="00C36410" w:rsidRPr="00734236" w:rsidRDefault="009273C9" w:rsidP="00C36410">
      <w:pPr>
        <w:pStyle w:val="Prrafodelista"/>
        <w:numPr>
          <w:ilvl w:val="0"/>
          <w:numId w:val="7"/>
        </w:numPr>
        <w:spacing w:line="240" w:lineRule="auto"/>
        <w:jc w:val="both"/>
        <w:rPr>
          <w:rFonts w:ascii="Times New Roman" w:hAnsi="Times New Roman" w:cs="Times New Roman"/>
        </w:rPr>
      </w:pPr>
      <w:r w:rsidRPr="00734236">
        <w:rPr>
          <w:rFonts w:ascii="Times New Roman" w:hAnsi="Times New Roman" w:cs="Times New Roman"/>
        </w:rPr>
        <w:t>anticipar una pregunta central de la clase: ¿qué significa que un sistema produzca algo coherente sin comprenderlo</w:t>
      </w:r>
    </w:p>
    <w:p w14:paraId="05FB88FF" w14:textId="074E0999" w:rsidR="003F2BC8" w:rsidRPr="00613A70" w:rsidRDefault="00C84EC7" w:rsidP="0065480C">
      <w:pPr>
        <w:pStyle w:val="Prrafodelista"/>
        <w:numPr>
          <w:ilvl w:val="0"/>
          <w:numId w:val="7"/>
        </w:numPr>
        <w:spacing w:line="240" w:lineRule="auto"/>
        <w:jc w:val="both"/>
        <w:rPr>
          <w:rFonts w:ascii="Times New Roman" w:hAnsi="Times New Roman" w:cs="Times New Roman"/>
          <w:sz w:val="22"/>
          <w:szCs w:val="22"/>
        </w:rPr>
      </w:pPr>
      <w:r>
        <w:rPr>
          <w:rFonts w:ascii="Times New Roman" w:hAnsi="Times New Roman" w:cs="Times New Roman"/>
        </w:rPr>
        <w:t xml:space="preserve">introducir a los contenidos técnicos que llevan a la construcción de tasas de corte. </w:t>
      </w:r>
    </w:p>
    <w:p w14:paraId="4520B429" w14:textId="571C4B55" w:rsidR="0065480C" w:rsidRPr="00734236" w:rsidRDefault="00C171EA" w:rsidP="00734236">
      <w:pPr>
        <w:spacing w:line="240" w:lineRule="auto"/>
        <w:jc w:val="both"/>
        <w:rPr>
          <w:rFonts w:ascii="Times New Roman" w:hAnsi="Times New Roman" w:cs="Times New Roman"/>
        </w:rPr>
      </w:pPr>
      <w:r w:rsidRPr="00734236">
        <w:rPr>
          <w:rFonts w:ascii="Times New Roman" w:hAnsi="Times New Roman" w:cs="Times New Roman"/>
        </w:rPr>
        <w:t>El resultado de la actividad se visualiza en una nube de palabras a partir de los conceptos que emergen de la canción (riesgo, tasa, inflación, país, inversor, etc.), conectando con saberes previos y proponiendo una definición inicial del concepto tasa de corte.</w:t>
      </w:r>
    </w:p>
    <w:p w14:paraId="2E4F84C2" w14:textId="4E373660" w:rsidR="00B4196E" w:rsidRPr="00613A70" w:rsidRDefault="00B4196E" w:rsidP="00181018">
      <w:pPr>
        <w:spacing w:line="240" w:lineRule="auto"/>
        <w:jc w:val="both"/>
        <w:rPr>
          <w:rFonts w:ascii="Times New Roman" w:hAnsi="Times New Roman" w:cs="Times New Roman"/>
        </w:rPr>
      </w:pPr>
      <w:r>
        <w:rPr>
          <w:rFonts w:ascii="Times New Roman" w:hAnsi="Times New Roman" w:cs="Times New Roman"/>
        </w:rPr>
        <w:t xml:space="preserve">Fase 2: Producción </w:t>
      </w:r>
    </w:p>
    <w:p w14:paraId="015F338F" w14:textId="49EC0B1F" w:rsidR="00181018" w:rsidRPr="00613A70" w:rsidRDefault="00181018" w:rsidP="00181018">
      <w:pPr>
        <w:spacing w:line="240" w:lineRule="auto"/>
        <w:jc w:val="both"/>
        <w:rPr>
          <w:rFonts w:ascii="Times New Roman" w:hAnsi="Times New Roman" w:cs="Times New Roman"/>
        </w:rPr>
      </w:pPr>
      <w:r>
        <w:rPr>
          <w:rFonts w:ascii="Times New Roman" w:hAnsi="Times New Roman" w:cs="Times New Roman"/>
        </w:rPr>
        <w:t>En una segunda etapa luego de conformar equipos de trabajo de entre tres y cuatro estudiantes, se solicita determinar una tasa de corte para un proyecto industrial en Argentina, a partir de un prompt deliberadamente amplio y poco específico. La consigna omite información relevante vinculada con el perfil del inversor, año, sector, tamaño de la inversión, la estructura de financiamiento, el horizonte temporal y los criterios de cálculo esperados. La intención pedagógica de esta decisión es generar una situación en la que la herramienta debiera completar vacíos mediante supuestos implícitos. Se deja a decisión de</w:t>
      </w:r>
      <w:r w:rsidR="00151C96">
        <w:rPr>
          <w:rFonts w:ascii="Times New Roman" w:hAnsi="Times New Roman" w:cs="Times New Roman"/>
        </w:rPr>
        <w:t xml:space="preserve"> </w:t>
      </w:r>
      <w:r>
        <w:rPr>
          <w:rFonts w:ascii="Times New Roman" w:hAnsi="Times New Roman" w:cs="Times New Roman"/>
        </w:rPr>
        <w:t>los equipos la elección de la IA a utilizar.</w:t>
      </w:r>
    </w:p>
    <w:p w14:paraId="24C6212A" w14:textId="67596C03" w:rsidR="002E45B6" w:rsidRPr="00400E5A" w:rsidRDefault="00882CA1" w:rsidP="002E45B6">
      <w:pPr>
        <w:spacing w:line="240" w:lineRule="auto"/>
        <w:jc w:val="both"/>
        <w:rPr>
          <w:rFonts w:ascii="Times New Roman" w:hAnsi="Times New Roman" w:cs="Times New Roman"/>
        </w:rPr>
      </w:pPr>
      <w:r w:rsidRPr="00400E5A">
        <w:rPr>
          <w:rFonts w:ascii="Times New Roman" w:hAnsi="Times New Roman" w:cs="Times New Roman"/>
        </w:rPr>
        <w:t xml:space="preserve">Ejemplo de prompt inicial: “Determinar la tasa de corte adecuada para un proyecto en Argentina” </w:t>
      </w:r>
    </w:p>
    <w:p w14:paraId="019D93DC" w14:textId="028E2654" w:rsidR="000B384D" w:rsidRPr="00400E5A" w:rsidRDefault="000B384D" w:rsidP="002E45B6">
      <w:pPr>
        <w:spacing w:line="240" w:lineRule="auto"/>
        <w:jc w:val="both"/>
        <w:rPr>
          <w:rFonts w:ascii="Times New Roman" w:hAnsi="Times New Roman" w:cs="Times New Roman"/>
        </w:rPr>
      </w:pPr>
      <w:r w:rsidRPr="00400E5A">
        <w:rPr>
          <w:rFonts w:ascii="Times New Roman" w:hAnsi="Times New Roman" w:cs="Times New Roman"/>
        </w:rPr>
        <w:t>El resultado de esta fase será el contraste entre los resultados</w:t>
      </w:r>
      <w:r w:rsidR="00151C96" w:rsidRPr="00400E5A">
        <w:rPr>
          <w:rFonts w:ascii="Times New Roman" w:hAnsi="Times New Roman" w:cs="Times New Roman"/>
        </w:rPr>
        <w:t xml:space="preserve"> del promt entre </w:t>
      </w:r>
      <w:r w:rsidRPr="00400E5A">
        <w:rPr>
          <w:rFonts w:ascii="Times New Roman" w:hAnsi="Times New Roman" w:cs="Times New Roman"/>
        </w:rPr>
        <w:t>los equipos.</w:t>
      </w:r>
    </w:p>
    <w:p w14:paraId="544CCE8F" w14:textId="77777777" w:rsidR="00114FF5" w:rsidRPr="00613A70" w:rsidRDefault="00114FF5" w:rsidP="00181018">
      <w:pPr>
        <w:spacing w:line="240" w:lineRule="auto"/>
        <w:jc w:val="both"/>
        <w:rPr>
          <w:rFonts w:ascii="Times New Roman" w:hAnsi="Times New Roman" w:cs="Times New Roman"/>
        </w:rPr>
      </w:pPr>
      <w:r>
        <w:rPr>
          <w:rFonts w:ascii="Times New Roman" w:hAnsi="Times New Roman" w:cs="Times New Roman"/>
        </w:rPr>
        <w:t>Fase 3: Validación</w:t>
      </w:r>
    </w:p>
    <w:p w14:paraId="1B541C81" w14:textId="77777777" w:rsidR="00E86A5A" w:rsidRPr="00613A70" w:rsidRDefault="00E86A5A" w:rsidP="00E86A5A">
      <w:pPr>
        <w:spacing w:line="240" w:lineRule="auto"/>
        <w:jc w:val="both"/>
        <w:rPr>
          <w:rFonts w:ascii="Times New Roman" w:hAnsi="Times New Roman" w:cs="Times New Roman"/>
        </w:rPr>
      </w:pPr>
      <w:r>
        <w:rPr>
          <w:rFonts w:ascii="Times New Roman" w:hAnsi="Times New Roman" w:cs="Times New Roman"/>
        </w:rPr>
        <w:t>Se solicita a los estudiantes que analicen críticamente los resultados generados por la inteligencia artificial, identificando los supuestos incorporados por el sistema, las fuentes utilizadas, los parámetros considerados y las posibles limitaciones de la propuesta. Más que evaluar la corrección numérica de la respuesta, se busca problematizar las condiciones bajo las cuales dicha respuesta es construida.</w:t>
      </w:r>
    </w:p>
    <w:p w14:paraId="04D65144" w14:textId="77777777" w:rsidR="00E86A5A" w:rsidRPr="00613A70" w:rsidRDefault="00E86A5A" w:rsidP="00E86A5A">
      <w:pPr>
        <w:spacing w:line="240" w:lineRule="auto"/>
        <w:jc w:val="both"/>
        <w:rPr>
          <w:rFonts w:ascii="Times New Roman" w:hAnsi="Times New Roman" w:cs="Times New Roman"/>
        </w:rPr>
      </w:pPr>
      <w:r>
        <w:rPr>
          <w:rFonts w:ascii="Times New Roman" w:hAnsi="Times New Roman" w:cs="Times New Roman"/>
        </w:rPr>
        <w:t>El objetivo es observar cómo el modelo completa los vacíos. Cada grupo analiza críticamente la respuesta obtenida, identificando:</w:t>
      </w:r>
    </w:p>
    <w:p w14:paraId="2CF84D5C" w14:textId="77777777" w:rsidR="00E86A5A" w:rsidRPr="00613A70" w:rsidRDefault="00E86A5A" w:rsidP="00E86A5A">
      <w:pPr>
        <w:pStyle w:val="Prrafodelista"/>
        <w:numPr>
          <w:ilvl w:val="0"/>
          <w:numId w:val="6"/>
        </w:numPr>
        <w:spacing w:line="240" w:lineRule="auto"/>
        <w:jc w:val="both"/>
        <w:rPr>
          <w:rFonts w:ascii="Times New Roman" w:hAnsi="Times New Roman" w:cs="Times New Roman"/>
        </w:rPr>
      </w:pPr>
      <w:r>
        <w:rPr>
          <w:rFonts w:ascii="Times New Roman" w:hAnsi="Times New Roman" w:cs="Times New Roman"/>
        </w:rPr>
        <w:t>Supuestos que la IA introduce sin explicitarlos.</w:t>
      </w:r>
    </w:p>
    <w:p w14:paraId="4CBC89FA" w14:textId="77777777" w:rsidR="00E86A5A" w:rsidRPr="00613A70" w:rsidRDefault="00E86A5A" w:rsidP="00E86A5A">
      <w:pPr>
        <w:pStyle w:val="Prrafodelista"/>
        <w:numPr>
          <w:ilvl w:val="0"/>
          <w:numId w:val="6"/>
        </w:numPr>
        <w:spacing w:line="240" w:lineRule="auto"/>
        <w:jc w:val="both"/>
        <w:rPr>
          <w:rFonts w:ascii="Times New Roman" w:hAnsi="Times New Roman" w:cs="Times New Roman"/>
        </w:rPr>
      </w:pPr>
      <w:r>
        <w:rPr>
          <w:rFonts w:ascii="Times New Roman" w:hAnsi="Times New Roman" w:cs="Times New Roman"/>
        </w:rPr>
        <w:t>Valores promedio o genéricos.</w:t>
      </w:r>
    </w:p>
    <w:p w14:paraId="78062790" w14:textId="77777777" w:rsidR="00E86A5A" w:rsidRPr="00613A70" w:rsidRDefault="00E86A5A" w:rsidP="00E86A5A">
      <w:pPr>
        <w:pStyle w:val="Prrafodelista"/>
        <w:numPr>
          <w:ilvl w:val="0"/>
          <w:numId w:val="6"/>
        </w:numPr>
        <w:spacing w:after="0" w:line="240" w:lineRule="auto"/>
        <w:jc w:val="both"/>
        <w:rPr>
          <w:rFonts w:ascii="Times New Roman" w:hAnsi="Times New Roman" w:cs="Times New Roman"/>
        </w:rPr>
      </w:pPr>
      <w:r>
        <w:rPr>
          <w:rFonts w:ascii="Times New Roman" w:hAnsi="Times New Roman" w:cs="Times New Roman"/>
        </w:rPr>
        <w:t>Posibles referencias implícitas a economías desarrolladas.</w:t>
      </w:r>
    </w:p>
    <w:p w14:paraId="1F28C729" w14:textId="77777777" w:rsidR="00E86A5A" w:rsidRPr="00613A70" w:rsidRDefault="00E86A5A" w:rsidP="00E86A5A">
      <w:pPr>
        <w:pStyle w:val="Prrafodelista"/>
        <w:numPr>
          <w:ilvl w:val="0"/>
          <w:numId w:val="6"/>
        </w:numPr>
        <w:spacing w:after="0" w:line="240" w:lineRule="auto"/>
        <w:jc w:val="both"/>
        <w:rPr>
          <w:rFonts w:ascii="Times New Roman" w:hAnsi="Times New Roman" w:cs="Times New Roman"/>
        </w:rPr>
      </w:pPr>
      <w:r>
        <w:rPr>
          <w:rFonts w:ascii="Times New Roman" w:hAnsi="Times New Roman" w:cs="Times New Roman"/>
        </w:rPr>
        <w:t>Omisión del riesgo país o su tratamiento superficial.</w:t>
      </w:r>
    </w:p>
    <w:p w14:paraId="7A6D2F81" w14:textId="77777777" w:rsidR="00E86A5A" w:rsidRPr="00613A70" w:rsidRDefault="00E86A5A" w:rsidP="00E86A5A">
      <w:pPr>
        <w:pStyle w:val="Prrafodelista"/>
        <w:numPr>
          <w:ilvl w:val="0"/>
          <w:numId w:val="6"/>
        </w:numPr>
        <w:spacing w:after="0" w:line="240" w:lineRule="auto"/>
        <w:jc w:val="both"/>
        <w:rPr>
          <w:rFonts w:ascii="Times New Roman" w:hAnsi="Times New Roman" w:cs="Times New Roman"/>
        </w:rPr>
      </w:pPr>
      <w:r>
        <w:rPr>
          <w:rFonts w:ascii="Times New Roman" w:hAnsi="Times New Roman" w:cs="Times New Roman"/>
        </w:rPr>
        <w:t>Nivel de contextualización real.</w:t>
      </w:r>
    </w:p>
    <w:p w14:paraId="49C4703C" w14:textId="77777777" w:rsidR="00E86A5A" w:rsidRPr="00613A70" w:rsidRDefault="00E86A5A" w:rsidP="00E86A5A">
      <w:pPr>
        <w:spacing w:after="0" w:line="240" w:lineRule="auto"/>
        <w:ind w:left="720"/>
        <w:jc w:val="both"/>
        <w:rPr>
          <w:rFonts w:ascii="Times New Roman" w:hAnsi="Times New Roman" w:cs="Times New Roman"/>
          <w:sz w:val="22"/>
          <w:szCs w:val="22"/>
        </w:rPr>
      </w:pPr>
    </w:p>
    <w:p w14:paraId="101277C1" w14:textId="77777777" w:rsidR="00E86A5A" w:rsidRPr="00BD0730" w:rsidRDefault="00E86A5A" w:rsidP="00E86A5A">
      <w:pPr>
        <w:spacing w:line="240" w:lineRule="auto"/>
        <w:jc w:val="both"/>
        <w:rPr>
          <w:rFonts w:ascii="Times New Roman" w:hAnsi="Times New Roman" w:cs="Times New Roman"/>
        </w:rPr>
      </w:pPr>
      <w:r w:rsidRPr="00BD0730">
        <w:rPr>
          <w:rFonts w:ascii="Times New Roman" w:hAnsi="Times New Roman" w:cs="Times New Roman"/>
        </w:rPr>
        <w:t>La pregunta orientadora es: ¿Qué hace la IA cuando el problema no está bien definido? Aquí no se busca precisión, sino detección de automatismos.</w:t>
      </w:r>
    </w:p>
    <w:p w14:paraId="0FEA69F8" w14:textId="7AC66400" w:rsidR="00151C96" w:rsidRPr="00BD0730" w:rsidRDefault="00151C96" w:rsidP="00E86A5A">
      <w:pPr>
        <w:spacing w:line="240" w:lineRule="auto"/>
        <w:jc w:val="both"/>
        <w:rPr>
          <w:rFonts w:ascii="Times New Roman" w:hAnsi="Times New Roman" w:cs="Times New Roman"/>
        </w:rPr>
      </w:pPr>
      <w:r w:rsidRPr="00BD0730">
        <w:rPr>
          <w:rFonts w:ascii="Times New Roman" w:hAnsi="Times New Roman" w:cs="Times New Roman"/>
        </w:rPr>
        <w:t>El resultado de esta actividad es identificar las debilidades del pro</w:t>
      </w:r>
      <w:r w:rsidR="004511D3" w:rsidRPr="00BD0730">
        <w:rPr>
          <w:rFonts w:ascii="Times New Roman" w:hAnsi="Times New Roman" w:cs="Times New Roman"/>
        </w:rPr>
        <w:t>mt</w:t>
      </w:r>
      <w:r w:rsidRPr="00BD0730">
        <w:rPr>
          <w:rFonts w:ascii="Times New Roman" w:hAnsi="Times New Roman" w:cs="Times New Roman"/>
        </w:rPr>
        <w:t>, a partir de los halla</w:t>
      </w:r>
      <w:r w:rsidR="00F95086" w:rsidRPr="00BD0730">
        <w:rPr>
          <w:rFonts w:ascii="Times New Roman" w:hAnsi="Times New Roman" w:cs="Times New Roman"/>
        </w:rPr>
        <w:t>zgos surgidos en</w:t>
      </w:r>
      <w:r w:rsidR="004511D3" w:rsidRPr="00BD0730">
        <w:rPr>
          <w:rFonts w:ascii="Times New Roman" w:hAnsi="Times New Roman" w:cs="Times New Roman"/>
        </w:rPr>
        <w:t xml:space="preserve"> </w:t>
      </w:r>
      <w:r w:rsidR="00F95086" w:rsidRPr="00BD0730">
        <w:rPr>
          <w:rFonts w:ascii="Times New Roman" w:hAnsi="Times New Roman" w:cs="Times New Roman"/>
        </w:rPr>
        <w:t xml:space="preserve">el análisis de las respuestas. </w:t>
      </w:r>
      <w:r w:rsidRPr="00BD0730">
        <w:rPr>
          <w:rFonts w:ascii="Times New Roman" w:hAnsi="Times New Roman" w:cs="Times New Roman"/>
        </w:rPr>
        <w:t xml:space="preserve"> </w:t>
      </w:r>
    </w:p>
    <w:p w14:paraId="2CA771B6" w14:textId="77777777" w:rsidR="00E74CA7" w:rsidRPr="00613A70" w:rsidRDefault="00114FF5" w:rsidP="00181018">
      <w:pPr>
        <w:spacing w:line="240" w:lineRule="auto"/>
        <w:jc w:val="both"/>
        <w:rPr>
          <w:rFonts w:ascii="Times New Roman" w:hAnsi="Times New Roman" w:cs="Times New Roman"/>
        </w:rPr>
      </w:pPr>
      <w:r>
        <w:rPr>
          <w:rFonts w:ascii="Times New Roman" w:hAnsi="Times New Roman" w:cs="Times New Roman"/>
        </w:rPr>
        <w:lastRenderedPageBreak/>
        <w:t>Fase 4: Reformulación y reflexión</w:t>
      </w:r>
    </w:p>
    <w:p w14:paraId="73ECE513" w14:textId="503C4F69" w:rsidR="00E86A5A" w:rsidRPr="00613A70" w:rsidRDefault="00E86A5A" w:rsidP="00E86A5A">
      <w:pPr>
        <w:spacing w:line="240" w:lineRule="auto"/>
        <w:jc w:val="both"/>
        <w:rPr>
          <w:rFonts w:ascii="Times New Roman" w:hAnsi="Times New Roman" w:cs="Times New Roman"/>
        </w:rPr>
      </w:pPr>
      <w:r>
        <w:rPr>
          <w:rFonts w:ascii="Times New Roman" w:hAnsi="Times New Roman" w:cs="Times New Roman"/>
        </w:rPr>
        <w:t>En esta etapa los grupos deben relevar información actualizada sobre variables macroeconómicas relevantes para la determinación de la tasa de corte, utilizando herramientas con capacidad de recuperación de información y citación de fuentes. La actividad requiere contrastar los datos obtenidos con los utilizados por la inteligencia artificial en la respuesta inicial y analizar el impacto de las diferencias detectadas sobre el resultado final.</w:t>
      </w:r>
    </w:p>
    <w:p w14:paraId="679C4357" w14:textId="15FD4F4C" w:rsidR="000B384D" w:rsidRPr="00613A70" w:rsidRDefault="00181018" w:rsidP="000B384D">
      <w:pPr>
        <w:spacing w:line="240" w:lineRule="auto"/>
        <w:jc w:val="both"/>
        <w:rPr>
          <w:rFonts w:ascii="Times New Roman" w:hAnsi="Times New Roman" w:cs="Times New Roman"/>
        </w:rPr>
      </w:pPr>
      <w:r>
        <w:rPr>
          <w:rFonts w:ascii="Times New Roman" w:hAnsi="Times New Roman" w:cs="Times New Roman"/>
        </w:rPr>
        <w:t>Finalmente, los estudiantes deben reformular la consigna inicial incorporando información contextualizada y criterios explícitos de cálculo, comparando los resultados obtenidos y elaborando una reflexión sobre los cambios observados.</w:t>
      </w:r>
      <w:r w:rsidR="00F95086">
        <w:rPr>
          <w:rFonts w:ascii="Times New Roman" w:hAnsi="Times New Roman" w:cs="Times New Roman"/>
        </w:rPr>
        <w:t xml:space="preserve"> En esta </w:t>
      </w:r>
      <w:r w:rsidR="002331E8">
        <w:rPr>
          <w:rFonts w:ascii="Times New Roman" w:hAnsi="Times New Roman" w:cs="Times New Roman"/>
        </w:rPr>
        <w:t>fase, se indicar a los estudiantes que además utilicen</w:t>
      </w:r>
    </w:p>
    <w:p w14:paraId="70D0466E" w14:textId="1B0CA08A" w:rsidR="000B384D" w:rsidRPr="00BD0730" w:rsidRDefault="000B384D" w:rsidP="000B384D">
      <w:pPr>
        <w:spacing w:line="240" w:lineRule="auto"/>
        <w:jc w:val="both"/>
        <w:rPr>
          <w:rFonts w:ascii="Times New Roman" w:hAnsi="Times New Roman" w:cs="Times New Roman"/>
        </w:rPr>
      </w:pPr>
      <w:r w:rsidRPr="00BD0730">
        <w:rPr>
          <w:rFonts w:ascii="Times New Roman" w:hAnsi="Times New Roman" w:cs="Times New Roman"/>
        </w:rPr>
        <w:t>Se propondrá la utilización de motores de búsqueda con citación de fuentes para relevar datos macroeconómicos actualizados (inflación esperada, riesgo país, tasa libre de riesgo, rendimiento de mercado, etc.).</w:t>
      </w:r>
    </w:p>
    <w:p w14:paraId="012AE466" w14:textId="2C674AE1" w:rsidR="000B384D" w:rsidRPr="00BD0730" w:rsidRDefault="000B384D" w:rsidP="000B384D">
      <w:pPr>
        <w:spacing w:line="240" w:lineRule="auto"/>
        <w:jc w:val="both"/>
        <w:rPr>
          <w:rFonts w:ascii="Times New Roman" w:hAnsi="Times New Roman" w:cs="Times New Roman"/>
        </w:rPr>
      </w:pPr>
      <w:r w:rsidRPr="00BD0730">
        <w:rPr>
          <w:rFonts w:ascii="Times New Roman" w:hAnsi="Times New Roman" w:cs="Times New Roman"/>
        </w:rPr>
        <w:t>Se comparan los datos relevados con los utilizados o implícitos en la</w:t>
      </w:r>
      <w:r w:rsidR="00481023" w:rsidRPr="00BD0730">
        <w:rPr>
          <w:rFonts w:ascii="Times New Roman" w:hAnsi="Times New Roman" w:cs="Times New Roman"/>
        </w:rPr>
        <w:t>s</w:t>
      </w:r>
      <w:r w:rsidRPr="00BD0730">
        <w:rPr>
          <w:rFonts w:ascii="Times New Roman" w:hAnsi="Times New Roman" w:cs="Times New Roman"/>
        </w:rPr>
        <w:t xml:space="preserve"> respuesta</w:t>
      </w:r>
      <w:r w:rsidR="00481023" w:rsidRPr="00BD0730">
        <w:rPr>
          <w:rFonts w:ascii="Times New Roman" w:hAnsi="Times New Roman" w:cs="Times New Roman"/>
        </w:rPr>
        <w:t>s</w:t>
      </w:r>
      <w:r w:rsidRPr="00BD0730">
        <w:rPr>
          <w:rFonts w:ascii="Times New Roman" w:hAnsi="Times New Roman" w:cs="Times New Roman"/>
        </w:rPr>
        <w:t xml:space="preserve"> </w:t>
      </w:r>
      <w:r w:rsidR="00481023" w:rsidRPr="00BD0730">
        <w:rPr>
          <w:rFonts w:ascii="Times New Roman" w:hAnsi="Times New Roman" w:cs="Times New Roman"/>
        </w:rPr>
        <w:t>con e</w:t>
      </w:r>
      <w:r w:rsidRPr="00BD0730">
        <w:rPr>
          <w:rFonts w:ascii="Times New Roman" w:hAnsi="Times New Roman" w:cs="Times New Roman"/>
        </w:rPr>
        <w:t>l objetivo es detectar:</w:t>
      </w:r>
    </w:p>
    <w:p w14:paraId="6588C909" w14:textId="77777777" w:rsidR="000B384D" w:rsidRPr="00BD0730" w:rsidRDefault="000B384D" w:rsidP="000B384D">
      <w:pPr>
        <w:numPr>
          <w:ilvl w:val="0"/>
          <w:numId w:val="1"/>
        </w:numPr>
        <w:spacing w:after="0" w:line="240" w:lineRule="auto"/>
        <w:jc w:val="both"/>
        <w:rPr>
          <w:rFonts w:ascii="Times New Roman" w:hAnsi="Times New Roman" w:cs="Times New Roman"/>
        </w:rPr>
      </w:pPr>
      <w:r w:rsidRPr="00BD0730">
        <w:rPr>
          <w:rFonts w:ascii="Times New Roman" w:hAnsi="Times New Roman" w:cs="Times New Roman"/>
        </w:rPr>
        <w:t>Diferencias entre valores promedio y valores actuales.</w:t>
      </w:r>
    </w:p>
    <w:p w14:paraId="4B955003" w14:textId="77777777" w:rsidR="000B384D" w:rsidRPr="00BD0730" w:rsidRDefault="000B384D" w:rsidP="000B384D">
      <w:pPr>
        <w:numPr>
          <w:ilvl w:val="0"/>
          <w:numId w:val="1"/>
        </w:numPr>
        <w:spacing w:after="0" w:line="240" w:lineRule="auto"/>
        <w:jc w:val="both"/>
        <w:rPr>
          <w:rFonts w:ascii="Times New Roman" w:hAnsi="Times New Roman" w:cs="Times New Roman"/>
        </w:rPr>
      </w:pPr>
      <w:r w:rsidRPr="00BD0730">
        <w:rPr>
          <w:rFonts w:ascii="Times New Roman" w:hAnsi="Times New Roman" w:cs="Times New Roman"/>
        </w:rPr>
        <w:t>Posibles inconsistencias.</w:t>
      </w:r>
    </w:p>
    <w:p w14:paraId="3A2B5E0E" w14:textId="77777777" w:rsidR="000B384D" w:rsidRPr="00BD0730" w:rsidRDefault="000B384D" w:rsidP="000B384D">
      <w:pPr>
        <w:numPr>
          <w:ilvl w:val="0"/>
          <w:numId w:val="1"/>
        </w:numPr>
        <w:spacing w:after="0" w:line="240" w:lineRule="auto"/>
        <w:jc w:val="both"/>
        <w:rPr>
          <w:rFonts w:ascii="Times New Roman" w:hAnsi="Times New Roman" w:cs="Times New Roman"/>
        </w:rPr>
      </w:pPr>
      <w:r w:rsidRPr="00BD0730">
        <w:rPr>
          <w:rFonts w:ascii="Times New Roman" w:hAnsi="Times New Roman" w:cs="Times New Roman"/>
        </w:rPr>
        <w:t>Sesgos de generalización global.</w:t>
      </w:r>
    </w:p>
    <w:p w14:paraId="2CC40632" w14:textId="77777777" w:rsidR="000B384D" w:rsidRPr="00BD0730" w:rsidRDefault="000B384D" w:rsidP="000B384D">
      <w:pPr>
        <w:numPr>
          <w:ilvl w:val="0"/>
          <w:numId w:val="1"/>
        </w:numPr>
        <w:spacing w:after="0" w:line="240" w:lineRule="auto"/>
        <w:jc w:val="both"/>
        <w:rPr>
          <w:rFonts w:ascii="Times New Roman" w:hAnsi="Times New Roman" w:cs="Times New Roman"/>
        </w:rPr>
      </w:pPr>
      <w:r w:rsidRPr="00BD0730">
        <w:rPr>
          <w:rFonts w:ascii="Times New Roman" w:hAnsi="Times New Roman" w:cs="Times New Roman"/>
        </w:rPr>
        <w:t>Omisiones relevantes para una PyME local.</w:t>
      </w:r>
    </w:p>
    <w:p w14:paraId="772E6E19" w14:textId="77777777" w:rsidR="000B384D" w:rsidRPr="00613A70" w:rsidRDefault="000B384D" w:rsidP="000B384D">
      <w:pPr>
        <w:spacing w:after="0" w:line="240" w:lineRule="auto"/>
        <w:ind w:left="720"/>
        <w:jc w:val="both"/>
        <w:rPr>
          <w:rFonts w:ascii="Times New Roman" w:hAnsi="Times New Roman" w:cs="Times New Roman"/>
          <w:sz w:val="22"/>
          <w:szCs w:val="22"/>
        </w:rPr>
      </w:pPr>
    </w:p>
    <w:p w14:paraId="6102588F" w14:textId="11B0748E" w:rsidR="000B384D" w:rsidRPr="00613A70" w:rsidRDefault="000B384D" w:rsidP="000B384D">
      <w:pPr>
        <w:spacing w:line="240" w:lineRule="auto"/>
        <w:jc w:val="both"/>
        <w:rPr>
          <w:rFonts w:ascii="Times New Roman" w:hAnsi="Times New Roman" w:cs="Times New Roman"/>
        </w:rPr>
      </w:pPr>
      <w:r w:rsidRPr="00A35BD6">
        <w:rPr>
          <w:rFonts w:ascii="Times New Roman" w:hAnsi="Times New Roman" w:cs="Times New Roman"/>
        </w:rPr>
        <w:t>Se reformula el prompt inicial incorporando datos contextualizados y se analiza si la tasa resultante varía significativamente</w:t>
      </w:r>
      <w:r w:rsidR="00481023">
        <w:rPr>
          <w:rFonts w:ascii="Times New Roman" w:hAnsi="Times New Roman" w:cs="Times New Roman"/>
          <w:sz w:val="22"/>
          <w:szCs w:val="22"/>
        </w:rPr>
        <w:t>.</w:t>
      </w:r>
      <w:r>
        <w:rPr>
          <w:rFonts w:ascii="Times New Roman" w:hAnsi="Times New Roman" w:cs="Times New Roman"/>
        </w:rPr>
        <w:t xml:space="preserve"> El cierre de la actividad busca recuperar la idea central que atraviesa la propuesta: en problemas complejos y contextualmente situados, la calidad de una respuesta depende tanto de la información disponible como de los supuestos que orientan su construcción.</w:t>
      </w:r>
    </w:p>
    <w:p w14:paraId="1004E055" w14:textId="77777777" w:rsidR="004E796B" w:rsidRPr="00A35BD6" w:rsidRDefault="004E796B" w:rsidP="004E796B">
      <w:pPr>
        <w:spacing w:line="240" w:lineRule="auto"/>
        <w:jc w:val="both"/>
        <w:rPr>
          <w:rFonts w:ascii="Times New Roman" w:hAnsi="Times New Roman" w:cs="Times New Roman"/>
        </w:rPr>
      </w:pPr>
      <w:r w:rsidRPr="00A35BD6">
        <w:rPr>
          <w:rFonts w:ascii="Times New Roman" w:hAnsi="Times New Roman" w:cs="Times New Roman"/>
        </w:rPr>
        <w:t>Cada grupo elabora una breve conclusión escrita donde responde:</w:t>
      </w:r>
    </w:p>
    <w:p w14:paraId="261EE93C" w14:textId="77777777" w:rsidR="004E796B" w:rsidRPr="00A35BD6" w:rsidRDefault="004E796B" w:rsidP="004E796B">
      <w:pPr>
        <w:numPr>
          <w:ilvl w:val="0"/>
          <w:numId w:val="2"/>
        </w:numPr>
        <w:spacing w:after="0" w:line="240" w:lineRule="auto"/>
        <w:jc w:val="both"/>
        <w:rPr>
          <w:rFonts w:ascii="Times New Roman" w:hAnsi="Times New Roman" w:cs="Times New Roman"/>
        </w:rPr>
      </w:pPr>
      <w:r w:rsidRPr="00A35BD6">
        <w:rPr>
          <w:rFonts w:ascii="Times New Roman" w:hAnsi="Times New Roman" w:cs="Times New Roman"/>
        </w:rPr>
        <w:t>¿La tasa generada inicialmente era consistente con el contexto real?</w:t>
      </w:r>
    </w:p>
    <w:p w14:paraId="0AE659CC" w14:textId="77777777" w:rsidR="004E796B" w:rsidRPr="00A35BD6" w:rsidRDefault="004E796B" w:rsidP="004E796B">
      <w:pPr>
        <w:numPr>
          <w:ilvl w:val="0"/>
          <w:numId w:val="2"/>
        </w:numPr>
        <w:spacing w:after="0" w:line="240" w:lineRule="auto"/>
        <w:jc w:val="both"/>
        <w:rPr>
          <w:rFonts w:ascii="Times New Roman" w:hAnsi="Times New Roman" w:cs="Times New Roman"/>
        </w:rPr>
      </w:pPr>
      <w:r w:rsidRPr="00A35BD6">
        <w:rPr>
          <w:rFonts w:ascii="Times New Roman" w:hAnsi="Times New Roman" w:cs="Times New Roman"/>
        </w:rPr>
        <w:t>¿Qué diferencias surgieron tras la validación?</w:t>
      </w:r>
    </w:p>
    <w:p w14:paraId="420FA706" w14:textId="77777777" w:rsidR="004E796B" w:rsidRPr="00A35BD6" w:rsidRDefault="004E796B" w:rsidP="004E796B">
      <w:pPr>
        <w:numPr>
          <w:ilvl w:val="0"/>
          <w:numId w:val="2"/>
        </w:numPr>
        <w:spacing w:after="0" w:line="240" w:lineRule="auto"/>
        <w:jc w:val="both"/>
        <w:rPr>
          <w:rFonts w:ascii="Times New Roman" w:hAnsi="Times New Roman" w:cs="Times New Roman"/>
        </w:rPr>
      </w:pPr>
      <w:r w:rsidRPr="00A35BD6">
        <w:rPr>
          <w:rFonts w:ascii="Times New Roman" w:hAnsi="Times New Roman" w:cs="Times New Roman"/>
        </w:rPr>
        <w:t>¿Qué riesgos implicaría aceptar acríticamente la primera respuesta?</w:t>
      </w:r>
    </w:p>
    <w:p w14:paraId="6D8768B2" w14:textId="77777777" w:rsidR="004E796B" w:rsidRPr="00A35BD6" w:rsidRDefault="004E796B" w:rsidP="004E796B">
      <w:pPr>
        <w:numPr>
          <w:ilvl w:val="0"/>
          <w:numId w:val="2"/>
        </w:numPr>
        <w:spacing w:after="0" w:line="240" w:lineRule="auto"/>
        <w:jc w:val="both"/>
        <w:rPr>
          <w:rFonts w:ascii="Times New Roman" w:hAnsi="Times New Roman" w:cs="Times New Roman"/>
        </w:rPr>
      </w:pPr>
      <w:r w:rsidRPr="00A35BD6">
        <w:rPr>
          <w:rFonts w:ascii="Times New Roman" w:hAnsi="Times New Roman" w:cs="Times New Roman"/>
        </w:rPr>
        <w:t>¿Qué aprendieron sobre el uso profesional de la IA?</w:t>
      </w:r>
    </w:p>
    <w:p w14:paraId="7EC8547E" w14:textId="77777777" w:rsidR="004E796B" w:rsidRPr="00613A70" w:rsidRDefault="004E796B" w:rsidP="004E796B">
      <w:pPr>
        <w:spacing w:after="0" w:line="240" w:lineRule="auto"/>
        <w:ind w:left="720"/>
        <w:jc w:val="both"/>
        <w:rPr>
          <w:rFonts w:ascii="Times New Roman" w:hAnsi="Times New Roman" w:cs="Times New Roman"/>
          <w:sz w:val="22"/>
          <w:szCs w:val="22"/>
        </w:rPr>
      </w:pPr>
    </w:p>
    <w:p w14:paraId="2700508C" w14:textId="0566A225" w:rsidR="00F4349C" w:rsidRPr="00613A70" w:rsidRDefault="004E796B" w:rsidP="00F4349C">
      <w:pPr>
        <w:spacing w:line="240" w:lineRule="auto"/>
        <w:jc w:val="both"/>
        <w:rPr>
          <w:rFonts w:ascii="Times New Roman" w:hAnsi="Times New Roman" w:cs="Times New Roman"/>
          <w:lang w:val="es-AR"/>
        </w:rPr>
      </w:pPr>
      <w:r>
        <w:rPr>
          <w:rFonts w:ascii="Times New Roman" w:hAnsi="Times New Roman" w:cs="Times New Roman"/>
          <w:sz w:val="22"/>
          <w:szCs w:val="22"/>
        </w:rPr>
        <w:t>El cierre colectivo guiado por el docente retoma la pregunta inicial sobre la racionalidad de la tasa de corte en economías inestables y pone en discusión el rol del juicio profesional frente a sistemas algorítmicos.</w:t>
      </w:r>
      <w:r>
        <w:rPr>
          <w:rFonts w:ascii="Times New Roman" w:hAnsi="Times New Roman" w:cs="Times New Roman"/>
          <w:lang w:val="es-AR"/>
        </w:rPr>
        <w:t xml:space="preserve"> De este modo, la actividad busca hacer visibles procesos que habitualmente permanecen ocultos detrás de respuestas discursivamente consistentes, promoviendo que los estudiantes expliciten supuestos, justifiquen decisiones y evalúen críticamente la información utilizada antes de incorporarla a sus producciones académicas y profesionales.</w:t>
      </w:r>
    </w:p>
    <w:p w14:paraId="5052645B" w14:textId="1E60EB26" w:rsidR="004E796B" w:rsidRPr="00A35BD6" w:rsidRDefault="004E796B" w:rsidP="004E796B">
      <w:pPr>
        <w:spacing w:line="240" w:lineRule="auto"/>
        <w:jc w:val="both"/>
        <w:rPr>
          <w:rFonts w:ascii="Times New Roman" w:hAnsi="Times New Roman" w:cs="Times New Roman"/>
        </w:rPr>
      </w:pPr>
      <w:r w:rsidRPr="00A35BD6">
        <w:rPr>
          <w:rFonts w:ascii="Times New Roman" w:hAnsi="Times New Roman" w:cs="Times New Roman"/>
          <w:b/>
          <w:bCs/>
        </w:rPr>
        <w:t>Evaluación del Aprendizaje</w:t>
      </w:r>
    </w:p>
    <w:p w14:paraId="03E0E61B" w14:textId="0729E10F" w:rsidR="004E796B" w:rsidRPr="00A35BD6" w:rsidRDefault="004E796B" w:rsidP="004E796B">
      <w:pPr>
        <w:spacing w:line="240" w:lineRule="auto"/>
        <w:jc w:val="both"/>
        <w:rPr>
          <w:rFonts w:ascii="Times New Roman" w:hAnsi="Times New Roman" w:cs="Times New Roman"/>
          <w:b/>
          <w:bCs/>
        </w:rPr>
      </w:pPr>
      <w:r w:rsidRPr="00A35BD6">
        <w:rPr>
          <w:rFonts w:ascii="Times New Roman" w:hAnsi="Times New Roman" w:cs="Times New Roman"/>
          <w:b/>
          <w:bCs/>
        </w:rPr>
        <w:lastRenderedPageBreak/>
        <w:t>Evaluación formativa basada en uso crítico de IA</w:t>
      </w:r>
    </w:p>
    <w:p w14:paraId="77583DDB" w14:textId="0EDFA76C" w:rsidR="004E796B" w:rsidRPr="00A35BD6" w:rsidRDefault="004E796B" w:rsidP="004E796B">
      <w:pPr>
        <w:spacing w:line="240" w:lineRule="auto"/>
        <w:jc w:val="both"/>
        <w:rPr>
          <w:rFonts w:ascii="Times New Roman" w:hAnsi="Times New Roman" w:cs="Times New Roman"/>
        </w:rPr>
      </w:pPr>
      <w:r w:rsidRPr="00A35BD6">
        <w:rPr>
          <w:rFonts w:ascii="Times New Roman" w:hAnsi="Times New Roman" w:cs="Times New Roman"/>
        </w:rPr>
        <w:t>La evaluación no se centra en la “calidad” de lo producido por la IA, sino en la calidad del análisis realizado por el estudiante.</w:t>
      </w:r>
    </w:p>
    <w:p w14:paraId="0F49EF86" w14:textId="77777777" w:rsidR="004E796B" w:rsidRPr="00A35BD6" w:rsidRDefault="004E796B" w:rsidP="004E796B">
      <w:pPr>
        <w:spacing w:line="240" w:lineRule="auto"/>
        <w:jc w:val="both"/>
        <w:rPr>
          <w:rFonts w:ascii="Times New Roman" w:hAnsi="Times New Roman" w:cs="Times New Roman"/>
        </w:rPr>
      </w:pPr>
      <w:r w:rsidRPr="00A35BD6">
        <w:rPr>
          <w:rFonts w:ascii="Times New Roman" w:hAnsi="Times New Roman" w:cs="Times New Roman"/>
        </w:rPr>
        <w:t>Para ello se propone una rúbrica con los siguientes criterios:</w:t>
      </w:r>
    </w:p>
    <w:p w14:paraId="673FF2EF" w14:textId="454DAB61" w:rsidR="004E796B" w:rsidRPr="00A35BD6" w:rsidRDefault="004E796B" w:rsidP="004E796B">
      <w:pPr>
        <w:spacing w:line="240" w:lineRule="auto"/>
        <w:jc w:val="both"/>
        <w:rPr>
          <w:rFonts w:ascii="Times New Roman" w:hAnsi="Times New Roman" w:cs="Times New Roman"/>
        </w:rPr>
      </w:pPr>
      <w:r w:rsidRPr="00A35BD6">
        <w:rPr>
          <w:rFonts w:ascii="Times New Roman" w:hAnsi="Times New Roman" w:cs="Times New Roman"/>
          <w:b/>
          <w:bCs/>
        </w:rPr>
        <w:t>Rúbrica de uso ético y crítico de IA</w:t>
      </w:r>
    </w:p>
    <w:tbl>
      <w:tblPr>
        <w:tblStyle w:val="Tablaconcuadrcula"/>
        <w:tblW w:w="8505" w:type="dxa"/>
        <w:tblInd w:w="-5" w:type="dxa"/>
        <w:tblLook w:val="04A0" w:firstRow="1" w:lastRow="0" w:firstColumn="1" w:lastColumn="0" w:noHBand="0" w:noVBand="1"/>
      </w:tblPr>
      <w:tblGrid>
        <w:gridCol w:w="1782"/>
        <w:gridCol w:w="2027"/>
        <w:gridCol w:w="1701"/>
        <w:gridCol w:w="1701"/>
        <w:gridCol w:w="1294"/>
      </w:tblGrid>
      <w:tr w:rsidR="004E796B" w:rsidRPr="00A35BD6" w14:paraId="50F4D43B" w14:textId="77777777" w:rsidTr="00476936">
        <w:tc>
          <w:tcPr>
            <w:tcW w:w="0" w:type="auto"/>
            <w:shd w:val="clear" w:color="auto" w:fill="E7E6E6" w:themeFill="background2"/>
            <w:vAlign w:val="center"/>
            <w:hideMark/>
          </w:tcPr>
          <w:p w14:paraId="1B57A108" w14:textId="77777777" w:rsidR="004E796B" w:rsidRPr="00A729A6" w:rsidRDefault="004E796B" w:rsidP="00386538">
            <w:pPr>
              <w:spacing w:after="160"/>
              <w:jc w:val="center"/>
              <w:rPr>
                <w:rFonts w:ascii="Times New Roman" w:hAnsi="Times New Roman" w:cs="Times New Roman"/>
                <w:b/>
                <w:bCs/>
                <w:sz w:val="20"/>
                <w:szCs w:val="20"/>
              </w:rPr>
            </w:pPr>
            <w:r w:rsidRPr="00A729A6">
              <w:rPr>
                <w:rFonts w:ascii="Times New Roman" w:hAnsi="Times New Roman" w:cs="Times New Roman"/>
                <w:b/>
                <w:bCs/>
                <w:sz w:val="20"/>
                <w:szCs w:val="20"/>
              </w:rPr>
              <w:t>Hito de Evaluación</w:t>
            </w:r>
          </w:p>
        </w:tc>
        <w:tc>
          <w:tcPr>
            <w:tcW w:w="2027" w:type="dxa"/>
            <w:shd w:val="clear" w:color="auto" w:fill="E7E6E6" w:themeFill="background2"/>
            <w:vAlign w:val="center"/>
            <w:hideMark/>
          </w:tcPr>
          <w:p w14:paraId="0BC97119" w14:textId="77777777" w:rsidR="004E796B" w:rsidRPr="00A729A6" w:rsidRDefault="004E796B" w:rsidP="00386538">
            <w:pPr>
              <w:spacing w:after="160"/>
              <w:jc w:val="center"/>
              <w:rPr>
                <w:rFonts w:ascii="Times New Roman" w:hAnsi="Times New Roman" w:cs="Times New Roman"/>
                <w:b/>
                <w:bCs/>
                <w:sz w:val="20"/>
                <w:szCs w:val="20"/>
              </w:rPr>
            </w:pPr>
            <w:r w:rsidRPr="00A729A6">
              <w:rPr>
                <w:rFonts w:ascii="Times New Roman" w:hAnsi="Times New Roman" w:cs="Times New Roman"/>
                <w:b/>
                <w:bCs/>
                <w:sz w:val="20"/>
                <w:szCs w:val="20"/>
              </w:rPr>
              <w:t>Excelente (100%)</w:t>
            </w:r>
          </w:p>
        </w:tc>
        <w:tc>
          <w:tcPr>
            <w:tcW w:w="1701" w:type="dxa"/>
            <w:shd w:val="clear" w:color="auto" w:fill="E7E6E6" w:themeFill="background2"/>
            <w:vAlign w:val="center"/>
            <w:hideMark/>
          </w:tcPr>
          <w:p w14:paraId="4A04809B" w14:textId="77777777" w:rsidR="004E796B" w:rsidRPr="00A729A6" w:rsidRDefault="004E796B" w:rsidP="00386538">
            <w:pPr>
              <w:spacing w:after="160"/>
              <w:jc w:val="center"/>
              <w:rPr>
                <w:rFonts w:ascii="Times New Roman" w:hAnsi="Times New Roman" w:cs="Times New Roman"/>
                <w:b/>
                <w:bCs/>
                <w:sz w:val="20"/>
                <w:szCs w:val="20"/>
              </w:rPr>
            </w:pPr>
            <w:r w:rsidRPr="00A729A6">
              <w:rPr>
                <w:rFonts w:ascii="Times New Roman" w:hAnsi="Times New Roman" w:cs="Times New Roman"/>
                <w:b/>
                <w:bCs/>
                <w:sz w:val="20"/>
                <w:szCs w:val="20"/>
              </w:rPr>
              <w:t>Adecuado (70%)</w:t>
            </w:r>
          </w:p>
        </w:tc>
        <w:tc>
          <w:tcPr>
            <w:tcW w:w="1701" w:type="dxa"/>
            <w:shd w:val="clear" w:color="auto" w:fill="E7E6E6" w:themeFill="background2"/>
            <w:vAlign w:val="center"/>
            <w:hideMark/>
          </w:tcPr>
          <w:p w14:paraId="29C6A0D0" w14:textId="77777777" w:rsidR="004E796B" w:rsidRPr="00A729A6" w:rsidRDefault="004E796B" w:rsidP="00386538">
            <w:pPr>
              <w:spacing w:after="160"/>
              <w:jc w:val="center"/>
              <w:rPr>
                <w:rFonts w:ascii="Times New Roman" w:hAnsi="Times New Roman" w:cs="Times New Roman"/>
                <w:b/>
                <w:bCs/>
                <w:sz w:val="20"/>
                <w:szCs w:val="20"/>
              </w:rPr>
            </w:pPr>
            <w:r w:rsidRPr="00A729A6">
              <w:rPr>
                <w:rFonts w:ascii="Times New Roman" w:hAnsi="Times New Roman" w:cs="Times New Roman"/>
                <w:b/>
                <w:bCs/>
                <w:sz w:val="20"/>
                <w:szCs w:val="20"/>
              </w:rPr>
              <w:t>Insuficiente (40% o menos)</w:t>
            </w:r>
          </w:p>
        </w:tc>
        <w:tc>
          <w:tcPr>
            <w:tcW w:w="1275" w:type="dxa"/>
            <w:shd w:val="clear" w:color="auto" w:fill="E7E6E6" w:themeFill="background2"/>
            <w:vAlign w:val="center"/>
            <w:hideMark/>
          </w:tcPr>
          <w:p w14:paraId="4414119F" w14:textId="77777777" w:rsidR="004E796B" w:rsidRPr="00A729A6" w:rsidRDefault="004E796B" w:rsidP="00386538">
            <w:pPr>
              <w:spacing w:after="160"/>
              <w:jc w:val="center"/>
              <w:rPr>
                <w:rFonts w:ascii="Times New Roman" w:hAnsi="Times New Roman" w:cs="Times New Roman"/>
                <w:b/>
                <w:bCs/>
                <w:sz w:val="20"/>
                <w:szCs w:val="20"/>
              </w:rPr>
            </w:pPr>
            <w:r w:rsidRPr="00A729A6">
              <w:rPr>
                <w:rFonts w:ascii="Times New Roman" w:hAnsi="Times New Roman" w:cs="Times New Roman"/>
                <w:b/>
                <w:bCs/>
                <w:sz w:val="20"/>
                <w:szCs w:val="20"/>
              </w:rPr>
              <w:t>Ponderación</w:t>
            </w:r>
          </w:p>
        </w:tc>
      </w:tr>
      <w:tr w:rsidR="004E796B" w:rsidRPr="00A35BD6" w14:paraId="7177CB28" w14:textId="77777777" w:rsidTr="00476936">
        <w:tc>
          <w:tcPr>
            <w:tcW w:w="0" w:type="auto"/>
            <w:vAlign w:val="center"/>
            <w:hideMark/>
          </w:tcPr>
          <w:p w14:paraId="5B7EC29C"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b/>
                <w:bCs/>
                <w:sz w:val="18"/>
                <w:szCs w:val="18"/>
              </w:rPr>
              <w:t>1. Análisis crítico de la respuesta generada por IA</w:t>
            </w:r>
          </w:p>
        </w:tc>
        <w:tc>
          <w:tcPr>
            <w:tcW w:w="2027" w:type="dxa"/>
            <w:vAlign w:val="center"/>
            <w:hideMark/>
          </w:tcPr>
          <w:p w14:paraId="28FCB915"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Identifica con precisión supuestos implícitos, simplificaciones, posibles sesgos y errores conceptuales. Distingue entre coherencia formal y coherencia disciplinar. Evidencia comprensión profunda del problema más allá de la respuesta de la IA.</w:t>
            </w:r>
          </w:p>
        </w:tc>
        <w:tc>
          <w:tcPr>
            <w:tcW w:w="1701" w:type="dxa"/>
            <w:vAlign w:val="center"/>
            <w:hideMark/>
          </w:tcPr>
          <w:p w14:paraId="02552F60"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Señala algunos supuestos o limitaciones, pero el análisis es parcial o poco profundo. Predomina la descripción sobre la problematización.</w:t>
            </w:r>
          </w:p>
        </w:tc>
        <w:tc>
          <w:tcPr>
            <w:tcW w:w="1701" w:type="dxa"/>
            <w:vAlign w:val="center"/>
            <w:hideMark/>
          </w:tcPr>
          <w:p w14:paraId="19073A10"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Acepta la respuesta de la IA sin cuestionamiento significativo o realiza observaciones superficiales sin sustento conceptual.</w:t>
            </w:r>
          </w:p>
        </w:tc>
        <w:tc>
          <w:tcPr>
            <w:tcW w:w="1275" w:type="dxa"/>
            <w:vAlign w:val="center"/>
            <w:hideMark/>
          </w:tcPr>
          <w:p w14:paraId="454B3688" w14:textId="77777777" w:rsidR="004E796B" w:rsidRPr="00196769" w:rsidRDefault="004E796B" w:rsidP="00386538">
            <w:pPr>
              <w:spacing w:after="160"/>
              <w:jc w:val="center"/>
              <w:rPr>
                <w:rFonts w:ascii="Times New Roman" w:hAnsi="Times New Roman" w:cs="Times New Roman"/>
                <w:sz w:val="18"/>
                <w:szCs w:val="18"/>
              </w:rPr>
            </w:pPr>
            <w:r w:rsidRPr="00196769">
              <w:rPr>
                <w:rFonts w:ascii="Times New Roman" w:hAnsi="Times New Roman" w:cs="Times New Roman"/>
                <w:b/>
                <w:bCs/>
                <w:sz w:val="18"/>
                <w:szCs w:val="18"/>
              </w:rPr>
              <w:t>40%</w:t>
            </w:r>
          </w:p>
        </w:tc>
      </w:tr>
      <w:tr w:rsidR="004E796B" w:rsidRPr="00A35BD6" w14:paraId="5CCA0119" w14:textId="77777777" w:rsidTr="00476936">
        <w:tc>
          <w:tcPr>
            <w:tcW w:w="0" w:type="auto"/>
            <w:vAlign w:val="center"/>
            <w:hideMark/>
          </w:tcPr>
          <w:p w14:paraId="1BB9AFE0"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b/>
                <w:bCs/>
                <w:sz w:val="18"/>
                <w:szCs w:val="18"/>
              </w:rPr>
              <w:t>2. Fundamentación disciplinar y reformulación del prompt</w:t>
            </w:r>
          </w:p>
        </w:tc>
        <w:tc>
          <w:tcPr>
            <w:tcW w:w="2027" w:type="dxa"/>
            <w:vAlign w:val="center"/>
            <w:hideMark/>
          </w:tcPr>
          <w:p w14:paraId="3D9CDF0B"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Reformula el prompt de manera estratégica y fundamentada. Contrasta la respuesta con bibliografía, datos o marcos teóricos pertinentes. Demuestra autonomía conceptual respecto de la IA.</w:t>
            </w:r>
          </w:p>
        </w:tc>
        <w:tc>
          <w:tcPr>
            <w:tcW w:w="1701" w:type="dxa"/>
            <w:vAlign w:val="center"/>
            <w:hideMark/>
          </w:tcPr>
          <w:p w14:paraId="46258B74"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Reformula el prompt con mejoras parciales. Presenta fundamentación general, aunque con escasa articulación teórica o contextual.</w:t>
            </w:r>
          </w:p>
        </w:tc>
        <w:tc>
          <w:tcPr>
            <w:tcW w:w="1701" w:type="dxa"/>
            <w:vAlign w:val="center"/>
            <w:hideMark/>
          </w:tcPr>
          <w:p w14:paraId="2963AE8B"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No reformula de manera sustantiva o lo hace sin justificación. No hay contraste disciplinar relevante.</w:t>
            </w:r>
          </w:p>
        </w:tc>
        <w:tc>
          <w:tcPr>
            <w:tcW w:w="1275" w:type="dxa"/>
            <w:vAlign w:val="center"/>
            <w:hideMark/>
          </w:tcPr>
          <w:p w14:paraId="702BD652" w14:textId="77777777" w:rsidR="004E796B" w:rsidRPr="00196769" w:rsidRDefault="004E796B" w:rsidP="00386538">
            <w:pPr>
              <w:spacing w:after="160"/>
              <w:jc w:val="center"/>
              <w:rPr>
                <w:rFonts w:ascii="Times New Roman" w:hAnsi="Times New Roman" w:cs="Times New Roman"/>
                <w:sz w:val="18"/>
                <w:szCs w:val="18"/>
              </w:rPr>
            </w:pPr>
            <w:r w:rsidRPr="00196769">
              <w:rPr>
                <w:rFonts w:ascii="Times New Roman" w:hAnsi="Times New Roman" w:cs="Times New Roman"/>
                <w:b/>
                <w:bCs/>
                <w:sz w:val="18"/>
                <w:szCs w:val="18"/>
              </w:rPr>
              <w:t>35%</w:t>
            </w:r>
          </w:p>
        </w:tc>
      </w:tr>
      <w:tr w:rsidR="004E796B" w:rsidRPr="00A35BD6" w14:paraId="7DF364BE" w14:textId="77777777" w:rsidTr="00476936">
        <w:tc>
          <w:tcPr>
            <w:tcW w:w="0" w:type="auto"/>
            <w:vAlign w:val="center"/>
            <w:hideMark/>
          </w:tcPr>
          <w:p w14:paraId="4C98F8EB"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b/>
                <w:bCs/>
                <w:sz w:val="18"/>
                <w:szCs w:val="18"/>
              </w:rPr>
              <w:t>3. Reflexión ética y posicionamiento profesional</w:t>
            </w:r>
          </w:p>
        </w:tc>
        <w:tc>
          <w:tcPr>
            <w:tcW w:w="2027" w:type="dxa"/>
            <w:vAlign w:val="center"/>
            <w:hideMark/>
          </w:tcPr>
          <w:p w14:paraId="23922B3C"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Explicita de manera clara el uso de la herramienta. Reflexiona sobre límites, riesgos y criterios de validación. Integra la experiencia con su futura práctica profesional.</w:t>
            </w:r>
          </w:p>
        </w:tc>
        <w:tc>
          <w:tcPr>
            <w:tcW w:w="1701" w:type="dxa"/>
            <w:vAlign w:val="center"/>
            <w:hideMark/>
          </w:tcPr>
          <w:p w14:paraId="39916ACC"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Reconoce algunos límites o aspectos éticos, pero de manera general o poco profunda.</w:t>
            </w:r>
          </w:p>
        </w:tc>
        <w:tc>
          <w:tcPr>
            <w:tcW w:w="1701" w:type="dxa"/>
            <w:vAlign w:val="center"/>
          </w:tcPr>
          <w:p w14:paraId="1ABAF153" w14:textId="77777777" w:rsidR="004E796B" w:rsidRPr="00196769" w:rsidRDefault="004E796B" w:rsidP="00386538">
            <w:pPr>
              <w:spacing w:after="160"/>
              <w:rPr>
                <w:rFonts w:ascii="Times New Roman" w:hAnsi="Times New Roman" w:cs="Times New Roman"/>
                <w:sz w:val="18"/>
                <w:szCs w:val="18"/>
              </w:rPr>
            </w:pPr>
            <w:r w:rsidRPr="00196769">
              <w:rPr>
                <w:rFonts w:ascii="Times New Roman" w:hAnsi="Times New Roman" w:cs="Times New Roman"/>
                <w:sz w:val="18"/>
                <w:szCs w:val="18"/>
              </w:rPr>
              <w:t>No explicita el uso de la IA o no reflexiona sobre implicancias éticas y profesionales.</w:t>
            </w:r>
          </w:p>
        </w:tc>
        <w:tc>
          <w:tcPr>
            <w:tcW w:w="1275" w:type="dxa"/>
            <w:vAlign w:val="center"/>
            <w:hideMark/>
          </w:tcPr>
          <w:p w14:paraId="10C8AF22" w14:textId="77777777" w:rsidR="004E796B" w:rsidRPr="00196769" w:rsidRDefault="004E796B" w:rsidP="00386538">
            <w:pPr>
              <w:spacing w:after="160"/>
              <w:jc w:val="center"/>
              <w:rPr>
                <w:rFonts w:ascii="Times New Roman" w:hAnsi="Times New Roman" w:cs="Times New Roman"/>
                <w:b/>
                <w:bCs/>
                <w:sz w:val="18"/>
                <w:szCs w:val="18"/>
              </w:rPr>
            </w:pPr>
            <w:r w:rsidRPr="00196769">
              <w:rPr>
                <w:rFonts w:ascii="Times New Roman" w:hAnsi="Times New Roman" w:cs="Times New Roman"/>
                <w:b/>
                <w:bCs/>
                <w:sz w:val="18"/>
                <w:szCs w:val="18"/>
              </w:rPr>
              <w:t>25%</w:t>
            </w:r>
          </w:p>
        </w:tc>
      </w:tr>
    </w:tbl>
    <w:p w14:paraId="00246B7D" w14:textId="77777777" w:rsidR="00476936" w:rsidRDefault="00476936" w:rsidP="004E796B">
      <w:pPr>
        <w:spacing w:line="240" w:lineRule="auto"/>
        <w:jc w:val="both"/>
        <w:rPr>
          <w:rFonts w:ascii="Times New Roman" w:hAnsi="Times New Roman" w:cs="Times New Roman"/>
          <w:sz w:val="20"/>
          <w:szCs w:val="20"/>
        </w:rPr>
      </w:pPr>
    </w:p>
    <w:p w14:paraId="52D332C3" w14:textId="70441D49" w:rsidR="004E796B" w:rsidRPr="00196769" w:rsidRDefault="004E796B" w:rsidP="004E796B">
      <w:pPr>
        <w:spacing w:line="240" w:lineRule="auto"/>
        <w:jc w:val="both"/>
        <w:rPr>
          <w:rFonts w:ascii="Times New Roman" w:hAnsi="Times New Roman" w:cs="Times New Roman"/>
          <w:b/>
          <w:bCs/>
          <w:sz w:val="20"/>
          <w:szCs w:val="20"/>
        </w:rPr>
      </w:pPr>
      <w:r w:rsidRPr="00196769">
        <w:rPr>
          <w:rFonts w:ascii="Times New Roman" w:hAnsi="Times New Roman" w:cs="Times New Roman"/>
          <w:sz w:val="20"/>
          <w:szCs w:val="20"/>
        </w:rPr>
        <w:t xml:space="preserve">NOTA: </w:t>
      </w:r>
      <w:r w:rsidRPr="00196769">
        <w:rPr>
          <w:rFonts w:ascii="Times New Roman" w:hAnsi="Times New Roman" w:cs="Times New Roman"/>
          <w:b/>
          <w:bCs/>
          <w:sz w:val="20"/>
          <w:szCs w:val="20"/>
        </w:rPr>
        <w:t xml:space="preserve"> </w:t>
      </w:r>
      <w:r w:rsidRPr="00196769">
        <w:rPr>
          <w:rFonts w:ascii="Times New Roman" w:hAnsi="Times New Roman" w:cs="Times New Roman"/>
          <w:sz w:val="20"/>
          <w:szCs w:val="20"/>
        </w:rPr>
        <w:t>El mayor peso (40%) está en el análisis crítico, porque allí se evidencia el aprendizaje profundo.</w:t>
      </w:r>
      <w:r w:rsidRPr="00196769">
        <w:rPr>
          <w:rFonts w:ascii="Times New Roman" w:hAnsi="Times New Roman" w:cs="Times New Roman"/>
          <w:b/>
          <w:bCs/>
          <w:sz w:val="20"/>
          <w:szCs w:val="20"/>
        </w:rPr>
        <w:t xml:space="preserve"> </w:t>
      </w:r>
      <w:r w:rsidRPr="00196769">
        <w:rPr>
          <w:rFonts w:ascii="Times New Roman" w:hAnsi="Times New Roman" w:cs="Times New Roman"/>
          <w:sz w:val="20"/>
          <w:szCs w:val="20"/>
        </w:rPr>
        <w:t>La fundamentación y reformulación (35%) evalúa autonomía cognitiva.</w:t>
      </w:r>
      <w:r w:rsidRPr="00196769">
        <w:rPr>
          <w:rFonts w:ascii="Times New Roman" w:hAnsi="Times New Roman" w:cs="Times New Roman"/>
          <w:b/>
          <w:bCs/>
          <w:sz w:val="20"/>
          <w:szCs w:val="20"/>
        </w:rPr>
        <w:t xml:space="preserve"> </w:t>
      </w:r>
      <w:r w:rsidRPr="00196769">
        <w:rPr>
          <w:rFonts w:ascii="Times New Roman" w:hAnsi="Times New Roman" w:cs="Times New Roman"/>
          <w:sz w:val="20"/>
          <w:szCs w:val="20"/>
        </w:rPr>
        <w:t>La dimensión ética (25%) garantiza transparencia y responsabilidad profesional.</w:t>
      </w:r>
    </w:p>
    <w:p w14:paraId="4BDA444F" w14:textId="6DC41682" w:rsidR="00181018" w:rsidRPr="00A35BD6" w:rsidRDefault="00181018" w:rsidP="00181018">
      <w:pPr>
        <w:spacing w:line="240" w:lineRule="auto"/>
        <w:jc w:val="both"/>
        <w:rPr>
          <w:rFonts w:ascii="Times New Roman" w:hAnsi="Times New Roman" w:cs="Times New Roman"/>
          <w:b/>
          <w:bCs/>
        </w:rPr>
      </w:pPr>
      <w:r w:rsidRPr="00A35BD6">
        <w:rPr>
          <w:rFonts w:ascii="Times New Roman" w:hAnsi="Times New Roman" w:cs="Times New Roman"/>
          <w:b/>
          <w:bCs/>
        </w:rPr>
        <w:t>Discusión</w:t>
      </w:r>
    </w:p>
    <w:p w14:paraId="7065709A" w14:textId="77777777" w:rsidR="000B01A8" w:rsidRPr="000B01A8" w:rsidRDefault="000B01A8" w:rsidP="000B01A8">
      <w:pPr>
        <w:spacing w:line="240" w:lineRule="auto"/>
        <w:jc w:val="both"/>
        <w:rPr>
          <w:rFonts w:ascii="Times New Roman" w:hAnsi="Times New Roman" w:cs="Times New Roman"/>
          <w:lang w:val="es-AR"/>
        </w:rPr>
      </w:pPr>
      <w:r w:rsidRPr="000B01A8">
        <w:rPr>
          <w:rFonts w:ascii="Times New Roman" w:hAnsi="Times New Roman" w:cs="Times New Roman"/>
          <w:lang w:val="es-AR"/>
        </w:rPr>
        <w:t xml:space="preserve">Las experiencias desarrolladas en la asignatura permiten interpretar que la incorporación de herramientas de inteligencia artificial generativa introduce transformaciones que exceden ampliamente la dimensión tecnológica y alcanzan aspectos centrales de las prácticas de estudio universitarias. Más que sustituir actividades académicas tradicionales, estas herramientas modifican las condiciones bajo las cuales los estudiantes buscan información, elaboran respuestas y construyen argumentos, generando nuevas </w:t>
      </w:r>
      <w:r w:rsidRPr="000B01A8">
        <w:rPr>
          <w:rFonts w:ascii="Times New Roman" w:hAnsi="Times New Roman" w:cs="Times New Roman"/>
          <w:lang w:val="es-AR"/>
        </w:rPr>
        <w:lastRenderedPageBreak/>
        <w:t>tensiones entre la calidad formal de las producciones y los procesos de aprendizaje que las sustentan.</w:t>
      </w:r>
    </w:p>
    <w:p w14:paraId="7E9DBA8E" w14:textId="77777777" w:rsidR="000B01A8" w:rsidRPr="000B01A8" w:rsidRDefault="000B01A8" w:rsidP="000B01A8">
      <w:pPr>
        <w:spacing w:line="240" w:lineRule="auto"/>
        <w:jc w:val="both"/>
        <w:rPr>
          <w:rFonts w:ascii="Times New Roman" w:hAnsi="Times New Roman" w:cs="Times New Roman"/>
          <w:lang w:val="es-AR"/>
        </w:rPr>
      </w:pPr>
      <w:r w:rsidRPr="000B01A8">
        <w:rPr>
          <w:rFonts w:ascii="Times New Roman" w:hAnsi="Times New Roman" w:cs="Times New Roman"/>
          <w:lang w:val="es-AR"/>
        </w:rPr>
        <w:t>En este contexto, uno de los principales desafíos que emerge no consiste únicamente en incorporar nuevas herramientas al aula, sino en revisar qué evidencias continúan siendo válidas para inferir aprendizaje. Cuando sistemas capaces de producir textos coherentes, estructurados y formalmente plausibles forman parte del entorno habitual de estudio, la calidad del producto final deja de constituir, por sí sola, un indicador suficiente de comprensión. En consecuencia, adquieren mayor relevancia aquellas propuestas que permiten hacer visibles los razonamientos, criterios y decisiones que sustentan las respuestas elaboradas por los estudiantes.</w:t>
      </w:r>
    </w:p>
    <w:p w14:paraId="040AC81C" w14:textId="77777777" w:rsidR="000B01A8" w:rsidRPr="000B01A8" w:rsidRDefault="000B01A8" w:rsidP="000B01A8">
      <w:pPr>
        <w:spacing w:line="240" w:lineRule="auto"/>
        <w:jc w:val="both"/>
        <w:rPr>
          <w:rFonts w:ascii="Times New Roman" w:hAnsi="Times New Roman" w:cs="Times New Roman"/>
          <w:lang w:val="es-AR"/>
        </w:rPr>
      </w:pPr>
      <w:r w:rsidRPr="000B01A8">
        <w:rPr>
          <w:rFonts w:ascii="Times New Roman" w:hAnsi="Times New Roman" w:cs="Times New Roman"/>
          <w:lang w:val="es-AR"/>
        </w:rPr>
        <w:t>Desde esta perspectiva, las respuestas pedagógicas centradas exclusivamente en la prohibición o el control resultan insuficientes. Las experiencias desarrolladas muestran que la incorporación de lineamientos explícitos sobre el uso de inteligencia artificial constituye una condición necesaria, pero no suficiente. El desafío consiste en diseñar situaciones de aprendizaje en las cuales las respuestas producidas por estos sistemas dejen de ocupar el lugar de solución para convertirse en objeto de análisis, favoreciendo procesos de validación, contextualización y argumentación.</w:t>
      </w:r>
    </w:p>
    <w:p w14:paraId="2CAB8AA7" w14:textId="77777777" w:rsidR="000B01A8" w:rsidRPr="000B01A8" w:rsidRDefault="000B01A8" w:rsidP="000B01A8">
      <w:pPr>
        <w:spacing w:line="240" w:lineRule="auto"/>
        <w:jc w:val="both"/>
        <w:rPr>
          <w:rFonts w:ascii="Times New Roman" w:hAnsi="Times New Roman" w:cs="Times New Roman"/>
          <w:lang w:val="es-AR"/>
        </w:rPr>
      </w:pPr>
      <w:r w:rsidRPr="000B01A8">
        <w:rPr>
          <w:rFonts w:ascii="Times New Roman" w:hAnsi="Times New Roman" w:cs="Times New Roman"/>
          <w:lang w:val="es-AR"/>
        </w:rPr>
        <w:t>En el caso particular de la formación en ingeniería, esta cuestión adquiere especial relevancia debido a que el ejercicio profesional exige actuar en contextos caracterizados por la incertidumbre, la información incompleta y la necesidad de justificar decisiones con impacto técnico, económico y social. En este escenario, la competencia central deja de ser la capacidad de producir una respuesta y pasa a incluir la capacidad de evaluar críticamente la pertinencia, confiabilidad y aplicabilidad de respuestas generadas por distintos sistemas de información, entre ellos la inteligencia artificial.</w:t>
      </w:r>
    </w:p>
    <w:p w14:paraId="4BF2F026" w14:textId="77777777" w:rsidR="000B01A8" w:rsidRPr="000B01A8" w:rsidRDefault="000B01A8" w:rsidP="000B01A8">
      <w:pPr>
        <w:spacing w:line="240" w:lineRule="auto"/>
        <w:jc w:val="both"/>
        <w:rPr>
          <w:rFonts w:ascii="Times New Roman" w:hAnsi="Times New Roman" w:cs="Times New Roman"/>
          <w:lang w:val="es-AR"/>
        </w:rPr>
      </w:pPr>
      <w:r w:rsidRPr="000B01A8">
        <w:rPr>
          <w:rFonts w:ascii="Times New Roman" w:hAnsi="Times New Roman" w:cs="Times New Roman"/>
          <w:lang w:val="es-AR"/>
        </w:rPr>
        <w:t>Las evidencias presentadas corresponden a una primera aproximación exploratoria y no permiten establecer aún el impacto de estas intervenciones sobre los resultados de aprendizaje. En este sentido, una línea de investigación futura consiste en desarrollar estrategias que permitan evaluar de manera sistemática los cambios producidos en las prácticas de estudio y en las capacidades desarrolladas por los estudiantes. Entre las alternativas posibles se consideran: (a) la comparación longitudinal de producciones elaboradas antes y después de la incorporación de estas herramientas; (b) la aplicación de actividades diagnósticas equivalentes antes y después de las intervenciones pedagógicas; y (c) la incorporación de instancias de reflexión metacognitiva que permitan reconstruir cómo los estudiantes integran la inteligencia artificial a sus procesos de estudio y toma de decisiones.</w:t>
      </w:r>
    </w:p>
    <w:p w14:paraId="41F3C695" w14:textId="77777777" w:rsidR="000B01A8" w:rsidRPr="000B01A8" w:rsidRDefault="000B01A8" w:rsidP="000B01A8">
      <w:pPr>
        <w:spacing w:line="240" w:lineRule="auto"/>
        <w:jc w:val="both"/>
        <w:rPr>
          <w:rFonts w:ascii="Times New Roman" w:hAnsi="Times New Roman" w:cs="Times New Roman"/>
          <w:lang w:val="es-AR"/>
        </w:rPr>
      </w:pPr>
      <w:r w:rsidRPr="000B01A8">
        <w:rPr>
          <w:rFonts w:ascii="Times New Roman" w:hAnsi="Times New Roman" w:cs="Times New Roman"/>
          <w:lang w:val="es-AR"/>
        </w:rPr>
        <w:t>Si estas estrategias muestran resultados favorables, el impacto de la intervención no debería medirse únicamente por mejoras en la calidad formal de las producciones, sino por el desarrollo de capacidades para explicitar criterios, fundamentar decisiones, reconocer limitaciones y ejercer un juicio profesional cada vez más autónomo frente a respuestas generadas por inteligencia artificial. Desde esta perspectiva, la IA deja de ser únicamente una herramienta de apoyo para convertirse también en un recurso pedagógico capaz de promover formas más reflexivas de construcción del conocimiento.</w:t>
      </w:r>
    </w:p>
    <w:p w14:paraId="60B8E80F" w14:textId="77777777" w:rsidR="005A4E18" w:rsidRPr="005A4E18" w:rsidRDefault="005A4E18" w:rsidP="005A4E18">
      <w:pPr>
        <w:spacing w:line="240" w:lineRule="auto"/>
        <w:rPr>
          <w:rFonts w:ascii="Times New Roman" w:hAnsi="Times New Roman" w:cs="Times New Roman"/>
          <w:b/>
          <w:bCs/>
          <w:lang w:val="es-AR"/>
        </w:rPr>
      </w:pPr>
      <w:r w:rsidRPr="005A4E18">
        <w:rPr>
          <w:rFonts w:ascii="Times New Roman" w:hAnsi="Times New Roman" w:cs="Times New Roman"/>
          <w:b/>
          <w:bCs/>
          <w:lang w:val="es-AR"/>
        </w:rPr>
        <w:lastRenderedPageBreak/>
        <w:t>Conclusiones</w:t>
      </w:r>
    </w:p>
    <w:p w14:paraId="30AB626A" w14:textId="77777777" w:rsidR="005A4E18" w:rsidRPr="005A4E18" w:rsidRDefault="005A4E18" w:rsidP="005A4E18">
      <w:pPr>
        <w:spacing w:line="240" w:lineRule="auto"/>
        <w:jc w:val="both"/>
        <w:rPr>
          <w:rFonts w:ascii="Times New Roman" w:hAnsi="Times New Roman" w:cs="Times New Roman"/>
          <w:lang w:val="es-AR"/>
        </w:rPr>
      </w:pPr>
      <w:r w:rsidRPr="005A4E18">
        <w:rPr>
          <w:rFonts w:ascii="Times New Roman" w:hAnsi="Times New Roman" w:cs="Times New Roman"/>
          <w:lang w:val="es-AR"/>
        </w:rPr>
        <w:t>El desarrollo de este trabajo permitió reconstruir un proceso de reflexión pedagógica surgido a partir de transformaciones observadas en las prácticas de estudio de estudiantes de ingeniería en un contexto de creciente incorporación de herramientas de inteligencia artificial generativa. Se observó que estas tecnologías se integran cada vez más a las actividades habituales de búsqueda, organización y producción de información, pero también que su utilización no siempre se acompaña de procesos sistemáticos de análisis de los razonamientos, criterios y decisiones involucrados en la construcción de las respuestas obtenidas.</w:t>
      </w:r>
    </w:p>
    <w:p w14:paraId="39EB439E" w14:textId="77777777" w:rsidR="005A4E18" w:rsidRPr="005A4E18" w:rsidRDefault="005A4E18" w:rsidP="005A4E18">
      <w:pPr>
        <w:spacing w:line="240" w:lineRule="auto"/>
        <w:jc w:val="both"/>
        <w:rPr>
          <w:rFonts w:ascii="Times New Roman" w:hAnsi="Times New Roman" w:cs="Times New Roman"/>
          <w:lang w:val="es-AR"/>
        </w:rPr>
      </w:pPr>
      <w:r w:rsidRPr="005A4E18">
        <w:rPr>
          <w:rFonts w:ascii="Times New Roman" w:hAnsi="Times New Roman" w:cs="Times New Roman"/>
          <w:lang w:val="es-AR"/>
        </w:rPr>
        <w:t>Frente a este escenario, la experiencia permitió explorar una estrategia alternativa a los enfoques centrados exclusivamente en la detección o restricción del uso de inteligencia artificial. Las actividades desarrolladas buscaron desplazar el foco desde la obtención de respuestas hacia el análisis de las condiciones bajo las cuales dichas respuestas son construidas. En este sentido, la propuesta de determinación de la tasa de corte constituye un ejemplo de cómo las producciones generadas por sistemas de IA pueden transformarse en objeto de análisis dentro del proceso de aprendizaje.</w:t>
      </w:r>
    </w:p>
    <w:p w14:paraId="118DC657" w14:textId="77777777" w:rsidR="005A4E18" w:rsidRPr="005A4E18" w:rsidRDefault="005A4E18" w:rsidP="005A4E18">
      <w:pPr>
        <w:spacing w:line="240" w:lineRule="auto"/>
        <w:jc w:val="both"/>
        <w:rPr>
          <w:rFonts w:ascii="Times New Roman" w:hAnsi="Times New Roman" w:cs="Times New Roman"/>
          <w:lang w:val="es-AR"/>
        </w:rPr>
      </w:pPr>
      <w:r w:rsidRPr="005A4E18">
        <w:rPr>
          <w:rFonts w:ascii="Times New Roman" w:hAnsi="Times New Roman" w:cs="Times New Roman"/>
          <w:lang w:val="es-AR"/>
        </w:rPr>
        <w:t>Más allá de la intervención presentada, los resultados sugieren que la expansión de estas herramientas obliga a revisar algunos supuestos tradicionales sobre la enseñanza y la evaluación universitaria. Cuando la producción de textos formalmente correctos puede ser parcialmente externalizada en sistemas algorítmicos, la calidad del producto final deja de constituir, por sí sola, una evidencia suficiente de aprendizaje. En consecuencia, adquieren mayor relevancia aquellas propuestas capaces de hacer visibles los procesos de razonamiento, fundamentación y toma de decisiones desarrollados por los estudiantes. En el caso particular de la formación en ingeniería, estas capacidades resultan especialmente significativas debido a que el ejercicio profesional exige actuar en contextos de incertidumbre, justificar decisiones y asumir responsabilidad sobre sus consecuencias.</w:t>
      </w:r>
    </w:p>
    <w:p w14:paraId="06FEA517" w14:textId="77777777" w:rsidR="005A4E18" w:rsidRPr="005A4E18" w:rsidRDefault="005A4E18" w:rsidP="005A4E18">
      <w:pPr>
        <w:spacing w:line="240" w:lineRule="auto"/>
        <w:jc w:val="both"/>
        <w:rPr>
          <w:rFonts w:ascii="Times New Roman" w:hAnsi="Times New Roman" w:cs="Times New Roman"/>
          <w:b/>
          <w:bCs/>
          <w:lang w:val="es-AR"/>
        </w:rPr>
      </w:pPr>
      <w:r w:rsidRPr="005A4E18">
        <w:rPr>
          <w:rFonts w:ascii="Times New Roman" w:hAnsi="Times New Roman" w:cs="Times New Roman"/>
          <w:lang w:val="es-AR"/>
        </w:rPr>
        <w:t>Finalmente, este trabajo abre nuevas preguntas acerca de las transformaciones que la inteligencia artificial generativa introduce en las prácticas de estudio universitarias y sobre las estrategias pedagógicas necesarias para acompañarlas. Entre ellas, resulta especialmente relevante profundizar el análisis de las nuevas evidencias que permiten inferir aprendizaje en contextos donde parte del trabajo intelectual puede ser asistido por sistemas de inteligencia artificial, así como estudiar la evolución de estas prácticas a lo largo de la trayectoria formativa de los estudiantes. Más que un problema tecnológico, se trata de un desafío pedagógico que interpela los modos en que la universidad enseña, evalúa y promueve la construcción de conocimiento en un contexto de profundas transformaciones sociotécnicas</w:t>
      </w:r>
      <w:r w:rsidRPr="005A4E18">
        <w:rPr>
          <w:rFonts w:ascii="Times New Roman" w:hAnsi="Times New Roman" w:cs="Times New Roman"/>
          <w:b/>
          <w:bCs/>
          <w:lang w:val="es-AR"/>
        </w:rPr>
        <w:t>.</w:t>
      </w:r>
    </w:p>
    <w:p w14:paraId="39B57161" w14:textId="5EE88035" w:rsidR="005F3B2E" w:rsidRPr="00A35BD6" w:rsidRDefault="005F3B2E" w:rsidP="007B5B5F">
      <w:pPr>
        <w:spacing w:line="240" w:lineRule="auto"/>
        <w:rPr>
          <w:rFonts w:ascii="Times New Roman" w:hAnsi="Times New Roman" w:cs="Times New Roman"/>
          <w:b/>
          <w:bCs/>
        </w:rPr>
      </w:pPr>
      <w:r w:rsidRPr="00A35BD6">
        <w:rPr>
          <w:rFonts w:ascii="Times New Roman" w:hAnsi="Times New Roman" w:cs="Times New Roman"/>
          <w:b/>
          <w:bCs/>
        </w:rPr>
        <w:t xml:space="preserve">Referencias Bibliográficas </w:t>
      </w:r>
    </w:p>
    <w:p w14:paraId="1C73E98B" w14:textId="77777777" w:rsidR="0089540A" w:rsidRPr="00A35BD6" w:rsidRDefault="0089540A" w:rsidP="0089540A">
      <w:pPr>
        <w:spacing w:line="240" w:lineRule="auto"/>
        <w:rPr>
          <w:rFonts w:ascii="Times New Roman" w:hAnsi="Times New Roman" w:cs="Times New Roman"/>
        </w:rPr>
      </w:pPr>
      <w:r w:rsidRPr="00A35BD6">
        <w:rPr>
          <w:rFonts w:ascii="Times New Roman" w:hAnsi="Times New Roman" w:cs="Times New Roman"/>
        </w:rPr>
        <w:t xml:space="preserve">Carlino, P. (2005). </w:t>
      </w:r>
      <w:r w:rsidRPr="00A35BD6">
        <w:rPr>
          <w:rFonts w:ascii="Times New Roman" w:hAnsi="Times New Roman" w:cs="Times New Roman"/>
          <w:i/>
          <w:iCs/>
        </w:rPr>
        <w:t>Escribir, leer y aprender en la universidad: Una introducción a la alfabetización académica</w:t>
      </w:r>
      <w:r w:rsidRPr="00A35BD6">
        <w:rPr>
          <w:rFonts w:ascii="Times New Roman" w:hAnsi="Times New Roman" w:cs="Times New Roman"/>
        </w:rPr>
        <w:t>. Fondo de Cultura Económica.</w:t>
      </w:r>
    </w:p>
    <w:p w14:paraId="25D33391" w14:textId="77777777" w:rsidR="0089540A" w:rsidRPr="00A35BD6" w:rsidRDefault="0089540A" w:rsidP="0089540A">
      <w:pPr>
        <w:spacing w:line="240" w:lineRule="auto"/>
        <w:rPr>
          <w:rFonts w:ascii="Times New Roman" w:hAnsi="Times New Roman" w:cs="Times New Roman"/>
          <w:lang w:val="en-US"/>
        </w:rPr>
      </w:pPr>
      <w:r w:rsidRPr="00A35BD6">
        <w:rPr>
          <w:rFonts w:ascii="Times New Roman" w:hAnsi="Times New Roman" w:cs="Times New Roman"/>
        </w:rPr>
        <w:lastRenderedPageBreak/>
        <w:t xml:space="preserve">CONFEDI. (2018). </w:t>
      </w:r>
      <w:r w:rsidRPr="00A35BD6">
        <w:rPr>
          <w:rFonts w:ascii="Times New Roman" w:hAnsi="Times New Roman" w:cs="Times New Roman"/>
          <w:i/>
          <w:iCs/>
        </w:rPr>
        <w:t>Propuesta de estándares de segunda generación para la acreditación de carreras de ingeniería en la República Argentina ("Libro Rojo")</w:t>
      </w:r>
      <w:r w:rsidRPr="00A35BD6">
        <w:rPr>
          <w:rFonts w:ascii="Times New Roman" w:hAnsi="Times New Roman" w:cs="Times New Roman"/>
        </w:rPr>
        <w:t xml:space="preserve">. </w:t>
      </w:r>
      <w:r w:rsidRPr="00A35BD6">
        <w:rPr>
          <w:rFonts w:ascii="Times New Roman" w:hAnsi="Times New Roman" w:cs="Times New Roman"/>
          <w:lang w:val="en-US"/>
        </w:rPr>
        <w:t>Universidad FASTA Ediciones.</w:t>
      </w:r>
    </w:p>
    <w:p w14:paraId="326E12C0" w14:textId="2ED018FC" w:rsidR="0089540A" w:rsidRPr="00A35BD6" w:rsidRDefault="0089540A" w:rsidP="0089540A">
      <w:pPr>
        <w:spacing w:line="240" w:lineRule="auto"/>
        <w:rPr>
          <w:rFonts w:ascii="Times New Roman" w:hAnsi="Times New Roman" w:cs="Times New Roman"/>
        </w:rPr>
      </w:pPr>
      <w:r w:rsidRPr="00A35BD6">
        <w:rPr>
          <w:rFonts w:ascii="Times New Roman" w:hAnsi="Times New Roman" w:cs="Times New Roman"/>
          <w:lang w:val="en-US"/>
        </w:rPr>
        <w:t xml:space="preserve">Cotton, D. R. E., Cotton, P. A., &amp; Shipway, J. R. (2024). </w:t>
      </w:r>
      <w:r w:rsidRPr="00A35BD6">
        <w:rPr>
          <w:rFonts w:ascii="Times New Roman" w:hAnsi="Times New Roman" w:cs="Times New Roman"/>
          <w:i/>
          <w:iCs/>
          <w:lang w:val="en-US"/>
        </w:rPr>
        <w:t>Chatting and cheating? Ensuring academic integrity in the era of ChatGPT</w:t>
      </w:r>
      <w:r w:rsidRPr="00A35BD6">
        <w:rPr>
          <w:rFonts w:ascii="Times New Roman" w:hAnsi="Times New Roman" w:cs="Times New Roman"/>
          <w:lang w:val="en-US"/>
        </w:rPr>
        <w:t xml:space="preserve">. </w:t>
      </w:r>
      <w:r w:rsidRPr="00A35BD6">
        <w:rPr>
          <w:rFonts w:ascii="Times New Roman" w:hAnsi="Times New Roman" w:cs="Times New Roman"/>
          <w:i/>
          <w:iCs/>
          <w:lang w:val="en-US"/>
        </w:rPr>
        <w:t>Innovations in Education and Teaching International, 61</w:t>
      </w:r>
      <w:r w:rsidRPr="00A35BD6">
        <w:rPr>
          <w:rFonts w:ascii="Times New Roman" w:hAnsi="Times New Roman" w:cs="Times New Roman"/>
          <w:lang w:val="en-US"/>
        </w:rPr>
        <w:t xml:space="preserve">(2), </w:t>
      </w:r>
      <w:r w:rsidR="0012703E" w:rsidRPr="00A35BD6">
        <w:rPr>
          <w:rFonts w:ascii="Times New Roman" w:hAnsi="Times New Roman" w:cs="Times New Roman"/>
          <w:lang w:val="en-US"/>
        </w:rPr>
        <w:t xml:space="preserve">(pp. </w:t>
      </w:r>
      <w:r w:rsidRPr="00A35BD6">
        <w:rPr>
          <w:rFonts w:ascii="Times New Roman" w:hAnsi="Times New Roman" w:cs="Times New Roman"/>
          <w:lang w:val="en-US"/>
        </w:rPr>
        <w:t>228</w:t>
      </w:r>
      <w:r w:rsidR="0012703E" w:rsidRPr="00A35BD6">
        <w:rPr>
          <w:rFonts w:ascii="Times New Roman" w:hAnsi="Times New Roman" w:cs="Times New Roman"/>
          <w:lang w:val="en-US"/>
        </w:rPr>
        <w:t xml:space="preserve"> - </w:t>
      </w:r>
      <w:r w:rsidRPr="00A35BD6">
        <w:rPr>
          <w:rFonts w:ascii="Times New Roman" w:hAnsi="Times New Roman" w:cs="Times New Roman"/>
          <w:lang w:val="en-US"/>
        </w:rPr>
        <w:t>239</w:t>
      </w:r>
      <w:r w:rsidR="0012703E" w:rsidRPr="00A35BD6">
        <w:rPr>
          <w:rFonts w:ascii="Times New Roman" w:hAnsi="Times New Roman" w:cs="Times New Roman"/>
          <w:lang w:val="en-US"/>
        </w:rPr>
        <w:t>)</w:t>
      </w:r>
      <w:r w:rsidRPr="00A35BD6">
        <w:rPr>
          <w:rFonts w:ascii="Times New Roman" w:hAnsi="Times New Roman" w:cs="Times New Roman"/>
          <w:lang w:val="en-US"/>
        </w:rPr>
        <w:t>.</w:t>
      </w:r>
      <w:r w:rsidR="001B77F4" w:rsidRPr="00A35BD6">
        <w:rPr>
          <w:rFonts w:ascii="Times New Roman" w:hAnsi="Times New Roman" w:cs="Times New Roman"/>
          <w:lang w:val="en-US"/>
        </w:rPr>
        <w:t xml:space="preserve"> </w:t>
      </w:r>
      <w:hyperlink r:id="rId12" w:history="1">
        <w:r w:rsidR="001B77F4" w:rsidRPr="00A35BD6">
          <w:rPr>
            <w:rStyle w:val="Hipervnculo"/>
            <w:rFonts w:ascii="Times New Roman" w:hAnsi="Times New Roman" w:cs="Times New Roman"/>
          </w:rPr>
          <w:t>https://doi.org/10.1080/14703297.2023.2190148</w:t>
        </w:r>
      </w:hyperlink>
    </w:p>
    <w:p w14:paraId="43D217C2" w14:textId="77777777" w:rsidR="0089540A" w:rsidRPr="00A35BD6" w:rsidRDefault="0089540A" w:rsidP="0089540A">
      <w:pPr>
        <w:spacing w:line="240" w:lineRule="auto"/>
        <w:rPr>
          <w:rFonts w:ascii="Times New Roman" w:hAnsi="Times New Roman" w:cs="Times New Roman"/>
        </w:rPr>
      </w:pPr>
      <w:r w:rsidRPr="00A35BD6">
        <w:rPr>
          <w:rFonts w:ascii="Times New Roman" w:hAnsi="Times New Roman" w:cs="Times New Roman"/>
        </w:rPr>
        <w:t xml:space="preserve">Coulon, A. (1995). </w:t>
      </w:r>
      <w:r w:rsidRPr="00A35BD6">
        <w:rPr>
          <w:rFonts w:ascii="Times New Roman" w:hAnsi="Times New Roman" w:cs="Times New Roman"/>
          <w:i/>
          <w:iCs/>
        </w:rPr>
        <w:t>Etnometodología y educación</w:t>
      </w:r>
      <w:r w:rsidRPr="00A35BD6">
        <w:rPr>
          <w:rFonts w:ascii="Times New Roman" w:hAnsi="Times New Roman" w:cs="Times New Roman"/>
        </w:rPr>
        <w:t>. Paidós.</w:t>
      </w:r>
    </w:p>
    <w:p w14:paraId="6DE6364E" w14:textId="77777777" w:rsidR="0089540A" w:rsidRPr="00A35BD6" w:rsidRDefault="0089540A" w:rsidP="0089540A">
      <w:pPr>
        <w:spacing w:line="240" w:lineRule="auto"/>
        <w:rPr>
          <w:rFonts w:ascii="Times New Roman" w:hAnsi="Times New Roman" w:cs="Times New Roman"/>
          <w:lang w:val="es-AR"/>
        </w:rPr>
      </w:pPr>
      <w:r w:rsidRPr="00A35BD6">
        <w:rPr>
          <w:rFonts w:ascii="Times New Roman" w:hAnsi="Times New Roman" w:cs="Times New Roman"/>
          <w:lang w:val="es-AR"/>
        </w:rPr>
        <w:t xml:space="preserve">Mollick, E. R., &amp; Mollick, L. (2023). </w:t>
      </w:r>
      <w:r w:rsidRPr="00A35BD6">
        <w:rPr>
          <w:rFonts w:ascii="Times New Roman" w:hAnsi="Times New Roman" w:cs="Times New Roman"/>
          <w:i/>
          <w:iCs/>
          <w:lang w:val="en-US"/>
        </w:rPr>
        <w:t>Using AI to implement effective teaching strategies in classrooms: Five strategies, including prompts</w:t>
      </w:r>
      <w:r w:rsidRPr="00A35BD6">
        <w:rPr>
          <w:rFonts w:ascii="Times New Roman" w:hAnsi="Times New Roman" w:cs="Times New Roman"/>
          <w:lang w:val="en-US"/>
        </w:rPr>
        <w:t xml:space="preserve"> (Wharton School Research Paper). </w:t>
      </w:r>
      <w:r w:rsidRPr="00A35BD6">
        <w:rPr>
          <w:rFonts w:ascii="Times New Roman" w:hAnsi="Times New Roman" w:cs="Times New Roman"/>
          <w:lang w:val="es-AR"/>
        </w:rPr>
        <w:t xml:space="preserve">SSRN. </w:t>
      </w:r>
      <w:hyperlink r:id="rId13" w:history="1">
        <w:r w:rsidRPr="00A35BD6">
          <w:rPr>
            <w:lang w:val="es-AR"/>
          </w:rPr>
          <w:t>https://doi.org/10.2139/ssrn.4391243</w:t>
        </w:r>
      </w:hyperlink>
    </w:p>
    <w:p w14:paraId="33BE3D75" w14:textId="0438EBD6" w:rsidR="0089540A" w:rsidRPr="00A35BD6" w:rsidRDefault="0089540A" w:rsidP="0089540A">
      <w:pPr>
        <w:spacing w:line="240" w:lineRule="auto"/>
        <w:rPr>
          <w:rFonts w:ascii="Times New Roman" w:hAnsi="Times New Roman" w:cs="Times New Roman"/>
        </w:rPr>
      </w:pPr>
      <w:r w:rsidRPr="00A35BD6">
        <w:rPr>
          <w:rFonts w:ascii="Times New Roman" w:hAnsi="Times New Roman" w:cs="Times New Roman"/>
        </w:rPr>
        <w:t xml:space="preserve">Muñoz Martínez, C., Roger-Monzo, V., &amp; Castelló Sirvent, F. (2025). </w:t>
      </w:r>
      <w:r w:rsidRPr="00A35BD6">
        <w:rPr>
          <w:rFonts w:ascii="Times New Roman" w:hAnsi="Times New Roman" w:cs="Times New Roman"/>
          <w:i/>
          <w:iCs/>
        </w:rPr>
        <w:t>IA generativa y pensamiento crítico en la educación universitaria a distancia: desafíos y oportunidades.</w:t>
      </w:r>
      <w:r w:rsidRPr="00A35BD6">
        <w:rPr>
          <w:rFonts w:ascii="Times New Roman" w:hAnsi="Times New Roman" w:cs="Times New Roman"/>
        </w:rPr>
        <w:t xml:space="preserve"> RIED. Revista Iberoamericana de Educación a Distancia, 28(2), </w:t>
      </w:r>
      <w:r w:rsidR="0012703E" w:rsidRPr="00A35BD6">
        <w:rPr>
          <w:rFonts w:ascii="Times New Roman" w:hAnsi="Times New Roman" w:cs="Times New Roman"/>
        </w:rPr>
        <w:t>(pp.</w:t>
      </w:r>
      <w:r w:rsidRPr="00A35BD6">
        <w:rPr>
          <w:rFonts w:ascii="Times New Roman" w:hAnsi="Times New Roman" w:cs="Times New Roman"/>
        </w:rPr>
        <w:t>209–231</w:t>
      </w:r>
      <w:r w:rsidR="0012703E" w:rsidRPr="00A35BD6">
        <w:rPr>
          <w:rFonts w:ascii="Times New Roman" w:hAnsi="Times New Roman" w:cs="Times New Roman"/>
        </w:rPr>
        <w:t>)</w:t>
      </w:r>
      <w:r w:rsidRPr="00A35BD6">
        <w:rPr>
          <w:rFonts w:ascii="Times New Roman" w:hAnsi="Times New Roman" w:cs="Times New Roman"/>
        </w:rPr>
        <w:t>.</w:t>
      </w:r>
    </w:p>
    <w:p w14:paraId="2448735E" w14:textId="77777777" w:rsidR="0089540A" w:rsidRPr="00A35BD6" w:rsidRDefault="0089540A" w:rsidP="0089540A">
      <w:pPr>
        <w:spacing w:line="240" w:lineRule="auto"/>
        <w:rPr>
          <w:rFonts w:ascii="Times New Roman" w:hAnsi="Times New Roman" w:cs="Times New Roman"/>
          <w:lang w:val="en-US"/>
        </w:rPr>
      </w:pPr>
      <w:r w:rsidRPr="00A35BD6">
        <w:rPr>
          <w:rFonts w:ascii="Times New Roman" w:hAnsi="Times New Roman" w:cs="Times New Roman"/>
          <w:lang w:val="es-AR"/>
        </w:rPr>
        <w:t xml:space="preserve">Russell Group. </w:t>
      </w:r>
      <w:r w:rsidRPr="00A35BD6">
        <w:rPr>
          <w:rFonts w:ascii="Times New Roman" w:hAnsi="Times New Roman" w:cs="Times New Roman"/>
          <w:lang w:val="en-US"/>
        </w:rPr>
        <w:t xml:space="preserve">(2023). </w:t>
      </w:r>
      <w:r w:rsidRPr="00A35BD6">
        <w:rPr>
          <w:rFonts w:ascii="Times New Roman" w:hAnsi="Times New Roman" w:cs="Times New Roman"/>
          <w:i/>
          <w:iCs/>
          <w:lang w:val="en-US"/>
        </w:rPr>
        <w:t>Russell Group principles on the use of generative AI tools in education.</w:t>
      </w:r>
      <w:r w:rsidRPr="00A35BD6">
        <w:rPr>
          <w:rFonts w:ascii="Times New Roman" w:hAnsi="Times New Roman" w:cs="Times New Roman"/>
          <w:lang w:val="en-US"/>
        </w:rPr>
        <w:t xml:space="preserve"> </w:t>
      </w:r>
      <w:hyperlink r:id="rId14" w:history="1">
        <w:r w:rsidRPr="00A35BD6">
          <w:rPr>
            <w:lang w:val="en-US"/>
          </w:rPr>
          <w:t>https://russellgroup.ac.uk/media/6137/rg_ai_principles-final.pdf</w:t>
        </w:r>
      </w:hyperlink>
    </w:p>
    <w:p w14:paraId="0A7EAA07" w14:textId="77777777" w:rsidR="0089540A" w:rsidRPr="00A35BD6" w:rsidRDefault="0089540A" w:rsidP="0089540A">
      <w:pPr>
        <w:spacing w:line="240" w:lineRule="auto"/>
        <w:rPr>
          <w:rFonts w:ascii="Times New Roman" w:hAnsi="Times New Roman" w:cs="Times New Roman"/>
          <w:lang w:val="en-US"/>
        </w:rPr>
      </w:pPr>
      <w:r w:rsidRPr="00A35BD6">
        <w:rPr>
          <w:rFonts w:ascii="Times New Roman" w:hAnsi="Times New Roman" w:cs="Times New Roman"/>
          <w:lang w:val="en-US"/>
        </w:rPr>
        <w:t xml:space="preserve">Tlili, A., Shehata, B., Agyemang Adarkwah, M., Bozkurt, A., Hickey, D. T., Huang, R., &amp; Agyemang, B. (2023). </w:t>
      </w:r>
      <w:r w:rsidRPr="00A35BD6">
        <w:rPr>
          <w:rFonts w:ascii="Times New Roman" w:hAnsi="Times New Roman" w:cs="Times New Roman"/>
          <w:i/>
          <w:iCs/>
          <w:lang w:val="en-US"/>
        </w:rPr>
        <w:t xml:space="preserve">What if the devil is my guardian angel: ChatGPT as a case study of using chatbots in education. </w:t>
      </w:r>
      <w:r w:rsidRPr="00A35BD6">
        <w:rPr>
          <w:rFonts w:ascii="Times New Roman" w:hAnsi="Times New Roman" w:cs="Times New Roman"/>
          <w:lang w:val="en-US"/>
        </w:rPr>
        <w:t xml:space="preserve">Smart Learning Environments, 10, Article 15. </w:t>
      </w:r>
      <w:hyperlink r:id="rId15" w:history="1">
        <w:r w:rsidRPr="00A35BD6">
          <w:rPr>
            <w:rStyle w:val="Hipervnculo"/>
            <w:rFonts w:ascii="Times New Roman" w:hAnsi="Times New Roman" w:cs="Times New Roman"/>
            <w:lang w:val="en-US"/>
          </w:rPr>
          <w:t>https://doi.org/10.1186/s40561-023-00237-x</w:t>
        </w:r>
      </w:hyperlink>
    </w:p>
    <w:p w14:paraId="384D8FF5" w14:textId="77777777" w:rsidR="0089540A" w:rsidRPr="00A35BD6" w:rsidRDefault="0089540A" w:rsidP="0089540A">
      <w:pPr>
        <w:spacing w:line="240" w:lineRule="auto"/>
        <w:rPr>
          <w:rFonts w:ascii="Times New Roman" w:hAnsi="Times New Roman" w:cs="Times New Roman"/>
        </w:rPr>
      </w:pPr>
      <w:r w:rsidRPr="00A35BD6">
        <w:rPr>
          <w:rFonts w:ascii="Times New Roman" w:hAnsi="Times New Roman" w:cs="Times New Roman"/>
          <w:lang w:val="en-US"/>
        </w:rPr>
        <w:t xml:space="preserve">UNESCO. </w:t>
      </w:r>
      <w:r w:rsidRPr="00A35BD6">
        <w:rPr>
          <w:rFonts w:ascii="Times New Roman" w:hAnsi="Times New Roman" w:cs="Times New Roman"/>
        </w:rPr>
        <w:t xml:space="preserve">(2024). </w:t>
      </w:r>
      <w:r w:rsidRPr="00A35BD6">
        <w:rPr>
          <w:rFonts w:ascii="Times New Roman" w:hAnsi="Times New Roman" w:cs="Times New Roman"/>
          <w:i/>
          <w:iCs/>
        </w:rPr>
        <w:t>Guía para el uso de la inteligencia artificial generativa en educación e investigación</w:t>
      </w:r>
      <w:r w:rsidRPr="00A35BD6">
        <w:rPr>
          <w:rFonts w:ascii="Times New Roman" w:hAnsi="Times New Roman" w:cs="Times New Roman"/>
        </w:rPr>
        <w:t xml:space="preserve">. UNESCO Publishing. </w:t>
      </w:r>
      <w:hyperlink r:id="rId16" w:history="1">
        <w:r w:rsidRPr="00A35BD6">
          <w:rPr>
            <w:rStyle w:val="Hipervnculo"/>
            <w:rFonts w:ascii="Times New Roman" w:hAnsi="Times New Roman" w:cs="Times New Roman"/>
          </w:rPr>
          <w:t>https://unesdoc.unesco.org/ark:/48223/pf0000389227</w:t>
        </w:r>
      </w:hyperlink>
    </w:p>
    <w:p w14:paraId="12987370" w14:textId="77777777" w:rsidR="0089540A" w:rsidRPr="00A35BD6" w:rsidRDefault="0089540A" w:rsidP="0089540A">
      <w:pPr>
        <w:spacing w:line="240" w:lineRule="auto"/>
        <w:rPr>
          <w:rFonts w:ascii="Times New Roman" w:hAnsi="Times New Roman" w:cs="Times New Roman"/>
        </w:rPr>
      </w:pPr>
      <w:r w:rsidRPr="00A35BD6">
        <w:rPr>
          <w:rFonts w:ascii="Times New Roman" w:hAnsi="Times New Roman" w:cs="Times New Roman"/>
        </w:rPr>
        <w:t xml:space="preserve">Universidad Nacional de Luján. (2025). </w:t>
      </w:r>
      <w:r w:rsidRPr="00A35BD6">
        <w:rPr>
          <w:rFonts w:ascii="Times New Roman" w:hAnsi="Times New Roman" w:cs="Times New Roman"/>
          <w:i/>
          <w:iCs/>
        </w:rPr>
        <w:t>Programa de actividades académicas: Proyectos de Ingeniería</w:t>
      </w:r>
      <w:r w:rsidRPr="00A35BD6">
        <w:rPr>
          <w:rFonts w:ascii="Times New Roman" w:hAnsi="Times New Roman" w:cs="Times New Roman"/>
        </w:rPr>
        <w:t xml:space="preserve">. Universidad Nacional de Luján. </w:t>
      </w:r>
      <w:hyperlink r:id="rId17" w:history="1">
        <w:r w:rsidRPr="00A35BD6">
          <w:rPr>
            <w:rStyle w:val="Hipervnculo"/>
            <w:rFonts w:ascii="Times New Roman" w:hAnsi="Times New Roman" w:cs="Times New Roman"/>
          </w:rPr>
          <w:t>https://www.certificaciones.unlu.edu.ar/sites/www.certificaciones.unlu.edu.ar/files/site/Programas/25/40244.pdf</w:t>
        </w:r>
      </w:hyperlink>
    </w:p>
    <w:p w14:paraId="7E1257BE" w14:textId="77777777" w:rsidR="00FF4578" w:rsidRPr="00A35BD6" w:rsidRDefault="00FF4578" w:rsidP="00181018">
      <w:pPr>
        <w:spacing w:line="240" w:lineRule="auto"/>
        <w:jc w:val="both"/>
        <w:rPr>
          <w:rFonts w:ascii="Times New Roman" w:hAnsi="Times New Roman" w:cs="Times New Roman"/>
        </w:rPr>
      </w:pPr>
    </w:p>
    <w:sectPr w:rsidR="00FF4578" w:rsidRPr="00A35BD6"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0F16" w14:textId="77777777" w:rsidR="00365592" w:rsidRPr="00BA642E" w:rsidRDefault="00365592" w:rsidP="00C802F5">
      <w:pPr>
        <w:spacing w:after="0" w:line="240" w:lineRule="auto"/>
      </w:pPr>
      <w:r w:rsidRPr="00BA642E">
        <w:separator/>
      </w:r>
    </w:p>
  </w:endnote>
  <w:endnote w:type="continuationSeparator" w:id="0">
    <w:p w14:paraId="5C40E34B" w14:textId="77777777" w:rsidR="00365592" w:rsidRPr="00BA642E" w:rsidRDefault="0036559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6D59" w14:textId="77777777" w:rsidR="00365592" w:rsidRPr="00BA642E" w:rsidRDefault="00365592" w:rsidP="00C802F5">
      <w:pPr>
        <w:spacing w:after="0" w:line="240" w:lineRule="auto"/>
      </w:pPr>
      <w:r w:rsidRPr="00BA642E">
        <w:separator/>
      </w:r>
    </w:p>
  </w:footnote>
  <w:footnote w:type="continuationSeparator" w:id="0">
    <w:p w14:paraId="686CA9AF" w14:textId="77777777" w:rsidR="00365592" w:rsidRPr="00BA642E" w:rsidRDefault="0036559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5E6D"/>
    <w:multiLevelType w:val="multilevel"/>
    <w:tmpl w:val="64DE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65602"/>
    <w:multiLevelType w:val="multilevel"/>
    <w:tmpl w:val="ACE2F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117734"/>
    <w:multiLevelType w:val="hybridMultilevel"/>
    <w:tmpl w:val="C0DEAE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D36380B"/>
    <w:multiLevelType w:val="hybridMultilevel"/>
    <w:tmpl w:val="E31EA412"/>
    <w:lvl w:ilvl="0" w:tplc="F68CFC28">
      <w:start w:val="1"/>
      <w:numFmt w:val="lowerLetter"/>
      <w:lvlText w:val="%1)"/>
      <w:lvlJc w:val="left"/>
      <w:pPr>
        <w:ind w:left="644" w:hanging="360"/>
      </w:pPr>
      <w:rPr>
        <w:rFonts w:hint="default"/>
        <w:b/>
        <w:bCs/>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4" w15:restartNumberingAfterBreak="0">
    <w:nsid w:val="60544FB4"/>
    <w:multiLevelType w:val="multilevel"/>
    <w:tmpl w:val="64DE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D6902"/>
    <w:multiLevelType w:val="multilevel"/>
    <w:tmpl w:val="64DE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427B2E"/>
    <w:multiLevelType w:val="hybridMultilevel"/>
    <w:tmpl w:val="C9729A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2117022657">
    <w:abstractNumId w:val="4"/>
  </w:num>
  <w:num w:numId="2" w16cid:durableId="1430391607">
    <w:abstractNumId w:val="0"/>
  </w:num>
  <w:num w:numId="3" w16cid:durableId="794904042">
    <w:abstractNumId w:val="5"/>
  </w:num>
  <w:num w:numId="4" w16cid:durableId="1467698579">
    <w:abstractNumId w:val="1"/>
  </w:num>
  <w:num w:numId="5" w16cid:durableId="640310323">
    <w:abstractNumId w:val="3"/>
  </w:num>
  <w:num w:numId="6" w16cid:durableId="449519650">
    <w:abstractNumId w:val="6"/>
  </w:num>
  <w:num w:numId="7" w16cid:durableId="985159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1917"/>
    <w:rsid w:val="0001409E"/>
    <w:rsid w:val="00022538"/>
    <w:rsid w:val="00025243"/>
    <w:rsid w:val="00051ED6"/>
    <w:rsid w:val="00056AE8"/>
    <w:rsid w:val="00057EFC"/>
    <w:rsid w:val="00071581"/>
    <w:rsid w:val="000941D2"/>
    <w:rsid w:val="000B01A8"/>
    <w:rsid w:val="000B384D"/>
    <w:rsid w:val="000C0E11"/>
    <w:rsid w:val="000D33D9"/>
    <w:rsid w:val="000E029E"/>
    <w:rsid w:val="000E2358"/>
    <w:rsid w:val="000E2D00"/>
    <w:rsid w:val="000E4510"/>
    <w:rsid w:val="000E5675"/>
    <w:rsid w:val="000E5A1E"/>
    <w:rsid w:val="000F4941"/>
    <w:rsid w:val="000F4D4C"/>
    <w:rsid w:val="000F5304"/>
    <w:rsid w:val="00114FF5"/>
    <w:rsid w:val="00123637"/>
    <w:rsid w:val="00124468"/>
    <w:rsid w:val="0012703E"/>
    <w:rsid w:val="0013428B"/>
    <w:rsid w:val="00135C19"/>
    <w:rsid w:val="00141E30"/>
    <w:rsid w:val="00142602"/>
    <w:rsid w:val="00151C96"/>
    <w:rsid w:val="00152F33"/>
    <w:rsid w:val="00157C33"/>
    <w:rsid w:val="00157D6D"/>
    <w:rsid w:val="00172C4B"/>
    <w:rsid w:val="001757A7"/>
    <w:rsid w:val="00181018"/>
    <w:rsid w:val="001816D6"/>
    <w:rsid w:val="00185F5E"/>
    <w:rsid w:val="001906E4"/>
    <w:rsid w:val="001923DC"/>
    <w:rsid w:val="00196769"/>
    <w:rsid w:val="001A05B8"/>
    <w:rsid w:val="001A5F0F"/>
    <w:rsid w:val="001B3772"/>
    <w:rsid w:val="001B61BD"/>
    <w:rsid w:val="001B77F4"/>
    <w:rsid w:val="001C3E06"/>
    <w:rsid w:val="001D068D"/>
    <w:rsid w:val="001D7737"/>
    <w:rsid w:val="001F0AEC"/>
    <w:rsid w:val="001F22C0"/>
    <w:rsid w:val="00212237"/>
    <w:rsid w:val="00223536"/>
    <w:rsid w:val="0022404C"/>
    <w:rsid w:val="002327C3"/>
    <w:rsid w:val="002331E8"/>
    <w:rsid w:val="00235B18"/>
    <w:rsid w:val="00244E95"/>
    <w:rsid w:val="00293B41"/>
    <w:rsid w:val="002945E7"/>
    <w:rsid w:val="00296CAE"/>
    <w:rsid w:val="002A11CD"/>
    <w:rsid w:val="002A180E"/>
    <w:rsid w:val="002A3C95"/>
    <w:rsid w:val="002B4742"/>
    <w:rsid w:val="002C1B2D"/>
    <w:rsid w:val="002C4089"/>
    <w:rsid w:val="002E45B6"/>
    <w:rsid w:val="003024C2"/>
    <w:rsid w:val="00312392"/>
    <w:rsid w:val="003243AB"/>
    <w:rsid w:val="00326CEE"/>
    <w:rsid w:val="003349C1"/>
    <w:rsid w:val="00337E9C"/>
    <w:rsid w:val="0034159B"/>
    <w:rsid w:val="00345872"/>
    <w:rsid w:val="00365592"/>
    <w:rsid w:val="003673D7"/>
    <w:rsid w:val="00370958"/>
    <w:rsid w:val="00373108"/>
    <w:rsid w:val="00377779"/>
    <w:rsid w:val="00383D49"/>
    <w:rsid w:val="0039324F"/>
    <w:rsid w:val="00393B11"/>
    <w:rsid w:val="00394931"/>
    <w:rsid w:val="003965A0"/>
    <w:rsid w:val="003A1712"/>
    <w:rsid w:val="003A3F56"/>
    <w:rsid w:val="003B3EBA"/>
    <w:rsid w:val="003C2200"/>
    <w:rsid w:val="003C5892"/>
    <w:rsid w:val="003C59C2"/>
    <w:rsid w:val="003D49EF"/>
    <w:rsid w:val="003E7E80"/>
    <w:rsid w:val="003F1A02"/>
    <w:rsid w:val="003F2BC8"/>
    <w:rsid w:val="00400E5A"/>
    <w:rsid w:val="00403513"/>
    <w:rsid w:val="004040C0"/>
    <w:rsid w:val="004269AF"/>
    <w:rsid w:val="00434843"/>
    <w:rsid w:val="00436163"/>
    <w:rsid w:val="00437E9C"/>
    <w:rsid w:val="00444A63"/>
    <w:rsid w:val="004511D3"/>
    <w:rsid w:val="00451D8D"/>
    <w:rsid w:val="004611C0"/>
    <w:rsid w:val="00464E98"/>
    <w:rsid w:val="00470033"/>
    <w:rsid w:val="00474094"/>
    <w:rsid w:val="00476936"/>
    <w:rsid w:val="00481023"/>
    <w:rsid w:val="00495564"/>
    <w:rsid w:val="00497C22"/>
    <w:rsid w:val="004A2958"/>
    <w:rsid w:val="004C780F"/>
    <w:rsid w:val="004D69C5"/>
    <w:rsid w:val="004E655C"/>
    <w:rsid w:val="004E796B"/>
    <w:rsid w:val="004F3AFA"/>
    <w:rsid w:val="00503062"/>
    <w:rsid w:val="005064D1"/>
    <w:rsid w:val="00512B3A"/>
    <w:rsid w:val="00514363"/>
    <w:rsid w:val="0053154A"/>
    <w:rsid w:val="00544486"/>
    <w:rsid w:val="00545B3C"/>
    <w:rsid w:val="00550766"/>
    <w:rsid w:val="00556F7B"/>
    <w:rsid w:val="00557041"/>
    <w:rsid w:val="00560EDD"/>
    <w:rsid w:val="0057586D"/>
    <w:rsid w:val="00577590"/>
    <w:rsid w:val="005A4E18"/>
    <w:rsid w:val="005E6862"/>
    <w:rsid w:val="005F3B2E"/>
    <w:rsid w:val="005F5A5F"/>
    <w:rsid w:val="005F7B50"/>
    <w:rsid w:val="00613A70"/>
    <w:rsid w:val="00630B99"/>
    <w:rsid w:val="00654507"/>
    <w:rsid w:val="0065480C"/>
    <w:rsid w:val="006748F9"/>
    <w:rsid w:val="00686F52"/>
    <w:rsid w:val="00692511"/>
    <w:rsid w:val="006A03F9"/>
    <w:rsid w:val="006A7A8C"/>
    <w:rsid w:val="006B4A8F"/>
    <w:rsid w:val="00701F64"/>
    <w:rsid w:val="00716DDA"/>
    <w:rsid w:val="00734236"/>
    <w:rsid w:val="00734608"/>
    <w:rsid w:val="00754051"/>
    <w:rsid w:val="00756C1E"/>
    <w:rsid w:val="007713E8"/>
    <w:rsid w:val="00773A6B"/>
    <w:rsid w:val="00780640"/>
    <w:rsid w:val="00783655"/>
    <w:rsid w:val="00786E32"/>
    <w:rsid w:val="00794161"/>
    <w:rsid w:val="007A2AE2"/>
    <w:rsid w:val="007A35E8"/>
    <w:rsid w:val="007A49DA"/>
    <w:rsid w:val="007A6C26"/>
    <w:rsid w:val="007B5B5F"/>
    <w:rsid w:val="007B734E"/>
    <w:rsid w:val="007C67E7"/>
    <w:rsid w:val="007D07C2"/>
    <w:rsid w:val="007D233B"/>
    <w:rsid w:val="007D7E2D"/>
    <w:rsid w:val="0080443F"/>
    <w:rsid w:val="008137A9"/>
    <w:rsid w:val="008211BB"/>
    <w:rsid w:val="00822FCD"/>
    <w:rsid w:val="00835294"/>
    <w:rsid w:val="00847C7F"/>
    <w:rsid w:val="0085070B"/>
    <w:rsid w:val="0086492D"/>
    <w:rsid w:val="00882CA1"/>
    <w:rsid w:val="00883AA7"/>
    <w:rsid w:val="0089540A"/>
    <w:rsid w:val="00895897"/>
    <w:rsid w:val="008A5FCA"/>
    <w:rsid w:val="008C38C9"/>
    <w:rsid w:val="008D0CBF"/>
    <w:rsid w:val="008D32D4"/>
    <w:rsid w:val="008D4C44"/>
    <w:rsid w:val="008D6C12"/>
    <w:rsid w:val="008E0481"/>
    <w:rsid w:val="008E176A"/>
    <w:rsid w:val="008E24D1"/>
    <w:rsid w:val="00900EF1"/>
    <w:rsid w:val="009033A9"/>
    <w:rsid w:val="00906962"/>
    <w:rsid w:val="0092576A"/>
    <w:rsid w:val="009273C9"/>
    <w:rsid w:val="009477E2"/>
    <w:rsid w:val="009553F8"/>
    <w:rsid w:val="009652ED"/>
    <w:rsid w:val="00976D90"/>
    <w:rsid w:val="009860DC"/>
    <w:rsid w:val="00986869"/>
    <w:rsid w:val="00987E34"/>
    <w:rsid w:val="009940B7"/>
    <w:rsid w:val="00997E39"/>
    <w:rsid w:val="009B770C"/>
    <w:rsid w:val="009D030F"/>
    <w:rsid w:val="009D05CB"/>
    <w:rsid w:val="009D4D2A"/>
    <w:rsid w:val="009F0593"/>
    <w:rsid w:val="009F312E"/>
    <w:rsid w:val="009F7F19"/>
    <w:rsid w:val="00A01021"/>
    <w:rsid w:val="00A06968"/>
    <w:rsid w:val="00A17247"/>
    <w:rsid w:val="00A21157"/>
    <w:rsid w:val="00A35BD6"/>
    <w:rsid w:val="00A47729"/>
    <w:rsid w:val="00A729A6"/>
    <w:rsid w:val="00A77BE7"/>
    <w:rsid w:val="00A802E0"/>
    <w:rsid w:val="00A913E4"/>
    <w:rsid w:val="00AB3E31"/>
    <w:rsid w:val="00AD7BB3"/>
    <w:rsid w:val="00AE1CF1"/>
    <w:rsid w:val="00AE5BD0"/>
    <w:rsid w:val="00AF0D69"/>
    <w:rsid w:val="00B00B68"/>
    <w:rsid w:val="00B0393B"/>
    <w:rsid w:val="00B063D1"/>
    <w:rsid w:val="00B312E8"/>
    <w:rsid w:val="00B40CF6"/>
    <w:rsid w:val="00B4196E"/>
    <w:rsid w:val="00B65A46"/>
    <w:rsid w:val="00B67C73"/>
    <w:rsid w:val="00B77419"/>
    <w:rsid w:val="00B8229E"/>
    <w:rsid w:val="00B85D0F"/>
    <w:rsid w:val="00B955A9"/>
    <w:rsid w:val="00BA640A"/>
    <w:rsid w:val="00BA642E"/>
    <w:rsid w:val="00BC236F"/>
    <w:rsid w:val="00BD0730"/>
    <w:rsid w:val="00BD39F3"/>
    <w:rsid w:val="00BF0633"/>
    <w:rsid w:val="00BF0ADE"/>
    <w:rsid w:val="00BF1852"/>
    <w:rsid w:val="00BF2AEB"/>
    <w:rsid w:val="00C05E02"/>
    <w:rsid w:val="00C1401E"/>
    <w:rsid w:val="00C16625"/>
    <w:rsid w:val="00C171EA"/>
    <w:rsid w:val="00C173E0"/>
    <w:rsid w:val="00C36410"/>
    <w:rsid w:val="00C401C0"/>
    <w:rsid w:val="00C445C8"/>
    <w:rsid w:val="00C52C7B"/>
    <w:rsid w:val="00C560C5"/>
    <w:rsid w:val="00C75463"/>
    <w:rsid w:val="00C802F5"/>
    <w:rsid w:val="00C84EC7"/>
    <w:rsid w:val="00C85F01"/>
    <w:rsid w:val="00C94A20"/>
    <w:rsid w:val="00C96B2C"/>
    <w:rsid w:val="00CB3D5E"/>
    <w:rsid w:val="00CC04C1"/>
    <w:rsid w:val="00CE0607"/>
    <w:rsid w:val="00CE19DC"/>
    <w:rsid w:val="00CE27A2"/>
    <w:rsid w:val="00CE3712"/>
    <w:rsid w:val="00D166BC"/>
    <w:rsid w:val="00D24922"/>
    <w:rsid w:val="00D34353"/>
    <w:rsid w:val="00D444A5"/>
    <w:rsid w:val="00D45EBC"/>
    <w:rsid w:val="00D7593B"/>
    <w:rsid w:val="00D843EC"/>
    <w:rsid w:val="00DA1072"/>
    <w:rsid w:val="00DB1B90"/>
    <w:rsid w:val="00DD4004"/>
    <w:rsid w:val="00DD4E64"/>
    <w:rsid w:val="00E042F7"/>
    <w:rsid w:val="00E27D16"/>
    <w:rsid w:val="00E45631"/>
    <w:rsid w:val="00E463AA"/>
    <w:rsid w:val="00E55DE8"/>
    <w:rsid w:val="00E74CA7"/>
    <w:rsid w:val="00E77333"/>
    <w:rsid w:val="00E864D3"/>
    <w:rsid w:val="00E86A5A"/>
    <w:rsid w:val="00EA0B92"/>
    <w:rsid w:val="00EA365A"/>
    <w:rsid w:val="00EA5919"/>
    <w:rsid w:val="00EB4F1B"/>
    <w:rsid w:val="00EB6D02"/>
    <w:rsid w:val="00EC37B0"/>
    <w:rsid w:val="00EE332B"/>
    <w:rsid w:val="00EE535F"/>
    <w:rsid w:val="00F00095"/>
    <w:rsid w:val="00F008BB"/>
    <w:rsid w:val="00F10850"/>
    <w:rsid w:val="00F4349C"/>
    <w:rsid w:val="00F52EF5"/>
    <w:rsid w:val="00F82552"/>
    <w:rsid w:val="00F86CFB"/>
    <w:rsid w:val="00F87245"/>
    <w:rsid w:val="00F91158"/>
    <w:rsid w:val="00F95086"/>
    <w:rsid w:val="00FA442A"/>
    <w:rsid w:val="00FC1120"/>
    <w:rsid w:val="00FD4C50"/>
    <w:rsid w:val="00FE0D91"/>
    <w:rsid w:val="00FF4578"/>
    <w:rsid w:val="00FF51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4E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864D3"/>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doi.org/10.2139/ssrn.439124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hyperlink" Target="https://doi.org/10.1080/14703297.2023.2190148" TargetMode="External"/><Relationship Id="rId17" Type="http://schemas.openxmlformats.org/officeDocument/2006/relationships/hyperlink" Target="https://www.certificaciones.unlu.edu.ar/sites/www.certificaciones.unlu.edu.ar/files/site/Programas/25/40244.pdf" TargetMode="External"/><Relationship Id="rId2" Type="http://schemas.openxmlformats.org/officeDocument/2006/relationships/styles" Target="styles.xml"/><Relationship Id="rId16" Type="http://schemas.openxmlformats.org/officeDocument/2006/relationships/hyperlink" Target="https://unesdoc.unesco.org/ark:/48223/pf000038922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s://doi.org/10.1186/s40561-023-00237-x" TargetMode="External"/><Relationship Id="rId10" Type="http://schemas.openxmlformats.org/officeDocument/2006/relationships/diagramColors" Target="diagrams/colors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russellgroup.ac.uk/media/6137/rg_ai_principles-fina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3F26F2-B88D-4121-B601-ADF68FE83719}" type="doc">
      <dgm:prSet loTypeId="urn:microsoft.com/office/officeart/2005/8/layout/chevron2" loCatId="process" qsTypeId="urn:microsoft.com/office/officeart/2005/8/quickstyle/simple1" qsCatId="simple" csTypeId="urn:microsoft.com/office/officeart/2005/8/colors/accent0_1" csCatId="mainScheme" phldr="1"/>
      <dgm:spPr/>
      <dgm:t>
        <a:bodyPr/>
        <a:lstStyle/>
        <a:p>
          <a:endParaRPr lang="es-AR"/>
        </a:p>
      </dgm:t>
    </dgm:pt>
    <dgm:pt modelId="{98CFB4AB-3184-4EE3-AD8C-DDCA28D4F07D}">
      <dgm:prSet phldrT="[Texto]" custT="1"/>
      <dgm:spPr/>
      <dgm:t>
        <a:bodyPr/>
        <a:lstStyle/>
        <a:p>
          <a:r>
            <a:rPr lang="es-AR" sz="800"/>
            <a:t>FASE 1: Activación</a:t>
          </a:r>
        </a:p>
      </dgm:t>
    </dgm:pt>
    <dgm:pt modelId="{FAC9BBBF-3B10-4432-A1E5-D13E14530282}" type="parTrans" cxnId="{7354F215-D0C9-4026-BB94-40D1B1E4C517}">
      <dgm:prSet/>
      <dgm:spPr/>
      <dgm:t>
        <a:bodyPr/>
        <a:lstStyle/>
        <a:p>
          <a:endParaRPr lang="es-AR" sz="1100">
            <a:solidFill>
              <a:sysClr val="windowText" lastClr="000000"/>
            </a:solidFill>
          </a:endParaRPr>
        </a:p>
      </dgm:t>
    </dgm:pt>
    <dgm:pt modelId="{18D2487B-5030-4B71-AC43-AD1EDD34600A}" type="sibTrans" cxnId="{7354F215-D0C9-4026-BB94-40D1B1E4C517}">
      <dgm:prSet/>
      <dgm:spPr/>
      <dgm:t>
        <a:bodyPr/>
        <a:lstStyle/>
        <a:p>
          <a:endParaRPr lang="es-AR" sz="1100">
            <a:solidFill>
              <a:sysClr val="windowText" lastClr="000000"/>
            </a:solidFill>
          </a:endParaRPr>
        </a:p>
      </dgm:t>
    </dgm:pt>
    <dgm:pt modelId="{FD90B99B-DE8F-498C-9B03-23724A57940A}">
      <dgm:prSet phldrT="[Texto]" custT="1"/>
      <dgm:spPr/>
      <dgm:t>
        <a:bodyPr/>
        <a:lstStyle/>
        <a:p>
          <a:r>
            <a:rPr lang="es-AR" sz="1000"/>
            <a:t>Presentación de actividad y tema musical</a:t>
          </a:r>
        </a:p>
      </dgm:t>
    </dgm:pt>
    <dgm:pt modelId="{56A7FCDB-13A3-4ED9-ABA8-0FF5883F64A5}" type="parTrans" cxnId="{D3775A4B-F1B9-4C97-8ED2-7363C2B06549}">
      <dgm:prSet/>
      <dgm:spPr/>
      <dgm:t>
        <a:bodyPr/>
        <a:lstStyle/>
        <a:p>
          <a:endParaRPr lang="es-AR" sz="1100">
            <a:solidFill>
              <a:sysClr val="windowText" lastClr="000000"/>
            </a:solidFill>
          </a:endParaRPr>
        </a:p>
      </dgm:t>
    </dgm:pt>
    <dgm:pt modelId="{F6F60D53-843C-400F-87CC-F5A2F3430EE6}" type="sibTrans" cxnId="{D3775A4B-F1B9-4C97-8ED2-7363C2B06549}">
      <dgm:prSet/>
      <dgm:spPr/>
      <dgm:t>
        <a:bodyPr/>
        <a:lstStyle/>
        <a:p>
          <a:endParaRPr lang="es-AR" sz="1100">
            <a:solidFill>
              <a:sysClr val="windowText" lastClr="000000"/>
            </a:solidFill>
          </a:endParaRPr>
        </a:p>
      </dgm:t>
    </dgm:pt>
    <dgm:pt modelId="{8292E6C3-1CD7-4B6B-8902-D8A026419D26}">
      <dgm:prSet phldrT="[Texto]" custT="1"/>
      <dgm:spPr/>
      <dgm:t>
        <a:bodyPr/>
        <a:lstStyle/>
        <a:p>
          <a:r>
            <a:rPr lang="es-AR" sz="800"/>
            <a:t>FASE 2: Producción</a:t>
          </a:r>
        </a:p>
      </dgm:t>
    </dgm:pt>
    <dgm:pt modelId="{7E822701-9851-4A65-9E19-F705F8BC9498}" type="parTrans" cxnId="{B4F5ECA8-C2A5-4A4C-B903-874A849BDCEB}">
      <dgm:prSet/>
      <dgm:spPr/>
      <dgm:t>
        <a:bodyPr/>
        <a:lstStyle/>
        <a:p>
          <a:endParaRPr lang="es-AR" sz="1100">
            <a:solidFill>
              <a:sysClr val="windowText" lastClr="000000"/>
            </a:solidFill>
          </a:endParaRPr>
        </a:p>
      </dgm:t>
    </dgm:pt>
    <dgm:pt modelId="{F36B7DEE-4886-4F79-BE09-6CDF41A5CC86}" type="sibTrans" cxnId="{B4F5ECA8-C2A5-4A4C-B903-874A849BDCEB}">
      <dgm:prSet/>
      <dgm:spPr/>
      <dgm:t>
        <a:bodyPr/>
        <a:lstStyle/>
        <a:p>
          <a:endParaRPr lang="es-AR" sz="1100">
            <a:solidFill>
              <a:sysClr val="windowText" lastClr="000000"/>
            </a:solidFill>
          </a:endParaRPr>
        </a:p>
      </dgm:t>
    </dgm:pt>
    <dgm:pt modelId="{F5AF1E8A-FF28-4587-A1CC-34BBE1C3DD4C}">
      <dgm:prSet phldrT="[Texto]" custT="1"/>
      <dgm:spPr/>
      <dgm:t>
        <a:bodyPr/>
        <a:lstStyle/>
        <a:p>
          <a:r>
            <a:rPr lang="es-AR" sz="1000"/>
            <a:t>Conformación de equipos </a:t>
          </a:r>
        </a:p>
      </dgm:t>
    </dgm:pt>
    <dgm:pt modelId="{701FFA42-1BF2-4516-B5FE-3279CF0C56D0}" type="parTrans" cxnId="{25C29A9E-1794-4E7C-A5A0-4E021BFCD2BA}">
      <dgm:prSet/>
      <dgm:spPr/>
      <dgm:t>
        <a:bodyPr/>
        <a:lstStyle/>
        <a:p>
          <a:endParaRPr lang="es-AR" sz="1100">
            <a:solidFill>
              <a:sysClr val="windowText" lastClr="000000"/>
            </a:solidFill>
          </a:endParaRPr>
        </a:p>
      </dgm:t>
    </dgm:pt>
    <dgm:pt modelId="{89167427-0929-49DF-BDB4-571B6DACBDCD}" type="sibTrans" cxnId="{25C29A9E-1794-4E7C-A5A0-4E021BFCD2BA}">
      <dgm:prSet/>
      <dgm:spPr/>
      <dgm:t>
        <a:bodyPr/>
        <a:lstStyle/>
        <a:p>
          <a:endParaRPr lang="es-AR" sz="1100">
            <a:solidFill>
              <a:sysClr val="windowText" lastClr="000000"/>
            </a:solidFill>
          </a:endParaRPr>
        </a:p>
      </dgm:t>
    </dgm:pt>
    <dgm:pt modelId="{083AB4B7-DD4A-4A45-82CF-B0883C909609}">
      <dgm:prSet phldrT="[Texto]" custT="1"/>
      <dgm:spPr/>
      <dgm:t>
        <a:bodyPr/>
        <a:lstStyle/>
        <a:p>
          <a:r>
            <a:rPr lang="es-AR" sz="800"/>
            <a:t>FASE 3:  Validación</a:t>
          </a:r>
        </a:p>
      </dgm:t>
    </dgm:pt>
    <dgm:pt modelId="{75A85059-7B70-4A0E-ADDB-C731DBA0D4D7}" type="parTrans" cxnId="{ABE6E3E2-0D0A-47D6-A569-BEA0644AA46C}">
      <dgm:prSet/>
      <dgm:spPr/>
      <dgm:t>
        <a:bodyPr/>
        <a:lstStyle/>
        <a:p>
          <a:endParaRPr lang="es-AR" sz="1100">
            <a:solidFill>
              <a:sysClr val="windowText" lastClr="000000"/>
            </a:solidFill>
          </a:endParaRPr>
        </a:p>
      </dgm:t>
    </dgm:pt>
    <dgm:pt modelId="{D5D93974-D618-449A-BBDE-81049ABAD840}" type="sibTrans" cxnId="{ABE6E3E2-0D0A-47D6-A569-BEA0644AA46C}">
      <dgm:prSet/>
      <dgm:spPr/>
      <dgm:t>
        <a:bodyPr/>
        <a:lstStyle/>
        <a:p>
          <a:endParaRPr lang="es-AR" sz="1100">
            <a:solidFill>
              <a:sysClr val="windowText" lastClr="000000"/>
            </a:solidFill>
          </a:endParaRPr>
        </a:p>
      </dgm:t>
    </dgm:pt>
    <dgm:pt modelId="{B2427B65-D6B9-438B-ADCD-79AE1C8D9CB7}">
      <dgm:prSet phldrT="[Texto]" custT="1"/>
      <dgm:spPr/>
      <dgm:t>
        <a:bodyPr/>
        <a:lstStyle/>
        <a:p>
          <a:r>
            <a:rPr lang="es-419" sz="1000"/>
            <a:t>Análisis crítico de la respuesta de la IA</a:t>
          </a:r>
          <a:endParaRPr lang="es-AR" sz="1000"/>
        </a:p>
      </dgm:t>
    </dgm:pt>
    <dgm:pt modelId="{6AA017F3-DED3-48B0-8943-0888107BCD42}" type="parTrans" cxnId="{3F3AAC6A-E866-4097-9824-F9B9DD32A6FF}">
      <dgm:prSet/>
      <dgm:spPr/>
      <dgm:t>
        <a:bodyPr/>
        <a:lstStyle/>
        <a:p>
          <a:endParaRPr lang="es-AR" sz="1100">
            <a:solidFill>
              <a:sysClr val="windowText" lastClr="000000"/>
            </a:solidFill>
          </a:endParaRPr>
        </a:p>
      </dgm:t>
    </dgm:pt>
    <dgm:pt modelId="{68A3599D-B27E-4A6B-A23D-1B66FB405828}" type="sibTrans" cxnId="{3F3AAC6A-E866-4097-9824-F9B9DD32A6FF}">
      <dgm:prSet/>
      <dgm:spPr/>
      <dgm:t>
        <a:bodyPr/>
        <a:lstStyle/>
        <a:p>
          <a:endParaRPr lang="es-AR" sz="1100">
            <a:solidFill>
              <a:sysClr val="windowText" lastClr="000000"/>
            </a:solidFill>
          </a:endParaRPr>
        </a:p>
      </dgm:t>
    </dgm:pt>
    <dgm:pt modelId="{0CED5578-E22E-4AA4-B6A1-9BB4ABF5E558}">
      <dgm:prSet phldrT="[Texto]" custT="1"/>
      <dgm:spPr/>
      <dgm:t>
        <a:bodyPr/>
        <a:lstStyle/>
        <a:p>
          <a:r>
            <a:rPr lang="es-AR" sz="800"/>
            <a:t>FASE 4: Reflexión</a:t>
          </a:r>
        </a:p>
      </dgm:t>
    </dgm:pt>
    <dgm:pt modelId="{6AA6346B-5117-434B-9A7B-880BAF8C54A8}" type="parTrans" cxnId="{86512E9C-F862-454D-8BF8-CC3AADC74696}">
      <dgm:prSet/>
      <dgm:spPr/>
      <dgm:t>
        <a:bodyPr/>
        <a:lstStyle/>
        <a:p>
          <a:endParaRPr lang="es-AR" sz="1100">
            <a:solidFill>
              <a:sysClr val="windowText" lastClr="000000"/>
            </a:solidFill>
          </a:endParaRPr>
        </a:p>
      </dgm:t>
    </dgm:pt>
    <dgm:pt modelId="{B7144292-EFD4-4821-8D91-7472C8CD7554}" type="sibTrans" cxnId="{86512E9C-F862-454D-8BF8-CC3AADC74696}">
      <dgm:prSet/>
      <dgm:spPr/>
      <dgm:t>
        <a:bodyPr/>
        <a:lstStyle/>
        <a:p>
          <a:endParaRPr lang="es-AR" sz="1100">
            <a:solidFill>
              <a:sysClr val="windowText" lastClr="000000"/>
            </a:solidFill>
          </a:endParaRPr>
        </a:p>
      </dgm:t>
    </dgm:pt>
    <dgm:pt modelId="{B75E9150-9D40-48A8-9EB8-0CF6289B889F}">
      <dgm:prSet phldrT="[Texto]" custT="1"/>
      <dgm:spPr/>
      <dgm:t>
        <a:bodyPr/>
        <a:lstStyle/>
        <a:p>
          <a:r>
            <a:rPr lang="es-AR" sz="1000"/>
            <a:t>Comparación de resultados, validación con bibliografía de base</a:t>
          </a:r>
          <a:endParaRPr lang="es-AR" sz="1050"/>
        </a:p>
      </dgm:t>
    </dgm:pt>
    <dgm:pt modelId="{26A74BCA-B085-49C0-A07C-A39C75816F7F}" type="parTrans" cxnId="{F995E8BB-AE1F-49CA-B4EF-A9EFA112BD0F}">
      <dgm:prSet/>
      <dgm:spPr/>
      <dgm:t>
        <a:bodyPr/>
        <a:lstStyle/>
        <a:p>
          <a:endParaRPr lang="es-AR" sz="1100">
            <a:solidFill>
              <a:sysClr val="windowText" lastClr="000000"/>
            </a:solidFill>
          </a:endParaRPr>
        </a:p>
      </dgm:t>
    </dgm:pt>
    <dgm:pt modelId="{709DA8EB-F17A-41C5-A3AF-9C6B644FF2BC}" type="sibTrans" cxnId="{F995E8BB-AE1F-49CA-B4EF-A9EFA112BD0F}">
      <dgm:prSet/>
      <dgm:spPr/>
      <dgm:t>
        <a:bodyPr/>
        <a:lstStyle/>
        <a:p>
          <a:endParaRPr lang="es-AR" sz="1100">
            <a:solidFill>
              <a:sysClr val="windowText" lastClr="000000"/>
            </a:solidFill>
          </a:endParaRPr>
        </a:p>
      </dgm:t>
    </dgm:pt>
    <dgm:pt modelId="{95E7B7B1-E0D6-4F12-9576-9A14C4DBE348}">
      <dgm:prSet phldrT="[Texto]" custT="1"/>
      <dgm:spPr/>
      <dgm:t>
        <a:bodyPr/>
        <a:lstStyle/>
        <a:p>
          <a:r>
            <a:rPr lang="es-419" sz="1000"/>
            <a:t>Formulación de un prompt vinculado al problema disciplinar</a:t>
          </a:r>
          <a:endParaRPr lang="es-AR" sz="1000"/>
        </a:p>
      </dgm:t>
    </dgm:pt>
    <dgm:pt modelId="{3B7F8BBF-C3AE-406D-ACB0-10583E66B50B}" type="parTrans" cxnId="{C3F64183-B76E-4A6B-B61F-B039DFDF47CF}">
      <dgm:prSet/>
      <dgm:spPr/>
      <dgm:t>
        <a:bodyPr/>
        <a:lstStyle/>
        <a:p>
          <a:endParaRPr lang="es-AR"/>
        </a:p>
      </dgm:t>
    </dgm:pt>
    <dgm:pt modelId="{8797B7D2-36C3-4093-B014-65D9C792569D}" type="sibTrans" cxnId="{C3F64183-B76E-4A6B-B61F-B039DFDF47CF}">
      <dgm:prSet/>
      <dgm:spPr/>
      <dgm:t>
        <a:bodyPr/>
        <a:lstStyle/>
        <a:p>
          <a:endParaRPr lang="es-AR"/>
        </a:p>
      </dgm:t>
    </dgm:pt>
    <dgm:pt modelId="{BF1FE08F-DCAE-4AF4-A7D5-E050FEE8C05B}">
      <dgm:prSet phldrT="[Texto]" custT="1"/>
      <dgm:spPr/>
      <dgm:t>
        <a:bodyPr/>
        <a:lstStyle/>
        <a:p>
          <a:r>
            <a:rPr lang="es-419" sz="1000"/>
            <a:t>Presentarción de la respuesta generada por la IA</a:t>
          </a:r>
          <a:endParaRPr lang="es-AR" sz="1000"/>
        </a:p>
      </dgm:t>
    </dgm:pt>
    <dgm:pt modelId="{FA010D63-C9DB-4BE3-9A04-F2A4FFC796AB}" type="parTrans" cxnId="{37753741-BCAF-4819-BD1B-F48385F498C6}">
      <dgm:prSet/>
      <dgm:spPr/>
    </dgm:pt>
    <dgm:pt modelId="{CA9B8F14-5908-4645-B6F5-2D38034C3EA4}" type="sibTrans" cxnId="{37753741-BCAF-4819-BD1B-F48385F498C6}">
      <dgm:prSet/>
      <dgm:spPr/>
    </dgm:pt>
    <dgm:pt modelId="{01D3F9C9-0464-409C-86A2-E9277790C8E7}">
      <dgm:prSet phldrT="[Texto]" custT="1"/>
      <dgm:spPr/>
      <dgm:t>
        <a:bodyPr/>
        <a:lstStyle/>
        <a:p>
          <a:r>
            <a:rPr lang="es-419" sz="1000"/>
            <a:t>Intorducción del contenido teórico, nube de palabras</a:t>
          </a:r>
          <a:endParaRPr lang="es-AR" sz="900"/>
        </a:p>
      </dgm:t>
    </dgm:pt>
    <dgm:pt modelId="{6C28C79E-35A2-4DFD-8C80-A38383CAF883}" type="sibTrans" cxnId="{A1E6313B-DE66-4C67-AD78-2907387EF301}">
      <dgm:prSet/>
      <dgm:spPr/>
      <dgm:t>
        <a:bodyPr/>
        <a:lstStyle/>
        <a:p>
          <a:endParaRPr lang="es-AR" sz="1100">
            <a:solidFill>
              <a:sysClr val="windowText" lastClr="000000"/>
            </a:solidFill>
          </a:endParaRPr>
        </a:p>
      </dgm:t>
    </dgm:pt>
    <dgm:pt modelId="{67F4D52A-5C3C-47E5-96CC-89111D111020}" type="parTrans" cxnId="{A1E6313B-DE66-4C67-AD78-2907387EF301}">
      <dgm:prSet/>
      <dgm:spPr/>
      <dgm:t>
        <a:bodyPr/>
        <a:lstStyle/>
        <a:p>
          <a:endParaRPr lang="es-AR" sz="1100">
            <a:solidFill>
              <a:sysClr val="windowText" lastClr="000000"/>
            </a:solidFill>
          </a:endParaRPr>
        </a:p>
      </dgm:t>
    </dgm:pt>
    <dgm:pt modelId="{928775D7-B34C-439A-B22B-DD460C97FB2D}">
      <dgm:prSet phldrT="[Texto]" custT="1"/>
      <dgm:spPr/>
      <dgm:t>
        <a:bodyPr/>
        <a:lstStyle/>
        <a:p>
          <a:r>
            <a:rPr lang="es-AR" sz="1000"/>
            <a:t>Reformulación  el promt inicial</a:t>
          </a:r>
        </a:p>
      </dgm:t>
    </dgm:pt>
    <dgm:pt modelId="{3972C68E-3A31-42FF-A150-4A63D4849A35}" type="parTrans" cxnId="{3F1212E0-DC72-4092-8E3F-5E0A692C9E98}">
      <dgm:prSet/>
      <dgm:spPr/>
    </dgm:pt>
    <dgm:pt modelId="{40CDA7A8-AB6D-4470-9EDE-539AF4F45A08}" type="sibTrans" cxnId="{3F1212E0-DC72-4092-8E3F-5E0A692C9E98}">
      <dgm:prSet/>
      <dgm:spPr/>
    </dgm:pt>
    <dgm:pt modelId="{93895CCD-8E54-4878-878C-DD743888AD75}" type="pres">
      <dgm:prSet presAssocID="{0E3F26F2-B88D-4121-B601-ADF68FE83719}" presName="linearFlow" presStyleCnt="0">
        <dgm:presLayoutVars>
          <dgm:dir/>
          <dgm:animLvl val="lvl"/>
          <dgm:resizeHandles val="exact"/>
        </dgm:presLayoutVars>
      </dgm:prSet>
      <dgm:spPr/>
    </dgm:pt>
    <dgm:pt modelId="{0AE584E3-8030-4A60-B644-80125E8C3578}" type="pres">
      <dgm:prSet presAssocID="{98CFB4AB-3184-4EE3-AD8C-DDCA28D4F07D}" presName="composite" presStyleCnt="0"/>
      <dgm:spPr/>
    </dgm:pt>
    <dgm:pt modelId="{29D8C695-06D4-48F2-A90E-13DB0E30BAEA}" type="pres">
      <dgm:prSet presAssocID="{98CFB4AB-3184-4EE3-AD8C-DDCA28D4F07D}" presName="parentText" presStyleLbl="alignNode1" presStyleIdx="0" presStyleCnt="4">
        <dgm:presLayoutVars>
          <dgm:chMax val="1"/>
          <dgm:bulletEnabled val="1"/>
        </dgm:presLayoutVars>
      </dgm:prSet>
      <dgm:spPr/>
    </dgm:pt>
    <dgm:pt modelId="{E6FF3EEA-3238-4F6F-9E1E-E99594CCB13E}" type="pres">
      <dgm:prSet presAssocID="{98CFB4AB-3184-4EE3-AD8C-DDCA28D4F07D}" presName="descendantText" presStyleLbl="alignAcc1" presStyleIdx="0" presStyleCnt="4">
        <dgm:presLayoutVars>
          <dgm:bulletEnabled val="1"/>
        </dgm:presLayoutVars>
      </dgm:prSet>
      <dgm:spPr/>
    </dgm:pt>
    <dgm:pt modelId="{DD13FB24-F3BD-42AB-B814-AC80991EFF2F}" type="pres">
      <dgm:prSet presAssocID="{18D2487B-5030-4B71-AC43-AD1EDD34600A}" presName="sp" presStyleCnt="0"/>
      <dgm:spPr/>
    </dgm:pt>
    <dgm:pt modelId="{9D6E5B82-ECAF-40C0-971A-0682B12B185B}" type="pres">
      <dgm:prSet presAssocID="{8292E6C3-1CD7-4B6B-8902-D8A026419D26}" presName="composite" presStyleCnt="0"/>
      <dgm:spPr/>
    </dgm:pt>
    <dgm:pt modelId="{9C244AA0-B5A9-46EE-82A4-510F7711099B}" type="pres">
      <dgm:prSet presAssocID="{8292E6C3-1CD7-4B6B-8902-D8A026419D26}" presName="parentText" presStyleLbl="alignNode1" presStyleIdx="1" presStyleCnt="4">
        <dgm:presLayoutVars>
          <dgm:chMax val="1"/>
          <dgm:bulletEnabled val="1"/>
        </dgm:presLayoutVars>
      </dgm:prSet>
      <dgm:spPr/>
    </dgm:pt>
    <dgm:pt modelId="{A017FFC8-0E64-40E9-B82C-5B85E29DD713}" type="pres">
      <dgm:prSet presAssocID="{8292E6C3-1CD7-4B6B-8902-D8A026419D26}" presName="descendantText" presStyleLbl="alignAcc1" presStyleIdx="1" presStyleCnt="4">
        <dgm:presLayoutVars>
          <dgm:bulletEnabled val="1"/>
        </dgm:presLayoutVars>
      </dgm:prSet>
      <dgm:spPr/>
    </dgm:pt>
    <dgm:pt modelId="{C829887A-5297-43DB-BBAA-F36A52C8CD7B}" type="pres">
      <dgm:prSet presAssocID="{F36B7DEE-4886-4F79-BE09-6CDF41A5CC86}" presName="sp" presStyleCnt="0"/>
      <dgm:spPr/>
    </dgm:pt>
    <dgm:pt modelId="{F13B07BF-1F5A-4D35-B488-9FC84534D631}" type="pres">
      <dgm:prSet presAssocID="{083AB4B7-DD4A-4A45-82CF-B0883C909609}" presName="composite" presStyleCnt="0"/>
      <dgm:spPr/>
    </dgm:pt>
    <dgm:pt modelId="{8BF9B788-72F8-49CB-BA52-CDCBA07E3A6F}" type="pres">
      <dgm:prSet presAssocID="{083AB4B7-DD4A-4A45-82CF-B0883C909609}" presName="parentText" presStyleLbl="alignNode1" presStyleIdx="2" presStyleCnt="4">
        <dgm:presLayoutVars>
          <dgm:chMax val="1"/>
          <dgm:bulletEnabled val="1"/>
        </dgm:presLayoutVars>
      </dgm:prSet>
      <dgm:spPr/>
    </dgm:pt>
    <dgm:pt modelId="{C1D5CBAE-D7C6-4A0A-B15F-05EF7D4B5768}" type="pres">
      <dgm:prSet presAssocID="{083AB4B7-DD4A-4A45-82CF-B0883C909609}" presName="descendantText" presStyleLbl="alignAcc1" presStyleIdx="2" presStyleCnt="4">
        <dgm:presLayoutVars>
          <dgm:bulletEnabled val="1"/>
        </dgm:presLayoutVars>
      </dgm:prSet>
      <dgm:spPr/>
    </dgm:pt>
    <dgm:pt modelId="{D1C4D02C-6DF6-404D-AE30-6AC143A215A0}" type="pres">
      <dgm:prSet presAssocID="{D5D93974-D618-449A-BBDE-81049ABAD840}" presName="sp" presStyleCnt="0"/>
      <dgm:spPr/>
    </dgm:pt>
    <dgm:pt modelId="{7DDFF4DC-E537-4C17-9F59-5343E5828B7E}" type="pres">
      <dgm:prSet presAssocID="{0CED5578-E22E-4AA4-B6A1-9BB4ABF5E558}" presName="composite" presStyleCnt="0"/>
      <dgm:spPr/>
    </dgm:pt>
    <dgm:pt modelId="{E4D48542-358F-4222-BDEF-5C9F707E0836}" type="pres">
      <dgm:prSet presAssocID="{0CED5578-E22E-4AA4-B6A1-9BB4ABF5E558}" presName="parentText" presStyleLbl="alignNode1" presStyleIdx="3" presStyleCnt="4">
        <dgm:presLayoutVars>
          <dgm:chMax val="1"/>
          <dgm:bulletEnabled val="1"/>
        </dgm:presLayoutVars>
      </dgm:prSet>
      <dgm:spPr/>
    </dgm:pt>
    <dgm:pt modelId="{F3E77CF4-FA50-4ED1-821F-9CB187604E53}" type="pres">
      <dgm:prSet presAssocID="{0CED5578-E22E-4AA4-B6A1-9BB4ABF5E558}" presName="descendantText" presStyleLbl="alignAcc1" presStyleIdx="3" presStyleCnt="4">
        <dgm:presLayoutVars>
          <dgm:bulletEnabled val="1"/>
        </dgm:presLayoutVars>
      </dgm:prSet>
      <dgm:spPr/>
    </dgm:pt>
  </dgm:ptLst>
  <dgm:cxnLst>
    <dgm:cxn modelId="{7354F215-D0C9-4026-BB94-40D1B1E4C517}" srcId="{0E3F26F2-B88D-4121-B601-ADF68FE83719}" destId="{98CFB4AB-3184-4EE3-AD8C-DDCA28D4F07D}" srcOrd="0" destOrd="0" parTransId="{FAC9BBBF-3B10-4432-A1E5-D13E14530282}" sibTransId="{18D2487B-5030-4B71-AC43-AD1EDD34600A}"/>
    <dgm:cxn modelId="{78E9CC1A-97AD-4464-B699-D72635A18CE4}" type="presOf" srcId="{FD90B99B-DE8F-498C-9B03-23724A57940A}" destId="{E6FF3EEA-3238-4F6F-9E1E-E99594CCB13E}" srcOrd="0" destOrd="0" presId="urn:microsoft.com/office/officeart/2005/8/layout/chevron2"/>
    <dgm:cxn modelId="{F14FBE34-DA56-4AF9-9C64-EEA270FB0370}" type="presOf" srcId="{98CFB4AB-3184-4EE3-AD8C-DDCA28D4F07D}" destId="{29D8C695-06D4-48F2-A90E-13DB0E30BAEA}" srcOrd="0" destOrd="0" presId="urn:microsoft.com/office/officeart/2005/8/layout/chevron2"/>
    <dgm:cxn modelId="{A1E6313B-DE66-4C67-AD78-2907387EF301}" srcId="{98CFB4AB-3184-4EE3-AD8C-DDCA28D4F07D}" destId="{01D3F9C9-0464-409C-86A2-E9277790C8E7}" srcOrd="1" destOrd="0" parTransId="{67F4D52A-5C3C-47E5-96CC-89111D111020}" sibTransId="{6C28C79E-35A2-4DFD-8C80-A38383CAF883}"/>
    <dgm:cxn modelId="{37753741-BCAF-4819-BD1B-F48385F498C6}" srcId="{8292E6C3-1CD7-4B6B-8902-D8A026419D26}" destId="{BF1FE08F-DCAE-4AF4-A7D5-E050FEE8C05B}" srcOrd="2" destOrd="0" parTransId="{FA010D63-C9DB-4BE3-9A04-F2A4FFC796AB}" sibTransId="{CA9B8F14-5908-4645-B6F5-2D38034C3EA4}"/>
    <dgm:cxn modelId="{3F3AAC6A-E866-4097-9824-F9B9DD32A6FF}" srcId="{083AB4B7-DD4A-4A45-82CF-B0883C909609}" destId="{B2427B65-D6B9-438B-ADCD-79AE1C8D9CB7}" srcOrd="0" destOrd="0" parTransId="{6AA017F3-DED3-48B0-8943-0888107BCD42}" sibTransId="{68A3599D-B27E-4A6B-A23D-1B66FB405828}"/>
    <dgm:cxn modelId="{C30B3E4B-ED96-4A81-A0DB-BBD2577191F4}" type="presOf" srcId="{BF1FE08F-DCAE-4AF4-A7D5-E050FEE8C05B}" destId="{A017FFC8-0E64-40E9-B82C-5B85E29DD713}" srcOrd="0" destOrd="2" presId="urn:microsoft.com/office/officeart/2005/8/layout/chevron2"/>
    <dgm:cxn modelId="{D3775A4B-F1B9-4C97-8ED2-7363C2B06549}" srcId="{98CFB4AB-3184-4EE3-AD8C-DDCA28D4F07D}" destId="{FD90B99B-DE8F-498C-9B03-23724A57940A}" srcOrd="0" destOrd="0" parTransId="{56A7FCDB-13A3-4ED9-ABA8-0FF5883F64A5}" sibTransId="{F6F60D53-843C-400F-87CC-F5A2F3430EE6}"/>
    <dgm:cxn modelId="{28711B56-2682-464C-A0F3-DD02DE86040F}" type="presOf" srcId="{F5AF1E8A-FF28-4587-A1CC-34BBE1C3DD4C}" destId="{A017FFC8-0E64-40E9-B82C-5B85E29DD713}" srcOrd="0" destOrd="0" presId="urn:microsoft.com/office/officeart/2005/8/layout/chevron2"/>
    <dgm:cxn modelId="{C364F279-C035-4711-BF98-C144D354FB85}" type="presOf" srcId="{8292E6C3-1CD7-4B6B-8902-D8A026419D26}" destId="{9C244AA0-B5A9-46EE-82A4-510F7711099B}" srcOrd="0" destOrd="0" presId="urn:microsoft.com/office/officeart/2005/8/layout/chevron2"/>
    <dgm:cxn modelId="{EB68605A-CE40-42ED-93C5-13D9CB3C6E0C}" type="presOf" srcId="{95E7B7B1-E0D6-4F12-9576-9A14C4DBE348}" destId="{A017FFC8-0E64-40E9-B82C-5B85E29DD713}" srcOrd="0" destOrd="1" presId="urn:microsoft.com/office/officeart/2005/8/layout/chevron2"/>
    <dgm:cxn modelId="{C3F64183-B76E-4A6B-B61F-B039DFDF47CF}" srcId="{8292E6C3-1CD7-4B6B-8902-D8A026419D26}" destId="{95E7B7B1-E0D6-4F12-9576-9A14C4DBE348}" srcOrd="1" destOrd="0" parTransId="{3B7F8BBF-C3AE-406D-ACB0-10583E66B50B}" sibTransId="{8797B7D2-36C3-4093-B014-65D9C792569D}"/>
    <dgm:cxn modelId="{BC934A93-EFF1-4E48-9379-89A37AB13F13}" type="presOf" srcId="{928775D7-B34C-439A-B22B-DD460C97FB2D}" destId="{F3E77CF4-FA50-4ED1-821F-9CB187604E53}" srcOrd="0" destOrd="1" presId="urn:microsoft.com/office/officeart/2005/8/layout/chevron2"/>
    <dgm:cxn modelId="{86512E9C-F862-454D-8BF8-CC3AADC74696}" srcId="{0E3F26F2-B88D-4121-B601-ADF68FE83719}" destId="{0CED5578-E22E-4AA4-B6A1-9BB4ABF5E558}" srcOrd="3" destOrd="0" parTransId="{6AA6346B-5117-434B-9A7B-880BAF8C54A8}" sibTransId="{B7144292-EFD4-4821-8D91-7472C8CD7554}"/>
    <dgm:cxn modelId="{25C29A9E-1794-4E7C-A5A0-4E021BFCD2BA}" srcId="{8292E6C3-1CD7-4B6B-8902-D8A026419D26}" destId="{F5AF1E8A-FF28-4587-A1CC-34BBE1C3DD4C}" srcOrd="0" destOrd="0" parTransId="{701FFA42-1BF2-4516-B5FE-3279CF0C56D0}" sibTransId="{89167427-0929-49DF-BDB4-571B6DACBDCD}"/>
    <dgm:cxn modelId="{D8DEFDA7-C123-4A1B-952B-17645F01B641}" type="presOf" srcId="{B2427B65-D6B9-438B-ADCD-79AE1C8D9CB7}" destId="{C1D5CBAE-D7C6-4A0A-B15F-05EF7D4B5768}" srcOrd="0" destOrd="0" presId="urn:microsoft.com/office/officeart/2005/8/layout/chevron2"/>
    <dgm:cxn modelId="{B4F5ECA8-C2A5-4A4C-B903-874A849BDCEB}" srcId="{0E3F26F2-B88D-4121-B601-ADF68FE83719}" destId="{8292E6C3-1CD7-4B6B-8902-D8A026419D26}" srcOrd="1" destOrd="0" parTransId="{7E822701-9851-4A65-9E19-F705F8BC9498}" sibTransId="{F36B7DEE-4886-4F79-BE09-6CDF41A5CC86}"/>
    <dgm:cxn modelId="{F995E8BB-AE1F-49CA-B4EF-A9EFA112BD0F}" srcId="{0CED5578-E22E-4AA4-B6A1-9BB4ABF5E558}" destId="{B75E9150-9D40-48A8-9EB8-0CF6289B889F}" srcOrd="0" destOrd="0" parTransId="{26A74BCA-B085-49C0-A07C-A39C75816F7F}" sibTransId="{709DA8EB-F17A-41C5-A3AF-9C6B644FF2BC}"/>
    <dgm:cxn modelId="{5640A0DC-EE21-48CE-8EC9-EE2F39C5EEBD}" type="presOf" srcId="{0E3F26F2-B88D-4121-B601-ADF68FE83719}" destId="{93895CCD-8E54-4878-878C-DD743888AD75}" srcOrd="0" destOrd="0" presId="urn:microsoft.com/office/officeart/2005/8/layout/chevron2"/>
    <dgm:cxn modelId="{3F1212E0-DC72-4092-8E3F-5E0A692C9E98}" srcId="{0CED5578-E22E-4AA4-B6A1-9BB4ABF5E558}" destId="{928775D7-B34C-439A-B22B-DD460C97FB2D}" srcOrd="1" destOrd="0" parTransId="{3972C68E-3A31-42FF-A150-4A63D4849A35}" sibTransId="{40CDA7A8-AB6D-4470-9EDE-539AF4F45A08}"/>
    <dgm:cxn modelId="{6B1ACAE1-41F4-4FBD-BDDE-512ED0AAA111}" type="presOf" srcId="{0CED5578-E22E-4AA4-B6A1-9BB4ABF5E558}" destId="{E4D48542-358F-4222-BDEF-5C9F707E0836}" srcOrd="0" destOrd="0" presId="urn:microsoft.com/office/officeart/2005/8/layout/chevron2"/>
    <dgm:cxn modelId="{ABE6E3E2-0D0A-47D6-A569-BEA0644AA46C}" srcId="{0E3F26F2-B88D-4121-B601-ADF68FE83719}" destId="{083AB4B7-DD4A-4A45-82CF-B0883C909609}" srcOrd="2" destOrd="0" parTransId="{75A85059-7B70-4A0E-ADDB-C731DBA0D4D7}" sibTransId="{D5D93974-D618-449A-BBDE-81049ABAD840}"/>
    <dgm:cxn modelId="{887273F0-CB2F-4179-BC97-2CFF9A49780A}" type="presOf" srcId="{B75E9150-9D40-48A8-9EB8-0CF6289B889F}" destId="{F3E77CF4-FA50-4ED1-821F-9CB187604E53}" srcOrd="0" destOrd="0" presId="urn:microsoft.com/office/officeart/2005/8/layout/chevron2"/>
    <dgm:cxn modelId="{0216FDF0-124F-4299-9FE0-AB02FBC3D9D6}" type="presOf" srcId="{01D3F9C9-0464-409C-86A2-E9277790C8E7}" destId="{E6FF3EEA-3238-4F6F-9E1E-E99594CCB13E}" srcOrd="0" destOrd="1" presId="urn:microsoft.com/office/officeart/2005/8/layout/chevron2"/>
    <dgm:cxn modelId="{4564A6FF-993F-4C86-A6E1-B8DB54FDEC7B}" type="presOf" srcId="{083AB4B7-DD4A-4A45-82CF-B0883C909609}" destId="{8BF9B788-72F8-49CB-BA52-CDCBA07E3A6F}" srcOrd="0" destOrd="0" presId="urn:microsoft.com/office/officeart/2005/8/layout/chevron2"/>
    <dgm:cxn modelId="{13FB0611-DD68-4866-A8F2-D0A0E4E624B6}" type="presParOf" srcId="{93895CCD-8E54-4878-878C-DD743888AD75}" destId="{0AE584E3-8030-4A60-B644-80125E8C3578}" srcOrd="0" destOrd="0" presId="urn:microsoft.com/office/officeart/2005/8/layout/chevron2"/>
    <dgm:cxn modelId="{9182DA5B-D702-44B0-84D4-A38A8EDAFC38}" type="presParOf" srcId="{0AE584E3-8030-4A60-B644-80125E8C3578}" destId="{29D8C695-06D4-48F2-A90E-13DB0E30BAEA}" srcOrd="0" destOrd="0" presId="urn:microsoft.com/office/officeart/2005/8/layout/chevron2"/>
    <dgm:cxn modelId="{9A56E2A6-63C4-441E-BB42-DCAD09EB185F}" type="presParOf" srcId="{0AE584E3-8030-4A60-B644-80125E8C3578}" destId="{E6FF3EEA-3238-4F6F-9E1E-E99594CCB13E}" srcOrd="1" destOrd="0" presId="urn:microsoft.com/office/officeart/2005/8/layout/chevron2"/>
    <dgm:cxn modelId="{3C4228BE-59BE-4D66-8B89-73F00576FC54}" type="presParOf" srcId="{93895CCD-8E54-4878-878C-DD743888AD75}" destId="{DD13FB24-F3BD-42AB-B814-AC80991EFF2F}" srcOrd="1" destOrd="0" presId="urn:microsoft.com/office/officeart/2005/8/layout/chevron2"/>
    <dgm:cxn modelId="{99BC9E2F-9D7A-4B37-B2CD-B05A97253A74}" type="presParOf" srcId="{93895CCD-8E54-4878-878C-DD743888AD75}" destId="{9D6E5B82-ECAF-40C0-971A-0682B12B185B}" srcOrd="2" destOrd="0" presId="urn:microsoft.com/office/officeart/2005/8/layout/chevron2"/>
    <dgm:cxn modelId="{8120BDBC-B520-48BE-ABB4-45843EAC51BC}" type="presParOf" srcId="{9D6E5B82-ECAF-40C0-971A-0682B12B185B}" destId="{9C244AA0-B5A9-46EE-82A4-510F7711099B}" srcOrd="0" destOrd="0" presId="urn:microsoft.com/office/officeart/2005/8/layout/chevron2"/>
    <dgm:cxn modelId="{A160B816-8549-4542-B94A-B43D585F1B4C}" type="presParOf" srcId="{9D6E5B82-ECAF-40C0-971A-0682B12B185B}" destId="{A017FFC8-0E64-40E9-B82C-5B85E29DD713}" srcOrd="1" destOrd="0" presId="urn:microsoft.com/office/officeart/2005/8/layout/chevron2"/>
    <dgm:cxn modelId="{8DCED6EE-522D-4B8D-BEB7-3432A91D5B96}" type="presParOf" srcId="{93895CCD-8E54-4878-878C-DD743888AD75}" destId="{C829887A-5297-43DB-BBAA-F36A52C8CD7B}" srcOrd="3" destOrd="0" presId="urn:microsoft.com/office/officeart/2005/8/layout/chevron2"/>
    <dgm:cxn modelId="{8AC01A5F-FFC7-4A3E-A522-C1F5C7F4AE63}" type="presParOf" srcId="{93895CCD-8E54-4878-878C-DD743888AD75}" destId="{F13B07BF-1F5A-4D35-B488-9FC84534D631}" srcOrd="4" destOrd="0" presId="urn:microsoft.com/office/officeart/2005/8/layout/chevron2"/>
    <dgm:cxn modelId="{0E91BF5C-4A0C-453C-9DCF-C5DAA79B21AB}" type="presParOf" srcId="{F13B07BF-1F5A-4D35-B488-9FC84534D631}" destId="{8BF9B788-72F8-49CB-BA52-CDCBA07E3A6F}" srcOrd="0" destOrd="0" presId="urn:microsoft.com/office/officeart/2005/8/layout/chevron2"/>
    <dgm:cxn modelId="{999F9250-865D-4DF9-AD25-A678542D0C8F}" type="presParOf" srcId="{F13B07BF-1F5A-4D35-B488-9FC84534D631}" destId="{C1D5CBAE-D7C6-4A0A-B15F-05EF7D4B5768}" srcOrd="1" destOrd="0" presId="urn:microsoft.com/office/officeart/2005/8/layout/chevron2"/>
    <dgm:cxn modelId="{4CF7C72C-3E50-4DD3-9136-67BA913AA0B4}" type="presParOf" srcId="{93895CCD-8E54-4878-878C-DD743888AD75}" destId="{D1C4D02C-6DF6-404D-AE30-6AC143A215A0}" srcOrd="5" destOrd="0" presId="urn:microsoft.com/office/officeart/2005/8/layout/chevron2"/>
    <dgm:cxn modelId="{8A330082-8075-43A1-8AE9-B86BF28F3786}" type="presParOf" srcId="{93895CCD-8E54-4878-878C-DD743888AD75}" destId="{7DDFF4DC-E537-4C17-9F59-5343E5828B7E}" srcOrd="6" destOrd="0" presId="urn:microsoft.com/office/officeart/2005/8/layout/chevron2"/>
    <dgm:cxn modelId="{0B23799E-33DA-494B-BB62-0BE94F04D9CB}" type="presParOf" srcId="{7DDFF4DC-E537-4C17-9F59-5343E5828B7E}" destId="{E4D48542-358F-4222-BDEF-5C9F707E0836}" srcOrd="0" destOrd="0" presId="urn:microsoft.com/office/officeart/2005/8/layout/chevron2"/>
    <dgm:cxn modelId="{49908DC4-6277-40D0-8108-F0F0A34F758C}" type="presParOf" srcId="{7DDFF4DC-E537-4C17-9F59-5343E5828B7E}" destId="{F3E77CF4-FA50-4ED1-821F-9CB187604E53}" srcOrd="1" destOrd="0" presId="urn:microsoft.com/office/officeart/2005/8/layout/chevron2"/>
  </dgm:cxnLst>
  <dgm:bg>
    <a:solidFill>
      <a:schemeClr val="bg1"/>
    </a:solidFill>
  </dgm:bg>
  <dgm:whole>
    <a:ln>
      <a:noFill/>
    </a:ln>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D8C695-06D4-48F2-A90E-13DB0E30BAEA}">
      <dsp:nvSpPr>
        <dsp:cNvPr id="0" name=""/>
        <dsp:cNvSpPr/>
      </dsp:nvSpPr>
      <dsp:spPr>
        <a:xfrm rot="5400000">
          <a:off x="-104570" y="105838"/>
          <a:ext cx="697136" cy="48799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AR" sz="800" kern="1200"/>
            <a:t>FASE 1: Activación</a:t>
          </a:r>
        </a:p>
      </dsp:txBody>
      <dsp:txXfrm rot="-5400000">
        <a:off x="1" y="245266"/>
        <a:ext cx="487995" cy="209141"/>
      </dsp:txXfrm>
    </dsp:sp>
    <dsp:sp modelId="{E6FF3EEA-3238-4F6F-9E1E-E99594CCB13E}">
      <dsp:nvSpPr>
        <dsp:cNvPr id="0" name=""/>
        <dsp:cNvSpPr/>
      </dsp:nvSpPr>
      <dsp:spPr>
        <a:xfrm rot="5400000">
          <a:off x="2517621" y="-2028358"/>
          <a:ext cx="453376" cy="4512629"/>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AR" sz="1000" kern="1200"/>
            <a:t>Presentación de actividad y tema musical</a:t>
          </a:r>
        </a:p>
        <a:p>
          <a:pPr marL="57150" lvl="1" indent="-57150" algn="l" defTabSz="444500">
            <a:lnSpc>
              <a:spcPct val="90000"/>
            </a:lnSpc>
            <a:spcBef>
              <a:spcPct val="0"/>
            </a:spcBef>
            <a:spcAft>
              <a:spcPct val="15000"/>
            </a:spcAft>
            <a:buChar char="•"/>
          </a:pPr>
          <a:r>
            <a:rPr lang="es-419" sz="1000" kern="1200"/>
            <a:t>Intorducción del contenido teórico, nube de palabras</a:t>
          </a:r>
          <a:endParaRPr lang="es-AR" sz="900" kern="1200"/>
        </a:p>
      </dsp:txBody>
      <dsp:txXfrm rot="-5400000">
        <a:off x="487995" y="23400"/>
        <a:ext cx="4490497" cy="409112"/>
      </dsp:txXfrm>
    </dsp:sp>
    <dsp:sp modelId="{9C244AA0-B5A9-46EE-82A4-510F7711099B}">
      <dsp:nvSpPr>
        <dsp:cNvPr id="0" name=""/>
        <dsp:cNvSpPr/>
      </dsp:nvSpPr>
      <dsp:spPr>
        <a:xfrm rot="5400000">
          <a:off x="-104570" y="640964"/>
          <a:ext cx="697136" cy="48799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AR" sz="800" kern="1200"/>
            <a:t>FASE 2: Producción</a:t>
          </a:r>
        </a:p>
      </dsp:txBody>
      <dsp:txXfrm rot="-5400000">
        <a:off x="1" y="780392"/>
        <a:ext cx="487995" cy="209141"/>
      </dsp:txXfrm>
    </dsp:sp>
    <dsp:sp modelId="{A017FFC8-0E64-40E9-B82C-5B85E29DD713}">
      <dsp:nvSpPr>
        <dsp:cNvPr id="0" name=""/>
        <dsp:cNvSpPr/>
      </dsp:nvSpPr>
      <dsp:spPr>
        <a:xfrm rot="5400000">
          <a:off x="2517740" y="-1493351"/>
          <a:ext cx="453138" cy="4512629"/>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AR" sz="1000" kern="1200"/>
            <a:t>Conformación de equipos </a:t>
          </a:r>
        </a:p>
        <a:p>
          <a:pPr marL="57150" lvl="1" indent="-57150" algn="l" defTabSz="444500">
            <a:lnSpc>
              <a:spcPct val="90000"/>
            </a:lnSpc>
            <a:spcBef>
              <a:spcPct val="0"/>
            </a:spcBef>
            <a:spcAft>
              <a:spcPct val="15000"/>
            </a:spcAft>
            <a:buChar char="•"/>
          </a:pPr>
          <a:r>
            <a:rPr lang="es-419" sz="1000" kern="1200"/>
            <a:t>Formulación de un prompt vinculado al problema disciplinar</a:t>
          </a:r>
          <a:endParaRPr lang="es-AR" sz="1000" kern="1200"/>
        </a:p>
        <a:p>
          <a:pPr marL="57150" lvl="1" indent="-57150" algn="l" defTabSz="444500">
            <a:lnSpc>
              <a:spcPct val="90000"/>
            </a:lnSpc>
            <a:spcBef>
              <a:spcPct val="0"/>
            </a:spcBef>
            <a:spcAft>
              <a:spcPct val="15000"/>
            </a:spcAft>
            <a:buChar char="•"/>
          </a:pPr>
          <a:r>
            <a:rPr lang="es-419" sz="1000" kern="1200"/>
            <a:t>Presentarción de la respuesta generada por la IA</a:t>
          </a:r>
          <a:endParaRPr lang="es-AR" sz="1000" kern="1200"/>
        </a:p>
      </dsp:txBody>
      <dsp:txXfrm rot="-5400000">
        <a:off x="487995" y="558514"/>
        <a:ext cx="4490509" cy="408898"/>
      </dsp:txXfrm>
    </dsp:sp>
    <dsp:sp modelId="{8BF9B788-72F8-49CB-BA52-CDCBA07E3A6F}">
      <dsp:nvSpPr>
        <dsp:cNvPr id="0" name=""/>
        <dsp:cNvSpPr/>
      </dsp:nvSpPr>
      <dsp:spPr>
        <a:xfrm rot="5400000">
          <a:off x="-104570" y="1176090"/>
          <a:ext cx="697136" cy="48799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AR" sz="800" kern="1200"/>
            <a:t>FASE 3:  Validación</a:t>
          </a:r>
        </a:p>
      </dsp:txBody>
      <dsp:txXfrm rot="-5400000">
        <a:off x="1" y="1315518"/>
        <a:ext cx="487995" cy="209141"/>
      </dsp:txXfrm>
    </dsp:sp>
    <dsp:sp modelId="{C1D5CBAE-D7C6-4A0A-B15F-05EF7D4B5768}">
      <dsp:nvSpPr>
        <dsp:cNvPr id="0" name=""/>
        <dsp:cNvSpPr/>
      </dsp:nvSpPr>
      <dsp:spPr>
        <a:xfrm rot="5400000">
          <a:off x="2517740" y="-958225"/>
          <a:ext cx="453138" cy="4512629"/>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419" sz="1000" kern="1200"/>
            <a:t>Análisis crítico de la respuesta de la IA</a:t>
          </a:r>
          <a:endParaRPr lang="es-AR" sz="1000" kern="1200"/>
        </a:p>
      </dsp:txBody>
      <dsp:txXfrm rot="-5400000">
        <a:off x="487995" y="1093640"/>
        <a:ext cx="4490509" cy="408898"/>
      </dsp:txXfrm>
    </dsp:sp>
    <dsp:sp modelId="{E4D48542-358F-4222-BDEF-5C9F707E0836}">
      <dsp:nvSpPr>
        <dsp:cNvPr id="0" name=""/>
        <dsp:cNvSpPr/>
      </dsp:nvSpPr>
      <dsp:spPr>
        <a:xfrm rot="5400000">
          <a:off x="-104570" y="1711216"/>
          <a:ext cx="697136" cy="48799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AR" sz="800" kern="1200"/>
            <a:t>FASE 4: Reflexión</a:t>
          </a:r>
        </a:p>
      </dsp:txBody>
      <dsp:txXfrm rot="-5400000">
        <a:off x="1" y="1850644"/>
        <a:ext cx="487995" cy="209141"/>
      </dsp:txXfrm>
    </dsp:sp>
    <dsp:sp modelId="{F3E77CF4-FA50-4ED1-821F-9CB187604E53}">
      <dsp:nvSpPr>
        <dsp:cNvPr id="0" name=""/>
        <dsp:cNvSpPr/>
      </dsp:nvSpPr>
      <dsp:spPr>
        <a:xfrm rot="5400000">
          <a:off x="2517740" y="-423099"/>
          <a:ext cx="453138" cy="4512629"/>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AR" sz="1000" kern="1200"/>
            <a:t>Comparación de resultados, validación con bibliografía de base</a:t>
          </a:r>
          <a:endParaRPr lang="es-AR" sz="1050" kern="1200"/>
        </a:p>
        <a:p>
          <a:pPr marL="57150" lvl="1" indent="-57150" algn="l" defTabSz="444500">
            <a:lnSpc>
              <a:spcPct val="90000"/>
            </a:lnSpc>
            <a:spcBef>
              <a:spcPct val="0"/>
            </a:spcBef>
            <a:spcAft>
              <a:spcPct val="15000"/>
            </a:spcAft>
            <a:buChar char="•"/>
          </a:pPr>
          <a:r>
            <a:rPr lang="es-AR" sz="1000" kern="1200"/>
            <a:t>Reformulación  el promt inicial</a:t>
          </a:r>
        </a:p>
      </dsp:txBody>
      <dsp:txXfrm rot="-5400000">
        <a:off x="487995" y="1628766"/>
        <a:ext cx="4490509" cy="40889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16</Pages>
  <Words>7311</Words>
  <Characters>40213</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Ana Gei</cp:lastModifiedBy>
  <cp:revision>4</cp:revision>
  <dcterms:created xsi:type="dcterms:W3CDTF">2026-06-25T14:07:00Z</dcterms:created>
  <dcterms:modified xsi:type="dcterms:W3CDTF">2026-06-28T23:38:00Z</dcterms:modified>
</cp:coreProperties>
</file>