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005401" w:rsidRDefault="00C802F5" w:rsidP="001923DC">
      <w:pPr>
        <w:jc w:val="center"/>
        <w:rPr>
          <w:rFonts w:ascii="Times New Roman" w:hAnsi="Times New Roman" w:cs="Times New Roman"/>
        </w:rPr>
      </w:pPr>
    </w:p>
    <w:p w14:paraId="5783756B" w14:textId="77777777" w:rsidR="00005401" w:rsidRPr="00005401" w:rsidRDefault="00005401" w:rsidP="00005401">
      <w:pPr>
        <w:spacing w:after="200"/>
        <w:jc w:val="center"/>
        <w:rPr>
          <w:rFonts w:ascii="Times New Roman" w:hAnsi="Times New Roman" w:cs="Times New Roman"/>
        </w:rPr>
      </w:pPr>
      <w:r w:rsidRPr="00005401">
        <w:rPr>
          <w:rFonts w:ascii="Times New Roman" w:hAnsi="Times New Roman" w:cs="Times New Roman"/>
          <w:b/>
          <w:bCs/>
        </w:rPr>
        <w:t>Posiciones docentes frente a la condición estudiantil y la relación con el saber en el escenario contemporáneo</w:t>
      </w:r>
    </w:p>
    <w:p w14:paraId="62488FEF" w14:textId="77777777" w:rsidR="00005401" w:rsidRDefault="00005401" w:rsidP="00005401">
      <w:pPr>
        <w:jc w:val="right"/>
        <w:rPr>
          <w:rFonts w:ascii="Times New Roman" w:hAnsi="Times New Roman" w:cs="Times New Roman"/>
        </w:rPr>
      </w:pPr>
      <w:r>
        <w:rPr>
          <w:rFonts w:ascii="Times New Roman" w:hAnsi="Times New Roman" w:cs="Times New Roman"/>
        </w:rPr>
        <w:t>Glenda Morandi</w:t>
      </w:r>
    </w:p>
    <w:p w14:paraId="14C6B3EB" w14:textId="77777777" w:rsidR="00005401" w:rsidRDefault="00005401" w:rsidP="00005401">
      <w:pPr>
        <w:jc w:val="right"/>
        <w:rPr>
          <w:rFonts w:ascii="Times New Roman" w:hAnsi="Times New Roman" w:cs="Times New Roman"/>
        </w:rPr>
      </w:pPr>
      <w:r>
        <w:rPr>
          <w:rFonts w:ascii="Times New Roman" w:hAnsi="Times New Roman" w:cs="Times New Roman"/>
        </w:rPr>
        <w:t>Universidad Nacional de La Plata</w:t>
      </w:r>
    </w:p>
    <w:p w14:paraId="466615F0" w14:textId="6F4A3844" w:rsidR="00005401" w:rsidRDefault="00005401" w:rsidP="005F3B2E">
      <w:pPr>
        <w:spacing w:after="0" w:line="240" w:lineRule="auto"/>
        <w:jc w:val="right"/>
        <w:rPr>
          <w:rFonts w:ascii="Times New Roman" w:hAnsi="Times New Roman" w:cs="Times New Roman"/>
        </w:rPr>
      </w:pPr>
      <w:hyperlink r:id="rId6" w:history="1">
        <w:r w:rsidRPr="00630935">
          <w:rPr>
            <w:rStyle w:val="Hipervnculo"/>
            <w:rFonts w:ascii="Times New Roman" w:hAnsi="Times New Roman" w:cs="Times New Roman"/>
          </w:rPr>
          <w:t>glenda.morandi@gmail.com</w:t>
        </w:r>
      </w:hyperlink>
    </w:p>
    <w:p w14:paraId="1B43FD84" w14:textId="77777777" w:rsidR="001923DC" w:rsidRPr="00005401" w:rsidRDefault="001923DC" w:rsidP="001923DC">
      <w:pPr>
        <w:jc w:val="center"/>
        <w:rPr>
          <w:rFonts w:ascii="Times New Roman" w:hAnsi="Times New Roman" w:cs="Times New Roman"/>
        </w:rPr>
      </w:pPr>
    </w:p>
    <w:p w14:paraId="34EE827B" w14:textId="6F19BCC6" w:rsidR="00005401" w:rsidRPr="00005401" w:rsidRDefault="00BA642E" w:rsidP="00005401">
      <w:pPr>
        <w:spacing w:before="280" w:after="140"/>
        <w:rPr>
          <w:rFonts w:ascii="Times New Roman" w:hAnsi="Times New Roman" w:cs="Times New Roman"/>
        </w:rPr>
      </w:pPr>
      <w:proofErr w:type="spellStart"/>
      <w:r w:rsidRPr="00005401">
        <w:rPr>
          <w:rFonts w:ascii="Times New Roman" w:hAnsi="Times New Roman" w:cs="Times New Roman"/>
          <w:b/>
          <w:bCs/>
          <w:lang w:val="en-US"/>
        </w:rPr>
        <w:t>Resumen</w:t>
      </w:r>
      <w:proofErr w:type="spellEnd"/>
      <w:r w:rsidR="007B5B5F" w:rsidRPr="00005401">
        <w:rPr>
          <w:rFonts w:ascii="Times New Roman" w:hAnsi="Times New Roman" w:cs="Times New Roman"/>
          <w:b/>
          <w:bCs/>
          <w:lang w:val="en-US"/>
        </w:rPr>
        <w:t xml:space="preserve"> </w:t>
      </w:r>
    </w:p>
    <w:p w14:paraId="3D108BBD" w14:textId="602ED259" w:rsidR="00005401" w:rsidRPr="00005401" w:rsidRDefault="00005401" w:rsidP="00005401">
      <w:pPr>
        <w:spacing w:after="120" w:line="240" w:lineRule="auto"/>
        <w:jc w:val="both"/>
        <w:rPr>
          <w:rFonts w:ascii="Times New Roman" w:hAnsi="Times New Roman" w:cs="Times New Roman"/>
        </w:rPr>
      </w:pPr>
      <w:r w:rsidRPr="00005401">
        <w:rPr>
          <w:rFonts w:ascii="Times New Roman" w:hAnsi="Times New Roman" w:cs="Times New Roman"/>
        </w:rPr>
        <w:t>El presente trabajo presenta hallazgos de una investigación doctoral orientada a analizar las posiciones que construyen docentes de la Universidad Nacional de La Plata en torno a la condición estudiantil contemporánea y a las relaciones que los y las estudiantes establecen con el saber, a partir de un estudio cualitativo basado en entrevistas en profundidad realizadas a profesores de distintos campos disciplinares. La noción de posición docente constituye una categoría transversal que atraviesa la investigación, la que se inscribe en el enfoque del análisis político del discurso. Desde un</w:t>
      </w:r>
      <w:r>
        <w:rPr>
          <w:rFonts w:ascii="Times New Roman" w:hAnsi="Times New Roman" w:cs="Times New Roman"/>
        </w:rPr>
        <w:t>a perspectiva</w:t>
      </w:r>
      <w:r w:rsidRPr="00005401">
        <w:rPr>
          <w:rFonts w:ascii="Times New Roman" w:hAnsi="Times New Roman" w:cs="Times New Roman"/>
        </w:rPr>
        <w:t xml:space="preserve"> que articula aportes de los estudios sobre la condición estudiantil, la relación con el saber y las transformaciones socioculturales recientes, se indaga cómo las interpretaciones docentes sobre los modos de ser y estar de los y las estudiantes configuran sentidos acerca de la formación universitaria y orientan decisiones pedagógicas concretas. Los resultados permiten advertir que las posiciones docentes se organizan en torno al reconocimiento de la heterogeneidad de trayectorias y experiencias que atraviesan</w:t>
      </w:r>
      <w:r>
        <w:rPr>
          <w:rFonts w:ascii="Times New Roman" w:hAnsi="Times New Roman" w:cs="Times New Roman"/>
        </w:rPr>
        <w:t xml:space="preserve"> al estudiantado </w:t>
      </w:r>
      <w:r w:rsidRPr="00005401">
        <w:rPr>
          <w:rFonts w:ascii="Times New Roman" w:hAnsi="Times New Roman" w:cs="Times New Roman"/>
        </w:rPr>
        <w:t>en el escenario universitario actual, en un contexto signado por transformaciones culturales</w:t>
      </w:r>
      <w:r>
        <w:rPr>
          <w:rFonts w:ascii="Times New Roman" w:hAnsi="Times New Roman" w:cs="Times New Roman"/>
        </w:rPr>
        <w:t>, nuevas formas de producción y circulación de saberes, y reconfiguraciones del mundo del trabajo</w:t>
      </w:r>
      <w:r w:rsidRPr="00005401">
        <w:rPr>
          <w:rFonts w:ascii="Times New Roman" w:hAnsi="Times New Roman" w:cs="Times New Roman"/>
        </w:rPr>
        <w:t xml:space="preserve">. Estas lecturas generan posiciones docentes tensionadas entre la búsqueda de sostener la especificidad del trabajo académico </w:t>
      </w:r>
      <w:r>
        <w:rPr>
          <w:rFonts w:ascii="Times New Roman" w:hAnsi="Times New Roman" w:cs="Times New Roman"/>
        </w:rPr>
        <w:t>–</w:t>
      </w:r>
      <w:r w:rsidRPr="00005401">
        <w:rPr>
          <w:rFonts w:ascii="Times New Roman" w:hAnsi="Times New Roman" w:cs="Times New Roman"/>
        </w:rPr>
        <w:t>vinculada con la profundidad conceptual, la problematización crítica y la construcción de autonomía intelectual</w:t>
      </w:r>
      <w:r>
        <w:rPr>
          <w:rFonts w:ascii="Times New Roman" w:hAnsi="Times New Roman" w:cs="Times New Roman"/>
        </w:rPr>
        <w:t>–</w:t>
      </w:r>
      <w:r w:rsidRPr="00005401">
        <w:rPr>
          <w:rFonts w:ascii="Times New Roman" w:hAnsi="Times New Roman" w:cs="Times New Roman"/>
        </w:rPr>
        <w:t xml:space="preserve"> y la necesidad de desarrollar estrategias de acompañamiento que atiendan a condiciones materiales, simbólicas y subjetivas que inciden en las trayectorias formativas. En este marco, emergen debates en torno a la intensificación de demandas de orientación y estructuración de las prácticas de estudio, interpretadas por algunos/as docentes como procesos de escolarización de la experiencia universitaria y, por otros/as, como expresiones de las desigualdades educativas que interpelan el sentido democratizador de la universidad pública. Asimismo, las percepciones docentes dan cuenta de transformaciones en las formas de relación con el saber, caracterizadas por la valorización de aprendizajes situados y aplicados, la circulación ampliada de información mediada por tecnologías digitales y la reconfiguración de los vínculos de autoridad pedagógica. Estas dinámicas ponen en cuestión tradiciones académicas sedimentadas y abren interrogantes acerca de qué saberes, prácticas y modos de transmisión resulta necesario sostener, resignificar o transformar en la universidad contemporánea. El análisis muestra que las posiciones docentes se configuran en un campo dilemático atravesado por políticas de </w:t>
      </w:r>
      <w:r w:rsidRPr="00005401">
        <w:rPr>
          <w:rFonts w:ascii="Times New Roman" w:hAnsi="Times New Roman" w:cs="Times New Roman"/>
        </w:rPr>
        <w:lastRenderedPageBreak/>
        <w:t>inclusión, cambios culturales generacionales y disputas en torno a los sentidos de la formación superior, lo que conduce a procesos de revisión de las propuestas de enseñanza y de los modos de construcción del vínculo pedagógico.</w:t>
      </w:r>
    </w:p>
    <w:p w14:paraId="3ECDB072" w14:textId="77777777" w:rsidR="00005401" w:rsidRPr="00005401" w:rsidRDefault="00005401" w:rsidP="00005401">
      <w:pPr>
        <w:spacing w:after="200"/>
        <w:jc w:val="both"/>
        <w:rPr>
          <w:rFonts w:ascii="Times New Roman" w:hAnsi="Times New Roman" w:cs="Times New Roman"/>
        </w:rPr>
      </w:pPr>
      <w:r w:rsidRPr="00005401">
        <w:rPr>
          <w:rFonts w:ascii="Times New Roman" w:hAnsi="Times New Roman" w:cs="Times New Roman"/>
          <w:b/>
          <w:bCs/>
        </w:rPr>
        <w:t>Palabras clave:</w:t>
      </w:r>
      <w:r w:rsidRPr="00005401">
        <w:rPr>
          <w:rFonts w:ascii="Times New Roman" w:hAnsi="Times New Roman" w:cs="Times New Roman"/>
        </w:rPr>
        <w:t xml:space="preserve"> posiciones docentes; relación con el saber; condición estudiantil; formación universitaria.</w:t>
      </w:r>
    </w:p>
    <w:p w14:paraId="6A5547A1" w14:textId="73F6D6A2" w:rsidR="00BA642E" w:rsidRPr="00005401" w:rsidRDefault="00BA642E" w:rsidP="00005401">
      <w:pPr>
        <w:spacing w:line="240" w:lineRule="auto"/>
        <w:jc w:val="both"/>
        <w:rPr>
          <w:rFonts w:ascii="Times New Roman" w:hAnsi="Times New Roman" w:cs="Times New Roman"/>
          <w:b/>
          <w:bCs/>
        </w:rPr>
      </w:pPr>
      <w:r w:rsidRPr="00005401">
        <w:rPr>
          <w:rFonts w:ascii="Times New Roman" w:hAnsi="Times New Roman" w:cs="Times New Roman"/>
          <w:b/>
          <w:bCs/>
        </w:rPr>
        <w:t>Introducción</w:t>
      </w:r>
    </w:p>
    <w:p w14:paraId="19474285" w14:textId="0C804B93"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Esta ponencia recupera hallazgos de una investigación doctoral cuyo objeto es la identificación de las posiciones que construyen docentes de la Universidad Nacional de La Plata (UNLP) en torno a tres referentes clave de la formación universitaria: la universidad pública, los proyectos curriculares y </w:t>
      </w:r>
      <w:r w:rsidR="000C30E2">
        <w:rPr>
          <w:rFonts w:ascii="Times New Roman" w:hAnsi="Times New Roman" w:cs="Times New Roman"/>
        </w:rPr>
        <w:t>los/as estudiantes</w:t>
      </w:r>
      <w:r w:rsidRPr="00005401">
        <w:rPr>
          <w:rFonts w:ascii="Times New Roman" w:hAnsi="Times New Roman" w:cs="Times New Roman"/>
        </w:rPr>
        <w:t>. El trabajo que aquí se presenta se concentra en el tercero de esos referentes</w:t>
      </w:r>
      <w:r w:rsidR="000C30E2">
        <w:rPr>
          <w:rFonts w:ascii="Times New Roman" w:hAnsi="Times New Roman" w:cs="Times New Roman"/>
        </w:rPr>
        <w:t>, centrado en el análisis de</w:t>
      </w:r>
      <w:r w:rsidRPr="00005401">
        <w:rPr>
          <w:rFonts w:ascii="Times New Roman" w:hAnsi="Times New Roman" w:cs="Times New Roman"/>
        </w:rPr>
        <w:t xml:space="preserve"> las posiciones docentes frente a la condición estudiantil y a las relaciones que los y las estudiantes establecen con el saber, en el marco de las transformaciones culturales contemporáneas.</w:t>
      </w:r>
    </w:p>
    <w:p w14:paraId="5DCF96B2" w14:textId="1547E1B4"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La categoría de posición docente, </w:t>
      </w:r>
      <w:r w:rsidR="000C30E2" w:rsidRPr="00005401">
        <w:rPr>
          <w:rFonts w:ascii="Times New Roman" w:hAnsi="Times New Roman" w:cs="Times New Roman"/>
        </w:rPr>
        <w:t>elabora</w:t>
      </w:r>
      <w:r w:rsidR="000C30E2">
        <w:rPr>
          <w:rFonts w:ascii="Times New Roman" w:hAnsi="Times New Roman" w:cs="Times New Roman"/>
        </w:rPr>
        <w:t>da por</w:t>
      </w:r>
      <w:r w:rsidR="000C30E2" w:rsidRPr="00005401">
        <w:rPr>
          <w:rFonts w:ascii="Times New Roman" w:hAnsi="Times New Roman" w:cs="Times New Roman"/>
        </w:rPr>
        <w:t xml:space="preserve"> </w:t>
      </w:r>
      <w:r w:rsidR="000C30E2">
        <w:rPr>
          <w:rFonts w:ascii="Times New Roman" w:hAnsi="Times New Roman" w:cs="Times New Roman"/>
        </w:rPr>
        <w:t xml:space="preserve">Myriam </w:t>
      </w:r>
      <w:proofErr w:type="spellStart"/>
      <w:r w:rsidR="000C30E2" w:rsidRPr="00005401">
        <w:rPr>
          <w:rFonts w:ascii="Times New Roman" w:hAnsi="Times New Roman" w:cs="Times New Roman"/>
        </w:rPr>
        <w:t>Southwell</w:t>
      </w:r>
      <w:proofErr w:type="spellEnd"/>
      <w:r w:rsidR="000C30E2" w:rsidRPr="00005401">
        <w:rPr>
          <w:rFonts w:ascii="Times New Roman" w:hAnsi="Times New Roman" w:cs="Times New Roman"/>
        </w:rPr>
        <w:t xml:space="preserve"> (2020)</w:t>
      </w:r>
      <w:r w:rsidR="002337FA">
        <w:rPr>
          <w:rFonts w:ascii="Times New Roman" w:hAnsi="Times New Roman" w:cs="Times New Roman"/>
        </w:rPr>
        <w:t xml:space="preserve"> y que </w:t>
      </w:r>
      <w:r w:rsidR="002337FA" w:rsidRPr="00005401">
        <w:rPr>
          <w:rFonts w:ascii="Times New Roman" w:hAnsi="Times New Roman" w:cs="Times New Roman"/>
        </w:rPr>
        <w:t>constituye el eje estructurante del análisis</w:t>
      </w:r>
      <w:r w:rsidR="002337FA">
        <w:rPr>
          <w:rFonts w:ascii="Times New Roman" w:hAnsi="Times New Roman" w:cs="Times New Roman"/>
        </w:rPr>
        <w:t xml:space="preserve">, </w:t>
      </w:r>
      <w:r w:rsidR="000C30E2">
        <w:rPr>
          <w:rFonts w:ascii="Times New Roman" w:hAnsi="Times New Roman" w:cs="Times New Roman"/>
        </w:rPr>
        <w:t>abreva en el enfoque del análisis político del discurso</w:t>
      </w:r>
      <w:r w:rsidR="000C30E2" w:rsidRPr="000C30E2">
        <w:rPr>
          <w:rFonts w:ascii="Times New Roman" w:eastAsia="Times New Roman" w:hAnsi="Times New Roman" w:cs="Times New Roman"/>
          <w:lang w:eastAsia="es-AR"/>
        </w:rPr>
        <w:t xml:space="preserve"> </w:t>
      </w:r>
      <w:r w:rsidR="000C30E2">
        <w:rPr>
          <w:rFonts w:ascii="Times New Roman" w:eastAsia="Times New Roman" w:hAnsi="Times New Roman" w:cs="Times New Roman"/>
          <w:lang w:eastAsia="es-AR"/>
        </w:rPr>
        <w:t xml:space="preserve">que se nutre de los desarrollos </w:t>
      </w:r>
      <w:r w:rsidR="002337FA">
        <w:rPr>
          <w:rFonts w:ascii="Times New Roman" w:eastAsia="Times New Roman" w:hAnsi="Times New Roman" w:cs="Times New Roman"/>
          <w:lang w:eastAsia="es-AR"/>
        </w:rPr>
        <w:t xml:space="preserve">teóricos </w:t>
      </w:r>
      <w:r w:rsidR="000C30E2">
        <w:rPr>
          <w:rFonts w:ascii="Times New Roman" w:eastAsia="Times New Roman" w:hAnsi="Times New Roman" w:cs="Times New Roman"/>
          <w:lang w:eastAsia="es-AR"/>
        </w:rPr>
        <w:t xml:space="preserve">de </w:t>
      </w:r>
      <w:proofErr w:type="spellStart"/>
      <w:r w:rsidR="000C30E2">
        <w:rPr>
          <w:rFonts w:ascii="Times New Roman" w:eastAsia="Times New Roman" w:hAnsi="Times New Roman" w:cs="Times New Roman"/>
          <w:lang w:eastAsia="es-AR"/>
        </w:rPr>
        <w:t>Laclau</w:t>
      </w:r>
      <w:proofErr w:type="spellEnd"/>
      <w:r w:rsidR="000C30E2">
        <w:rPr>
          <w:rFonts w:ascii="Times New Roman" w:eastAsia="Times New Roman" w:hAnsi="Times New Roman" w:cs="Times New Roman"/>
          <w:lang w:eastAsia="es-AR"/>
        </w:rPr>
        <w:t xml:space="preserve"> (1996) y </w:t>
      </w:r>
      <w:proofErr w:type="spellStart"/>
      <w:r w:rsidR="000C30E2">
        <w:rPr>
          <w:rFonts w:ascii="Times New Roman" w:eastAsia="Times New Roman" w:hAnsi="Times New Roman" w:cs="Times New Roman"/>
          <w:lang w:eastAsia="es-AR"/>
        </w:rPr>
        <w:t>Laclau</w:t>
      </w:r>
      <w:proofErr w:type="spellEnd"/>
      <w:r w:rsidR="000C30E2">
        <w:rPr>
          <w:rFonts w:ascii="Times New Roman" w:eastAsia="Times New Roman" w:hAnsi="Times New Roman" w:cs="Times New Roman"/>
          <w:lang w:eastAsia="es-AR"/>
        </w:rPr>
        <w:t xml:space="preserve"> y </w:t>
      </w:r>
      <w:proofErr w:type="spellStart"/>
      <w:r w:rsidR="000C30E2">
        <w:rPr>
          <w:rFonts w:ascii="Times New Roman" w:eastAsia="Times New Roman" w:hAnsi="Times New Roman" w:cs="Times New Roman"/>
          <w:lang w:eastAsia="es-AR"/>
        </w:rPr>
        <w:t>Mouffe</w:t>
      </w:r>
      <w:proofErr w:type="spellEnd"/>
      <w:r w:rsidR="000C30E2">
        <w:rPr>
          <w:rFonts w:ascii="Times New Roman" w:eastAsia="Times New Roman" w:hAnsi="Times New Roman" w:cs="Times New Roman"/>
          <w:lang w:eastAsia="es-AR"/>
        </w:rPr>
        <w:t xml:space="preserve"> (1987), </w:t>
      </w:r>
      <w:r w:rsidR="002337FA">
        <w:rPr>
          <w:rFonts w:ascii="Times New Roman" w:eastAsia="Times New Roman" w:hAnsi="Times New Roman" w:cs="Times New Roman"/>
          <w:lang w:eastAsia="es-AR"/>
        </w:rPr>
        <w:t>en los que</w:t>
      </w:r>
      <w:r w:rsidR="000C30E2">
        <w:rPr>
          <w:rFonts w:ascii="Times New Roman" w:eastAsia="Times New Roman" w:hAnsi="Times New Roman" w:cs="Times New Roman"/>
          <w:lang w:eastAsia="es-AR"/>
        </w:rPr>
        <w:t xml:space="preserve"> el discurso es concebido como una práctica de significación que configura objetos, actos e identidades en un campo abierto y en disputa</w:t>
      </w:r>
      <w:r w:rsidRPr="00005401">
        <w:rPr>
          <w:rFonts w:ascii="Times New Roman" w:hAnsi="Times New Roman" w:cs="Times New Roman"/>
        </w:rPr>
        <w:t xml:space="preserve">. </w:t>
      </w:r>
      <w:r w:rsidR="002337FA">
        <w:rPr>
          <w:rFonts w:ascii="Times New Roman" w:hAnsi="Times New Roman" w:cs="Times New Roman"/>
        </w:rPr>
        <w:t>De acuerdo con loa autora, e</w:t>
      </w:r>
      <w:r w:rsidRPr="00005401">
        <w:rPr>
          <w:rFonts w:ascii="Times New Roman" w:hAnsi="Times New Roman" w:cs="Times New Roman"/>
        </w:rPr>
        <w:t xml:space="preserve">sta noción remite a las formas de sensibilidad y a los modos en que los y las docentes se dejan interpelar por las situaciones y la presencia de los otros con quienes trabajan cotidianamente, así como a las vías a través de las cuales intentan ponerse a disposición y prefiguran vínculos que no están previamente establecidos, sino que se construyen en la relación. </w:t>
      </w:r>
      <w:proofErr w:type="spellStart"/>
      <w:r w:rsidR="002337FA">
        <w:rPr>
          <w:rFonts w:ascii="Times New Roman" w:hAnsi="Times New Roman" w:cs="Times New Roman"/>
        </w:rPr>
        <w:t>Southwell</w:t>
      </w:r>
      <w:proofErr w:type="spellEnd"/>
      <w:r w:rsidRPr="00005401">
        <w:rPr>
          <w:rFonts w:ascii="Times New Roman" w:hAnsi="Times New Roman" w:cs="Times New Roman"/>
        </w:rPr>
        <w:t xml:space="preserve"> subraya que se trata de una posición activa, decisional y dilemática y, por ello mismo, inherentemente política:</w:t>
      </w:r>
    </w:p>
    <w:p w14:paraId="7FD51535" w14:textId="6630BB5B" w:rsidR="00005401" w:rsidRPr="00005401" w:rsidRDefault="00005401" w:rsidP="002337FA">
      <w:pPr>
        <w:spacing w:before="80"/>
        <w:ind w:left="709" w:right="425"/>
        <w:jc w:val="both"/>
        <w:rPr>
          <w:rFonts w:ascii="Times New Roman" w:hAnsi="Times New Roman" w:cs="Times New Roman"/>
        </w:rPr>
      </w:pPr>
      <w:r w:rsidRPr="00005401">
        <w:rPr>
          <w:rFonts w:ascii="Times New Roman" w:hAnsi="Times New Roman" w:cs="Times New Roman"/>
        </w:rPr>
        <w:t xml:space="preserve">La construcción de una posición docente implica formas de sensibilidad y modos en que los y las docentes se dejan interpelar por las situaciones y la presencia de los otros con los que trabajan cotidianamente, como así también por las vías a través de las cuales intentan ponerse a disposición, desarrollan su trabajo de enseñanza y prefiguran vínculos que no están previamente establecidos, sino que se construyen en la relación. (…) Prestar atención a las posiciones que desplegamos las y los educadores, como nos situamos </w:t>
      </w:r>
      <w:r w:rsidR="002337FA">
        <w:rPr>
          <w:rFonts w:ascii="Times New Roman" w:hAnsi="Times New Roman" w:cs="Times New Roman"/>
        </w:rPr>
        <w:t>–</w:t>
      </w:r>
      <w:r w:rsidRPr="00005401">
        <w:rPr>
          <w:rFonts w:ascii="Times New Roman" w:hAnsi="Times New Roman" w:cs="Times New Roman"/>
        </w:rPr>
        <w:t>aun tensionados en situaciones dilemáticas y provisorias</w:t>
      </w:r>
      <w:r w:rsidR="002337FA">
        <w:rPr>
          <w:rFonts w:ascii="Times New Roman" w:hAnsi="Times New Roman" w:cs="Times New Roman"/>
        </w:rPr>
        <w:t>–</w:t>
      </w:r>
      <w:r w:rsidRPr="00005401">
        <w:rPr>
          <w:rFonts w:ascii="Times New Roman" w:hAnsi="Times New Roman" w:cs="Times New Roman"/>
        </w:rPr>
        <w:t xml:space="preserve"> y a cómo estas habilitan determinadas posiciones de los y las estudiantes, permitirá seguir ahondando en la necesaria democratización de los vínculos pedagógicos. (</w:t>
      </w:r>
      <w:proofErr w:type="spellStart"/>
      <w:r w:rsidRPr="00005401">
        <w:rPr>
          <w:rFonts w:ascii="Times New Roman" w:hAnsi="Times New Roman" w:cs="Times New Roman"/>
        </w:rPr>
        <w:t>Southwell</w:t>
      </w:r>
      <w:proofErr w:type="spellEnd"/>
      <w:r w:rsidRPr="00005401">
        <w:rPr>
          <w:rFonts w:ascii="Times New Roman" w:hAnsi="Times New Roman" w:cs="Times New Roman"/>
        </w:rPr>
        <w:t>, 2020, p. 33)</w:t>
      </w:r>
    </w:p>
    <w:p w14:paraId="2C9B9DB2" w14:textId="5A6B5A40"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lastRenderedPageBreak/>
        <w:t xml:space="preserve">De modo que, así como la institución y el currículo configuran las posiciones docentes, también el lugar del otro en el vínculo pedagógico resulta clave. El interés no reside en colocar el foco en los estudiantes como objeto de estudio en sí mismos, sino en las posiciones que las y los docentes asumen </w:t>
      </w:r>
      <w:r w:rsidR="002337FA">
        <w:rPr>
          <w:rFonts w:ascii="Times New Roman" w:hAnsi="Times New Roman" w:cs="Times New Roman"/>
        </w:rPr>
        <w:t>–</w:t>
      </w:r>
      <w:r w:rsidRPr="00005401">
        <w:rPr>
          <w:rFonts w:ascii="Times New Roman" w:hAnsi="Times New Roman" w:cs="Times New Roman"/>
        </w:rPr>
        <w:t xml:space="preserve">analizadas en su historicidad y </w:t>
      </w:r>
      <w:proofErr w:type="spellStart"/>
      <w:r w:rsidRPr="00005401">
        <w:rPr>
          <w:rFonts w:ascii="Times New Roman" w:hAnsi="Times New Roman" w:cs="Times New Roman"/>
        </w:rPr>
        <w:t>relacionalidad</w:t>
      </w:r>
      <w:proofErr w:type="spellEnd"/>
      <w:r w:rsidR="002337FA">
        <w:rPr>
          <w:rFonts w:ascii="Times New Roman" w:hAnsi="Times New Roman" w:cs="Times New Roman"/>
        </w:rPr>
        <w:t>–</w:t>
      </w:r>
      <w:r w:rsidRPr="00005401">
        <w:rPr>
          <w:rFonts w:ascii="Times New Roman" w:hAnsi="Times New Roman" w:cs="Times New Roman"/>
        </w:rPr>
        <w:t xml:space="preserve"> en torno a ellos.</w:t>
      </w:r>
    </w:p>
    <w:p w14:paraId="68FD90DA" w14:textId="26F8A3D9"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El análisis se apoya en dos perspectivas conceptuales complementarias. Por un lado, la noción de condición estudiantil</w:t>
      </w:r>
      <w:r w:rsidR="002337FA">
        <w:rPr>
          <w:rFonts w:ascii="Times New Roman" w:hAnsi="Times New Roman" w:cs="Times New Roman"/>
        </w:rPr>
        <w:t xml:space="preserve">, trabajada por </w:t>
      </w:r>
      <w:r w:rsidRPr="00005401">
        <w:rPr>
          <w:rFonts w:ascii="Times New Roman" w:hAnsi="Times New Roman" w:cs="Times New Roman"/>
        </w:rPr>
        <w:t>Dubet (2005), que permite pensar al</w:t>
      </w:r>
      <w:r w:rsidR="002337FA">
        <w:rPr>
          <w:rFonts w:ascii="Times New Roman" w:hAnsi="Times New Roman" w:cs="Times New Roman"/>
        </w:rPr>
        <w:t>/la</w:t>
      </w:r>
      <w:r w:rsidRPr="00005401">
        <w:rPr>
          <w:rFonts w:ascii="Times New Roman" w:hAnsi="Times New Roman" w:cs="Times New Roman"/>
        </w:rPr>
        <w:t xml:space="preserve"> estudiante no solo como sujeto individual, sino como figura socialmente construida, situada institucionalmente y modelada por regímenes de política, saber y subjetividad, </w:t>
      </w:r>
      <w:r w:rsidR="00D56A0E">
        <w:rPr>
          <w:rFonts w:ascii="Times New Roman" w:hAnsi="Times New Roman" w:cs="Times New Roman"/>
        </w:rPr>
        <w:t xml:space="preserve">altamente articulada con la </w:t>
      </w:r>
      <w:r w:rsidRPr="00005401">
        <w:rPr>
          <w:rFonts w:ascii="Times New Roman" w:hAnsi="Times New Roman" w:cs="Times New Roman"/>
        </w:rPr>
        <w:t xml:space="preserve">noción de experiencia estudiantil (Dubet, 2005; </w:t>
      </w:r>
      <w:proofErr w:type="spellStart"/>
      <w:r w:rsidRPr="00005401">
        <w:rPr>
          <w:rFonts w:ascii="Times New Roman" w:hAnsi="Times New Roman" w:cs="Times New Roman"/>
        </w:rPr>
        <w:t>Carli</w:t>
      </w:r>
      <w:proofErr w:type="spellEnd"/>
      <w:r w:rsidRPr="00005401">
        <w:rPr>
          <w:rFonts w:ascii="Times New Roman" w:hAnsi="Times New Roman" w:cs="Times New Roman"/>
        </w:rPr>
        <w:t xml:space="preserve">, 2012). Por otro, los estudios sobre la relación con el saber recuperados por </w:t>
      </w:r>
      <w:proofErr w:type="spellStart"/>
      <w:r w:rsidRPr="00005401">
        <w:rPr>
          <w:rFonts w:ascii="Times New Roman" w:hAnsi="Times New Roman" w:cs="Times New Roman"/>
        </w:rPr>
        <w:t>Vercellino</w:t>
      </w:r>
      <w:proofErr w:type="spellEnd"/>
      <w:r w:rsidRPr="00005401">
        <w:rPr>
          <w:rFonts w:ascii="Times New Roman" w:hAnsi="Times New Roman" w:cs="Times New Roman"/>
        </w:rPr>
        <w:t xml:space="preserve"> (2015), que retoma los aportes de </w:t>
      </w:r>
      <w:r w:rsidR="00D56A0E">
        <w:rPr>
          <w:rFonts w:ascii="Times New Roman" w:hAnsi="Times New Roman" w:cs="Times New Roman"/>
        </w:rPr>
        <w:t>las principales corrientes francesas al respecto (</w:t>
      </w:r>
      <w:r w:rsidRPr="00005401">
        <w:rPr>
          <w:rFonts w:ascii="Times New Roman" w:hAnsi="Times New Roman" w:cs="Times New Roman"/>
        </w:rPr>
        <w:t xml:space="preserve">Charlot </w:t>
      </w:r>
      <w:r w:rsidR="00D56A0E">
        <w:rPr>
          <w:rFonts w:ascii="Times New Roman" w:hAnsi="Times New Roman" w:cs="Times New Roman"/>
        </w:rPr>
        <w:t xml:space="preserve">y </w:t>
      </w:r>
      <w:proofErr w:type="spellStart"/>
      <w:r w:rsidR="00D56A0E">
        <w:rPr>
          <w:rFonts w:ascii="Times New Roman" w:hAnsi="Times New Roman" w:cs="Times New Roman"/>
        </w:rPr>
        <w:t>Beillerot</w:t>
      </w:r>
      <w:proofErr w:type="spellEnd"/>
      <w:r w:rsidR="00D56A0E">
        <w:rPr>
          <w:rFonts w:ascii="Times New Roman" w:hAnsi="Times New Roman" w:cs="Times New Roman"/>
        </w:rPr>
        <w:t xml:space="preserve">, </w:t>
      </w:r>
      <w:r w:rsidR="00D56A0E" w:rsidRPr="00D56A0E">
        <w:rPr>
          <w:rFonts w:ascii="Times New Roman" w:hAnsi="Times New Roman" w:cs="Times New Roman"/>
          <w:lang w:val="es-AR"/>
        </w:rPr>
        <w:t xml:space="preserve">cit. en </w:t>
      </w:r>
      <w:proofErr w:type="spellStart"/>
      <w:r w:rsidR="00D56A0E" w:rsidRPr="00D56A0E">
        <w:rPr>
          <w:rFonts w:ascii="Times New Roman" w:hAnsi="Times New Roman" w:cs="Times New Roman"/>
          <w:lang w:val="es-AR"/>
        </w:rPr>
        <w:t>Vercellino</w:t>
      </w:r>
      <w:proofErr w:type="spellEnd"/>
      <w:r w:rsidR="00D56A0E" w:rsidRPr="00D56A0E">
        <w:rPr>
          <w:rFonts w:ascii="Times New Roman" w:hAnsi="Times New Roman" w:cs="Times New Roman"/>
          <w:lang w:val="es-AR"/>
        </w:rPr>
        <w:t>, 2015)</w:t>
      </w:r>
      <w:r w:rsidR="00D56A0E" w:rsidRPr="00D56A0E">
        <w:rPr>
          <w:rFonts w:ascii="Times New Roman" w:hAnsi="Times New Roman" w:cs="Times New Roman"/>
          <w:lang w:val="es-AR"/>
        </w:rPr>
        <w:t>,</w:t>
      </w:r>
      <w:r w:rsidR="00D56A0E">
        <w:rPr>
          <w:lang w:val="es-AR"/>
        </w:rPr>
        <w:t xml:space="preserve"> </w:t>
      </w:r>
      <w:r w:rsidRPr="00005401">
        <w:rPr>
          <w:rFonts w:ascii="Times New Roman" w:hAnsi="Times New Roman" w:cs="Times New Roman"/>
        </w:rPr>
        <w:t>para conceptualizar ese vínculo</w:t>
      </w:r>
      <w:r w:rsidR="00D56A0E">
        <w:rPr>
          <w:rFonts w:ascii="Times New Roman" w:hAnsi="Times New Roman" w:cs="Times New Roman"/>
        </w:rPr>
        <w:t xml:space="preserve">, </w:t>
      </w:r>
      <w:r w:rsidRPr="00005401">
        <w:rPr>
          <w:rFonts w:ascii="Times New Roman" w:hAnsi="Times New Roman" w:cs="Times New Roman"/>
        </w:rPr>
        <w:t>no solo en términos cognitivos o disciplinarios, sino como construcción simbólica, afectiva e identitaria, que condensa sentidos sobre el aprender</w:t>
      </w:r>
      <w:r w:rsidR="00D56A0E">
        <w:rPr>
          <w:rFonts w:ascii="Times New Roman" w:hAnsi="Times New Roman" w:cs="Times New Roman"/>
        </w:rPr>
        <w:t xml:space="preserve"> y</w:t>
      </w:r>
      <w:r w:rsidRPr="00005401">
        <w:rPr>
          <w:rFonts w:ascii="Times New Roman" w:hAnsi="Times New Roman" w:cs="Times New Roman"/>
        </w:rPr>
        <w:t xml:space="preserve"> </w:t>
      </w:r>
      <w:r w:rsidR="00D56A0E">
        <w:rPr>
          <w:rFonts w:ascii="Times New Roman" w:hAnsi="Times New Roman" w:cs="Times New Roman"/>
        </w:rPr>
        <w:t xml:space="preserve">el deseo de aprender, así como </w:t>
      </w:r>
      <w:r w:rsidRPr="00005401">
        <w:rPr>
          <w:rFonts w:ascii="Times New Roman" w:hAnsi="Times New Roman" w:cs="Times New Roman"/>
        </w:rPr>
        <w:t>el lugar del saber en el proyecto vital de cada estudiante.</w:t>
      </w:r>
    </w:p>
    <w:p w14:paraId="62AAD735" w14:textId="0BC377EA"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Metodológicamente, el estudio adopta un diseño cualitativo basado en entrevistas en profundidad a profesores y profesoras de cuatro carreras de la UNLP </w:t>
      </w:r>
      <w:r w:rsidR="00D56A0E">
        <w:rPr>
          <w:rFonts w:ascii="Times New Roman" w:hAnsi="Times New Roman" w:cs="Times New Roman"/>
        </w:rPr>
        <w:t>–</w:t>
      </w:r>
      <w:r w:rsidRPr="00005401">
        <w:rPr>
          <w:rFonts w:ascii="Times New Roman" w:hAnsi="Times New Roman" w:cs="Times New Roman"/>
        </w:rPr>
        <w:t>Sociología, Geología, Química y Administración</w:t>
      </w:r>
      <w:r w:rsidR="00D56A0E">
        <w:rPr>
          <w:rFonts w:ascii="Times New Roman" w:hAnsi="Times New Roman" w:cs="Times New Roman"/>
        </w:rPr>
        <w:t>–</w:t>
      </w:r>
      <w:r w:rsidRPr="00005401">
        <w:rPr>
          <w:rFonts w:ascii="Times New Roman" w:hAnsi="Times New Roman" w:cs="Times New Roman"/>
        </w:rPr>
        <w:t xml:space="preserve">, seleccionadas para contrastar campos disciplinares diversos. A través de preguntas de carácter general sobre cómo perciben a sus estudiantes en el escenario contemporáneo, se exploraron sus </w:t>
      </w:r>
      <w:r w:rsidR="00D56A0E">
        <w:rPr>
          <w:rFonts w:ascii="Times New Roman" w:hAnsi="Times New Roman" w:cs="Times New Roman"/>
        </w:rPr>
        <w:t>significaciones</w:t>
      </w:r>
      <w:r w:rsidRPr="00005401">
        <w:rPr>
          <w:rFonts w:ascii="Times New Roman" w:hAnsi="Times New Roman" w:cs="Times New Roman"/>
        </w:rPr>
        <w:t xml:space="preserve"> respecto de </w:t>
      </w:r>
      <w:r w:rsidR="00D56A0E" w:rsidRPr="00005401">
        <w:rPr>
          <w:rFonts w:ascii="Times New Roman" w:hAnsi="Times New Roman" w:cs="Times New Roman"/>
        </w:rPr>
        <w:t>los modos de ser y estar en el aula</w:t>
      </w:r>
      <w:r w:rsidR="00D56A0E">
        <w:rPr>
          <w:rFonts w:ascii="Times New Roman" w:hAnsi="Times New Roman" w:cs="Times New Roman"/>
        </w:rPr>
        <w:t xml:space="preserve">, la configuración de ciertas condiciones subjetivas que conforman la identidad estudiantil, </w:t>
      </w:r>
      <w:r w:rsidR="00D56A0E" w:rsidRPr="00005401">
        <w:rPr>
          <w:rFonts w:ascii="Times New Roman" w:hAnsi="Times New Roman" w:cs="Times New Roman"/>
        </w:rPr>
        <w:t xml:space="preserve">los vínculos </w:t>
      </w:r>
      <w:r w:rsidR="00D56A0E">
        <w:rPr>
          <w:rFonts w:ascii="Times New Roman" w:hAnsi="Times New Roman" w:cs="Times New Roman"/>
        </w:rPr>
        <w:t>con los saberes que se les ofrecen</w:t>
      </w:r>
      <w:r w:rsidR="00D56A0E" w:rsidRPr="00005401">
        <w:rPr>
          <w:rFonts w:ascii="Times New Roman" w:hAnsi="Times New Roman" w:cs="Times New Roman"/>
        </w:rPr>
        <w:t xml:space="preserve">, </w:t>
      </w:r>
      <w:r w:rsidRPr="00005401">
        <w:rPr>
          <w:rFonts w:ascii="Times New Roman" w:hAnsi="Times New Roman" w:cs="Times New Roman"/>
        </w:rPr>
        <w:t>las prácticas de estudio, la relación con la lectura y la escritura académica,</w:t>
      </w:r>
      <w:r w:rsidR="00D56A0E" w:rsidRPr="00D56A0E">
        <w:rPr>
          <w:rFonts w:ascii="Times New Roman" w:hAnsi="Times New Roman" w:cs="Times New Roman"/>
        </w:rPr>
        <w:t xml:space="preserve"> </w:t>
      </w:r>
      <w:r w:rsidR="00D56A0E" w:rsidRPr="00005401">
        <w:rPr>
          <w:rFonts w:ascii="Times New Roman" w:hAnsi="Times New Roman" w:cs="Times New Roman"/>
        </w:rPr>
        <w:t>entre otros aspectos</w:t>
      </w:r>
      <w:r w:rsidRPr="00005401">
        <w:rPr>
          <w:rFonts w:ascii="Times New Roman" w:hAnsi="Times New Roman" w:cs="Times New Roman"/>
        </w:rPr>
        <w:t>. En lo que sigue se presentan tres ejes analíticos</w:t>
      </w:r>
      <w:r w:rsidR="00D56A0E">
        <w:rPr>
          <w:rFonts w:ascii="Times New Roman" w:hAnsi="Times New Roman" w:cs="Times New Roman"/>
        </w:rPr>
        <w:t xml:space="preserve"> que emergieron fuertemente en la indagación</w:t>
      </w:r>
      <w:r w:rsidRPr="00005401">
        <w:rPr>
          <w:rFonts w:ascii="Times New Roman" w:hAnsi="Times New Roman" w:cs="Times New Roman"/>
        </w:rPr>
        <w:t>: el reconocimiento de</w:t>
      </w:r>
      <w:r w:rsidR="00D56A0E">
        <w:rPr>
          <w:rFonts w:ascii="Times New Roman" w:hAnsi="Times New Roman" w:cs="Times New Roman"/>
        </w:rPr>
        <w:t xml:space="preserve"> rasgos que atraviesan a un</w:t>
      </w:r>
      <w:r w:rsidRPr="00005401">
        <w:rPr>
          <w:rFonts w:ascii="Times New Roman" w:hAnsi="Times New Roman" w:cs="Times New Roman"/>
        </w:rPr>
        <w:t xml:space="preserve"> estudiantado </w:t>
      </w:r>
      <w:r w:rsidR="00D56A0E">
        <w:rPr>
          <w:rFonts w:ascii="Times New Roman" w:hAnsi="Times New Roman" w:cs="Times New Roman"/>
        </w:rPr>
        <w:t xml:space="preserve">significados como </w:t>
      </w:r>
      <w:r w:rsidRPr="00005401">
        <w:rPr>
          <w:rFonts w:ascii="Times New Roman" w:hAnsi="Times New Roman" w:cs="Times New Roman"/>
        </w:rPr>
        <w:t xml:space="preserve">“distinto”; la tensión entre autonomía y asistencia; y las transformaciones </w:t>
      </w:r>
      <w:r w:rsidR="00D56A0E">
        <w:rPr>
          <w:rFonts w:ascii="Times New Roman" w:hAnsi="Times New Roman" w:cs="Times New Roman"/>
        </w:rPr>
        <w:t xml:space="preserve">nodales que se identifican </w:t>
      </w:r>
      <w:r w:rsidRPr="00005401">
        <w:rPr>
          <w:rFonts w:ascii="Times New Roman" w:hAnsi="Times New Roman" w:cs="Times New Roman"/>
        </w:rPr>
        <w:t>en la relación con el saber.</w:t>
      </w:r>
    </w:p>
    <w:p w14:paraId="2FD138AD" w14:textId="65FB0755" w:rsidR="005F3B2E" w:rsidRPr="00005401" w:rsidRDefault="005F3B2E" w:rsidP="007B5B5F">
      <w:pPr>
        <w:spacing w:line="240" w:lineRule="auto"/>
        <w:rPr>
          <w:rFonts w:ascii="Times New Roman" w:hAnsi="Times New Roman" w:cs="Times New Roman"/>
          <w:b/>
          <w:bCs/>
        </w:rPr>
      </w:pPr>
      <w:r w:rsidRPr="00005401">
        <w:rPr>
          <w:rFonts w:ascii="Times New Roman" w:hAnsi="Times New Roman" w:cs="Times New Roman"/>
          <w:b/>
          <w:bCs/>
        </w:rPr>
        <w:t>Desarrollo</w:t>
      </w:r>
    </w:p>
    <w:p w14:paraId="013744E3" w14:textId="6E9E014F" w:rsidR="00005401" w:rsidRPr="00005401" w:rsidRDefault="00D56A0E" w:rsidP="00005401">
      <w:pPr>
        <w:spacing w:before="280" w:after="140"/>
        <w:rPr>
          <w:rFonts w:ascii="Times New Roman" w:hAnsi="Times New Roman" w:cs="Times New Roman"/>
        </w:rPr>
      </w:pPr>
      <w:r>
        <w:rPr>
          <w:rFonts w:ascii="Times New Roman" w:hAnsi="Times New Roman" w:cs="Times New Roman"/>
          <w:b/>
          <w:bCs/>
        </w:rPr>
        <w:t>1</w:t>
      </w:r>
      <w:r w:rsidR="00005401" w:rsidRPr="00005401">
        <w:rPr>
          <w:rFonts w:ascii="Times New Roman" w:hAnsi="Times New Roman" w:cs="Times New Roman"/>
          <w:b/>
          <w:bCs/>
        </w:rPr>
        <w:t>. Del desconcierto al reconocimiento de</w:t>
      </w:r>
      <w:r>
        <w:rPr>
          <w:rFonts w:ascii="Times New Roman" w:hAnsi="Times New Roman" w:cs="Times New Roman"/>
          <w:b/>
          <w:bCs/>
        </w:rPr>
        <w:t xml:space="preserve"> la condición estudiantil contemporánea</w:t>
      </w:r>
    </w:p>
    <w:p w14:paraId="405A7768" w14:textId="7BAA2786"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Un rasgo común que emerge en las entrevistas es la percepción de un estudiantado que, en principio, desconcierta porque “es distinto”: un otro que no se amolda y cuya presencia es percibida en su heterogeneidad. Esta diferencia configura un paisaje distinto de aquel que caracterizó el período en que las y los propios docentes fueron estudiantes, cuando el vínculo con los estudios, la carrera y la institución se regía por lógicas y supuestos más estables. La transformación se hace notar respecto de una figura que operaba como </w:t>
      </w:r>
      <w:r w:rsidRPr="00005401">
        <w:rPr>
          <w:rFonts w:ascii="Times New Roman" w:hAnsi="Times New Roman" w:cs="Times New Roman"/>
        </w:rPr>
        <w:lastRenderedPageBreak/>
        <w:t xml:space="preserve">referencia obligada: la del </w:t>
      </w:r>
      <w:r w:rsidRPr="00AD5C54">
        <w:rPr>
          <w:rFonts w:ascii="Times New Roman" w:hAnsi="Times New Roman" w:cs="Times New Roman"/>
          <w:i/>
          <w:iCs/>
        </w:rPr>
        <w:t>heredero</w:t>
      </w:r>
      <w:r w:rsidRPr="00005401">
        <w:rPr>
          <w:rFonts w:ascii="Times New Roman" w:hAnsi="Times New Roman" w:cs="Times New Roman"/>
        </w:rPr>
        <w:t xml:space="preserve">, tal como la definieron Bourdieu y Passeron y que Dubet (2005) retoma para pensar al estudiantado </w:t>
      </w:r>
      <w:r w:rsidR="00AD5C54">
        <w:rPr>
          <w:rFonts w:ascii="Times New Roman" w:hAnsi="Times New Roman" w:cs="Times New Roman"/>
        </w:rPr>
        <w:t>en la universidad de masas</w:t>
      </w:r>
      <w:r w:rsidRPr="00005401">
        <w:rPr>
          <w:rFonts w:ascii="Times New Roman" w:hAnsi="Times New Roman" w:cs="Times New Roman"/>
        </w:rPr>
        <w:t>.</w:t>
      </w:r>
    </w:p>
    <w:p w14:paraId="69A39A6F" w14:textId="3D6150C8" w:rsidR="00005401" w:rsidRPr="00005401" w:rsidRDefault="005C377B" w:rsidP="00005401">
      <w:pPr>
        <w:spacing w:after="120"/>
        <w:jc w:val="both"/>
        <w:rPr>
          <w:rFonts w:ascii="Times New Roman" w:hAnsi="Times New Roman" w:cs="Times New Roman"/>
        </w:rPr>
      </w:pPr>
      <w:r>
        <w:rPr>
          <w:rFonts w:ascii="Times New Roman" w:hAnsi="Times New Roman" w:cs="Times New Roman"/>
        </w:rPr>
        <w:t>En esta lectura, la</w:t>
      </w:r>
      <w:r w:rsidR="00005401" w:rsidRPr="00005401">
        <w:rPr>
          <w:rFonts w:ascii="Times New Roman" w:hAnsi="Times New Roman" w:cs="Times New Roman"/>
        </w:rPr>
        <w:t xml:space="preserve"> figura del heredero </w:t>
      </w:r>
      <w:r>
        <w:rPr>
          <w:rFonts w:ascii="Times New Roman" w:hAnsi="Times New Roman" w:cs="Times New Roman"/>
        </w:rPr>
        <w:t>expresaba</w:t>
      </w:r>
      <w:r w:rsidR="00005401" w:rsidRPr="00005401">
        <w:rPr>
          <w:rFonts w:ascii="Times New Roman" w:hAnsi="Times New Roman" w:cs="Times New Roman"/>
        </w:rPr>
        <w:t xml:space="preserve"> a aquel estudiante de las clases acomodadas que accedía a la universidad como prolongación natural de su origen social y como depositario legítimo de la cultura académica, en una experiencia que integraba procedencia social y relación intelectual con el saber. Dubet (2005) plantea que, en la universidad de masas, la posibilidad de reproducir esa figura se ha debilitado profundamente: la masificación del acceso y la diversificación de trayectorias erosionan la imagen de una experiencia estudiantil homogénea, dando lugar a una suerte de “estallido identitario” que impide reconstruir un tipo ideal capaz de condensar el </w:t>
      </w:r>
      <w:r w:rsidR="00005401" w:rsidRPr="005C377B">
        <w:rPr>
          <w:rFonts w:ascii="Times New Roman" w:hAnsi="Times New Roman" w:cs="Times New Roman"/>
          <w:i/>
          <w:iCs/>
        </w:rPr>
        <w:t xml:space="preserve">ser </w:t>
      </w:r>
      <w:r w:rsidR="00005401" w:rsidRPr="00005401">
        <w:rPr>
          <w:rFonts w:ascii="Times New Roman" w:hAnsi="Times New Roman" w:cs="Times New Roman"/>
        </w:rPr>
        <w:t xml:space="preserve">estudiante. La persistencia del heredero como huella normativa en los imaginarios docentes, si bien podría remitir a cierta nostalgia, se inscribe también en una disposición que reconoce </w:t>
      </w:r>
      <w:r>
        <w:rPr>
          <w:rFonts w:ascii="Times New Roman" w:hAnsi="Times New Roman" w:cs="Times New Roman"/>
        </w:rPr>
        <w:t>–</w:t>
      </w:r>
      <w:r w:rsidR="00005401" w:rsidRPr="00005401">
        <w:rPr>
          <w:rFonts w:ascii="Times New Roman" w:hAnsi="Times New Roman" w:cs="Times New Roman"/>
        </w:rPr>
        <w:t>de modo ambiguo o tensionado</w:t>
      </w:r>
      <w:r>
        <w:rPr>
          <w:rFonts w:ascii="Times New Roman" w:hAnsi="Times New Roman" w:cs="Times New Roman"/>
        </w:rPr>
        <w:t>–</w:t>
      </w:r>
      <w:r w:rsidR="00005401" w:rsidRPr="00005401">
        <w:rPr>
          <w:rFonts w:ascii="Times New Roman" w:hAnsi="Times New Roman" w:cs="Times New Roman"/>
        </w:rPr>
        <w:t xml:space="preserve"> las condiciones de las y los estudiantes actuales.</w:t>
      </w:r>
    </w:p>
    <w:p w14:paraId="44688ED5" w14:textId="3BD57444"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En este marco, las afirmaciones recogidas señalan un desplazamiento</w:t>
      </w:r>
      <w:r w:rsidR="005C377B">
        <w:rPr>
          <w:rFonts w:ascii="Times New Roman" w:hAnsi="Times New Roman" w:cs="Times New Roman"/>
        </w:rPr>
        <w:t xml:space="preserve">, </w:t>
      </w:r>
      <w:r w:rsidRPr="00005401">
        <w:rPr>
          <w:rFonts w:ascii="Times New Roman" w:hAnsi="Times New Roman" w:cs="Times New Roman"/>
        </w:rPr>
        <w:t>de un modelo centrado en las lógicas disciplinares al que los estudiantes debían adaptarse, hacia otro que se piensa en función del estudiante. Esa diferencia es asumida, en buena parte de los testimonios, como una condición con la que se debe realizar la tarea:</w:t>
      </w:r>
    </w:p>
    <w:p w14:paraId="7A3C5A8A"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Teníamos como un chiste con otros docentes que era: los estudiantes vienen cada vez peor. (…) Todas las generaciones han dicho que los estudiantes vienen cada vez peor (…). Bueno, no. Los estudiantes no vienen peor, vienen distintos a lo que era uno. Uno es consciente de que es uno el que se tiene que adaptar a las realidades que tienen los estudiantes (…). Es un desafío la comunicación que se nos da con ellos. (D2-LG)</w:t>
      </w:r>
    </w:p>
    <w:p w14:paraId="786A662D"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 xml:space="preserve">Entonces, </w:t>
      </w:r>
      <w:proofErr w:type="spellStart"/>
      <w:r w:rsidRPr="00005401">
        <w:rPr>
          <w:rFonts w:ascii="Times New Roman" w:hAnsi="Times New Roman" w:cs="Times New Roman"/>
        </w:rPr>
        <w:t>tenés</w:t>
      </w:r>
      <w:proofErr w:type="spellEnd"/>
      <w:r w:rsidRPr="00005401">
        <w:rPr>
          <w:rFonts w:ascii="Times New Roman" w:hAnsi="Times New Roman" w:cs="Times New Roman"/>
        </w:rPr>
        <w:t xml:space="preserve"> a los profesores que se quedan protestando y quieren que los chicos sean distintos. No, los chicos son estos, si no te gusta y no </w:t>
      </w:r>
      <w:proofErr w:type="spellStart"/>
      <w:r w:rsidRPr="00005401">
        <w:rPr>
          <w:rFonts w:ascii="Times New Roman" w:hAnsi="Times New Roman" w:cs="Times New Roman"/>
        </w:rPr>
        <w:t>podés</w:t>
      </w:r>
      <w:proofErr w:type="spellEnd"/>
      <w:r w:rsidRPr="00005401">
        <w:rPr>
          <w:rFonts w:ascii="Times New Roman" w:hAnsi="Times New Roman" w:cs="Times New Roman"/>
        </w:rPr>
        <w:t xml:space="preserve"> adaptarte, y…, ellos tienen que saber igual. Lo único, es que hay que enseñarles distinto. (D4-LA)</w:t>
      </w:r>
    </w:p>
    <w:p w14:paraId="24DECAE7"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Esta posición puede caracterizarse como de reconocimiento de las y los estudiantes en tanto punto de referencia central que orienta las intervenciones pedagógicas. En línea con Fraser (2023), el reconocimiento se entiende como un componente de la justicia social que supone validar la diferencia sin </w:t>
      </w:r>
      <w:proofErr w:type="spellStart"/>
      <w:r w:rsidRPr="00005401">
        <w:rPr>
          <w:rFonts w:ascii="Times New Roman" w:hAnsi="Times New Roman" w:cs="Times New Roman"/>
        </w:rPr>
        <w:t>esencializarla</w:t>
      </w:r>
      <w:proofErr w:type="spellEnd"/>
      <w:r w:rsidRPr="00005401">
        <w:rPr>
          <w:rFonts w:ascii="Times New Roman" w:hAnsi="Times New Roman" w:cs="Times New Roman"/>
        </w:rPr>
        <w:t xml:space="preserve">, articulado inseparablemente con la redistribución, dado que las diferencias están atravesadas por desigualdades estructurales. Reconocer implica atender las condiciones sociales y culturales que configuran las subjetividades estudiantiles no para adaptarse pasivamente a ellas, sino para intervenir en clave formativa, ampliando las posibilidades de apropiación de saberes. Así, el punto de </w:t>
      </w:r>
      <w:r w:rsidRPr="00005401">
        <w:rPr>
          <w:rFonts w:ascii="Times New Roman" w:hAnsi="Times New Roman" w:cs="Times New Roman"/>
        </w:rPr>
        <w:lastRenderedPageBreak/>
        <w:t>partida no es un juicio deficitario, sino la constatación de diferencias que interpelan la propia práctica.</w:t>
      </w:r>
    </w:p>
    <w:p w14:paraId="121AD1D1" w14:textId="6B4EE35F" w:rsidR="00005401" w:rsidRPr="00005401" w:rsidRDefault="00005401" w:rsidP="00005401">
      <w:pPr>
        <w:spacing w:before="200" w:after="140"/>
        <w:rPr>
          <w:rFonts w:ascii="Times New Roman" w:hAnsi="Times New Roman" w:cs="Times New Roman"/>
        </w:rPr>
      </w:pPr>
      <w:r w:rsidRPr="00005401">
        <w:rPr>
          <w:rFonts w:ascii="Times New Roman" w:hAnsi="Times New Roman" w:cs="Times New Roman"/>
          <w:b/>
          <w:bCs/>
        </w:rPr>
        <w:t xml:space="preserve">2.1. </w:t>
      </w:r>
      <w:proofErr w:type="spellStart"/>
      <w:r w:rsidRPr="00005401">
        <w:rPr>
          <w:rFonts w:ascii="Times New Roman" w:hAnsi="Times New Roman" w:cs="Times New Roman"/>
          <w:b/>
          <w:bCs/>
        </w:rPr>
        <w:t>Hiperconectividad</w:t>
      </w:r>
      <w:proofErr w:type="spellEnd"/>
      <w:r w:rsidRPr="00005401">
        <w:rPr>
          <w:rFonts w:ascii="Times New Roman" w:hAnsi="Times New Roman" w:cs="Times New Roman"/>
          <w:b/>
          <w:bCs/>
        </w:rPr>
        <w:t xml:space="preserve">, vínculos y </w:t>
      </w:r>
      <w:r w:rsidR="005C377B">
        <w:rPr>
          <w:rFonts w:ascii="Times New Roman" w:hAnsi="Times New Roman" w:cs="Times New Roman"/>
          <w:b/>
          <w:bCs/>
        </w:rPr>
        <w:t xml:space="preserve">modos de </w:t>
      </w:r>
      <w:r w:rsidRPr="00005401">
        <w:rPr>
          <w:rFonts w:ascii="Times New Roman" w:hAnsi="Times New Roman" w:cs="Times New Roman"/>
          <w:b/>
          <w:bCs/>
        </w:rPr>
        <w:t>“poner el cuerpo”</w:t>
      </w:r>
    </w:p>
    <w:p w14:paraId="29F006DC" w14:textId="6B43F1F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Entre los rasgos que generan preocupación, las y los docentes señalan los modos en que </w:t>
      </w:r>
      <w:r w:rsidR="005C377B">
        <w:rPr>
          <w:rFonts w:ascii="Times New Roman" w:hAnsi="Times New Roman" w:cs="Times New Roman"/>
        </w:rPr>
        <w:t xml:space="preserve">perciben cómo </w:t>
      </w:r>
      <w:r w:rsidRPr="00005401">
        <w:rPr>
          <w:rFonts w:ascii="Times New Roman" w:hAnsi="Times New Roman" w:cs="Times New Roman"/>
        </w:rPr>
        <w:t xml:space="preserve">la </w:t>
      </w:r>
      <w:proofErr w:type="spellStart"/>
      <w:r w:rsidRPr="00005401">
        <w:rPr>
          <w:rFonts w:ascii="Times New Roman" w:hAnsi="Times New Roman" w:cs="Times New Roman"/>
        </w:rPr>
        <w:t>hiperconectividad</w:t>
      </w:r>
      <w:proofErr w:type="spellEnd"/>
      <w:r w:rsidRPr="00005401">
        <w:rPr>
          <w:rFonts w:ascii="Times New Roman" w:hAnsi="Times New Roman" w:cs="Times New Roman"/>
        </w:rPr>
        <w:t xml:space="preserve"> digital y cierta fragilización de los vínculos por fuera de ella permean la condición estudiantil. La dificultad para “poner el cuerpo” </w:t>
      </w:r>
      <w:r w:rsidR="005C377B">
        <w:rPr>
          <w:rFonts w:ascii="Times New Roman" w:hAnsi="Times New Roman" w:cs="Times New Roman"/>
        </w:rPr>
        <w:t>–</w:t>
      </w:r>
      <w:r w:rsidRPr="00005401">
        <w:rPr>
          <w:rFonts w:ascii="Times New Roman" w:hAnsi="Times New Roman" w:cs="Times New Roman"/>
        </w:rPr>
        <w:t>para inscribirse activamente en situaciones que demandan participación directa y presencial</w:t>
      </w:r>
      <w:r w:rsidR="005C377B">
        <w:rPr>
          <w:rFonts w:ascii="Times New Roman" w:hAnsi="Times New Roman" w:cs="Times New Roman"/>
        </w:rPr>
        <w:t>–</w:t>
      </w:r>
      <w:r w:rsidRPr="00005401">
        <w:rPr>
          <w:rFonts w:ascii="Times New Roman" w:hAnsi="Times New Roman" w:cs="Times New Roman"/>
        </w:rPr>
        <w:t xml:space="preserve"> aparece como tema recurrente:</w:t>
      </w:r>
    </w:p>
    <w:p w14:paraId="7843E7C8" w14:textId="0C72837C"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Un chico de quinto año, hoy me consulta porque está buscando directora de Tesis Final de Licenciatura, y me pregunta ¿le escribo un mail, le escribo por WhatsApp? O sea, es como que necesitan ayuda para vincularse. (…) Necesitan ayuda para vincularse, no para entender una bisectriz uniáxica. (…) Lo veo en lo vincular</w:t>
      </w:r>
      <w:r w:rsidR="005C377B">
        <w:rPr>
          <w:rFonts w:ascii="Times New Roman" w:hAnsi="Times New Roman" w:cs="Times New Roman"/>
        </w:rPr>
        <w:t>…</w:t>
      </w:r>
      <w:r w:rsidRPr="00005401">
        <w:rPr>
          <w:rFonts w:ascii="Times New Roman" w:hAnsi="Times New Roman" w:cs="Times New Roman"/>
        </w:rPr>
        <w:t>, están como rotos. (D1-LG)</w:t>
      </w:r>
    </w:p>
    <w:p w14:paraId="06B4CA4A" w14:textId="791DCF38" w:rsidR="005C377B" w:rsidRDefault="00005401" w:rsidP="00005401">
      <w:pPr>
        <w:spacing w:after="120"/>
        <w:jc w:val="both"/>
        <w:rPr>
          <w:rFonts w:ascii="Times New Roman" w:hAnsi="Times New Roman" w:cs="Times New Roman"/>
        </w:rPr>
      </w:pPr>
      <w:r w:rsidRPr="00005401">
        <w:rPr>
          <w:rFonts w:ascii="Times New Roman" w:hAnsi="Times New Roman" w:cs="Times New Roman"/>
        </w:rPr>
        <w:t>Las percepciones dan cuenta de cambios en los modos de socialización, donde las interacciones virtuales han desplazado en parte a las presenciales. E</w:t>
      </w:r>
      <w:r w:rsidR="005C377B">
        <w:rPr>
          <w:rFonts w:ascii="Times New Roman" w:hAnsi="Times New Roman" w:cs="Times New Roman"/>
        </w:rPr>
        <w:t>n la lectura docente ello</w:t>
      </w:r>
      <w:r w:rsidRPr="00005401">
        <w:rPr>
          <w:rFonts w:ascii="Times New Roman" w:hAnsi="Times New Roman" w:cs="Times New Roman"/>
        </w:rPr>
        <w:t xml:space="preserve"> configura una paradoja</w:t>
      </w:r>
      <w:r w:rsidR="005C377B">
        <w:rPr>
          <w:rFonts w:ascii="Times New Roman" w:hAnsi="Times New Roman" w:cs="Times New Roman"/>
        </w:rPr>
        <w:t xml:space="preserve">, </w:t>
      </w:r>
      <w:r w:rsidR="0028528F">
        <w:rPr>
          <w:rFonts w:ascii="Times New Roman" w:hAnsi="Times New Roman" w:cs="Times New Roman"/>
        </w:rPr>
        <w:t>ya que,</w:t>
      </w:r>
      <w:r w:rsidRPr="00005401">
        <w:rPr>
          <w:rFonts w:ascii="Times New Roman" w:hAnsi="Times New Roman" w:cs="Times New Roman"/>
        </w:rPr>
        <w:t xml:space="preserve"> si bien las competencias asociadas a la virtualidad podrían favorecer la autonomía en el acceso al conocimiento, también operan como barrera que, al ofrecer control y resguardo, restringe la construcción de vínculos en los espacios presenciales. </w:t>
      </w:r>
    </w:p>
    <w:p w14:paraId="601FD6E5" w14:textId="3FD5C35E"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En este escenario, enseñar se presenta menos como transmisión sistemática de un corpus y más como la necesidad de “atrapar” o “seducir” a un estudiantado cuya atención parece más volátil, configurando un modo de entender el papel docente en clave de performance:</w:t>
      </w:r>
    </w:p>
    <w:p w14:paraId="4083F71E"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Estar en un aula con estos estudiantes implica todo un trabajo (…). Tenemos que llevar nuestra práctica docente a algo más similar a esos videos que vemos en YouTube. Entonces, tenemos que ser tipo presentadores de videos (…), hablar rápido con un PowerPoint con cuatrocientas diapositivas (…), ir poniendo cosas que vayan pasando continuamente para cargarlas de estímulo. (D2-LG)</w:t>
      </w:r>
    </w:p>
    <w:p w14:paraId="21AC1144"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O sea, ellos si están aburridos se levantan y se van, y es algo normal. (…) Lo expresan con apatía, con aburrimiento, con un “me levanto y me paro, y me voy de la clase” sin ningún problema. Y sin pensar que es una falta de respeto, eso es lo peor. (D2-LA)</w:t>
      </w:r>
    </w:p>
    <w:p w14:paraId="611F2F99"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Estos fenómenos son interpretados por los propios docentes menos como actos de desobediencia que como una reconfiguración de los vínculos de autoridad en la </w:t>
      </w:r>
      <w:r w:rsidRPr="00005401">
        <w:rPr>
          <w:rFonts w:ascii="Times New Roman" w:hAnsi="Times New Roman" w:cs="Times New Roman"/>
        </w:rPr>
        <w:lastRenderedPageBreak/>
        <w:t>universidad (</w:t>
      </w:r>
      <w:proofErr w:type="spellStart"/>
      <w:r w:rsidRPr="00005401">
        <w:rPr>
          <w:rFonts w:ascii="Times New Roman" w:hAnsi="Times New Roman" w:cs="Times New Roman"/>
        </w:rPr>
        <w:t>Pierella</w:t>
      </w:r>
      <w:proofErr w:type="spellEnd"/>
      <w:r w:rsidRPr="00005401">
        <w:rPr>
          <w:rFonts w:ascii="Times New Roman" w:hAnsi="Times New Roman" w:cs="Times New Roman"/>
        </w:rPr>
        <w:t xml:space="preserve">, 2014). En relación con estas dinámicas, cobran valor las experiencias que rompen con la lógica de la </w:t>
      </w:r>
      <w:proofErr w:type="spellStart"/>
      <w:r w:rsidRPr="00005401">
        <w:rPr>
          <w:rFonts w:ascii="Times New Roman" w:hAnsi="Times New Roman" w:cs="Times New Roman"/>
        </w:rPr>
        <w:t>hiperconectividad</w:t>
      </w:r>
      <w:proofErr w:type="spellEnd"/>
      <w:r w:rsidRPr="00005401">
        <w:rPr>
          <w:rFonts w:ascii="Times New Roman" w:hAnsi="Times New Roman" w:cs="Times New Roman"/>
        </w:rPr>
        <w:t xml:space="preserve"> y habilitan otros vínculos:</w:t>
      </w:r>
    </w:p>
    <w:p w14:paraId="0471EEE1" w14:textId="6C8AC5B5"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El viaje de campo que hacemos a La Rioja lo hacemos en un campamento (…) en donde no hay señal. Estamos diez días ahí (…). Y, es muy raro lo que pasa</w:t>
      </w:r>
      <w:r w:rsidR="005C377B">
        <w:rPr>
          <w:rFonts w:ascii="Times New Roman" w:hAnsi="Times New Roman" w:cs="Times New Roman"/>
        </w:rPr>
        <w:t>,</w:t>
      </w:r>
      <w:r w:rsidRPr="00005401">
        <w:rPr>
          <w:rFonts w:ascii="Times New Roman" w:hAnsi="Times New Roman" w:cs="Times New Roman"/>
        </w:rPr>
        <w:t xml:space="preserve"> porque muchas veces dicen, empecé a hablar con gente que no me hablaba nunca. (…) es llevarlos al siglo XX, a cómo era antes. (D3-LG)</w:t>
      </w:r>
    </w:p>
    <w:p w14:paraId="21E5EF9A" w14:textId="18A8EF99" w:rsidR="00005401" w:rsidRPr="00005401" w:rsidRDefault="00005401" w:rsidP="00005401">
      <w:pPr>
        <w:spacing w:before="200" w:after="140"/>
        <w:rPr>
          <w:rFonts w:ascii="Times New Roman" w:hAnsi="Times New Roman" w:cs="Times New Roman"/>
        </w:rPr>
      </w:pPr>
      <w:r w:rsidRPr="00005401">
        <w:rPr>
          <w:rFonts w:ascii="Times New Roman" w:hAnsi="Times New Roman" w:cs="Times New Roman"/>
          <w:b/>
          <w:bCs/>
        </w:rPr>
        <w:t xml:space="preserve">2.2. Ansiedad, </w:t>
      </w:r>
      <w:r w:rsidR="005C377B">
        <w:rPr>
          <w:rFonts w:ascii="Times New Roman" w:hAnsi="Times New Roman" w:cs="Times New Roman"/>
          <w:b/>
          <w:bCs/>
        </w:rPr>
        <w:t>incertidumbre</w:t>
      </w:r>
      <w:r w:rsidRPr="00005401">
        <w:rPr>
          <w:rFonts w:ascii="Times New Roman" w:hAnsi="Times New Roman" w:cs="Times New Roman"/>
          <w:b/>
          <w:bCs/>
        </w:rPr>
        <w:t xml:space="preserve"> y </w:t>
      </w:r>
      <w:r w:rsidR="005C377B">
        <w:rPr>
          <w:rFonts w:ascii="Times New Roman" w:hAnsi="Times New Roman" w:cs="Times New Roman"/>
          <w:b/>
          <w:bCs/>
        </w:rPr>
        <w:t>fragilidad</w:t>
      </w:r>
      <w:r w:rsidRPr="00005401">
        <w:rPr>
          <w:rFonts w:ascii="Times New Roman" w:hAnsi="Times New Roman" w:cs="Times New Roman"/>
          <w:b/>
          <w:bCs/>
        </w:rPr>
        <w:t xml:space="preserve"> </w:t>
      </w:r>
      <w:r w:rsidR="005C377B">
        <w:rPr>
          <w:rFonts w:ascii="Times New Roman" w:hAnsi="Times New Roman" w:cs="Times New Roman"/>
          <w:b/>
          <w:bCs/>
        </w:rPr>
        <w:t>como rasgos de época</w:t>
      </w:r>
    </w:p>
    <w:p w14:paraId="0D25B3D3"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Las entrevistas registran también una subjetividad marcada por la ansiedad, cierta fragilidad frente a la frustración y una fuerte dependencia de organizadores externos que otorguen seguridad o reduzcan la incertidumbre. La relación con la dificultad es leída como un rasgo generacional atravesado por la cultura de la inmediatez, que reduce la tolerancia al fracaso, e intensificada por la incertidumbre frente a un futuro de precarización laboral:</w:t>
      </w:r>
    </w:p>
    <w:p w14:paraId="7A706710"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Un alumno que pide todo el tiempo ser motivado, que, si no le estás detrás, bueno, se frustra (…). Una palabra que por ahí lo resume un poco, ansiedad pura, ansiedad. El alumno de Administración de quinto año es ansiedad cien por ciento (…), pero pobre, porque realmente es como mil millones de cosas en la cabeza. (D2-LA)</w:t>
      </w:r>
    </w:p>
    <w:p w14:paraId="452EC09B"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A ello se suma el debilitamiento de las elecciones “para toda la vida” y una mayor fragilidad de los vínculos con la carrera, la universidad y la vocación, que algunos docentes nombran como volatilidad:</w:t>
      </w:r>
    </w:p>
    <w:p w14:paraId="2D9FD473"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Hay una volatilidad. Aun cuando están estudiando la carrera. (…) Hoy los chicos, si la terminan en cinco, seis, siete años, no importa. Si la dejan y después la vuelven a empezar, no les importa. Si la dejan y después hacen otra cosa, no les importa. Yo esa es la volatilidad que veo. (D3-LA)</w:t>
      </w:r>
    </w:p>
    <w:p w14:paraId="67A606F5" w14:textId="1D83A608"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Estas lecturas, sin embargo, se desplazan de explicaciones centradas solo en lo individual para situarse en una matriz cultural y social más amplia. Como advierten distintos aportes que iluminan estas configuraciones </w:t>
      </w:r>
      <w:r w:rsidR="005C377B">
        <w:rPr>
          <w:rFonts w:ascii="Times New Roman" w:hAnsi="Times New Roman" w:cs="Times New Roman"/>
        </w:rPr>
        <w:t>–</w:t>
      </w:r>
      <w:r w:rsidRPr="00005401">
        <w:rPr>
          <w:rFonts w:ascii="Times New Roman" w:hAnsi="Times New Roman" w:cs="Times New Roman"/>
        </w:rPr>
        <w:t xml:space="preserve">desde el análisis de las subjetividades contemporáneas de </w:t>
      </w:r>
      <w:proofErr w:type="spellStart"/>
      <w:r w:rsidRPr="00005401">
        <w:rPr>
          <w:rFonts w:ascii="Times New Roman" w:hAnsi="Times New Roman" w:cs="Times New Roman"/>
        </w:rPr>
        <w:t>Sibilia</w:t>
      </w:r>
      <w:proofErr w:type="spellEnd"/>
      <w:r w:rsidRPr="00005401">
        <w:rPr>
          <w:rFonts w:ascii="Times New Roman" w:hAnsi="Times New Roman" w:cs="Times New Roman"/>
        </w:rPr>
        <w:t xml:space="preserve"> (citada en Morandi y Gallo, 2018) hasta la categoría de “juventud fronteriza” de Giroux (1996)</w:t>
      </w:r>
      <w:r w:rsidR="005C377B" w:rsidRPr="005C377B">
        <w:rPr>
          <w:rFonts w:ascii="Times New Roman" w:hAnsi="Times New Roman" w:cs="Times New Roman"/>
        </w:rPr>
        <w:t xml:space="preserve"> </w:t>
      </w:r>
      <w:r w:rsidR="005C377B">
        <w:rPr>
          <w:rFonts w:ascii="Times New Roman" w:hAnsi="Times New Roman" w:cs="Times New Roman"/>
        </w:rPr>
        <w:t>–</w:t>
      </w:r>
      <w:r w:rsidRPr="00005401">
        <w:rPr>
          <w:rFonts w:ascii="Times New Roman" w:hAnsi="Times New Roman" w:cs="Times New Roman"/>
        </w:rPr>
        <w:t>, la experiencia juvenil se conforma hoy en un espacio atravesado por la fragmentación, la transitoriedad y la velocidad, en un contexto que multiplica las diferencias mientras precariza las condiciones materiales y simbólicas para la construcción de subjetividades autónomas y críticas.</w:t>
      </w:r>
    </w:p>
    <w:p w14:paraId="6765D445" w14:textId="77777777" w:rsidR="00005401" w:rsidRPr="00005401" w:rsidRDefault="00005401" w:rsidP="00005401">
      <w:pPr>
        <w:spacing w:before="200" w:after="140"/>
        <w:rPr>
          <w:rFonts w:ascii="Times New Roman" w:hAnsi="Times New Roman" w:cs="Times New Roman"/>
        </w:rPr>
      </w:pPr>
      <w:r w:rsidRPr="00005401">
        <w:rPr>
          <w:rFonts w:ascii="Times New Roman" w:hAnsi="Times New Roman" w:cs="Times New Roman"/>
          <w:b/>
          <w:bCs/>
        </w:rPr>
        <w:t>2.3. Creatividad, horizontalidad y nuevas identidades</w:t>
      </w:r>
    </w:p>
    <w:p w14:paraId="488D5127"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lastRenderedPageBreak/>
        <w:t>Junto a estos rasgos, en buena parte de las entrevistas las y los estudiantes son caracterizados como sujetos poseedores de mayor creatividad y ductilidad, más críticos y cuestionadores, con mayor conciencia de sus derechos y expectativas respecto de su formación. Esta valoración no se configura en términos de oposiciones dicotómicas entre lo “positivo” y lo “negativo”, sino desde una disposición a problematizar y comprender las configuraciones emergentes:</w:t>
      </w:r>
    </w:p>
    <w:p w14:paraId="706F2932"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Siempre odié a las personas que me decían no, porque en mi época no… (…) así como tienen esto, tienen otras fortalezas infinitamente superiores a las que yo habré tenido. Un poder de adaptabilidad absolutamente superior al mío (…), la capacidad de saltar, de mucha liviandad, algo muy light, que puede servir como un defecto, pero es una virtud en muchísimos aspectos. (D1-LG)</w:t>
      </w:r>
    </w:p>
    <w:p w14:paraId="738C4FCF"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Un aspecto valorado es la percepción de una mayor horizontalidad en los vínculos del aula, que habilita conversaciones más abiertas y mayor libertad para expresar observaciones críticas sobre las propuestas de enseñanza:</w:t>
      </w:r>
    </w:p>
    <w:p w14:paraId="68DEA0B9"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Hace veinte o veinte y pico de años, yo no le hubiera hablado al titular de una cátedra en la forma que me hablan los pibes. Y me parece que es espectacular. La horizontalidad a la que están acostumbrados y a la que nos están acostumbrando me parece que es espectacular. (…) Eso, no lo hemos logrado nosotros, lo han logrado los estudiantes. (D1-LA)</w:t>
      </w:r>
    </w:p>
    <w:p w14:paraId="3FC8C208"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Y ni hablar de todas las identidades en términos de identidad de género. Veo que cada vez más hay identidades que antes no existían, no es solo que no existían, sino que no se permitían ser en el ámbito universitario. (D1-LA)</w:t>
      </w:r>
    </w:p>
    <w:p w14:paraId="13C88B2B"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Las percepciones recuperadas dan cuenta, en síntesis, de un modo particular de ser y estar de los y las estudiantes, configurado en estrecha relación con las transformaciones socioculturales. Esa configuración tensiona los dispositivos pedagógicos tradicionales, que presuponen tiempos largos, vínculos estables y un compromiso activo con el conocimiento; y, al mismo tiempo, interpela a pensar otros modos de acompañar para que esas subjetividades puedan reconfigurar su relación con el saber, con la universidad y con los otros.</w:t>
      </w:r>
    </w:p>
    <w:p w14:paraId="0F8FB76E" w14:textId="77777777" w:rsidR="00005401" w:rsidRPr="00005401" w:rsidRDefault="00005401" w:rsidP="00005401">
      <w:pPr>
        <w:spacing w:before="280" w:after="140"/>
        <w:rPr>
          <w:rFonts w:ascii="Times New Roman" w:hAnsi="Times New Roman" w:cs="Times New Roman"/>
        </w:rPr>
      </w:pPr>
      <w:r w:rsidRPr="00005401">
        <w:rPr>
          <w:rFonts w:ascii="Times New Roman" w:hAnsi="Times New Roman" w:cs="Times New Roman"/>
          <w:b/>
          <w:bCs/>
        </w:rPr>
        <w:t>3. Entre la autonomía y la asistencia</w:t>
      </w:r>
    </w:p>
    <w:p w14:paraId="177CC364" w14:textId="3E4676FA"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La condición estudiantil es reconocida como punto de partida de la práctica docente, pero es también una condición que interroga, desconcierta y tensiona, a veces de maneras dilemáticas, en relación con los propios objetivos de formación y las representaciones sobre lo que significa aprender y estudiar en la universidad. En los testimonios no se cuestiona la inclusión ni la heterogeneidad estudiantil que ella trae consigo </w:t>
      </w:r>
      <w:r w:rsidR="00D245F8">
        <w:rPr>
          <w:rFonts w:ascii="Times New Roman" w:hAnsi="Times New Roman" w:cs="Times New Roman"/>
        </w:rPr>
        <w:t>–</w:t>
      </w:r>
      <w:r w:rsidRPr="00005401">
        <w:rPr>
          <w:rFonts w:ascii="Times New Roman" w:hAnsi="Times New Roman" w:cs="Times New Roman"/>
        </w:rPr>
        <w:t xml:space="preserve">a las políticas </w:t>
      </w:r>
      <w:r w:rsidRPr="00005401">
        <w:rPr>
          <w:rFonts w:ascii="Times New Roman" w:hAnsi="Times New Roman" w:cs="Times New Roman"/>
        </w:rPr>
        <w:lastRenderedPageBreak/>
        <w:t>de inclusión adhiere la totalidad de las y los entrevistados</w:t>
      </w:r>
      <w:r w:rsidR="00D245F8">
        <w:rPr>
          <w:rFonts w:ascii="Times New Roman" w:hAnsi="Times New Roman" w:cs="Times New Roman"/>
        </w:rPr>
        <w:t>–</w:t>
      </w:r>
      <w:r w:rsidRPr="00005401">
        <w:rPr>
          <w:rFonts w:ascii="Times New Roman" w:hAnsi="Times New Roman" w:cs="Times New Roman"/>
        </w:rPr>
        <w:t>, pero sí se problematizan los modos de promoverla y el alcance con que el gesto de acomodación debiera reconfigurar los procesos de formación, particularmente en relación con la profundidad y calidad de un tipo de conocimiento que se sigue considerando inherente a la tarea universitaria.</w:t>
      </w:r>
    </w:p>
    <w:p w14:paraId="2860914C"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Uno de los aspectos más recurrentes remite a la percepción de una mayor demanda de asistencia: la demanda de procesos más estructurados, simplificados y ordenados, con menor autonomía en la construcción de las trayectorias académicas. En el aula, ello se traduce en lo que muchos nombran como una mayor escolarización de las conductas estudiantiles:</w:t>
      </w:r>
    </w:p>
    <w:p w14:paraId="1BB2CC68" w14:textId="7279BC41"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 xml:space="preserve">A nosotros nos largaban las cosas y vos tenías que hacer, ir a buscar. Y ellos no, con todas las herramientas encima que tienen (…). Te piden, necesitan </w:t>
      </w:r>
      <w:r w:rsidR="00D245F8">
        <w:rPr>
          <w:rFonts w:ascii="Times New Roman" w:hAnsi="Times New Roman" w:cs="Times New Roman"/>
        </w:rPr>
        <w:t>–</w:t>
      </w:r>
      <w:r w:rsidRPr="00005401">
        <w:rPr>
          <w:rFonts w:ascii="Times New Roman" w:hAnsi="Times New Roman" w:cs="Times New Roman"/>
        </w:rPr>
        <w:t xml:space="preserve">nosotros le decimos baby </w:t>
      </w:r>
      <w:proofErr w:type="spellStart"/>
      <w:r w:rsidRPr="00005401">
        <w:rPr>
          <w:rFonts w:ascii="Times New Roman" w:hAnsi="Times New Roman" w:cs="Times New Roman"/>
        </w:rPr>
        <w:t>sitting</w:t>
      </w:r>
      <w:proofErr w:type="spellEnd"/>
      <w:r w:rsidR="00D245F8">
        <w:rPr>
          <w:rFonts w:ascii="Times New Roman" w:hAnsi="Times New Roman" w:cs="Times New Roman"/>
        </w:rPr>
        <w:t>–</w:t>
      </w:r>
      <w:r w:rsidRPr="00005401">
        <w:rPr>
          <w:rFonts w:ascii="Times New Roman" w:hAnsi="Times New Roman" w:cs="Times New Roman"/>
        </w:rPr>
        <w:t>, que los estén atendiendo todo el tiempo y les estén dando las cosas ahí servidas. (…) no sé, hay pocas cosas que vengan de ellos. Pero bueno, es lo que hay ahora, tenemos que acostumbrarnos a eso. (D3-LG)</w:t>
      </w:r>
    </w:p>
    <w:p w14:paraId="3558634F"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Uno se va mal acostumbrando a que los pibes necesitan esto. Entonces (…) ¿qué empecé a hacer yo? Mandarles mails (…) de qué página a qué página tienen que estudiar (…). El día que no mando mail no estudian. El otro día (…), ¡pero profe, usted no dijo que había que traer la hoja de calcar! (…) ¿Qué es ese comentario en la universidad de “usted no me avisó”? (D1-LG)</w:t>
      </w:r>
    </w:p>
    <w:p w14:paraId="1AE6AA03"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 xml:space="preserve">Ahora están, en ese sentido, escolarizados… necesitados de un orden que tiene que estar dado (…). Aparece otra cosa, pero bueno, a costa también de menor autonomía. (…) Son preguntas del secundario, ¿profesor está bien? Sí, claro que está bien. Si lo </w:t>
      </w:r>
      <w:proofErr w:type="spellStart"/>
      <w:r w:rsidRPr="00005401">
        <w:rPr>
          <w:rFonts w:ascii="Times New Roman" w:hAnsi="Times New Roman" w:cs="Times New Roman"/>
        </w:rPr>
        <w:t>hacés</w:t>
      </w:r>
      <w:proofErr w:type="spellEnd"/>
      <w:r w:rsidRPr="00005401">
        <w:rPr>
          <w:rFonts w:ascii="Times New Roman" w:hAnsi="Times New Roman" w:cs="Times New Roman"/>
        </w:rPr>
        <w:t xml:space="preserve"> vos, está bien. (D4-LS)</w:t>
      </w:r>
    </w:p>
    <w:p w14:paraId="1E15068A" w14:textId="620C21BE"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Esta creciente dependencia genera tensiones que oscilan entre el sostenimiento y la asistencia, por un lado, y la preocupación por promover la autonomía, por otro. En varias expresiones </w:t>
      </w:r>
      <w:r w:rsidR="00D245F8">
        <w:rPr>
          <w:rFonts w:ascii="Times New Roman" w:hAnsi="Times New Roman" w:cs="Times New Roman"/>
        </w:rPr>
        <w:t>–</w:t>
      </w:r>
      <w:r w:rsidRPr="00005401">
        <w:rPr>
          <w:rFonts w:ascii="Times New Roman" w:hAnsi="Times New Roman" w:cs="Times New Roman"/>
        </w:rPr>
        <w:t>particularmente de docentes mujeres</w:t>
      </w:r>
      <w:r w:rsidR="00D245F8">
        <w:rPr>
          <w:rFonts w:ascii="Times New Roman" w:hAnsi="Times New Roman" w:cs="Times New Roman"/>
        </w:rPr>
        <w:t>–</w:t>
      </w:r>
      <w:r w:rsidRPr="00005401">
        <w:rPr>
          <w:rFonts w:ascii="Times New Roman" w:hAnsi="Times New Roman" w:cs="Times New Roman"/>
        </w:rPr>
        <w:t xml:space="preserve"> emerge lo que puede interpretarse como una ética del cuidado, en la medida en que se posicionan frente a sus estudiantes desde el reconocimiento de sus contextos vitales y el esfuerzo por sostener vínculos personalizados y empáticos:</w:t>
      </w:r>
    </w:p>
    <w:p w14:paraId="27A8A09E"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 xml:space="preserve">Los estudiantes están pasando una época muy compleja, muy, muy compleja. Ellos tienen nuevas formas de estudiar que nosotros todavía no logramos pescarlas (…). Pero no nacieron de un repollo. Son hijos nuestros, nietos, sobrinos, lo que sea. (…) El estudiante cuando llega a la Facultad, vos ya </w:t>
      </w:r>
      <w:proofErr w:type="spellStart"/>
      <w:r w:rsidRPr="00005401">
        <w:rPr>
          <w:rFonts w:ascii="Times New Roman" w:hAnsi="Times New Roman" w:cs="Times New Roman"/>
        </w:rPr>
        <w:t>tenés</w:t>
      </w:r>
      <w:proofErr w:type="spellEnd"/>
      <w:r w:rsidRPr="00005401">
        <w:rPr>
          <w:rFonts w:ascii="Times New Roman" w:hAnsi="Times New Roman" w:cs="Times New Roman"/>
        </w:rPr>
        <w:t xml:space="preserve"> uno igual en tu casa. (D4-LA)</w:t>
      </w:r>
    </w:p>
    <w:p w14:paraId="0B26A7FE" w14:textId="0FFB4105"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lastRenderedPageBreak/>
        <w:t xml:space="preserve">La pregunta que subyace remite a cómo llevar adelante esa ética del cuidado sin que derive en paternalismo, en restar formación o en sobrecarga docente, y cómo traducirla en prácticas que fortalezcan la autonomía. En algunas afirmaciones se señala que las prácticas de apoyo pueden derivar en procesos de escolarización e incluso de infantilización que limitan el desarrollo de un pensamiento autónomo y crítico, y que ciertos perfiles estudiantiles </w:t>
      </w:r>
      <w:r w:rsidR="009108AC">
        <w:rPr>
          <w:rFonts w:ascii="Times New Roman" w:hAnsi="Times New Roman" w:cs="Times New Roman"/>
        </w:rPr>
        <w:t>pueden ser leídas</w:t>
      </w:r>
      <w:r w:rsidRPr="00005401">
        <w:rPr>
          <w:rFonts w:ascii="Times New Roman" w:hAnsi="Times New Roman" w:cs="Times New Roman"/>
        </w:rPr>
        <w:t xml:space="preserve">, en parte, </w:t>
      </w:r>
      <w:r w:rsidR="009108AC">
        <w:rPr>
          <w:rFonts w:ascii="Times New Roman" w:hAnsi="Times New Roman" w:cs="Times New Roman"/>
        </w:rPr>
        <w:t xml:space="preserve">como </w:t>
      </w:r>
      <w:r w:rsidRPr="00005401">
        <w:rPr>
          <w:rFonts w:ascii="Times New Roman" w:hAnsi="Times New Roman" w:cs="Times New Roman"/>
        </w:rPr>
        <w:t xml:space="preserve">una construcción </w:t>
      </w:r>
      <w:r w:rsidR="009108AC">
        <w:rPr>
          <w:rFonts w:ascii="Times New Roman" w:hAnsi="Times New Roman" w:cs="Times New Roman"/>
        </w:rPr>
        <w:t xml:space="preserve">configurada desde </w:t>
      </w:r>
      <w:r w:rsidRPr="00005401">
        <w:rPr>
          <w:rFonts w:ascii="Times New Roman" w:hAnsi="Times New Roman" w:cs="Times New Roman"/>
        </w:rPr>
        <w:t xml:space="preserve">la propia universidad </w:t>
      </w:r>
      <w:r w:rsidR="009108AC">
        <w:rPr>
          <w:rFonts w:ascii="Times New Roman" w:hAnsi="Times New Roman" w:cs="Times New Roman"/>
        </w:rPr>
        <w:t xml:space="preserve">en articulación con derivaciones en tensión de las propias </w:t>
      </w:r>
      <w:r w:rsidRPr="00005401">
        <w:rPr>
          <w:rFonts w:ascii="Times New Roman" w:hAnsi="Times New Roman" w:cs="Times New Roman"/>
        </w:rPr>
        <w:t>políticas de inclusión:</w:t>
      </w:r>
    </w:p>
    <w:p w14:paraId="65075F89" w14:textId="34FA0D72"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Chicos que dicen: usted me está maltratando. (…) Con una labilidad muy grande, como una necesidad de ser cuidados. (…) parece como que siguen necesitando asistencialismo. Entran con un nivel de niño de secundaria (…). Tu rol no es asistencial. Si bien hay que tener siempre en claro que estás vinculándote con otro ser humano, si tu energía va a lo asistencial, decae en lo otro. (D1-LG)</w:t>
      </w:r>
    </w:p>
    <w:p w14:paraId="66E907AC"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Algunas políticas pedagógicas que yo valoro muchísimo, pero que a la vez también, a veces, problematizo… Está bien acompañar, pero no estoy tan de acuerdo con bajar constantemente la vara en términos evaluativos (…). Porque (…) cada vez exigir menos, para mí también nos lleva a situaciones bastante peligrosas. (D2-LS)</w:t>
      </w:r>
    </w:p>
    <w:p w14:paraId="14D849D2" w14:textId="7EAA59E6"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Estas actitudes, percibidas como necesarias en algunos aspectos, se consideran contraproducentes en otros, al limitar capacidades inherentes a la formación universitaria. La idea de infantilización se vincula, a su vez, con procesos culturales más amplios que exceden el ámbito universitario. </w:t>
      </w:r>
      <w:proofErr w:type="spellStart"/>
      <w:r w:rsidRPr="00005401">
        <w:rPr>
          <w:rFonts w:ascii="Times New Roman" w:hAnsi="Times New Roman" w:cs="Times New Roman"/>
        </w:rPr>
        <w:t>Mastache</w:t>
      </w:r>
      <w:proofErr w:type="spellEnd"/>
      <w:r w:rsidRPr="00005401">
        <w:rPr>
          <w:rFonts w:ascii="Times New Roman" w:hAnsi="Times New Roman" w:cs="Times New Roman"/>
        </w:rPr>
        <w:t xml:space="preserve"> (2011) caracteriza al estudiantado contemporáneo como heterogéneo y atravesado por una cultura de fragmentación e individualismo, en la que la “moratoria social” prolonga la dependencia y dificulta compromisos sostenidos. Las posiciones docentes se encuentran así transitando un equilibrio complejo entre sostener la formación de sujetos autónomos y críticos sin que el acompañamiento reduzca las expectativas académicas, sino que las oriente hacia una formación significativa.</w:t>
      </w:r>
    </w:p>
    <w:p w14:paraId="4894CC30" w14:textId="77777777" w:rsidR="00005401" w:rsidRPr="00005401" w:rsidRDefault="00005401" w:rsidP="009108AC">
      <w:pPr>
        <w:spacing w:before="280" w:after="140"/>
        <w:jc w:val="both"/>
        <w:rPr>
          <w:rFonts w:ascii="Times New Roman" w:hAnsi="Times New Roman" w:cs="Times New Roman"/>
        </w:rPr>
      </w:pPr>
      <w:r w:rsidRPr="00005401">
        <w:rPr>
          <w:rFonts w:ascii="Times New Roman" w:hAnsi="Times New Roman" w:cs="Times New Roman"/>
          <w:b/>
          <w:bCs/>
        </w:rPr>
        <w:t>4. La relación con el saber: entre las tradiciones académicas y las nuevas apropiaciones</w:t>
      </w:r>
    </w:p>
    <w:p w14:paraId="0F6A318C" w14:textId="1FAFC61E"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Para situar las lecturas docentes sobre los vínculos de sus estudiantes con el conocimiento, se retoma el análisis de </w:t>
      </w:r>
      <w:proofErr w:type="spellStart"/>
      <w:r w:rsidRPr="00005401">
        <w:rPr>
          <w:rFonts w:ascii="Times New Roman" w:hAnsi="Times New Roman" w:cs="Times New Roman"/>
        </w:rPr>
        <w:t>Vercellino</w:t>
      </w:r>
      <w:proofErr w:type="spellEnd"/>
      <w:r w:rsidRPr="00005401">
        <w:rPr>
          <w:rFonts w:ascii="Times New Roman" w:hAnsi="Times New Roman" w:cs="Times New Roman"/>
        </w:rPr>
        <w:t xml:space="preserve"> (2015, 2021), </w:t>
      </w:r>
      <w:proofErr w:type="gramStart"/>
      <w:r w:rsidRPr="00005401">
        <w:rPr>
          <w:rFonts w:ascii="Times New Roman" w:hAnsi="Times New Roman" w:cs="Times New Roman"/>
        </w:rPr>
        <w:t>que</w:t>
      </w:r>
      <w:proofErr w:type="gramEnd"/>
      <w:r w:rsidRPr="00005401">
        <w:rPr>
          <w:rFonts w:ascii="Times New Roman" w:hAnsi="Times New Roman" w:cs="Times New Roman"/>
        </w:rPr>
        <w:t xml:space="preserve"> a partir de Chevallard, </w:t>
      </w:r>
      <w:proofErr w:type="spellStart"/>
      <w:r w:rsidRPr="00005401">
        <w:rPr>
          <w:rFonts w:ascii="Times New Roman" w:hAnsi="Times New Roman" w:cs="Times New Roman"/>
        </w:rPr>
        <w:t>Beillerot</w:t>
      </w:r>
      <w:proofErr w:type="spellEnd"/>
      <w:r w:rsidRPr="00005401">
        <w:rPr>
          <w:rFonts w:ascii="Times New Roman" w:hAnsi="Times New Roman" w:cs="Times New Roman"/>
        </w:rPr>
        <w:t xml:space="preserve"> y Charlot</w:t>
      </w:r>
      <w:r w:rsidR="009108AC">
        <w:rPr>
          <w:rFonts w:ascii="Times New Roman" w:hAnsi="Times New Roman" w:cs="Times New Roman"/>
        </w:rPr>
        <w:t>,</w:t>
      </w:r>
      <w:r w:rsidRPr="00005401">
        <w:rPr>
          <w:rFonts w:ascii="Times New Roman" w:hAnsi="Times New Roman" w:cs="Times New Roman"/>
        </w:rPr>
        <w:t xml:space="preserve"> propone desagregar la relación con el saber en tres dimensiones entrelazadas: los objetos de saber que se ofrecen al sujeto; las actividades cognitivas que este pone en juego para apropiarse de ellos; y la trama intersubjetiva en la que se reconfiguran tanto la oferta </w:t>
      </w:r>
      <w:r w:rsidRPr="00005401">
        <w:rPr>
          <w:rFonts w:ascii="Times New Roman" w:hAnsi="Times New Roman" w:cs="Times New Roman"/>
        </w:rPr>
        <w:lastRenderedPageBreak/>
        <w:t>de saberes como el deseo de saber. Desde este encuadre, las y los docentes se vinculan con estudiantes que portan una historia social, familiar y emocional previa sobre lo que significa aprender, que puede facilitar o bloquear la apropiación de contenidos.</w:t>
      </w:r>
    </w:p>
    <w:p w14:paraId="77FB6EBE" w14:textId="02F28151"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Cuando se indagan las </w:t>
      </w:r>
      <w:r w:rsidR="009108AC">
        <w:rPr>
          <w:rFonts w:ascii="Times New Roman" w:hAnsi="Times New Roman" w:cs="Times New Roman"/>
        </w:rPr>
        <w:t xml:space="preserve">percepciones docentes sobre las </w:t>
      </w:r>
      <w:r w:rsidRPr="00005401">
        <w:rPr>
          <w:rFonts w:ascii="Times New Roman" w:hAnsi="Times New Roman" w:cs="Times New Roman"/>
        </w:rPr>
        <w:t xml:space="preserve">relaciones de </w:t>
      </w:r>
      <w:r w:rsidR="009108AC">
        <w:rPr>
          <w:rFonts w:ascii="Times New Roman" w:hAnsi="Times New Roman" w:cs="Times New Roman"/>
        </w:rPr>
        <w:t>sus</w:t>
      </w:r>
      <w:r w:rsidRPr="00005401">
        <w:rPr>
          <w:rFonts w:ascii="Times New Roman" w:hAnsi="Times New Roman" w:cs="Times New Roman"/>
        </w:rPr>
        <w:t xml:space="preserve"> estudiantes con el saber, es también la propia concepción académica de </w:t>
      </w:r>
      <w:r w:rsidR="009108AC">
        <w:rPr>
          <w:rFonts w:ascii="Times New Roman" w:hAnsi="Times New Roman" w:cs="Times New Roman"/>
        </w:rPr>
        <w:t>é</w:t>
      </w:r>
      <w:r w:rsidRPr="00005401">
        <w:rPr>
          <w:rFonts w:ascii="Times New Roman" w:hAnsi="Times New Roman" w:cs="Times New Roman"/>
        </w:rPr>
        <w:t>ste y los modos de acceder al mismo lo que se pone en cuestión. La definición del saber no aparece como acabada ni estática frente a estudiantes que desafían su legitimidad a partir de experiencias alternativas de acceso a la información y modos novedosos de vincularse con el conocimiento, que privilegian la resolución práctica de problemas por sobre la teorización y el uso fluido de tecnologías digitales:</w:t>
      </w:r>
    </w:p>
    <w:p w14:paraId="03D479A5"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 xml:space="preserve">Ahora los pibes hacen clic en la clase, están con sus celulares (…). Cualquier cosa que </w:t>
      </w:r>
      <w:proofErr w:type="spellStart"/>
      <w:r w:rsidRPr="00005401">
        <w:rPr>
          <w:rFonts w:ascii="Times New Roman" w:hAnsi="Times New Roman" w:cs="Times New Roman"/>
        </w:rPr>
        <w:t>nombrás</w:t>
      </w:r>
      <w:proofErr w:type="spellEnd"/>
      <w:r w:rsidRPr="00005401">
        <w:rPr>
          <w:rFonts w:ascii="Times New Roman" w:hAnsi="Times New Roman" w:cs="Times New Roman"/>
        </w:rPr>
        <w:t xml:space="preserve"> que no sepan, lo googlean en el momento, te preguntan si eso está bien. O sea, hay una cuestión de inmediatez con el conocimiento que es muy distinta a la que teníamos nosotros. Pero no desmerezco esa inmediatez. (…) Yo creo que es otra manera de relacionarse con el conocimiento. (…) Pero no puedo decir que menosprecian el conocimiento. (D3-LS)</w:t>
      </w:r>
    </w:p>
    <w:p w14:paraId="094B63EB"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 xml:space="preserve">Creo que les falta mucha lectura (…), pero que, a cambio, están como al tanto de las cosas. (…) les </w:t>
      </w:r>
      <w:proofErr w:type="spellStart"/>
      <w:r w:rsidRPr="00005401">
        <w:rPr>
          <w:rFonts w:ascii="Times New Roman" w:hAnsi="Times New Roman" w:cs="Times New Roman"/>
        </w:rPr>
        <w:t>hablás</w:t>
      </w:r>
      <w:proofErr w:type="spellEnd"/>
      <w:r w:rsidRPr="00005401">
        <w:rPr>
          <w:rFonts w:ascii="Times New Roman" w:hAnsi="Times New Roman" w:cs="Times New Roman"/>
        </w:rPr>
        <w:t xml:space="preserve"> de metodologías ágiles y ya saben qué es. (…) eso está buenísimo, pero a cambio ya saben, y como ya saben, no van a estudiar. Entonces, me da un poco esa cosa. (D1-LA)</w:t>
      </w:r>
    </w:p>
    <w:p w14:paraId="2C44F1F5" w14:textId="2DF31259"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Frente a estas transformaciones, se manifiesta una incertidumbre respecto de cómo equilibrar la adaptación a nuevas prácticas de estudio con el sostenimiento de las exigencias académicas:</w:t>
      </w:r>
    </w:p>
    <w:p w14:paraId="6C0317B2"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Yo no tengo problema en hablar 4 horas, pero con suerte escuchan una tercera parte. (…) Hay algunas cosas que, desde mi punto de vista, son un poco irremplazables. (…) Como siempre, está la tensión entre lo que hay que transformar y lo que hay que conservar, lo que permanece y lo que se transforma. (D2-LS)</w:t>
      </w:r>
    </w:p>
    <w:p w14:paraId="4DB103BF"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 xml:space="preserve">¿Dónde está el desafío? Que yo la vara no la bajo (…). Y bueno, entonces, como yo no la bajo, tengo que subirlos a ellos, y eso requiere esfuerzo. </w:t>
      </w:r>
      <w:proofErr w:type="spellStart"/>
      <w:r w:rsidRPr="00005401">
        <w:rPr>
          <w:rFonts w:ascii="Times New Roman" w:hAnsi="Times New Roman" w:cs="Times New Roman"/>
        </w:rPr>
        <w:t>Podés</w:t>
      </w:r>
      <w:proofErr w:type="spellEnd"/>
      <w:r w:rsidRPr="00005401">
        <w:rPr>
          <w:rFonts w:ascii="Times New Roman" w:hAnsi="Times New Roman" w:cs="Times New Roman"/>
        </w:rPr>
        <w:t>, sin esfuerzo, dejarlos afuera o bajar la vara. La vara no la voy a bajar. Y por ahora todavía tengo energía para tratar de llevarlo. (D1-LG)</w:t>
      </w:r>
    </w:p>
    <w:p w14:paraId="1AE98870" w14:textId="77777777" w:rsidR="00005401" w:rsidRPr="00005401" w:rsidRDefault="00005401" w:rsidP="00005401">
      <w:pPr>
        <w:spacing w:before="200" w:after="140"/>
        <w:rPr>
          <w:rFonts w:ascii="Times New Roman" w:hAnsi="Times New Roman" w:cs="Times New Roman"/>
        </w:rPr>
      </w:pPr>
      <w:r w:rsidRPr="00005401">
        <w:rPr>
          <w:rFonts w:ascii="Times New Roman" w:hAnsi="Times New Roman" w:cs="Times New Roman"/>
          <w:b/>
          <w:bCs/>
        </w:rPr>
        <w:t>4.1. Lectura, escritura y nuevas alfabetizaciones</w:t>
      </w:r>
    </w:p>
    <w:p w14:paraId="0C23E032"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lastRenderedPageBreak/>
        <w:t>Las prácticas de lectura y escritura ocupan un lugar central en las inquietudes docentes, en tanto configuran fuertemente la relación con el saber. Se observa un progresivo abandono de la lectura de textos académicos y mayores dificultades para sostenerla, con abordajes más superficiales o “en diagonal”:</w:t>
      </w:r>
    </w:p>
    <w:p w14:paraId="575C97C8"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Hay dificultades serias de escritura, que tienen que ver con el uso estructural de la lengua. (…) Hay poca lectura hace años (…); lo más probable es que hayan leído solo el texto que les tocó y lo más probable también es que lo hayan leído en diagonal, no disfrutando, no saboreando. (D1-LS)</w:t>
      </w:r>
    </w:p>
    <w:p w14:paraId="1637C7A6" w14:textId="6926B7F4"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Estas dificultades no se leen necesariamente como un debilitamiento de las aptitudes intelectuales. Como plantea </w:t>
      </w:r>
      <w:proofErr w:type="spellStart"/>
      <w:r w:rsidRPr="00005401">
        <w:rPr>
          <w:rFonts w:ascii="Times New Roman" w:hAnsi="Times New Roman" w:cs="Times New Roman"/>
        </w:rPr>
        <w:t>Palmucci</w:t>
      </w:r>
      <w:proofErr w:type="spellEnd"/>
      <w:r w:rsidRPr="00005401">
        <w:rPr>
          <w:rFonts w:ascii="Times New Roman" w:hAnsi="Times New Roman" w:cs="Times New Roman"/>
        </w:rPr>
        <w:t xml:space="preserve"> (2024), las habilidades de lectura y escritura no pueden darse por supuestas ni atribuirse solo a la formación previa</w:t>
      </w:r>
      <w:r w:rsidR="006E34D0">
        <w:rPr>
          <w:rFonts w:ascii="Times New Roman" w:hAnsi="Times New Roman" w:cs="Times New Roman"/>
        </w:rPr>
        <w:t>, sino que</w:t>
      </w:r>
      <w:r w:rsidRPr="00005401">
        <w:rPr>
          <w:rFonts w:ascii="Times New Roman" w:hAnsi="Times New Roman" w:cs="Times New Roman"/>
        </w:rPr>
        <w:t xml:space="preserve"> deben enseñarse de manera situada, vinculadas a las prácticas socioculturales de cada comunidad académica. La expansión de la cultura digital y de los textos multimodales ha modificado el acceso al conocimiento, incorporando lenguajes que combinan escritura, oralidad e imágenes y ampliando la noción tradicional de alfabetización. En sintonía, </w:t>
      </w:r>
      <w:proofErr w:type="spellStart"/>
      <w:r w:rsidRPr="00005401">
        <w:rPr>
          <w:rFonts w:ascii="Times New Roman" w:hAnsi="Times New Roman" w:cs="Times New Roman"/>
        </w:rPr>
        <w:t>Carli</w:t>
      </w:r>
      <w:proofErr w:type="spellEnd"/>
      <w:r w:rsidRPr="00005401">
        <w:rPr>
          <w:rFonts w:ascii="Times New Roman" w:hAnsi="Times New Roman" w:cs="Times New Roman"/>
        </w:rPr>
        <w:t xml:space="preserve"> (2018) propone pensar los dilemas actuales de la universidad a partir de la democratización del conocimiento, el reconocimiento de la pluralidad de saberes y la emergencia de nuevas alfabetizaciones, capaces de articular el conocimiento ilustrado propio de la tradición universitaria con las dinámicas interactivas y fragmentarias de las prácticas digitales, desde una perspectiva </w:t>
      </w:r>
      <w:proofErr w:type="spellStart"/>
      <w:r w:rsidRPr="00005401">
        <w:rPr>
          <w:rFonts w:ascii="Times New Roman" w:hAnsi="Times New Roman" w:cs="Times New Roman"/>
        </w:rPr>
        <w:t>antielitista</w:t>
      </w:r>
      <w:proofErr w:type="spellEnd"/>
      <w:r w:rsidRPr="00005401">
        <w:rPr>
          <w:rFonts w:ascii="Times New Roman" w:hAnsi="Times New Roman" w:cs="Times New Roman"/>
        </w:rPr>
        <w:t>.</w:t>
      </w:r>
    </w:p>
    <w:p w14:paraId="74F2E5AC"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A ello se suma la dimensión temporal. En un escenario que algunos autores asocian a la modernidad líquida (Bauman, 2003), la ansiedad por la inmediatez y la impaciencia frente a los procesos prolongados conviven con temporalidades múltiples y contradictorias: los tiempos largos de las carreras, los acelerados de las tecnologías, los que se perciben interminables en las clases magistrales. La organización de las “clases largas” se ve así cuestionada, y varios docentes ensayan estrategias de fragmentación del tiempo y diversificación de los espacios, sin renunciar a prácticas formativas que consideran irremplazables.</w:t>
      </w:r>
    </w:p>
    <w:p w14:paraId="2561E46F" w14:textId="77777777" w:rsidR="00005401" w:rsidRPr="00005401" w:rsidRDefault="00005401" w:rsidP="00005401">
      <w:pPr>
        <w:spacing w:before="200" w:after="140"/>
        <w:rPr>
          <w:rFonts w:ascii="Times New Roman" w:hAnsi="Times New Roman" w:cs="Times New Roman"/>
        </w:rPr>
      </w:pPr>
      <w:r w:rsidRPr="00005401">
        <w:rPr>
          <w:rFonts w:ascii="Times New Roman" w:hAnsi="Times New Roman" w:cs="Times New Roman"/>
          <w:b/>
          <w:bCs/>
        </w:rPr>
        <w:t>4.2. La irrupción de la inteligencia artificial generativa</w:t>
      </w:r>
    </w:p>
    <w:p w14:paraId="37852DFF" w14:textId="6723CFFE"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Una mención específica merece el modo en que, más recientemente, la inteligencia artificial generativa (IAG) interpela la enseñanza universitaria, planteando incertidumbre, tensiones y desafíos. Las respuestas son diversas</w:t>
      </w:r>
      <w:r w:rsidR="006E34D0">
        <w:rPr>
          <w:rFonts w:ascii="Times New Roman" w:hAnsi="Times New Roman" w:cs="Times New Roman"/>
        </w:rPr>
        <w:t>,</w:t>
      </w:r>
      <w:r w:rsidRPr="00005401">
        <w:rPr>
          <w:rFonts w:ascii="Times New Roman" w:hAnsi="Times New Roman" w:cs="Times New Roman"/>
        </w:rPr>
        <w:t xml:space="preserve"> algun</w:t>
      </w:r>
      <w:r w:rsidR="006E34D0">
        <w:rPr>
          <w:rFonts w:ascii="Times New Roman" w:hAnsi="Times New Roman" w:cs="Times New Roman"/>
        </w:rPr>
        <w:t>o</w:t>
      </w:r>
      <w:r w:rsidRPr="00005401">
        <w:rPr>
          <w:rFonts w:ascii="Times New Roman" w:hAnsi="Times New Roman" w:cs="Times New Roman"/>
        </w:rPr>
        <w:t>s</w:t>
      </w:r>
      <w:r w:rsidR="006E34D0">
        <w:rPr>
          <w:rFonts w:ascii="Times New Roman" w:hAnsi="Times New Roman" w:cs="Times New Roman"/>
        </w:rPr>
        <w:t>/as</w:t>
      </w:r>
      <w:r w:rsidRPr="00005401">
        <w:rPr>
          <w:rFonts w:ascii="Times New Roman" w:hAnsi="Times New Roman" w:cs="Times New Roman"/>
        </w:rPr>
        <w:t xml:space="preserve"> docentes comienzan a integrar su uso, mientras otros no han definido cómo incorporarlo. En algunos casos, se diseñan evaluaciones en las que los estudiantes no solo utilizan la IAG para resolver problemas, sino que también deben cuestionar y desafiar sus respuestas, en un uso reflexivo que la convierte en objeto de análisis dentro del proceso formativo:</w:t>
      </w:r>
    </w:p>
    <w:p w14:paraId="0B4267E8"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lastRenderedPageBreak/>
        <w:t xml:space="preserve">Ya el año pasado nos agarró </w:t>
      </w:r>
      <w:proofErr w:type="spellStart"/>
      <w:r w:rsidRPr="00005401">
        <w:rPr>
          <w:rFonts w:ascii="Times New Roman" w:hAnsi="Times New Roman" w:cs="Times New Roman"/>
        </w:rPr>
        <w:t>ChatGPT</w:t>
      </w:r>
      <w:proofErr w:type="spellEnd"/>
      <w:r w:rsidRPr="00005401">
        <w:rPr>
          <w:rFonts w:ascii="Times New Roman" w:hAnsi="Times New Roman" w:cs="Times New Roman"/>
        </w:rPr>
        <w:t xml:space="preserve"> (…) y desde el primer momento metimos </w:t>
      </w:r>
      <w:proofErr w:type="spellStart"/>
      <w:r w:rsidRPr="00005401">
        <w:rPr>
          <w:rFonts w:ascii="Times New Roman" w:hAnsi="Times New Roman" w:cs="Times New Roman"/>
        </w:rPr>
        <w:t>ChatGPT</w:t>
      </w:r>
      <w:proofErr w:type="spellEnd"/>
      <w:r w:rsidRPr="00005401">
        <w:rPr>
          <w:rFonts w:ascii="Times New Roman" w:hAnsi="Times New Roman" w:cs="Times New Roman"/>
        </w:rPr>
        <w:t xml:space="preserve"> (…). El segundo parcial ya lo hicimos con el uso de inteligencia artificial. O sea, básicamente les dimos un caso y les pedimos que lo resolvieran con inteligencia artificial, que después lo desafiaran (…) y que nos expusieran cuál era la respuesta que habían encontrado y qué era lo que ellos habían desafiado del caso. (D1-LA)</w:t>
      </w:r>
    </w:p>
    <w:p w14:paraId="0D98E1B6" w14:textId="524C439F"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Se identifica también una tensión en torno a la escritura académica</w:t>
      </w:r>
      <w:r w:rsidR="006E34D0">
        <w:rPr>
          <w:rFonts w:ascii="Times New Roman" w:hAnsi="Times New Roman" w:cs="Times New Roman"/>
        </w:rPr>
        <w:t xml:space="preserve"> en tanto</w:t>
      </w:r>
      <w:r w:rsidRPr="00005401">
        <w:rPr>
          <w:rFonts w:ascii="Times New Roman" w:hAnsi="Times New Roman" w:cs="Times New Roman"/>
        </w:rPr>
        <w:t xml:space="preserve"> se reconoce que las y los estudiantes recurren a la IAG para mejorar la redacción, a la vez que se advierte la dificultad de evaluar la originalidad. El dilema, sin embargo, no se plantea como control punitivo, sino como una redefinición de qué aspectos deben evaluarse en la producción escrita:</w:t>
      </w:r>
    </w:p>
    <w:p w14:paraId="3D17BFF6"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En general yo creo que lo usan, no como reemplazo de la lectura, pero sí para poder redactar mejor (…). Les dijimos que nosotros sabemos que apelan a este uso y queremos evitar tener que ser policías. No está bueno eso. Yo tengo la idea de que no son alumnos chantas (…). Ante esa dificultad encontraron ahí una herramienta de ayuda en esa redacción. (D2-LS)</w:t>
      </w:r>
    </w:p>
    <w:p w14:paraId="532C06B9"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La irrupción de la IAG cuestiona así tanto los mecanismos tradicionales de evaluación como la función docente, y abre la necesidad de pensar una enseñanza orientada a vínculos significativos con el saber y al acompañamiento en el aula. Algunas posiciones lo formulan como un retorno a la dimensión artesanal del oficio:</w:t>
      </w:r>
    </w:p>
    <w:p w14:paraId="5B0AD68D"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La solución de eso es el aula. (…) Volver justamente a la esencia de la educación. (…) Es un rol docente más de maestro que de profesor. No es el profesor, es el maestro, el artesanado. (…) mucho más dificultoso, porque no estamos preparados tampoco (…); nos hemos preparado para dar cuatro horas de teórico, eso lo hacemos bárbaro. (D4-LS)</w:t>
      </w:r>
    </w:p>
    <w:p w14:paraId="49D5B5EA" w14:textId="77777777" w:rsidR="00005401" w:rsidRPr="00005401" w:rsidRDefault="00005401" w:rsidP="00005401">
      <w:pPr>
        <w:spacing w:before="280" w:after="140"/>
        <w:rPr>
          <w:rFonts w:ascii="Times New Roman" w:hAnsi="Times New Roman" w:cs="Times New Roman"/>
        </w:rPr>
      </w:pPr>
      <w:r w:rsidRPr="00005401">
        <w:rPr>
          <w:rFonts w:ascii="Times New Roman" w:hAnsi="Times New Roman" w:cs="Times New Roman"/>
          <w:b/>
          <w:bCs/>
        </w:rPr>
        <w:t>5. Una posición de recreación crítica de la enseñanza</w:t>
      </w:r>
    </w:p>
    <w:p w14:paraId="26B0B1EB" w14:textId="25798D5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La valoración de la inclusión se traslada a una posición docente que se deja interpelar por la condición estudiantil y busca intervenciones comprometidas con el sostenimiento de las trayectorias. Se advierte así un tercer rasgo que configura las posiciones docentes</w:t>
      </w:r>
      <w:r w:rsidR="006E34D0">
        <w:rPr>
          <w:rFonts w:ascii="Times New Roman" w:hAnsi="Times New Roman" w:cs="Times New Roman"/>
        </w:rPr>
        <w:t>, que refiere a</w:t>
      </w:r>
      <w:r w:rsidRPr="00005401">
        <w:rPr>
          <w:rFonts w:ascii="Times New Roman" w:hAnsi="Times New Roman" w:cs="Times New Roman"/>
        </w:rPr>
        <w:t xml:space="preserve"> una disposición a la transformación y revisión continua, orientada a reorganizar la enseñanza y diseñar andamiajes que articulen de manera más efectiva a los sujetos con el conocimiento. Esta disposición se apoya en un dato significativo del trabajo de campo</w:t>
      </w:r>
      <w:r w:rsidR="006E34D0">
        <w:rPr>
          <w:rFonts w:ascii="Times New Roman" w:hAnsi="Times New Roman" w:cs="Times New Roman"/>
        </w:rPr>
        <w:t>, dado por</w:t>
      </w:r>
      <w:r w:rsidRPr="00005401">
        <w:rPr>
          <w:rFonts w:ascii="Times New Roman" w:hAnsi="Times New Roman" w:cs="Times New Roman"/>
        </w:rPr>
        <w:t xml:space="preserve"> una proporción importante de las y los entrevistados </w:t>
      </w:r>
      <w:r w:rsidR="006E34D0">
        <w:rPr>
          <w:rFonts w:ascii="Times New Roman" w:hAnsi="Times New Roman" w:cs="Times New Roman"/>
        </w:rPr>
        <w:t xml:space="preserve">que asumió </w:t>
      </w:r>
      <w:r w:rsidRPr="00005401">
        <w:rPr>
          <w:rFonts w:ascii="Times New Roman" w:hAnsi="Times New Roman" w:cs="Times New Roman"/>
        </w:rPr>
        <w:t xml:space="preserve">la </w:t>
      </w:r>
      <w:r w:rsidR="006E34D0">
        <w:rPr>
          <w:rFonts w:ascii="Times New Roman" w:hAnsi="Times New Roman" w:cs="Times New Roman"/>
        </w:rPr>
        <w:t xml:space="preserve">coordinación </w:t>
      </w:r>
      <w:r w:rsidRPr="00005401">
        <w:rPr>
          <w:rFonts w:ascii="Times New Roman" w:hAnsi="Times New Roman" w:cs="Times New Roman"/>
        </w:rPr>
        <w:t xml:space="preserve">de sus cátedras en los últimos años, reemplazando a quienes los formaron, lo que supone un recambio generacional de docentes formados en relación con los procesos de </w:t>
      </w:r>
      <w:r w:rsidRPr="00005401">
        <w:rPr>
          <w:rFonts w:ascii="Times New Roman" w:hAnsi="Times New Roman" w:cs="Times New Roman"/>
        </w:rPr>
        <w:lastRenderedPageBreak/>
        <w:t>democratización, la jerarquización de la extensión y las políticas de inclusión, a los que adhieren conceptual e ideológicamente.</w:t>
      </w:r>
    </w:p>
    <w:p w14:paraId="63A64B07" w14:textId="16E36A53"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Entre las alternativas ensayadas aparecen la curaduría de materiales diversos </w:t>
      </w:r>
      <w:r w:rsidR="00726EB5">
        <w:rPr>
          <w:rFonts w:ascii="Times New Roman" w:hAnsi="Times New Roman" w:cs="Times New Roman"/>
        </w:rPr>
        <w:t>–</w:t>
      </w:r>
      <w:r w:rsidRPr="00005401">
        <w:rPr>
          <w:rFonts w:ascii="Times New Roman" w:hAnsi="Times New Roman" w:cs="Times New Roman"/>
        </w:rPr>
        <w:t>artículos científicos recientes, informes de políticas públicas, conferencias, clases grabadas, canales de YouTube producidos por las cátedras</w:t>
      </w:r>
      <w:r w:rsidR="00726EB5">
        <w:rPr>
          <w:rFonts w:ascii="Times New Roman" w:hAnsi="Times New Roman" w:cs="Times New Roman"/>
        </w:rPr>
        <w:t>–</w:t>
      </w:r>
      <w:r w:rsidRPr="00005401">
        <w:rPr>
          <w:rFonts w:ascii="Times New Roman" w:hAnsi="Times New Roman" w:cs="Times New Roman"/>
        </w:rPr>
        <w:t xml:space="preserve"> los talleres de escritura y la incorporación de lenguajes audiovisuales. Estas búsquedas se sostienen, en varios casos, en una lectura de las propias prácticas docentes, no en un juicio deficitario sobre el estudiantado:</w:t>
      </w:r>
    </w:p>
    <w:p w14:paraId="7D993065"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¿Por qué les voy a decir a los pibes: no se capaciten con YouTube? Si yo me capacito con YouTube. (…) Mi mejor rol es buscar contenido que, de alguna forma, esté curado por nosotros. (…) Y no es facilitarles, es ser realistas. Yo todavía leo libros (…), pero no tengo veinte años. (D1-LA)</w:t>
      </w:r>
    </w:p>
    <w:p w14:paraId="78E27F42" w14:textId="6DACE90D"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Se observa, además, el atravesamiento de la disciplina en estas posiciones. En las llamadas disciplinas “blandas” predominan propuestas alternativas de lectura de los textos académicos y experiencias centradas en el trabajo activo de los estudiantes </w:t>
      </w:r>
      <w:r w:rsidR="00726EB5">
        <w:rPr>
          <w:rFonts w:ascii="Times New Roman" w:hAnsi="Times New Roman" w:cs="Times New Roman"/>
        </w:rPr>
        <w:t>–</w:t>
      </w:r>
      <w:r w:rsidRPr="00005401">
        <w:rPr>
          <w:rFonts w:ascii="Times New Roman" w:hAnsi="Times New Roman" w:cs="Times New Roman"/>
        </w:rPr>
        <w:t>estudios de caso, trabajos de campo, materiales audiovisuales, incorporación de autores latinoamericanos y perspectiva de género</w:t>
      </w:r>
      <w:r w:rsidR="00726EB5">
        <w:rPr>
          <w:rFonts w:ascii="Times New Roman" w:hAnsi="Times New Roman" w:cs="Times New Roman"/>
        </w:rPr>
        <w:t>–</w:t>
      </w:r>
      <w:r w:rsidRPr="00005401">
        <w:rPr>
          <w:rFonts w:ascii="Times New Roman" w:hAnsi="Times New Roman" w:cs="Times New Roman"/>
        </w:rPr>
        <w:t>. En las disciplinas “duras”, las alternativas se concentran en la experimentación, en la búsqueda de nuevas formas de abordar los núcleos básicos de conocimiento sin reducir la ciencia a su dimensión técnica. En ambos casos, estas búsquedas dan cuenta de una posición que, frente a lo emergente, se abre a la interrogación y a la problematización crítica antes que al juicio y a la conservación, y que reclama mayor acompañamiento desde las instancias de gestión académica.</w:t>
      </w:r>
    </w:p>
    <w:p w14:paraId="12CE0BCB" w14:textId="6A82741F" w:rsidR="005F3B2E" w:rsidRPr="00005401" w:rsidRDefault="005F3B2E" w:rsidP="007B5B5F">
      <w:pPr>
        <w:spacing w:line="240" w:lineRule="auto"/>
        <w:rPr>
          <w:rFonts w:ascii="Times New Roman" w:hAnsi="Times New Roman" w:cs="Times New Roman"/>
          <w:b/>
          <w:bCs/>
        </w:rPr>
      </w:pPr>
      <w:r w:rsidRPr="00005401">
        <w:rPr>
          <w:rFonts w:ascii="Times New Roman" w:hAnsi="Times New Roman" w:cs="Times New Roman"/>
          <w:b/>
          <w:bCs/>
        </w:rPr>
        <w:t>Conclusiones</w:t>
      </w:r>
    </w:p>
    <w:p w14:paraId="41D06EA8"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El análisis muestra que las posiciones docentes frente a la condición estudiantil y a la relación con el saber se configuran en un campo dilemático, atravesado por las políticas de inclusión, los cambios culturales generacionales y las disputas en torno a los sentidos de la formación superior. Lejos de organizarse en oposiciones entre lo positivo y lo negativo, esas posiciones expresan una disposición a reconocer la heterogeneidad de trayectorias y a problematizar, al mismo tiempo, las propias prácticas y tradiciones académicas.</w:t>
      </w:r>
    </w:p>
    <w:p w14:paraId="7431F1C7" w14:textId="4D288EB6"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El reconocimiento del estudiantado “distinto”, la tensión entre autonomía y asistencia, y las transformaciones en la relación con el saber se </w:t>
      </w:r>
      <w:r w:rsidR="00726EB5">
        <w:rPr>
          <w:rFonts w:ascii="Times New Roman" w:hAnsi="Times New Roman" w:cs="Times New Roman"/>
        </w:rPr>
        <w:t>enlazan</w:t>
      </w:r>
      <w:r w:rsidRPr="00005401">
        <w:rPr>
          <w:rFonts w:ascii="Times New Roman" w:hAnsi="Times New Roman" w:cs="Times New Roman"/>
        </w:rPr>
        <w:t xml:space="preserve"> en una misma trama</w:t>
      </w:r>
      <w:r w:rsidR="00726EB5">
        <w:rPr>
          <w:rFonts w:ascii="Times New Roman" w:hAnsi="Times New Roman" w:cs="Times New Roman"/>
        </w:rPr>
        <w:t xml:space="preserve"> que da cuenta de </w:t>
      </w:r>
      <w:r w:rsidRPr="00005401">
        <w:rPr>
          <w:rFonts w:ascii="Times New Roman" w:hAnsi="Times New Roman" w:cs="Times New Roman"/>
        </w:rPr>
        <w:t xml:space="preserve">una docencia que busca sostener la especificidad del trabajo académico </w:t>
      </w:r>
      <w:r w:rsidR="00726EB5">
        <w:rPr>
          <w:rFonts w:ascii="Times New Roman" w:hAnsi="Times New Roman" w:cs="Times New Roman"/>
        </w:rPr>
        <w:t>–</w:t>
      </w:r>
      <w:r w:rsidRPr="00005401">
        <w:rPr>
          <w:rFonts w:ascii="Times New Roman" w:hAnsi="Times New Roman" w:cs="Times New Roman"/>
        </w:rPr>
        <w:t>la profundidad conceptual, la problematización crítica, la construcción de autonomía intelectual</w:t>
      </w:r>
      <w:r w:rsidR="00726EB5">
        <w:rPr>
          <w:rFonts w:ascii="Times New Roman" w:hAnsi="Times New Roman" w:cs="Times New Roman"/>
        </w:rPr>
        <w:t>–</w:t>
      </w:r>
      <w:r w:rsidRPr="00005401">
        <w:rPr>
          <w:rFonts w:ascii="Times New Roman" w:hAnsi="Times New Roman" w:cs="Times New Roman"/>
        </w:rPr>
        <w:t xml:space="preserve"> y, a la vez, desarrollar estrategias de acompañamiento atentas a las condiciones materiales, simbólicas y subjetivas de las y los estudiantes. En ese cruce se </w:t>
      </w:r>
      <w:r w:rsidRPr="00005401">
        <w:rPr>
          <w:rFonts w:ascii="Times New Roman" w:hAnsi="Times New Roman" w:cs="Times New Roman"/>
        </w:rPr>
        <w:lastRenderedPageBreak/>
        <w:t>juega el sentido democratizador de la universidad pública, que no se agota en el acceso, sino que se prolonga en la apropiación efectiva del conocimiento.</w:t>
      </w:r>
    </w:p>
    <w:p w14:paraId="3B155BD3" w14:textId="2415606F"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 xml:space="preserve">Frente a transformaciones culturales y subjetivas que ponen en cuestión los sentidos tradicionales de </w:t>
      </w:r>
      <w:r w:rsidRPr="00726EB5">
        <w:rPr>
          <w:rFonts w:ascii="Times New Roman" w:hAnsi="Times New Roman" w:cs="Times New Roman"/>
          <w:i/>
          <w:iCs/>
        </w:rPr>
        <w:t>lo universitario</w:t>
      </w:r>
      <w:r w:rsidRPr="00005401">
        <w:rPr>
          <w:rFonts w:ascii="Times New Roman" w:hAnsi="Times New Roman" w:cs="Times New Roman"/>
        </w:rPr>
        <w:t>, el aula emerge en los testimonios como el espacio donde se condensa la especificidad de la experiencia universitaria</w:t>
      </w:r>
      <w:r w:rsidR="00726EB5">
        <w:rPr>
          <w:rFonts w:ascii="Times New Roman" w:hAnsi="Times New Roman" w:cs="Times New Roman"/>
        </w:rPr>
        <w:t>. U</w:t>
      </w:r>
      <w:r w:rsidRPr="00005401">
        <w:rPr>
          <w:rFonts w:ascii="Times New Roman" w:hAnsi="Times New Roman" w:cs="Times New Roman"/>
        </w:rPr>
        <w:t>n ámbito de diálogo y pensamiento compartido, de producción de conocimiento y de construcción de confianza como capacidad de hacer con otros.</w:t>
      </w:r>
    </w:p>
    <w:p w14:paraId="3D70834C" w14:textId="77777777" w:rsidR="00005401" w:rsidRPr="00005401" w:rsidRDefault="00005401" w:rsidP="00005401">
      <w:pPr>
        <w:spacing w:before="80"/>
        <w:ind w:left="709" w:right="425"/>
        <w:jc w:val="both"/>
        <w:rPr>
          <w:rFonts w:ascii="Times New Roman" w:hAnsi="Times New Roman" w:cs="Times New Roman"/>
        </w:rPr>
      </w:pPr>
      <w:r w:rsidRPr="00005401">
        <w:rPr>
          <w:rFonts w:ascii="Times New Roman" w:hAnsi="Times New Roman" w:cs="Times New Roman"/>
        </w:rPr>
        <w:t>El aula es una. (…) Él decía que en el fondo la universidad podría reducirse a lo que pasa en esa aula donde un profesor y sus alumnos, más allá de todo lo que está sucediendo alrededor, están ahí pensando y dialogando. (…) la idea de confianza, en términos de trabajo colectivo, me parece que también la define a la universidad. (…) Siempre estamos en colectivos en la universidad de alguna manera. (D4-LS)</w:t>
      </w:r>
    </w:p>
    <w:p w14:paraId="2069C5B1" w14:textId="77777777" w:rsidR="00005401" w:rsidRPr="00005401" w:rsidRDefault="00005401" w:rsidP="00005401">
      <w:pPr>
        <w:spacing w:after="120"/>
        <w:jc w:val="both"/>
        <w:rPr>
          <w:rFonts w:ascii="Times New Roman" w:hAnsi="Times New Roman" w:cs="Times New Roman"/>
        </w:rPr>
      </w:pPr>
      <w:r w:rsidRPr="00005401">
        <w:rPr>
          <w:rFonts w:ascii="Times New Roman" w:hAnsi="Times New Roman" w:cs="Times New Roman"/>
        </w:rPr>
        <w:t>Desde esta perspectiva, la universidad se reafirma como comunidad académica, sostenida en vínculos colectivos que, aun cuando adopten formas parciales o informales, mantienen vivo el horizonte de lo común. Las posiciones docentes analizadas, en su carácter activo, decisional y político, constituyen una clave para comprender cómo se reconfigura hoy la formación universitaria y qué saberes, prácticas y modos de transmisión resulta necesario sostener, resignificar o transformar.</w:t>
      </w:r>
    </w:p>
    <w:p w14:paraId="14D1CAEE" w14:textId="77777777" w:rsidR="00005401" w:rsidRPr="00005401" w:rsidRDefault="00005401" w:rsidP="00005401">
      <w:pPr>
        <w:spacing w:before="280" w:after="140"/>
        <w:rPr>
          <w:rFonts w:ascii="Times New Roman" w:hAnsi="Times New Roman" w:cs="Times New Roman"/>
        </w:rPr>
      </w:pPr>
      <w:r w:rsidRPr="00005401">
        <w:rPr>
          <w:rFonts w:ascii="Times New Roman" w:hAnsi="Times New Roman" w:cs="Times New Roman"/>
          <w:b/>
          <w:bCs/>
        </w:rPr>
        <w:t>Referencias bibliográficas</w:t>
      </w:r>
    </w:p>
    <w:p w14:paraId="4F62C5B5" w14:textId="77777777" w:rsidR="00005401" w:rsidRPr="00005401" w:rsidRDefault="00005401" w:rsidP="00005401">
      <w:pPr>
        <w:spacing w:after="100"/>
        <w:ind w:left="709" w:hanging="709"/>
        <w:jc w:val="both"/>
        <w:rPr>
          <w:rFonts w:ascii="Times New Roman" w:hAnsi="Times New Roman" w:cs="Times New Roman"/>
        </w:rPr>
      </w:pPr>
      <w:r w:rsidRPr="00005401">
        <w:rPr>
          <w:rFonts w:ascii="Times New Roman" w:hAnsi="Times New Roman" w:cs="Times New Roman"/>
        </w:rPr>
        <w:t xml:space="preserve">Bauman, Z. (2003). </w:t>
      </w:r>
      <w:r w:rsidRPr="002337FA">
        <w:rPr>
          <w:rFonts w:ascii="Times New Roman" w:hAnsi="Times New Roman" w:cs="Times New Roman"/>
          <w:i/>
          <w:iCs/>
        </w:rPr>
        <w:t>Modernidad líquida</w:t>
      </w:r>
      <w:r w:rsidRPr="00005401">
        <w:rPr>
          <w:rFonts w:ascii="Times New Roman" w:hAnsi="Times New Roman" w:cs="Times New Roman"/>
        </w:rPr>
        <w:t>. Fondo de Cultura Económica.</w:t>
      </w:r>
    </w:p>
    <w:p w14:paraId="1B4781E7" w14:textId="77777777" w:rsidR="00005401" w:rsidRPr="00005401" w:rsidRDefault="00005401" w:rsidP="00005401">
      <w:pPr>
        <w:spacing w:after="100"/>
        <w:ind w:left="709" w:hanging="709"/>
        <w:jc w:val="both"/>
        <w:rPr>
          <w:rFonts w:ascii="Times New Roman" w:hAnsi="Times New Roman" w:cs="Times New Roman"/>
        </w:rPr>
      </w:pPr>
      <w:proofErr w:type="spellStart"/>
      <w:r w:rsidRPr="00005401">
        <w:rPr>
          <w:rFonts w:ascii="Times New Roman" w:hAnsi="Times New Roman" w:cs="Times New Roman"/>
        </w:rPr>
        <w:t>Carli</w:t>
      </w:r>
      <w:proofErr w:type="spellEnd"/>
      <w:r w:rsidRPr="00005401">
        <w:rPr>
          <w:rFonts w:ascii="Times New Roman" w:hAnsi="Times New Roman" w:cs="Times New Roman"/>
        </w:rPr>
        <w:t xml:space="preserve">, S. (2012). </w:t>
      </w:r>
      <w:r w:rsidRPr="002337FA">
        <w:rPr>
          <w:rFonts w:ascii="Times New Roman" w:hAnsi="Times New Roman" w:cs="Times New Roman"/>
          <w:i/>
          <w:iCs/>
        </w:rPr>
        <w:t>El estudiante universitario. Hacia una historia del presente de la educación pública</w:t>
      </w:r>
      <w:r w:rsidRPr="00005401">
        <w:rPr>
          <w:rFonts w:ascii="Times New Roman" w:hAnsi="Times New Roman" w:cs="Times New Roman"/>
        </w:rPr>
        <w:t>. Siglo XXI.</w:t>
      </w:r>
    </w:p>
    <w:p w14:paraId="214F49E5" w14:textId="77777777" w:rsidR="00005401" w:rsidRPr="00005401" w:rsidRDefault="00005401" w:rsidP="00005401">
      <w:pPr>
        <w:spacing w:after="100"/>
        <w:ind w:left="709" w:hanging="709"/>
        <w:jc w:val="both"/>
        <w:rPr>
          <w:rFonts w:ascii="Times New Roman" w:hAnsi="Times New Roman" w:cs="Times New Roman"/>
        </w:rPr>
      </w:pPr>
      <w:proofErr w:type="spellStart"/>
      <w:r w:rsidRPr="00005401">
        <w:rPr>
          <w:rFonts w:ascii="Times New Roman" w:hAnsi="Times New Roman" w:cs="Times New Roman"/>
        </w:rPr>
        <w:t>Carli</w:t>
      </w:r>
      <w:proofErr w:type="spellEnd"/>
      <w:r w:rsidRPr="00005401">
        <w:rPr>
          <w:rFonts w:ascii="Times New Roman" w:hAnsi="Times New Roman" w:cs="Times New Roman"/>
        </w:rPr>
        <w:t xml:space="preserve">, S. (2018). Hacia una revisión crítica de la enseñanza universitaria. Tendencias, experiencias y desafíos en torno al conocimiento en las universidades públicas. </w:t>
      </w:r>
      <w:r w:rsidRPr="002337FA">
        <w:rPr>
          <w:rFonts w:ascii="Times New Roman" w:hAnsi="Times New Roman" w:cs="Times New Roman"/>
          <w:i/>
          <w:iCs/>
        </w:rPr>
        <w:t>Trayectorias Universitarias,</w:t>
      </w:r>
      <w:r w:rsidRPr="00005401">
        <w:rPr>
          <w:rFonts w:ascii="Times New Roman" w:hAnsi="Times New Roman" w:cs="Times New Roman"/>
        </w:rPr>
        <w:t xml:space="preserve"> 4(6), 3-8.</w:t>
      </w:r>
    </w:p>
    <w:p w14:paraId="79D29AE6" w14:textId="77777777" w:rsidR="00005401" w:rsidRPr="00005401" w:rsidRDefault="00005401" w:rsidP="00005401">
      <w:pPr>
        <w:spacing w:after="100"/>
        <w:ind w:left="709" w:hanging="709"/>
        <w:jc w:val="both"/>
        <w:rPr>
          <w:rFonts w:ascii="Times New Roman" w:hAnsi="Times New Roman" w:cs="Times New Roman"/>
        </w:rPr>
      </w:pPr>
      <w:r w:rsidRPr="00005401">
        <w:rPr>
          <w:rFonts w:ascii="Times New Roman" w:hAnsi="Times New Roman" w:cs="Times New Roman"/>
        </w:rPr>
        <w:t xml:space="preserve">Dubet, F. (2005). Los estudiantes. </w:t>
      </w:r>
      <w:r w:rsidRPr="002337FA">
        <w:rPr>
          <w:rFonts w:ascii="Times New Roman" w:hAnsi="Times New Roman" w:cs="Times New Roman"/>
          <w:i/>
          <w:iCs/>
        </w:rPr>
        <w:t>Revista de Investigación Educativa</w:t>
      </w:r>
      <w:r w:rsidRPr="00005401">
        <w:rPr>
          <w:rFonts w:ascii="Times New Roman" w:hAnsi="Times New Roman" w:cs="Times New Roman"/>
        </w:rPr>
        <w:t>, 1, 2-78.</w:t>
      </w:r>
    </w:p>
    <w:p w14:paraId="1F8D590D" w14:textId="77777777" w:rsidR="00005401" w:rsidRPr="00005401" w:rsidRDefault="00005401" w:rsidP="00005401">
      <w:pPr>
        <w:spacing w:after="100"/>
        <w:ind w:left="709" w:hanging="709"/>
        <w:jc w:val="both"/>
        <w:rPr>
          <w:rFonts w:ascii="Times New Roman" w:hAnsi="Times New Roman" w:cs="Times New Roman"/>
        </w:rPr>
      </w:pPr>
      <w:r w:rsidRPr="00005401">
        <w:rPr>
          <w:rFonts w:ascii="Times New Roman" w:hAnsi="Times New Roman" w:cs="Times New Roman"/>
        </w:rPr>
        <w:t xml:space="preserve">Fraser, N. (2023). </w:t>
      </w:r>
      <w:r w:rsidRPr="002337FA">
        <w:rPr>
          <w:rFonts w:ascii="Times New Roman" w:hAnsi="Times New Roman" w:cs="Times New Roman"/>
          <w:i/>
          <w:iCs/>
        </w:rPr>
        <w:t>Capitalismo caníbal: cómo nuestro sistema está devorando la democracia, el cuidado y el planeta, y qué podemos hacer con eso</w:t>
      </w:r>
      <w:r w:rsidRPr="00005401">
        <w:rPr>
          <w:rFonts w:ascii="Times New Roman" w:hAnsi="Times New Roman" w:cs="Times New Roman"/>
        </w:rPr>
        <w:t>. Siglo XXI Editores.</w:t>
      </w:r>
    </w:p>
    <w:p w14:paraId="0C9E05FE" w14:textId="1E143A76" w:rsidR="00005401" w:rsidRDefault="00005401" w:rsidP="00005401">
      <w:pPr>
        <w:spacing w:after="100"/>
        <w:ind w:left="709" w:hanging="709"/>
        <w:jc w:val="both"/>
        <w:rPr>
          <w:rFonts w:ascii="Times New Roman" w:hAnsi="Times New Roman" w:cs="Times New Roman"/>
        </w:rPr>
      </w:pPr>
      <w:r w:rsidRPr="00005401">
        <w:rPr>
          <w:rFonts w:ascii="Times New Roman" w:hAnsi="Times New Roman" w:cs="Times New Roman"/>
        </w:rPr>
        <w:t xml:space="preserve">Giroux, H. (1996). Educación posmoderna y generación juvenil. </w:t>
      </w:r>
      <w:r w:rsidRPr="002337FA">
        <w:rPr>
          <w:rFonts w:ascii="Times New Roman" w:hAnsi="Times New Roman" w:cs="Times New Roman"/>
          <w:i/>
          <w:iCs/>
        </w:rPr>
        <w:t>Nueva Sociedad</w:t>
      </w:r>
      <w:r w:rsidRPr="00005401">
        <w:rPr>
          <w:rFonts w:ascii="Times New Roman" w:hAnsi="Times New Roman" w:cs="Times New Roman"/>
        </w:rPr>
        <w:t>, 146, 148-167.</w:t>
      </w:r>
    </w:p>
    <w:p w14:paraId="4A940371" w14:textId="77777777" w:rsidR="002337FA" w:rsidRPr="002337FA" w:rsidRDefault="002337FA" w:rsidP="002337FA">
      <w:pPr>
        <w:spacing w:before="200" w:line="240" w:lineRule="auto"/>
        <w:jc w:val="both"/>
        <w:rPr>
          <w:rFonts w:ascii="Times New Roman" w:hAnsi="Times New Roman" w:cs="Times New Roman"/>
          <w:lang w:val="es-AR"/>
        </w:rPr>
      </w:pPr>
      <w:proofErr w:type="spellStart"/>
      <w:r w:rsidRPr="002337FA">
        <w:rPr>
          <w:rFonts w:ascii="Times New Roman" w:hAnsi="Times New Roman" w:cs="Times New Roman"/>
          <w:lang w:val="es-AR"/>
        </w:rPr>
        <w:t>Laclau</w:t>
      </w:r>
      <w:proofErr w:type="spellEnd"/>
      <w:r w:rsidRPr="002337FA">
        <w:rPr>
          <w:rFonts w:ascii="Times New Roman" w:hAnsi="Times New Roman" w:cs="Times New Roman"/>
          <w:lang w:val="es-AR"/>
        </w:rPr>
        <w:t xml:space="preserve">, E. (1996). </w:t>
      </w:r>
      <w:r w:rsidRPr="002337FA">
        <w:rPr>
          <w:rFonts w:ascii="Times New Roman" w:hAnsi="Times New Roman" w:cs="Times New Roman"/>
          <w:i/>
          <w:lang w:val="es-AR"/>
        </w:rPr>
        <w:t>Emancipación y diferencia</w:t>
      </w:r>
      <w:r w:rsidRPr="002337FA">
        <w:rPr>
          <w:rFonts w:ascii="Times New Roman" w:hAnsi="Times New Roman" w:cs="Times New Roman"/>
          <w:lang w:val="es-AR"/>
        </w:rPr>
        <w:t>. Ariel.</w:t>
      </w:r>
    </w:p>
    <w:p w14:paraId="2B54E61C" w14:textId="1B59A778" w:rsidR="002337FA" w:rsidRPr="002337FA" w:rsidRDefault="002337FA" w:rsidP="002337FA">
      <w:pPr>
        <w:spacing w:after="100"/>
        <w:ind w:left="709" w:hanging="709"/>
        <w:jc w:val="both"/>
        <w:rPr>
          <w:rFonts w:ascii="Times New Roman" w:hAnsi="Times New Roman" w:cs="Times New Roman"/>
        </w:rPr>
      </w:pPr>
      <w:proofErr w:type="spellStart"/>
      <w:r w:rsidRPr="002337FA">
        <w:rPr>
          <w:rFonts w:ascii="Times New Roman" w:hAnsi="Times New Roman" w:cs="Times New Roman"/>
        </w:rPr>
        <w:lastRenderedPageBreak/>
        <w:t>Laclau</w:t>
      </w:r>
      <w:proofErr w:type="spellEnd"/>
      <w:r w:rsidRPr="002337FA">
        <w:rPr>
          <w:rFonts w:ascii="Times New Roman" w:hAnsi="Times New Roman" w:cs="Times New Roman"/>
        </w:rPr>
        <w:t xml:space="preserve">, E. y </w:t>
      </w:r>
      <w:proofErr w:type="spellStart"/>
      <w:r w:rsidRPr="002337FA">
        <w:rPr>
          <w:rFonts w:ascii="Times New Roman" w:hAnsi="Times New Roman" w:cs="Times New Roman"/>
        </w:rPr>
        <w:t>Mouffe</w:t>
      </w:r>
      <w:proofErr w:type="spellEnd"/>
      <w:r w:rsidRPr="002337FA">
        <w:rPr>
          <w:rFonts w:ascii="Times New Roman" w:hAnsi="Times New Roman" w:cs="Times New Roman"/>
        </w:rPr>
        <w:t xml:space="preserve">, C. (1987). </w:t>
      </w:r>
      <w:r w:rsidRPr="002337FA">
        <w:rPr>
          <w:rFonts w:ascii="Times New Roman" w:hAnsi="Times New Roman" w:cs="Times New Roman"/>
          <w:i/>
          <w:iCs/>
        </w:rPr>
        <w:t xml:space="preserve">Hegemonía y estrategia socialista. Hacia una </w:t>
      </w:r>
      <w:r w:rsidRPr="002337FA">
        <w:rPr>
          <w:rFonts w:ascii="Times New Roman" w:hAnsi="Times New Roman" w:cs="Times New Roman"/>
          <w:i/>
          <w:iCs/>
        </w:rPr>
        <w:t>radicalización de</w:t>
      </w:r>
      <w:r w:rsidRPr="002337FA">
        <w:rPr>
          <w:rFonts w:ascii="Times New Roman" w:hAnsi="Times New Roman" w:cs="Times New Roman"/>
          <w:i/>
          <w:iCs/>
        </w:rPr>
        <w:t xml:space="preserve"> la democracia.</w:t>
      </w:r>
      <w:r w:rsidRPr="002337FA">
        <w:rPr>
          <w:rFonts w:ascii="Times New Roman" w:hAnsi="Times New Roman" w:cs="Times New Roman"/>
        </w:rPr>
        <w:t xml:space="preserve"> Madrid: Siglo XXI.</w:t>
      </w:r>
    </w:p>
    <w:p w14:paraId="25589294" w14:textId="77777777" w:rsidR="00005401" w:rsidRPr="00005401" w:rsidRDefault="00005401" w:rsidP="00005401">
      <w:pPr>
        <w:spacing w:after="100"/>
        <w:ind w:left="709" w:hanging="709"/>
        <w:jc w:val="both"/>
        <w:rPr>
          <w:rFonts w:ascii="Times New Roman" w:hAnsi="Times New Roman" w:cs="Times New Roman"/>
        </w:rPr>
      </w:pPr>
      <w:proofErr w:type="spellStart"/>
      <w:r w:rsidRPr="00005401">
        <w:rPr>
          <w:rFonts w:ascii="Times New Roman" w:hAnsi="Times New Roman" w:cs="Times New Roman"/>
        </w:rPr>
        <w:t>Mastache</w:t>
      </w:r>
      <w:proofErr w:type="spellEnd"/>
      <w:r w:rsidRPr="00005401">
        <w:rPr>
          <w:rFonts w:ascii="Times New Roman" w:hAnsi="Times New Roman" w:cs="Times New Roman"/>
        </w:rPr>
        <w:t xml:space="preserve">, A. (2011). Los jóvenes estudiantes del siglo XXI: desafíos para la enseñanza. En S. Martínez (Comp.), </w:t>
      </w:r>
      <w:r w:rsidRPr="002337FA">
        <w:rPr>
          <w:rFonts w:ascii="Times New Roman" w:hAnsi="Times New Roman" w:cs="Times New Roman"/>
          <w:i/>
          <w:iCs/>
        </w:rPr>
        <w:t>Democratización de la Universidad. Investigaciones y experiencias sobre el acceso y la permanencia de los/as estudiantes</w:t>
      </w:r>
      <w:r w:rsidRPr="00005401">
        <w:rPr>
          <w:rFonts w:ascii="Times New Roman" w:hAnsi="Times New Roman" w:cs="Times New Roman"/>
        </w:rPr>
        <w:t xml:space="preserve"> (pp. 167-202). Educo.</w:t>
      </w:r>
    </w:p>
    <w:p w14:paraId="51FBFF2C" w14:textId="77777777" w:rsidR="00005401" w:rsidRPr="00005401" w:rsidRDefault="00005401" w:rsidP="00005401">
      <w:pPr>
        <w:spacing w:after="100"/>
        <w:ind w:left="709" w:hanging="709"/>
        <w:jc w:val="both"/>
        <w:rPr>
          <w:rFonts w:ascii="Times New Roman" w:hAnsi="Times New Roman" w:cs="Times New Roman"/>
        </w:rPr>
      </w:pPr>
      <w:r w:rsidRPr="00005401">
        <w:rPr>
          <w:rFonts w:ascii="Times New Roman" w:hAnsi="Times New Roman" w:cs="Times New Roman"/>
        </w:rPr>
        <w:t xml:space="preserve">Morandi, G., &amp; Gallo, L. (2018). Entrevista a Paula </w:t>
      </w:r>
      <w:proofErr w:type="spellStart"/>
      <w:r w:rsidRPr="00005401">
        <w:rPr>
          <w:rFonts w:ascii="Times New Roman" w:hAnsi="Times New Roman" w:cs="Times New Roman"/>
        </w:rPr>
        <w:t>Sibilia</w:t>
      </w:r>
      <w:proofErr w:type="spellEnd"/>
      <w:r w:rsidRPr="00005401">
        <w:rPr>
          <w:rFonts w:ascii="Times New Roman" w:hAnsi="Times New Roman" w:cs="Times New Roman"/>
        </w:rPr>
        <w:t xml:space="preserve">. Subjetividades contemporáneas y formación universitaria. Rupturas y encuentros. </w:t>
      </w:r>
      <w:r w:rsidRPr="002337FA">
        <w:rPr>
          <w:rFonts w:ascii="Times New Roman" w:hAnsi="Times New Roman" w:cs="Times New Roman"/>
          <w:i/>
          <w:iCs/>
        </w:rPr>
        <w:t>Trayectorias Universitarias</w:t>
      </w:r>
      <w:r w:rsidRPr="00005401">
        <w:rPr>
          <w:rFonts w:ascii="Times New Roman" w:hAnsi="Times New Roman" w:cs="Times New Roman"/>
        </w:rPr>
        <w:t>, 4(7), 113-123.</w:t>
      </w:r>
    </w:p>
    <w:p w14:paraId="4B7918CB" w14:textId="77777777" w:rsidR="00005401" w:rsidRPr="00005401" w:rsidRDefault="00005401" w:rsidP="00005401">
      <w:pPr>
        <w:spacing w:after="100"/>
        <w:ind w:left="709" w:hanging="709"/>
        <w:jc w:val="both"/>
        <w:rPr>
          <w:rFonts w:ascii="Times New Roman" w:hAnsi="Times New Roman" w:cs="Times New Roman"/>
        </w:rPr>
      </w:pPr>
      <w:proofErr w:type="spellStart"/>
      <w:r w:rsidRPr="00005401">
        <w:rPr>
          <w:rFonts w:ascii="Times New Roman" w:hAnsi="Times New Roman" w:cs="Times New Roman"/>
        </w:rPr>
        <w:t>Palmucci</w:t>
      </w:r>
      <w:proofErr w:type="spellEnd"/>
      <w:r w:rsidRPr="00005401">
        <w:rPr>
          <w:rFonts w:ascii="Times New Roman" w:hAnsi="Times New Roman" w:cs="Times New Roman"/>
        </w:rPr>
        <w:t xml:space="preserve">, D. (2024). Presentación del dossier: Miradas sobre la alfabetización académica. </w:t>
      </w:r>
      <w:r w:rsidRPr="002337FA">
        <w:rPr>
          <w:rFonts w:ascii="Times New Roman" w:hAnsi="Times New Roman" w:cs="Times New Roman"/>
          <w:i/>
          <w:iCs/>
        </w:rPr>
        <w:t>Cuadernos del Sur Letras</w:t>
      </w:r>
      <w:r w:rsidRPr="00005401">
        <w:rPr>
          <w:rFonts w:ascii="Times New Roman" w:hAnsi="Times New Roman" w:cs="Times New Roman"/>
        </w:rPr>
        <w:t>, (54), 7-16.</w:t>
      </w:r>
    </w:p>
    <w:p w14:paraId="7FB90D77" w14:textId="77777777" w:rsidR="00005401" w:rsidRPr="00005401" w:rsidRDefault="00005401" w:rsidP="00005401">
      <w:pPr>
        <w:spacing w:after="100"/>
        <w:ind w:left="709" w:hanging="709"/>
        <w:jc w:val="both"/>
        <w:rPr>
          <w:rFonts w:ascii="Times New Roman" w:hAnsi="Times New Roman" w:cs="Times New Roman"/>
        </w:rPr>
      </w:pPr>
      <w:proofErr w:type="spellStart"/>
      <w:r w:rsidRPr="00005401">
        <w:rPr>
          <w:rFonts w:ascii="Times New Roman" w:hAnsi="Times New Roman" w:cs="Times New Roman"/>
        </w:rPr>
        <w:t>Pierella</w:t>
      </w:r>
      <w:proofErr w:type="spellEnd"/>
      <w:r w:rsidRPr="00005401">
        <w:rPr>
          <w:rFonts w:ascii="Times New Roman" w:hAnsi="Times New Roman" w:cs="Times New Roman"/>
        </w:rPr>
        <w:t xml:space="preserve">, M. P. (2014). </w:t>
      </w:r>
      <w:r w:rsidRPr="002337FA">
        <w:rPr>
          <w:rFonts w:ascii="Times New Roman" w:hAnsi="Times New Roman" w:cs="Times New Roman"/>
          <w:i/>
          <w:iCs/>
        </w:rPr>
        <w:t>La autoridad en la universidad. Vínculos y experiencias entre estudiantes, profesores y saberes</w:t>
      </w:r>
      <w:r w:rsidRPr="00005401">
        <w:rPr>
          <w:rFonts w:ascii="Times New Roman" w:hAnsi="Times New Roman" w:cs="Times New Roman"/>
        </w:rPr>
        <w:t>. Paidós.</w:t>
      </w:r>
    </w:p>
    <w:p w14:paraId="794699BE" w14:textId="380BF1CA" w:rsidR="00005401" w:rsidRPr="00005401" w:rsidRDefault="00005401" w:rsidP="00005401">
      <w:pPr>
        <w:spacing w:after="100"/>
        <w:ind w:left="709" w:hanging="709"/>
        <w:jc w:val="both"/>
        <w:rPr>
          <w:rFonts w:ascii="Times New Roman" w:hAnsi="Times New Roman" w:cs="Times New Roman"/>
        </w:rPr>
      </w:pPr>
      <w:proofErr w:type="spellStart"/>
      <w:r w:rsidRPr="00005401">
        <w:rPr>
          <w:rFonts w:ascii="Times New Roman" w:hAnsi="Times New Roman" w:cs="Times New Roman"/>
        </w:rPr>
        <w:t>Southwell</w:t>
      </w:r>
      <w:proofErr w:type="spellEnd"/>
      <w:r w:rsidRPr="00005401">
        <w:rPr>
          <w:rFonts w:ascii="Times New Roman" w:hAnsi="Times New Roman" w:cs="Times New Roman"/>
        </w:rPr>
        <w:t>, M. (2020). Posiciones docentes: interpelaciones sobre la escuela y lo justo. Biblioteca Devenir Docente, 5. Ministerio de Educación, Cultura, Ciencia y Tecnología.</w:t>
      </w:r>
    </w:p>
    <w:p w14:paraId="2485169F" w14:textId="77777777" w:rsidR="00005401" w:rsidRPr="00005401" w:rsidRDefault="00005401" w:rsidP="00005401">
      <w:pPr>
        <w:spacing w:after="100"/>
        <w:ind w:left="709" w:hanging="709"/>
        <w:jc w:val="both"/>
        <w:rPr>
          <w:rFonts w:ascii="Times New Roman" w:hAnsi="Times New Roman" w:cs="Times New Roman"/>
        </w:rPr>
      </w:pPr>
      <w:proofErr w:type="spellStart"/>
      <w:r w:rsidRPr="00005401">
        <w:rPr>
          <w:rFonts w:ascii="Times New Roman" w:hAnsi="Times New Roman" w:cs="Times New Roman"/>
        </w:rPr>
        <w:t>Vercellino</w:t>
      </w:r>
      <w:proofErr w:type="spellEnd"/>
      <w:r w:rsidRPr="00005401">
        <w:rPr>
          <w:rFonts w:ascii="Times New Roman" w:hAnsi="Times New Roman" w:cs="Times New Roman"/>
        </w:rPr>
        <w:t xml:space="preserve">, S. (2015). Revisión bibliográfica sobre la “relación con el saber”: desplazamientos teóricos y posibilidades para el análisis psicopedagógico de los aprendizajes escolares. </w:t>
      </w:r>
      <w:r w:rsidRPr="002337FA">
        <w:rPr>
          <w:rFonts w:ascii="Times New Roman" w:hAnsi="Times New Roman" w:cs="Times New Roman"/>
          <w:i/>
          <w:iCs/>
        </w:rPr>
        <w:t>Revista Electrónica Educare</w:t>
      </w:r>
      <w:r w:rsidRPr="00005401">
        <w:rPr>
          <w:rFonts w:ascii="Times New Roman" w:hAnsi="Times New Roman" w:cs="Times New Roman"/>
        </w:rPr>
        <w:t>, 19(2), 53-82.</w:t>
      </w:r>
    </w:p>
    <w:p w14:paraId="20C18A56" w14:textId="77777777" w:rsidR="00005401" w:rsidRPr="00005401" w:rsidRDefault="00005401" w:rsidP="00005401">
      <w:pPr>
        <w:spacing w:after="100"/>
        <w:ind w:left="709" w:hanging="709"/>
        <w:jc w:val="both"/>
        <w:rPr>
          <w:rFonts w:ascii="Times New Roman" w:hAnsi="Times New Roman" w:cs="Times New Roman"/>
        </w:rPr>
      </w:pPr>
      <w:proofErr w:type="spellStart"/>
      <w:r w:rsidRPr="00005401">
        <w:rPr>
          <w:rFonts w:ascii="Times New Roman" w:hAnsi="Times New Roman" w:cs="Times New Roman"/>
        </w:rPr>
        <w:t>Vercellino</w:t>
      </w:r>
      <w:proofErr w:type="spellEnd"/>
      <w:r w:rsidRPr="00005401">
        <w:rPr>
          <w:rFonts w:ascii="Times New Roman" w:hAnsi="Times New Roman" w:cs="Times New Roman"/>
        </w:rPr>
        <w:t xml:space="preserve">, S. (2021). Una contribución a la fundamentación epistémica y delimitación teórica de la noción de “relación con el saber”. </w:t>
      </w:r>
      <w:r w:rsidRPr="002337FA">
        <w:rPr>
          <w:rFonts w:ascii="Times New Roman" w:hAnsi="Times New Roman" w:cs="Times New Roman"/>
          <w:i/>
          <w:iCs/>
        </w:rPr>
        <w:t xml:space="preserve">Revista Internacional </w:t>
      </w:r>
      <w:proofErr w:type="spellStart"/>
      <w:r w:rsidRPr="002337FA">
        <w:rPr>
          <w:rFonts w:ascii="Times New Roman" w:hAnsi="Times New Roman" w:cs="Times New Roman"/>
          <w:i/>
          <w:iCs/>
        </w:rPr>
        <w:t>Educon</w:t>
      </w:r>
      <w:proofErr w:type="spellEnd"/>
      <w:r w:rsidRPr="00005401">
        <w:rPr>
          <w:rFonts w:ascii="Times New Roman" w:hAnsi="Times New Roman" w:cs="Times New Roman"/>
        </w:rPr>
        <w:t>, 2(1).</w:t>
      </w:r>
    </w:p>
    <w:p w14:paraId="544B704F" w14:textId="77777777" w:rsidR="00BC236F" w:rsidRPr="00005401" w:rsidRDefault="00BC236F" w:rsidP="007B5B5F">
      <w:pPr>
        <w:spacing w:line="240" w:lineRule="auto"/>
        <w:jc w:val="both"/>
        <w:rPr>
          <w:rFonts w:ascii="Times New Roman" w:hAnsi="Times New Roman" w:cs="Times New Roman"/>
        </w:rPr>
      </w:pPr>
    </w:p>
    <w:p w14:paraId="23CA62C6" w14:textId="77777777" w:rsidR="00C802F5" w:rsidRPr="00005401" w:rsidRDefault="00C802F5" w:rsidP="007B5B5F">
      <w:pPr>
        <w:spacing w:line="240" w:lineRule="auto"/>
        <w:rPr>
          <w:rFonts w:ascii="Times New Roman" w:hAnsi="Times New Roman" w:cs="Times New Roman"/>
        </w:rPr>
      </w:pPr>
    </w:p>
    <w:sectPr w:rsidR="00C802F5" w:rsidRPr="00005401" w:rsidSect="00701F64">
      <w:headerReference w:type="even" r:id="rId7"/>
      <w:headerReference w:type="default" r:id="rId8"/>
      <w:footerReference w:type="even" r:id="rId9"/>
      <w:footerReference w:type="default" r:id="rId10"/>
      <w:headerReference w:type="first" r:id="rId11"/>
      <w:footerReference w:type="firs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EF857" w14:textId="77777777" w:rsidR="007C75D8" w:rsidRPr="00BA642E" w:rsidRDefault="007C75D8" w:rsidP="00C802F5">
      <w:pPr>
        <w:spacing w:after="0" w:line="240" w:lineRule="auto"/>
      </w:pPr>
      <w:r w:rsidRPr="00BA642E">
        <w:separator/>
      </w:r>
    </w:p>
  </w:endnote>
  <w:endnote w:type="continuationSeparator" w:id="0">
    <w:p w14:paraId="3A4BC555" w14:textId="77777777" w:rsidR="007C75D8" w:rsidRPr="00BA642E" w:rsidRDefault="007C75D8"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860A" w14:textId="77777777" w:rsidR="0028528F" w:rsidRDefault="0028528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9571" w14:textId="77777777" w:rsidR="0028528F" w:rsidRDefault="002852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282C0" w14:textId="77777777" w:rsidR="007C75D8" w:rsidRPr="00BA642E" w:rsidRDefault="007C75D8" w:rsidP="00C802F5">
      <w:pPr>
        <w:spacing w:after="0" w:line="240" w:lineRule="auto"/>
      </w:pPr>
      <w:r w:rsidRPr="00BA642E">
        <w:separator/>
      </w:r>
    </w:p>
  </w:footnote>
  <w:footnote w:type="continuationSeparator" w:id="0">
    <w:p w14:paraId="0126ED4B" w14:textId="77777777" w:rsidR="007C75D8" w:rsidRPr="00BA642E" w:rsidRDefault="007C75D8"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20A5" w14:textId="77777777" w:rsidR="0028528F" w:rsidRDefault="0028528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DAB31F1"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E49B2" w14:textId="77777777" w:rsidR="0028528F" w:rsidRDefault="0028528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5401"/>
    <w:rsid w:val="000C30E2"/>
    <w:rsid w:val="001816D6"/>
    <w:rsid w:val="00185F5E"/>
    <w:rsid w:val="001923DC"/>
    <w:rsid w:val="001C238D"/>
    <w:rsid w:val="002327C3"/>
    <w:rsid w:val="002337FA"/>
    <w:rsid w:val="0028528F"/>
    <w:rsid w:val="00312392"/>
    <w:rsid w:val="004040C0"/>
    <w:rsid w:val="00437E9C"/>
    <w:rsid w:val="00455BFD"/>
    <w:rsid w:val="00550766"/>
    <w:rsid w:val="005C377B"/>
    <w:rsid w:val="005F3B2E"/>
    <w:rsid w:val="006E34D0"/>
    <w:rsid w:val="00701F64"/>
    <w:rsid w:val="00726EB5"/>
    <w:rsid w:val="007B5B5F"/>
    <w:rsid w:val="007C75D8"/>
    <w:rsid w:val="007D233B"/>
    <w:rsid w:val="0085070B"/>
    <w:rsid w:val="009108AC"/>
    <w:rsid w:val="00A17247"/>
    <w:rsid w:val="00AD5C54"/>
    <w:rsid w:val="00BA642E"/>
    <w:rsid w:val="00BC236F"/>
    <w:rsid w:val="00C802F5"/>
    <w:rsid w:val="00C96B2C"/>
    <w:rsid w:val="00CC04C1"/>
    <w:rsid w:val="00D245F8"/>
    <w:rsid w:val="00D56A0E"/>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lenda.morandi@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15</Pages>
  <Words>5921</Words>
  <Characters>32568</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10</cp:revision>
  <dcterms:created xsi:type="dcterms:W3CDTF">2026-07-03T11:23:00Z</dcterms:created>
  <dcterms:modified xsi:type="dcterms:W3CDTF">2026-07-03T14:19:00Z</dcterms:modified>
</cp:coreProperties>
</file>