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DB3483" w14:textId="77777777" w:rsidR="00C802F5" w:rsidRPr="00BA642E" w:rsidRDefault="00C802F5" w:rsidP="001923DC">
      <w:pPr>
        <w:jc w:val="center"/>
        <w:rPr>
          <w:rFonts w:ascii="Times New Roman" w:hAnsi="Times New Roman" w:cs="Times New Roman"/>
        </w:rPr>
      </w:pPr>
    </w:p>
    <w:p w14:paraId="16BB1839" w14:textId="77777777" w:rsidR="00CC3A5C" w:rsidRPr="00203C49" w:rsidRDefault="00CC3A5C" w:rsidP="00CC3A5C">
      <w:pPr>
        <w:jc w:val="center"/>
        <w:rPr>
          <w:rFonts w:ascii="Times New Roman" w:hAnsi="Times New Roman" w:cs="Times New Roman"/>
          <w:b/>
          <w:bCs/>
        </w:rPr>
      </w:pPr>
      <w:r w:rsidRPr="00203C49">
        <w:rPr>
          <w:rFonts w:ascii="Times New Roman" w:hAnsi="Times New Roman" w:cs="Times New Roman"/>
          <w:b/>
          <w:bCs/>
        </w:rPr>
        <w:t xml:space="preserve">La Resonancia como Metodología Clínico-Pedagógica en la Universidad y el </w:t>
      </w:r>
      <w:r>
        <w:rPr>
          <w:rFonts w:ascii="Times New Roman" w:hAnsi="Times New Roman" w:cs="Times New Roman"/>
          <w:b/>
          <w:bCs/>
        </w:rPr>
        <w:t>T</w:t>
      </w:r>
      <w:r w:rsidRPr="00203C49">
        <w:rPr>
          <w:rFonts w:ascii="Times New Roman" w:hAnsi="Times New Roman" w:cs="Times New Roman"/>
          <w:b/>
          <w:bCs/>
        </w:rPr>
        <w:t>erritorio</w:t>
      </w:r>
    </w:p>
    <w:p w14:paraId="229CFD01" w14:textId="77777777" w:rsidR="00CC3A5C" w:rsidRPr="00203C49" w:rsidRDefault="00CC3A5C" w:rsidP="00CC3A5C">
      <w:pPr>
        <w:rPr>
          <w:rFonts w:ascii="Times New Roman" w:hAnsi="Times New Roman" w:cs="Times New Roman"/>
        </w:rPr>
      </w:pPr>
    </w:p>
    <w:p w14:paraId="7BA2CEF9" w14:textId="77777777" w:rsidR="00CC3A5C" w:rsidRPr="00203C49" w:rsidRDefault="00CC3A5C" w:rsidP="00CC3A5C">
      <w:pPr>
        <w:spacing w:line="240" w:lineRule="auto"/>
        <w:jc w:val="right"/>
        <w:rPr>
          <w:rFonts w:ascii="Times New Roman" w:hAnsi="Times New Roman" w:cs="Times New Roman"/>
        </w:rPr>
      </w:pPr>
      <w:r w:rsidRPr="00203C49">
        <w:rPr>
          <w:rFonts w:ascii="Times New Roman" w:hAnsi="Times New Roman" w:cs="Times New Roman"/>
        </w:rPr>
        <w:t>Silvia Brukman</w:t>
      </w:r>
    </w:p>
    <w:p w14:paraId="2FEB2ED4" w14:textId="77777777" w:rsidR="00CC3A5C" w:rsidRPr="00203C49" w:rsidRDefault="00CC3A5C" w:rsidP="00CC3A5C">
      <w:pPr>
        <w:spacing w:line="240" w:lineRule="auto"/>
        <w:jc w:val="right"/>
        <w:rPr>
          <w:rFonts w:ascii="Times New Roman" w:hAnsi="Times New Roman" w:cs="Times New Roman"/>
        </w:rPr>
      </w:pPr>
      <w:r w:rsidRPr="00203C49">
        <w:rPr>
          <w:rFonts w:ascii="Times New Roman" w:hAnsi="Times New Roman" w:cs="Times New Roman"/>
        </w:rPr>
        <w:t>Universidad Nacional de Tres de Febrero, Buenos Aires, Argentina</w:t>
      </w:r>
    </w:p>
    <w:p w14:paraId="6C7044F8" w14:textId="77777777" w:rsidR="00CC3A5C" w:rsidRPr="00203C49" w:rsidRDefault="00CC3A5C" w:rsidP="00CC3A5C">
      <w:pPr>
        <w:spacing w:line="240" w:lineRule="auto"/>
        <w:jc w:val="right"/>
        <w:rPr>
          <w:rFonts w:ascii="Times New Roman" w:hAnsi="Times New Roman" w:cs="Times New Roman"/>
        </w:rPr>
      </w:pPr>
      <w:hyperlink r:id="rId6" w:history="1">
        <w:r w:rsidRPr="00203C49">
          <w:rPr>
            <w:rStyle w:val="Hipervnculo"/>
            <w:rFonts w:ascii="Times New Roman" w:hAnsi="Times New Roman" w:cs="Times New Roman"/>
          </w:rPr>
          <w:t>silvia56bruk@gmail.com</w:t>
        </w:r>
      </w:hyperlink>
    </w:p>
    <w:p w14:paraId="2A12C2A6" w14:textId="77777777" w:rsidR="00CC3A5C" w:rsidRPr="00203C49" w:rsidRDefault="00CC3A5C" w:rsidP="00CC3A5C">
      <w:pPr>
        <w:jc w:val="right"/>
        <w:rPr>
          <w:rFonts w:ascii="Times New Roman" w:hAnsi="Times New Roman" w:cs="Times New Roman"/>
        </w:rPr>
      </w:pPr>
    </w:p>
    <w:p w14:paraId="2CC22B27" w14:textId="77777777" w:rsidR="00CC3A5C" w:rsidRPr="00203C49" w:rsidRDefault="00CC3A5C" w:rsidP="00CC3A5C">
      <w:pPr>
        <w:spacing w:line="240" w:lineRule="auto"/>
        <w:jc w:val="right"/>
        <w:rPr>
          <w:rFonts w:ascii="Times New Roman" w:hAnsi="Times New Roman" w:cs="Times New Roman"/>
        </w:rPr>
      </w:pPr>
      <w:r w:rsidRPr="00203C49">
        <w:rPr>
          <w:rFonts w:ascii="Times New Roman" w:hAnsi="Times New Roman" w:cs="Times New Roman"/>
        </w:rPr>
        <w:t>Martín Gabriel Campero</w:t>
      </w:r>
    </w:p>
    <w:p w14:paraId="2FFE50A2" w14:textId="77777777" w:rsidR="00CC3A5C" w:rsidRPr="00203C49" w:rsidRDefault="00CC3A5C" w:rsidP="00CC3A5C">
      <w:pPr>
        <w:spacing w:line="240" w:lineRule="auto"/>
        <w:jc w:val="right"/>
        <w:rPr>
          <w:rFonts w:ascii="Times New Roman" w:hAnsi="Times New Roman" w:cs="Times New Roman"/>
        </w:rPr>
      </w:pPr>
      <w:r w:rsidRPr="00203C49">
        <w:rPr>
          <w:rFonts w:ascii="Times New Roman" w:hAnsi="Times New Roman" w:cs="Times New Roman"/>
        </w:rPr>
        <w:t>Universidad de Buenos Aires, Facultad de Psicología. Buenos Aires, Argentina</w:t>
      </w:r>
    </w:p>
    <w:p w14:paraId="4A682C0B" w14:textId="77777777" w:rsidR="00CC3A5C" w:rsidRPr="00203C49" w:rsidRDefault="00CC3A5C" w:rsidP="00CC3A5C">
      <w:pPr>
        <w:spacing w:line="240" w:lineRule="auto"/>
        <w:jc w:val="right"/>
        <w:rPr>
          <w:rFonts w:ascii="Times New Roman" w:hAnsi="Times New Roman" w:cs="Times New Roman"/>
        </w:rPr>
      </w:pPr>
      <w:hyperlink r:id="rId7" w:history="1">
        <w:r w:rsidRPr="00203C49">
          <w:rPr>
            <w:rStyle w:val="Hipervnculo"/>
            <w:rFonts w:ascii="Times New Roman" w:hAnsi="Times New Roman" w:cs="Times New Roman"/>
          </w:rPr>
          <w:t>martingcampero@gmail.com</w:t>
        </w:r>
      </w:hyperlink>
    </w:p>
    <w:p w14:paraId="196E8FFE" w14:textId="77777777" w:rsidR="00CC3A5C" w:rsidRPr="00203C49" w:rsidRDefault="00CC3A5C" w:rsidP="00CC3A5C">
      <w:pPr>
        <w:rPr>
          <w:rFonts w:ascii="Times New Roman" w:hAnsi="Times New Roman" w:cs="Times New Roman"/>
        </w:rPr>
      </w:pPr>
    </w:p>
    <w:p w14:paraId="4196CFA0" w14:textId="77777777" w:rsidR="00CC3A5C" w:rsidRPr="00203C49" w:rsidRDefault="00CC3A5C" w:rsidP="00CC3A5C">
      <w:pPr>
        <w:spacing w:line="240" w:lineRule="auto"/>
        <w:jc w:val="both"/>
        <w:rPr>
          <w:rFonts w:ascii="Times New Roman" w:hAnsi="Times New Roman" w:cs="Times New Roman"/>
        </w:rPr>
      </w:pPr>
      <w:r w:rsidRPr="00203C49">
        <w:rPr>
          <w:rFonts w:ascii="Times New Roman" w:hAnsi="Times New Roman" w:cs="Times New Roman"/>
          <w:b/>
          <w:bCs/>
        </w:rPr>
        <w:t>Resumen.</w:t>
      </w:r>
      <w:r w:rsidRPr="00203C49">
        <w:rPr>
          <w:rFonts w:ascii="Times New Roman" w:hAnsi="Times New Roman" w:cs="Times New Roman"/>
        </w:rPr>
        <w:t xml:space="preserve"> Las metodologías clásicas de evaluación en el ámbito académico han estado históricamente sujetas a un intenso debate. A menudo, estas prácticas se encuentran limitadas a la mera medición cuantitativa, la recolección de datos y a un enfoque fenoménico descriptivo que resulta insuficiente para abordar la complejidad de la formación profesional. Frente a este paradigma tradicional, el presente trabajo sostiene un firme posicionamiento ético y político que implica considerar al cuerpo humano como un territorio existencial, una verdadera superficie de inscripción de la experiencia. Desde esta perspectiva, enraizada en los valiosos aportes y en la intersección conceptual de la psicomotricidad y el psicoanálisis, emerge la "resonancia". Proponemos a la resonancia como una metodología clínico-pedagógica innovadora que plantea un aporte estructural en la transmisión del conocimiento. Esta metodología consiste en la puesta en común a través de la escritura o de relatos que se recogen e intercambian de manera colectiva y horizontal. Mediante este dispositivo, las personas que integran la comunidad educativa o social logran dar cuenta no solo de los contenidos académicos y teóricos que les han sido transmitidos, sino, de manera fundamental, de la forma en que sus propias subjetividades han sido afectadas e interpeladas al exponerse a nuevos saberes, historias y experiencias prácticas. Nuestra hipótesis principal postula que la resonancia trasciende ampliamente las técnicas tradicionales de evaluación de contenidos. Lejos de constituir un mero sistema de control académico o de verificación de lectura, se instituye como un medio indispensable para la construcción colectiva de nuevos conocimientos y para la invención de modos de intervención superadores. Funciona como un recurso vital en el proceso de enseñanza-aprendizaje que permite registrar y alojar las huellas que se inscriben durante el recorrido de una asignatura o en el exigente trabajo de campo. Este trabajo se nutre de diversas y enriquecedoras experiencias interdisciplinarias llevadas a cabo tanto en el ámbito universitario —específicamente en asignaturas de la Licenciatura en Psicomotricidad de la Universidad Nacional de Tres de Febrero (UNTREF) y de la </w:t>
      </w:r>
      <w:r w:rsidRPr="00203C49">
        <w:rPr>
          <w:rFonts w:ascii="Times New Roman" w:hAnsi="Times New Roman" w:cs="Times New Roman"/>
        </w:rPr>
        <w:lastRenderedPageBreak/>
        <w:t xml:space="preserve">Licenciatura en Psicología de la Universidad de Buenos Aires (UBA)— como en el territorio mismo. Su aplicación se extiende al campo de las prácticas </w:t>
      </w:r>
      <w:proofErr w:type="spellStart"/>
      <w:r w:rsidRPr="00203C49">
        <w:rPr>
          <w:rFonts w:ascii="Times New Roman" w:hAnsi="Times New Roman" w:cs="Times New Roman"/>
        </w:rPr>
        <w:t>pre-profesionales</w:t>
      </w:r>
      <w:proofErr w:type="spellEnd"/>
      <w:r w:rsidRPr="00203C49">
        <w:rPr>
          <w:rFonts w:ascii="Times New Roman" w:hAnsi="Times New Roman" w:cs="Times New Roman"/>
        </w:rPr>
        <w:t>, en diversas instituciones de salud y en la vasta área socio-comunitaria. Como resultado de la implementación de este dispositivo, se observa que la resonancia opera como un contrapunto esencial a lo meramente descriptivo. Al habilitar un espacio para tramitar las afectaciones colectivas y las implicancias subjetivas, facilita un aprendizaje atravesado por el encuentro y la experiencia, promoviendo en los estudiantes y profesionales una mayor implicación con su tarea. Se concluye que las resonancias no sólo enriquecen el trayecto formativo individual, sino que potencian la calidad y la humanidad de las intervenciones clínico-comunitarias en el territorio.</w:t>
      </w:r>
    </w:p>
    <w:p w14:paraId="51A80A7C" w14:textId="77777777" w:rsidR="00CC3A5C" w:rsidRDefault="00CC3A5C" w:rsidP="00CC3A5C">
      <w:pPr>
        <w:jc w:val="both"/>
        <w:rPr>
          <w:rFonts w:ascii="Times New Roman" w:hAnsi="Times New Roman" w:cs="Times New Roman"/>
          <w:b/>
          <w:bCs/>
        </w:rPr>
      </w:pPr>
    </w:p>
    <w:p w14:paraId="36A71D53" w14:textId="77777777" w:rsidR="00CC3A5C" w:rsidRPr="00203C49" w:rsidRDefault="00CC3A5C" w:rsidP="00CC3A5C">
      <w:pPr>
        <w:spacing w:line="240" w:lineRule="auto"/>
        <w:jc w:val="both"/>
        <w:rPr>
          <w:rFonts w:ascii="Times New Roman" w:hAnsi="Times New Roman" w:cs="Times New Roman"/>
        </w:rPr>
      </w:pPr>
      <w:r w:rsidRPr="00203C49">
        <w:rPr>
          <w:rFonts w:ascii="Times New Roman" w:hAnsi="Times New Roman" w:cs="Times New Roman"/>
          <w:b/>
          <w:bCs/>
        </w:rPr>
        <w:t>Palabras clave:</w:t>
      </w:r>
      <w:r w:rsidRPr="00203C49">
        <w:rPr>
          <w:rFonts w:ascii="Times New Roman" w:hAnsi="Times New Roman" w:cs="Times New Roman"/>
        </w:rPr>
        <w:t xml:space="preserve"> Resonancia; Metodología clínico-pedagógica; Psicomotricidad; Psicoanálisis; Subjetividad.</w:t>
      </w:r>
    </w:p>
    <w:p w14:paraId="441CD0AB" w14:textId="77777777" w:rsidR="00CC3A5C" w:rsidRPr="00203C49" w:rsidRDefault="00CC3A5C" w:rsidP="00CC3A5C">
      <w:pPr>
        <w:jc w:val="both"/>
        <w:rPr>
          <w:rFonts w:ascii="Times New Roman" w:hAnsi="Times New Roman" w:cs="Times New Roman"/>
        </w:rPr>
      </w:pPr>
    </w:p>
    <w:p w14:paraId="207E0FF5" w14:textId="77777777" w:rsidR="00CC3A5C" w:rsidRPr="00203C49" w:rsidRDefault="00CC3A5C" w:rsidP="00CC3A5C">
      <w:pPr>
        <w:spacing w:line="240" w:lineRule="auto"/>
        <w:jc w:val="both"/>
        <w:rPr>
          <w:rFonts w:ascii="Times New Roman" w:hAnsi="Times New Roman" w:cs="Times New Roman"/>
          <w:b/>
          <w:bCs/>
        </w:rPr>
      </w:pPr>
      <w:r w:rsidRPr="00203C49">
        <w:rPr>
          <w:rFonts w:ascii="Times New Roman" w:hAnsi="Times New Roman" w:cs="Times New Roman"/>
          <w:b/>
          <w:bCs/>
        </w:rPr>
        <w:t>Introducción</w:t>
      </w:r>
    </w:p>
    <w:p w14:paraId="1F36E9B2" w14:textId="77777777" w:rsidR="00CC3A5C" w:rsidRPr="00203C49" w:rsidRDefault="00CC3A5C" w:rsidP="00CC3A5C">
      <w:pPr>
        <w:spacing w:line="240" w:lineRule="auto"/>
        <w:ind w:firstLine="708"/>
        <w:jc w:val="both"/>
        <w:rPr>
          <w:rFonts w:ascii="Times New Roman" w:hAnsi="Times New Roman" w:cs="Times New Roman"/>
        </w:rPr>
      </w:pPr>
      <w:r w:rsidRPr="00203C49">
        <w:rPr>
          <w:rFonts w:ascii="Times New Roman" w:hAnsi="Times New Roman" w:cs="Times New Roman"/>
        </w:rPr>
        <w:t>El ámbito académico, particularmente en la formación superior de profesionales de la salud, la psicología, la psicomotricidad y las disciplinas afines, se enfrenta hoy a una encrucijada epistemológica y metodológica ineludible. Históricamente, las prácticas de enseñanza y, muy especialmente, las de evaluación, han estado ancladas en un paradigma de corte positivista. Para Johann Friedrich Herbart, considerado padre del modelo pedagógico tradicional, la educación se logra mediante la instrucción directa de un saber sistematizado y de carácter individualista, resultando la función del maestro como modelador absoluto del carácter moral del niño. </w:t>
      </w:r>
    </w:p>
    <w:p w14:paraId="18B01447" w14:textId="77777777" w:rsidR="00CC3A5C" w:rsidRPr="00203C49" w:rsidRDefault="00CC3A5C" w:rsidP="00CC3A5C">
      <w:pPr>
        <w:spacing w:line="480" w:lineRule="auto"/>
        <w:ind w:left="709"/>
        <w:jc w:val="both"/>
        <w:rPr>
          <w:rFonts w:ascii="Times New Roman" w:hAnsi="Times New Roman" w:cs="Times New Roman"/>
        </w:rPr>
      </w:pPr>
      <w:r w:rsidRPr="00203C49">
        <w:rPr>
          <w:rFonts w:ascii="Times New Roman" w:hAnsi="Times New Roman" w:cs="Times New Roman"/>
        </w:rPr>
        <w:t>…la pedagogía nació con una aspiración sistemática –que ha ido cediendo en el transcurso del tiempo– de modo que, bajo la doble perspectiva de la psicología y de la ética, se buscaba ordenar todo el conocimiento educativo en aras de la mejora de la humanidad, pero pasando por la individualidad, primer objetivo de la pedagogía herbartiana.</w:t>
      </w:r>
    </w:p>
    <w:p w14:paraId="3606ADA1" w14:textId="77777777" w:rsidR="00CC3A5C" w:rsidRPr="00203C49" w:rsidRDefault="00CC3A5C" w:rsidP="00CC3A5C">
      <w:pPr>
        <w:spacing w:line="480" w:lineRule="auto"/>
        <w:ind w:left="709" w:firstLine="707"/>
        <w:jc w:val="both"/>
        <w:rPr>
          <w:rFonts w:ascii="Times New Roman" w:hAnsi="Times New Roman" w:cs="Times New Roman"/>
        </w:rPr>
      </w:pPr>
      <w:r w:rsidRPr="00203C49">
        <w:rPr>
          <w:rFonts w:ascii="Times New Roman" w:hAnsi="Times New Roman" w:cs="Times New Roman"/>
        </w:rPr>
        <w:t>Por consiguiente, nos encontramos ante una sistemática entendida a modo de pedagogía general que apelaba a la pedagogía psicológica que enfatiza la importancia de la individualidad del niño y de su observación. (</w:t>
      </w:r>
      <w:proofErr w:type="spellStart"/>
      <w:r w:rsidRPr="00203C49">
        <w:rPr>
          <w:rFonts w:ascii="Times New Roman" w:hAnsi="Times New Roman" w:cs="Times New Roman"/>
        </w:rPr>
        <w:t>Vilanou</w:t>
      </w:r>
      <w:proofErr w:type="spellEnd"/>
      <w:r w:rsidRPr="00203C49">
        <w:rPr>
          <w:rFonts w:ascii="Times New Roman" w:hAnsi="Times New Roman" w:cs="Times New Roman"/>
        </w:rPr>
        <w:t>, C., García Farrero, J., de la Arada, R., 2018, p. 225)</w:t>
      </w:r>
    </w:p>
    <w:p w14:paraId="393FB80E" w14:textId="77777777" w:rsidR="00CC3A5C" w:rsidRPr="00203C49" w:rsidRDefault="00CC3A5C" w:rsidP="00CC3A5C">
      <w:pPr>
        <w:spacing w:line="240" w:lineRule="auto"/>
        <w:ind w:firstLine="708"/>
        <w:jc w:val="both"/>
        <w:rPr>
          <w:rFonts w:ascii="Times New Roman" w:hAnsi="Times New Roman" w:cs="Times New Roman"/>
        </w:rPr>
      </w:pPr>
      <w:r w:rsidRPr="00203C49">
        <w:rPr>
          <w:rFonts w:ascii="Times New Roman" w:hAnsi="Times New Roman" w:cs="Times New Roman"/>
        </w:rPr>
        <w:lastRenderedPageBreak/>
        <w:t>En este modelo hegemónico, el éxito o el fracaso del proceso de enseñanza-aprendizaje se verifica a través de la medición cuantitativa, la recolección de datos asépticos y un enfoque fenomenológico puramente descriptivo. Se asume, desde esta perspectiva, que el conocimiento es un "objeto" preexistente, delimitado y estático, que el docente transmite unidireccionalmente y que se deposita en la mente de un estudiante concebido como un receptáculo pasivo.</w:t>
      </w:r>
    </w:p>
    <w:p w14:paraId="5C84BE43" w14:textId="77777777" w:rsidR="00CC3A5C" w:rsidRPr="00203C49" w:rsidRDefault="00CC3A5C" w:rsidP="00CC3A5C">
      <w:pPr>
        <w:spacing w:line="240" w:lineRule="auto"/>
        <w:ind w:firstLine="708"/>
        <w:jc w:val="both"/>
        <w:rPr>
          <w:rFonts w:ascii="Times New Roman" w:hAnsi="Times New Roman" w:cs="Times New Roman"/>
        </w:rPr>
      </w:pPr>
      <w:r w:rsidRPr="00203C49">
        <w:rPr>
          <w:rFonts w:ascii="Times New Roman" w:hAnsi="Times New Roman" w:cs="Times New Roman"/>
        </w:rPr>
        <w:t>Esta arquitectura pedagógica, heredera de una visión mecanicista de la educación, resulta claramente insuficiente y contraproducente para abordar la profunda complejidad que reviste la formación clínica y profesional. La clínica, en su esencia más íntima y descarnada, exige profesionales capaces de lidiar con el sufrimiento humano, con la incertidumbre y el dolor. Evaluar a un futuro psicomotricista, psicoanalista o agente de salud mental únicamente a través de exámenes de “</w:t>
      </w:r>
      <w:proofErr w:type="spellStart"/>
      <w:r w:rsidRPr="00203C49">
        <w:rPr>
          <w:rFonts w:ascii="Times New Roman" w:hAnsi="Times New Roman" w:cs="Times New Roman"/>
        </w:rPr>
        <w:t>multiple</w:t>
      </w:r>
      <w:proofErr w:type="spellEnd"/>
      <w:r w:rsidRPr="00203C49">
        <w:rPr>
          <w:rFonts w:ascii="Times New Roman" w:hAnsi="Times New Roman" w:cs="Times New Roman"/>
        </w:rPr>
        <w:t xml:space="preserve"> </w:t>
      </w:r>
      <w:proofErr w:type="spellStart"/>
      <w:r w:rsidRPr="00203C49">
        <w:rPr>
          <w:rFonts w:ascii="Times New Roman" w:hAnsi="Times New Roman" w:cs="Times New Roman"/>
        </w:rPr>
        <w:t>choice</w:t>
      </w:r>
      <w:proofErr w:type="spellEnd"/>
      <w:r w:rsidRPr="00203C49">
        <w:rPr>
          <w:rFonts w:ascii="Times New Roman" w:hAnsi="Times New Roman" w:cs="Times New Roman"/>
        </w:rPr>
        <w:t>”, monografías estandarizadas, repeticiones memorísticas de teoría o producciones mediadas por la Inteligencia Artificial, es despojar a la praxis de su núcleo vital: la implicación subjetiva.</w:t>
      </w:r>
    </w:p>
    <w:p w14:paraId="6B83EDA0" w14:textId="77777777" w:rsidR="00CC3A5C" w:rsidRPr="00203C49" w:rsidRDefault="00CC3A5C" w:rsidP="00CC3A5C">
      <w:pPr>
        <w:spacing w:line="240" w:lineRule="auto"/>
        <w:ind w:firstLine="708"/>
        <w:jc w:val="both"/>
        <w:rPr>
          <w:rFonts w:ascii="Times New Roman" w:hAnsi="Times New Roman" w:cs="Times New Roman"/>
        </w:rPr>
      </w:pPr>
      <w:r w:rsidRPr="00203C49">
        <w:rPr>
          <w:rFonts w:ascii="Times New Roman" w:hAnsi="Times New Roman" w:cs="Times New Roman"/>
        </w:rPr>
        <w:t xml:space="preserve">La evaluación tradicional, al centrarse exclusivamente en la constatación de "saberes dados", omite la dimensión </w:t>
      </w:r>
      <w:proofErr w:type="spellStart"/>
      <w:r w:rsidRPr="00203C49">
        <w:rPr>
          <w:rFonts w:ascii="Times New Roman" w:hAnsi="Times New Roman" w:cs="Times New Roman"/>
        </w:rPr>
        <w:t>acontecimental</w:t>
      </w:r>
      <w:proofErr w:type="spellEnd"/>
      <w:r w:rsidRPr="00203C49">
        <w:rPr>
          <w:rFonts w:ascii="Times New Roman" w:hAnsi="Times New Roman" w:cs="Times New Roman"/>
        </w:rPr>
        <w:t xml:space="preserve"> del aprendizaje. Ignora que conocer, en el ámbito de las ciencias humanas y de la salud, es fundamentalmente ser afectado por lo conocido. Como advierte Larrosa (2003), es fundamental separar el saber de experiencia de la simple adquisición de datos, ya que "la información no es experiencia". Este autor señala que el énfasis contemporáneo en estar permanentemente informados opera, paradójicamente, como una cancelación de nuestras posibilidades de que algo nos pase o nos acontezca.</w:t>
      </w:r>
    </w:p>
    <w:p w14:paraId="3F3FF26F" w14:textId="77777777" w:rsidR="00CC3A5C" w:rsidRPr="00203C49" w:rsidRDefault="00CC3A5C" w:rsidP="00CC3A5C">
      <w:pPr>
        <w:spacing w:line="240" w:lineRule="auto"/>
        <w:ind w:firstLine="708"/>
        <w:jc w:val="both"/>
        <w:rPr>
          <w:rFonts w:ascii="Times New Roman" w:hAnsi="Times New Roman" w:cs="Times New Roman"/>
        </w:rPr>
      </w:pPr>
      <w:r w:rsidRPr="00203C49">
        <w:rPr>
          <w:rFonts w:ascii="Times New Roman" w:hAnsi="Times New Roman" w:cs="Times New Roman"/>
        </w:rPr>
        <w:t xml:space="preserve">Frente a este paradigma mecanicista, nuestro trabajo sostiene un firme e innegociable posicionamiento ético y político. Dicho posicionamiento implica una premisa epistemológica ineludible: considerar al cuerpo no como un mero soporte biológico, una máquina anatómica o un organismo pasible de ser adiestrado, sino como un verdadero </w:t>
      </w:r>
      <w:r w:rsidRPr="00203C49">
        <w:rPr>
          <w:rFonts w:ascii="Times New Roman" w:hAnsi="Times New Roman" w:cs="Times New Roman"/>
          <w:i/>
          <w:iCs/>
        </w:rPr>
        <w:t>territorio existencial</w:t>
      </w:r>
      <w:r w:rsidRPr="00203C49">
        <w:rPr>
          <w:rFonts w:ascii="Times New Roman" w:hAnsi="Times New Roman" w:cs="Times New Roman"/>
        </w:rPr>
        <w:t>, una superficie viva de inscripción de la experiencia donde se entraman la historia singular, las determinaciones del lenguaje y las contingencias del lazo social.</w:t>
      </w:r>
    </w:p>
    <w:p w14:paraId="134467F7" w14:textId="77777777" w:rsidR="00CC3A5C" w:rsidRPr="00203C49" w:rsidRDefault="00CC3A5C" w:rsidP="00CC3A5C">
      <w:pPr>
        <w:spacing w:line="240" w:lineRule="auto"/>
        <w:ind w:firstLine="708"/>
        <w:jc w:val="both"/>
        <w:rPr>
          <w:rFonts w:ascii="Times New Roman" w:hAnsi="Times New Roman" w:cs="Times New Roman"/>
        </w:rPr>
      </w:pPr>
      <w:r w:rsidRPr="00203C49">
        <w:rPr>
          <w:rFonts w:ascii="Times New Roman" w:hAnsi="Times New Roman" w:cs="Times New Roman"/>
        </w:rPr>
        <w:t xml:space="preserve">Desde esta perspectiva, profundamente enraizada en los valiosos aportes y en la intersección conceptual de la clínica psicomotriz y el psicoanálisis, emerge un concepto que en este trabajo proponemos elevar a la categoría de método e instrumento pedagógico: la </w:t>
      </w:r>
      <w:r w:rsidRPr="00203C49">
        <w:rPr>
          <w:rFonts w:ascii="Times New Roman" w:hAnsi="Times New Roman" w:cs="Times New Roman"/>
          <w:i/>
          <w:iCs/>
        </w:rPr>
        <w:t>resonancia</w:t>
      </w:r>
      <w:r w:rsidRPr="00203C49">
        <w:rPr>
          <w:rFonts w:ascii="Times New Roman" w:hAnsi="Times New Roman" w:cs="Times New Roman"/>
        </w:rPr>
        <w:t>. Lejos de ser un forzamiento semántico del término que tomamos prestado de la física, la resonancia se postula aquí como una metodología clínico-pedagógica innovadora que plantea un aporte estructural, no solo en las vías de transmisión del conocimiento, sino en la constitución misma de la matriz identitaria del estudiante y del rol como futuro profesional.</w:t>
      </w:r>
    </w:p>
    <w:p w14:paraId="425527D3" w14:textId="77777777" w:rsidR="00CC3A5C" w:rsidRPr="00203C49" w:rsidRDefault="00CC3A5C" w:rsidP="00CC3A5C">
      <w:pPr>
        <w:spacing w:line="240" w:lineRule="auto"/>
        <w:ind w:firstLine="708"/>
        <w:jc w:val="both"/>
        <w:rPr>
          <w:rFonts w:ascii="Times New Roman" w:hAnsi="Times New Roman" w:cs="Times New Roman"/>
        </w:rPr>
      </w:pPr>
      <w:r w:rsidRPr="00203C49">
        <w:rPr>
          <w:rFonts w:ascii="Times New Roman" w:hAnsi="Times New Roman" w:cs="Times New Roman"/>
        </w:rPr>
        <w:t xml:space="preserve">Nuestra hipótesis principal postula que la resonancia, implementada como dispositivo, trasciende ampliamente las técnicas tradicionales de evaluación. En un sentido muy diverso al de constituir un sistema de control académico, de </w:t>
      </w:r>
      <w:proofErr w:type="spellStart"/>
      <w:r w:rsidRPr="00203C49">
        <w:rPr>
          <w:rFonts w:ascii="Times New Roman" w:hAnsi="Times New Roman" w:cs="Times New Roman"/>
        </w:rPr>
        <w:t>disciplinamiento</w:t>
      </w:r>
      <w:proofErr w:type="spellEnd"/>
      <w:r w:rsidRPr="00203C49">
        <w:rPr>
          <w:rFonts w:ascii="Times New Roman" w:hAnsi="Times New Roman" w:cs="Times New Roman"/>
        </w:rPr>
        <w:t xml:space="preserve"> punitivo o de simple verificación de lectura, se instituye como un medio indispensable para la construcción colectiva de nuevos saberes y para la invención incesante de modos </w:t>
      </w:r>
      <w:r w:rsidRPr="00203C49">
        <w:rPr>
          <w:rFonts w:ascii="Times New Roman" w:hAnsi="Times New Roman" w:cs="Times New Roman"/>
        </w:rPr>
        <w:lastRenderedPageBreak/>
        <w:t xml:space="preserve">de intervención superadores. Este escrito se propone desglosar los múltiples ejes temáticos que componen esta metodología, apoyándose en un corpus de experiencias interdisciplinarias reales llevadas a cabo en el ámbito universitario —específicamente en la Licenciatura en Psicomotricidad de la Universidad Nacional de Tres de Febrero (UNTREF) en las cátedras de Formación Personal Corporal I; Formación Personal Corporal III; Seminario de Psicomotricidad y Acción Comunitaria; en la Práctica </w:t>
      </w:r>
      <w:proofErr w:type="spellStart"/>
      <w:r w:rsidRPr="00203C49">
        <w:rPr>
          <w:rFonts w:ascii="Times New Roman" w:hAnsi="Times New Roman" w:cs="Times New Roman"/>
        </w:rPr>
        <w:t>pre-profesional</w:t>
      </w:r>
      <w:proofErr w:type="spellEnd"/>
      <w:r w:rsidRPr="00203C49">
        <w:rPr>
          <w:rFonts w:ascii="Times New Roman" w:hAnsi="Times New Roman" w:cs="Times New Roman"/>
        </w:rPr>
        <w:t xml:space="preserve"> en el Ámbito </w:t>
      </w:r>
      <w:proofErr w:type="spellStart"/>
      <w:r w:rsidRPr="00203C49">
        <w:rPr>
          <w:rFonts w:ascii="Times New Roman" w:hAnsi="Times New Roman" w:cs="Times New Roman"/>
        </w:rPr>
        <w:t>Sociocomunitario</w:t>
      </w:r>
      <w:proofErr w:type="spellEnd"/>
      <w:r w:rsidRPr="00203C49">
        <w:rPr>
          <w:rFonts w:ascii="Times New Roman" w:hAnsi="Times New Roman" w:cs="Times New Roman"/>
        </w:rPr>
        <w:t>; y en la Licenciatura en Psicología de la Universidad de Buenos Aires (UBA) en las materias Clínica de la Discapacidad y/o Problemas en el Desarrollo Humano; Psicología de la Discapacidad y en la Práctica Profesional El Juego en los Límites— y en su vasta extensión hacia el campo socio-comunitario.</w:t>
      </w:r>
    </w:p>
    <w:p w14:paraId="57E5B33A" w14:textId="77777777" w:rsidR="00CC3A5C" w:rsidRDefault="00CC3A5C" w:rsidP="00CC3A5C">
      <w:pPr>
        <w:spacing w:line="240" w:lineRule="auto"/>
        <w:jc w:val="both"/>
        <w:rPr>
          <w:rFonts w:ascii="Times New Roman" w:hAnsi="Times New Roman" w:cs="Times New Roman"/>
          <w:b/>
          <w:bCs/>
        </w:rPr>
      </w:pPr>
    </w:p>
    <w:p w14:paraId="22198F4A" w14:textId="77777777" w:rsidR="00CC3A5C" w:rsidRPr="00A641BE" w:rsidRDefault="00CC3A5C" w:rsidP="00CC3A5C">
      <w:pPr>
        <w:spacing w:line="240" w:lineRule="auto"/>
        <w:jc w:val="both"/>
        <w:rPr>
          <w:rFonts w:ascii="Times New Roman" w:hAnsi="Times New Roman" w:cs="Times New Roman"/>
          <w:b/>
          <w:bCs/>
        </w:rPr>
      </w:pPr>
      <w:r w:rsidRPr="00A641BE">
        <w:rPr>
          <w:rFonts w:ascii="Times New Roman" w:hAnsi="Times New Roman" w:cs="Times New Roman"/>
          <w:b/>
          <w:bCs/>
        </w:rPr>
        <w:t>Desarrollo</w:t>
      </w:r>
    </w:p>
    <w:p w14:paraId="499ACDD8" w14:textId="77777777" w:rsidR="00CC3A5C" w:rsidRPr="003300B7" w:rsidRDefault="00CC3A5C" w:rsidP="00CC3A5C">
      <w:pPr>
        <w:spacing w:line="240" w:lineRule="auto"/>
        <w:jc w:val="both"/>
        <w:rPr>
          <w:rFonts w:ascii="Times New Roman" w:hAnsi="Times New Roman" w:cs="Times New Roman"/>
          <w:b/>
          <w:bCs/>
        </w:rPr>
      </w:pPr>
      <w:r w:rsidRPr="003300B7">
        <w:rPr>
          <w:rFonts w:ascii="Times New Roman" w:hAnsi="Times New Roman" w:cs="Times New Roman"/>
          <w:b/>
          <w:bCs/>
          <w:i/>
          <w:iCs/>
        </w:rPr>
        <w:t>La resonancia en su dimensión ético-política</w:t>
      </w:r>
    </w:p>
    <w:p w14:paraId="52D7A7A4" w14:textId="77777777" w:rsidR="00CC3A5C" w:rsidRPr="00203C49" w:rsidRDefault="00CC3A5C" w:rsidP="00CC3A5C">
      <w:pPr>
        <w:spacing w:line="240" w:lineRule="auto"/>
        <w:ind w:firstLine="708"/>
        <w:jc w:val="both"/>
        <w:rPr>
          <w:rFonts w:ascii="Times New Roman" w:hAnsi="Times New Roman" w:cs="Times New Roman"/>
        </w:rPr>
      </w:pPr>
      <w:r w:rsidRPr="00203C49">
        <w:rPr>
          <w:rFonts w:ascii="Times New Roman" w:hAnsi="Times New Roman" w:cs="Times New Roman"/>
        </w:rPr>
        <w:t>A medida que el corpus conceptual de la psicomotricidad, el psicoanálisis y la salud integral han madurado, se ha hecho evidente que no podemos pensar la clínica —ni mucho menos proponer una metodología de formación innovadora y transformadora— sin situar nuestra mirada en la ineludible dimensión política, social e histórica de nuestra época. Los textos fundacionales más recientes al interior de nuestras disciplinas han ampliado de manera rotunda el lente clínico para desnaturalizar y problematizar la neutralidad analítica, entendiendo que el acto terapéutico no acontece jamás en un quirófano aséptico ni en un vacío social.</w:t>
      </w:r>
    </w:p>
    <w:p w14:paraId="3647260E" w14:textId="77777777" w:rsidR="00CC3A5C" w:rsidRDefault="00CC3A5C" w:rsidP="00CC3A5C">
      <w:pPr>
        <w:spacing w:line="240" w:lineRule="auto"/>
        <w:ind w:firstLine="708"/>
        <w:jc w:val="both"/>
        <w:rPr>
          <w:rFonts w:ascii="Times New Roman" w:hAnsi="Times New Roman" w:cs="Times New Roman"/>
        </w:rPr>
      </w:pPr>
      <w:r w:rsidRPr="00203C49">
        <w:rPr>
          <w:rFonts w:ascii="Times New Roman" w:hAnsi="Times New Roman" w:cs="Times New Roman"/>
        </w:rPr>
        <w:t>En contextos de marcada brutalidad neoliberal, de empobrecimiento y exclusión sistemática de grandes sectores de la población, o frente a la emergencia manifiesta de la injusticia sociopolítica, el cuerpo del sujeto contemporáneo sufre el embate. Deja de ser meramente el asiento de síntomas neuróticos individuales para convertirse en un verdadero territorio de disputa política, un terreno existencial asediado por lógicas de segregación, precarización y violencia institucional.</w:t>
      </w:r>
    </w:p>
    <w:p w14:paraId="628BBB01" w14:textId="77777777" w:rsidR="00CC3A5C" w:rsidRDefault="00CC3A5C" w:rsidP="00CC3A5C">
      <w:pPr>
        <w:spacing w:line="240" w:lineRule="auto"/>
        <w:ind w:firstLine="708"/>
        <w:jc w:val="both"/>
        <w:rPr>
          <w:rFonts w:ascii="Times New Roman" w:hAnsi="Times New Roman" w:cs="Times New Roman"/>
        </w:rPr>
      </w:pPr>
      <w:r w:rsidRPr="00203C49">
        <w:rPr>
          <w:rFonts w:ascii="Times New Roman" w:hAnsi="Times New Roman" w:cs="Times New Roman"/>
        </w:rPr>
        <w:t>En este turbulento contexto histórico, los interrogantes formativos cobran una urgencia insoslayable: ¿Qué postura y qué responsabilidades debe asumir un psicomotricista, un analista o un efector de salud en el ámbito público frente a escenarios de horror cotidiano, frente a crianzas arrasadas por la miseria, frente a la burocracia estatal que abandona o frente a la violencia que desgarra el tejido de los lazos barriales? ¿Es posible, o incluso éticamente aceptable, mantener una pretendida neutralidad frente a políticas públicas que pulverizan las redes de contención?</w:t>
      </w:r>
    </w:p>
    <w:p w14:paraId="2591FFFD" w14:textId="77777777" w:rsidR="00CC3A5C" w:rsidRPr="00203C49" w:rsidRDefault="00CC3A5C" w:rsidP="00CC3A5C">
      <w:pPr>
        <w:spacing w:line="240" w:lineRule="auto"/>
        <w:ind w:firstLine="708"/>
        <w:jc w:val="both"/>
        <w:rPr>
          <w:rFonts w:ascii="Times New Roman" w:hAnsi="Times New Roman" w:cs="Times New Roman"/>
        </w:rPr>
      </w:pPr>
      <w:r w:rsidRPr="00203C49">
        <w:rPr>
          <w:rFonts w:ascii="Times New Roman" w:hAnsi="Times New Roman" w:cs="Times New Roman"/>
        </w:rPr>
        <w:t xml:space="preserve">La metodología de las resonancias asume firmemente que la clínica connota, en todo momento e irreductiblemente, un posicionamiento ético y político que rebasa el confort de las paredes del consultorio privado o el aula de la universidad. El dispositivo de las rondas de resonancias, al poner en primer plano la grupalidad y el registro encarnado de la injusticia durante las prácticas universitarias territoriales les permite a los estudiantes reconocerse a sí mismos, no como fríos técnicos de la salud aplicadores </w:t>
      </w:r>
      <w:proofErr w:type="gramStart"/>
      <w:r w:rsidRPr="00203C49">
        <w:rPr>
          <w:rFonts w:ascii="Times New Roman" w:hAnsi="Times New Roman" w:cs="Times New Roman"/>
        </w:rPr>
        <w:t xml:space="preserve">de </w:t>
      </w:r>
      <w:r w:rsidRPr="00203C49">
        <w:rPr>
          <w:rFonts w:ascii="Times New Roman" w:hAnsi="Times New Roman" w:cs="Times New Roman"/>
        </w:rPr>
        <w:lastRenderedPageBreak/>
        <w:t>test</w:t>
      </w:r>
      <w:proofErr w:type="gramEnd"/>
      <w:r w:rsidRPr="00203C49">
        <w:rPr>
          <w:rFonts w:ascii="Times New Roman" w:hAnsi="Times New Roman" w:cs="Times New Roman"/>
        </w:rPr>
        <w:t xml:space="preserve"> estandarizados, sino como verdaderos agentes políticos y sociales que intervienen activamente en el tejido comunitario.</w:t>
      </w:r>
    </w:p>
    <w:p w14:paraId="6D165297" w14:textId="77777777" w:rsidR="00CC3A5C" w:rsidRDefault="00CC3A5C" w:rsidP="00CC3A5C">
      <w:pPr>
        <w:spacing w:line="240" w:lineRule="auto"/>
        <w:jc w:val="both"/>
        <w:rPr>
          <w:rFonts w:ascii="Times New Roman" w:hAnsi="Times New Roman" w:cs="Times New Roman"/>
          <w:i/>
          <w:iCs/>
        </w:rPr>
      </w:pPr>
    </w:p>
    <w:p w14:paraId="0C6B6837" w14:textId="77777777" w:rsidR="00CC3A5C" w:rsidRPr="003300B7" w:rsidRDefault="00CC3A5C" w:rsidP="00CC3A5C">
      <w:pPr>
        <w:spacing w:line="240" w:lineRule="auto"/>
        <w:jc w:val="both"/>
        <w:rPr>
          <w:rFonts w:ascii="Times New Roman" w:hAnsi="Times New Roman" w:cs="Times New Roman"/>
          <w:b/>
          <w:bCs/>
        </w:rPr>
      </w:pPr>
      <w:r w:rsidRPr="003300B7">
        <w:rPr>
          <w:rFonts w:ascii="Times New Roman" w:hAnsi="Times New Roman" w:cs="Times New Roman"/>
          <w:b/>
          <w:bCs/>
          <w:i/>
          <w:iCs/>
        </w:rPr>
        <w:t>El cuerpo como territorio existencial</w:t>
      </w:r>
    </w:p>
    <w:p w14:paraId="0F89B51D" w14:textId="77777777" w:rsidR="00CC3A5C" w:rsidRPr="00203C49" w:rsidRDefault="00CC3A5C" w:rsidP="00CC3A5C">
      <w:pPr>
        <w:spacing w:line="240" w:lineRule="auto"/>
        <w:ind w:firstLine="708"/>
        <w:jc w:val="both"/>
        <w:rPr>
          <w:rFonts w:ascii="Times New Roman" w:hAnsi="Times New Roman" w:cs="Times New Roman"/>
        </w:rPr>
      </w:pPr>
      <w:r w:rsidRPr="00203C49">
        <w:rPr>
          <w:rFonts w:ascii="Times New Roman" w:hAnsi="Times New Roman" w:cs="Times New Roman"/>
        </w:rPr>
        <w:t xml:space="preserve">Para adentrarnos en las honduras de la resonancia como método, es necesario realizar un rodeo teórico sobre la concepción del cuerpo que sostiene nuestra praxis. En la formación universitaria tradicional, el cuerpo del estudiante es sistemáticamente silenciado, inmovilizado en pupitres, reducido a un mero apéndice de la mente pensante. El imperativo cartesiano del </w:t>
      </w:r>
      <w:r w:rsidRPr="00203C49">
        <w:rPr>
          <w:rFonts w:ascii="Times New Roman" w:hAnsi="Times New Roman" w:cs="Times New Roman"/>
          <w:i/>
          <w:iCs/>
        </w:rPr>
        <w:t>cogito ergo sum</w:t>
      </w:r>
      <w:r w:rsidRPr="00203C49">
        <w:rPr>
          <w:rFonts w:ascii="Times New Roman" w:hAnsi="Times New Roman" w:cs="Times New Roman"/>
        </w:rPr>
        <w:t xml:space="preserve"> ha forjado academias donde el cuerpo es, en el mejor de los casos, un estorbo que debe ser domesticado para permitir la actividad intelectual pura.</w:t>
      </w:r>
    </w:p>
    <w:p w14:paraId="30F5D6AE" w14:textId="77777777" w:rsidR="00CC3A5C" w:rsidRPr="00203C49" w:rsidRDefault="00CC3A5C" w:rsidP="00CC3A5C">
      <w:pPr>
        <w:spacing w:line="240" w:lineRule="auto"/>
        <w:ind w:firstLine="708"/>
        <w:jc w:val="both"/>
        <w:rPr>
          <w:rFonts w:ascii="Times New Roman" w:hAnsi="Times New Roman" w:cs="Times New Roman"/>
        </w:rPr>
      </w:pPr>
      <w:r w:rsidRPr="00203C49">
        <w:rPr>
          <w:rFonts w:ascii="Times New Roman" w:hAnsi="Times New Roman" w:cs="Times New Roman"/>
        </w:rPr>
        <w:t xml:space="preserve">Sin embargo, desde la psicomotricidad y el psicoanálisis, afirmamos que no hay subjetividad desencarnada. El cuerpo aparece en nuestras formulaciones no como un mero soporte biológico, sino como un espacio habitado, </w:t>
      </w:r>
      <w:proofErr w:type="spellStart"/>
      <w:r w:rsidRPr="00203C49">
        <w:rPr>
          <w:rFonts w:ascii="Times New Roman" w:hAnsi="Times New Roman" w:cs="Times New Roman"/>
        </w:rPr>
        <w:t>historizado</w:t>
      </w:r>
      <w:proofErr w:type="spellEnd"/>
      <w:r w:rsidRPr="00203C49">
        <w:rPr>
          <w:rFonts w:ascii="Times New Roman" w:hAnsi="Times New Roman" w:cs="Times New Roman"/>
        </w:rPr>
        <w:t xml:space="preserve">, una superficie de inscripción de la subjetividad. El cuerpo es el primer archivo de la memoria humana; en su tono muscular, en sus posturas, en sus inhibiciones y en su soltura se lee la historia de sus vínculos primeros y de sus travesías institucionales. En esta línea, Brukman (1995) recupera la conceptualización de </w:t>
      </w:r>
      <w:proofErr w:type="spellStart"/>
      <w:r w:rsidRPr="00203C49">
        <w:rPr>
          <w:rFonts w:ascii="Times New Roman" w:hAnsi="Times New Roman" w:cs="Times New Roman"/>
        </w:rPr>
        <w:t>Bergès</w:t>
      </w:r>
      <w:proofErr w:type="spellEnd"/>
      <w:r w:rsidRPr="00203C49">
        <w:rPr>
          <w:rFonts w:ascii="Times New Roman" w:hAnsi="Times New Roman" w:cs="Times New Roman"/>
        </w:rPr>
        <w:t xml:space="preserve"> sobre el cuerpo receptáculo, señalándolo como un "lugar de inscripción, donde quedan las marcas, las huellas del Otro en el sujeto" (p. 15). Esta materialidad de las huellas se hace patente en las prácticas </w:t>
      </w:r>
      <w:proofErr w:type="spellStart"/>
      <w:r w:rsidRPr="00203C49">
        <w:rPr>
          <w:rFonts w:ascii="Times New Roman" w:hAnsi="Times New Roman" w:cs="Times New Roman"/>
        </w:rPr>
        <w:t>sociocomunitarias</w:t>
      </w:r>
      <w:proofErr w:type="spellEnd"/>
      <w:r w:rsidRPr="00203C49">
        <w:rPr>
          <w:rFonts w:ascii="Times New Roman" w:hAnsi="Times New Roman" w:cs="Times New Roman"/>
        </w:rPr>
        <w:t>, tal como relata en una resonancia, una alumna de la UNTREF, al observar el trabajo corporal con mujeres de un centro barrial. La estudiante señala cómo la coordinadora "registra las marcas en los cuerpos de esas mujeres y lo expresa en voz alta" y concluye: "Pienso en la potencia de ponerle voz y hacer visibles los cuerpos invisibilizados por la sociedad, por ser mujeres, por tener bajos recursos y por ser mayores de edad". </w:t>
      </w:r>
    </w:p>
    <w:p w14:paraId="62398D14" w14:textId="77777777" w:rsidR="00CC3A5C" w:rsidRPr="00203C49" w:rsidRDefault="00CC3A5C" w:rsidP="00CC3A5C">
      <w:pPr>
        <w:spacing w:line="240" w:lineRule="auto"/>
        <w:ind w:firstLine="708"/>
        <w:jc w:val="both"/>
        <w:rPr>
          <w:rFonts w:ascii="Times New Roman" w:hAnsi="Times New Roman" w:cs="Times New Roman"/>
        </w:rPr>
      </w:pPr>
      <w:r w:rsidRPr="00203C49">
        <w:rPr>
          <w:rFonts w:ascii="Times New Roman" w:hAnsi="Times New Roman" w:cs="Times New Roman"/>
        </w:rPr>
        <w:t xml:space="preserve">Por lo tanto, pensamos que la formación académica debe necesariamente ocuparse del cuerpo del estudiante y del futuro terapeuta. En otro trabajo señalamos que “planteamos atender a las lógicas de una intervención, esta apunta a crear las condiciones para que el otro pueda tomar su lugar </w:t>
      </w:r>
      <w:proofErr w:type="gramStart"/>
      <w:r w:rsidRPr="00203C49">
        <w:rPr>
          <w:rFonts w:ascii="Times New Roman" w:hAnsi="Times New Roman" w:cs="Times New Roman"/>
        </w:rPr>
        <w:t>en relación a</w:t>
      </w:r>
      <w:proofErr w:type="gramEnd"/>
      <w:r w:rsidRPr="00203C49">
        <w:rPr>
          <w:rFonts w:ascii="Times New Roman" w:hAnsi="Times New Roman" w:cs="Times New Roman"/>
        </w:rPr>
        <w:t xml:space="preserve"> su cuerpo, </w:t>
      </w:r>
      <w:proofErr w:type="gramStart"/>
      <w:r w:rsidRPr="00203C49">
        <w:rPr>
          <w:rFonts w:ascii="Times New Roman" w:hAnsi="Times New Roman" w:cs="Times New Roman"/>
        </w:rPr>
        <w:t>en relación a</w:t>
      </w:r>
      <w:proofErr w:type="gramEnd"/>
      <w:r w:rsidRPr="00203C49">
        <w:rPr>
          <w:rFonts w:ascii="Times New Roman" w:hAnsi="Times New Roman" w:cs="Times New Roman"/>
        </w:rPr>
        <w:t xml:space="preserve"> los otros” (Brukman, S., Rodríguez, R. y Moreyra, A., 2023, p. 47). Desde nuestros espacios formativos, tanto en la UBA como en la UNTREF, sostenemos el "estar en eje" y su potencia como una lógica desde la que se sostiene el posicionamiento ético y político que proponemos. El eje no es aquí una metáfora geométrica vacía, sino un estado tónico-emocional-afectivo que permite la flexibilidad, la permeabilidad y la apertura frente a la novedad, el padecimiento y el dolor del otro. Estar en eje es sostener una posición desde donde ubicarse para luego habitar el espacio. “Estar en, para ir hacia” (Ajuriaguerra, 1982). Es desde esta posición ética que se sostienen luego las intervenciones con los diferentes sujetos destinatarios en los diversos ámbitos.</w:t>
      </w:r>
    </w:p>
    <w:p w14:paraId="54E61720" w14:textId="77777777" w:rsidR="00CC3A5C" w:rsidRPr="00203C49" w:rsidRDefault="00CC3A5C" w:rsidP="00CC3A5C">
      <w:pPr>
        <w:spacing w:line="240" w:lineRule="auto"/>
        <w:ind w:firstLine="708"/>
        <w:jc w:val="both"/>
        <w:rPr>
          <w:rFonts w:ascii="Times New Roman" w:hAnsi="Times New Roman" w:cs="Times New Roman"/>
        </w:rPr>
      </w:pPr>
      <w:r w:rsidRPr="00203C49">
        <w:rPr>
          <w:rFonts w:ascii="Times New Roman" w:hAnsi="Times New Roman" w:cs="Times New Roman"/>
        </w:rPr>
        <w:t xml:space="preserve">En contraposición, conceptualizamos el estado de estar "fuera de eje". Un profesional o un estudiante fuera de eje es aquel cuyo cuerpo queda sobrecargado, con tensión, a la defensiva o, por el contrario, inmovilizado, inhibido y/o anestesiado frente a las múltiples demandas. La sobrecarga teórica disociada de la experiencia suele arrojar a </w:t>
      </w:r>
      <w:r w:rsidRPr="00203C49">
        <w:rPr>
          <w:rFonts w:ascii="Times New Roman" w:hAnsi="Times New Roman" w:cs="Times New Roman"/>
        </w:rPr>
        <w:lastRenderedPageBreak/>
        <w:t>los estudiantes a este estado de “fuera de eje”. Sus mentes están repletas de clasificaciones psicopatológicas, pero sus cuerpos se encuentran acorazados, bloqueando cualquier posibilidad de permeabilidad clínica.</w:t>
      </w:r>
    </w:p>
    <w:p w14:paraId="1A11FED1" w14:textId="77777777" w:rsidR="00CC3A5C" w:rsidRPr="00203C49" w:rsidRDefault="00CC3A5C" w:rsidP="00CC3A5C">
      <w:pPr>
        <w:spacing w:line="240" w:lineRule="auto"/>
        <w:ind w:firstLine="708"/>
        <w:jc w:val="both"/>
        <w:rPr>
          <w:rFonts w:ascii="Times New Roman" w:hAnsi="Times New Roman" w:cs="Times New Roman"/>
        </w:rPr>
      </w:pPr>
      <w:r w:rsidRPr="00203C49">
        <w:rPr>
          <w:rFonts w:ascii="Times New Roman" w:hAnsi="Times New Roman" w:cs="Times New Roman"/>
        </w:rPr>
        <w:t xml:space="preserve">Se tematiza así la </w:t>
      </w:r>
      <w:r w:rsidRPr="00203C49">
        <w:rPr>
          <w:rFonts w:ascii="Times New Roman" w:hAnsi="Times New Roman" w:cs="Times New Roman"/>
          <w:i/>
          <w:iCs/>
        </w:rPr>
        <w:t>disponibilidad corporal</w:t>
      </w:r>
      <w:r w:rsidRPr="00203C49">
        <w:rPr>
          <w:rFonts w:ascii="Times New Roman" w:hAnsi="Times New Roman" w:cs="Times New Roman"/>
        </w:rPr>
        <w:t xml:space="preserve"> como una condición irrenunciable en los procesos formativos. Estar disponible no es simplemente "estar allí" físicamente. Implica un trabajo previo de desalojo de tensiones personales, juicios, prejuicios, ideales, construcciones imaginarias que obturan la posibilidad de abrir un espacio en uno mismo, con el fin de hacer lugar, recibir, alojar la diferencia que se pone en juego en el encuentro con el otro. A partir de ello surgen algunos interrogantes: ¿cómo se evalúa esta disponibilidad en la universidad contemporánea? ¿es posible calificar con un sistema numérico del 1 al 10 la capacidad de un estudiante para sostener la mirada opaca de un paciente con autismo profundo, o para soportar corporalmente la angustia desbordante de una madre en una institución de máxima vulnerabilidad social? La respuesta es, a todas luces, negativa. Es aquí donde la metodología de la resonancia viene a suplir las carencias del paradigma evaluativo positivista, proponiendo un dispositivo capaz de registrar, alojar y tramitar estas dimensiones encarnadas del aprendizaje.</w:t>
      </w:r>
    </w:p>
    <w:p w14:paraId="3F6969BF" w14:textId="77777777" w:rsidR="00CC3A5C" w:rsidRPr="00203C49" w:rsidRDefault="00CC3A5C" w:rsidP="00CC3A5C">
      <w:pPr>
        <w:spacing w:line="240" w:lineRule="auto"/>
        <w:ind w:firstLine="708"/>
        <w:jc w:val="both"/>
        <w:rPr>
          <w:rFonts w:ascii="Times New Roman" w:hAnsi="Times New Roman" w:cs="Times New Roman"/>
        </w:rPr>
      </w:pPr>
      <w:r w:rsidRPr="00203C49">
        <w:rPr>
          <w:rFonts w:ascii="Times New Roman" w:hAnsi="Times New Roman" w:cs="Times New Roman"/>
        </w:rPr>
        <w:t>Lejos de limitar un dispositivo a la acumulación de contenidos y cuantificar el nivel de incorporación por parte de alumnos y/o profesionales, la resonancia implica transmisión de saberes y no saberes, interrogantes, transformaciones subjetivas y producción de nuevos conocimientos.</w:t>
      </w:r>
    </w:p>
    <w:p w14:paraId="4A0AABB6" w14:textId="77777777" w:rsidR="00CC3A5C" w:rsidRDefault="00CC3A5C" w:rsidP="00CC3A5C">
      <w:pPr>
        <w:spacing w:line="240" w:lineRule="auto"/>
        <w:jc w:val="both"/>
        <w:rPr>
          <w:rFonts w:ascii="Times New Roman" w:hAnsi="Times New Roman" w:cs="Times New Roman"/>
          <w:i/>
          <w:iCs/>
        </w:rPr>
      </w:pPr>
    </w:p>
    <w:p w14:paraId="166A5177" w14:textId="77777777" w:rsidR="00CC3A5C" w:rsidRPr="003300B7" w:rsidRDefault="00CC3A5C" w:rsidP="00CC3A5C">
      <w:pPr>
        <w:spacing w:line="240" w:lineRule="auto"/>
        <w:jc w:val="both"/>
        <w:rPr>
          <w:rFonts w:ascii="Times New Roman" w:hAnsi="Times New Roman" w:cs="Times New Roman"/>
          <w:b/>
          <w:bCs/>
        </w:rPr>
      </w:pPr>
      <w:r w:rsidRPr="003300B7">
        <w:rPr>
          <w:rFonts w:ascii="Times New Roman" w:hAnsi="Times New Roman" w:cs="Times New Roman"/>
          <w:b/>
          <w:bCs/>
          <w:i/>
          <w:iCs/>
        </w:rPr>
        <w:t>La resonancia: de la física a la clínica sensible</w:t>
      </w:r>
    </w:p>
    <w:p w14:paraId="07C40EBC" w14:textId="77777777" w:rsidR="00CC3A5C" w:rsidRPr="00203C49" w:rsidRDefault="00CC3A5C" w:rsidP="00CC3A5C">
      <w:pPr>
        <w:spacing w:line="240" w:lineRule="auto"/>
        <w:ind w:firstLine="708"/>
        <w:jc w:val="both"/>
        <w:rPr>
          <w:rFonts w:ascii="Times New Roman" w:hAnsi="Times New Roman" w:cs="Times New Roman"/>
        </w:rPr>
      </w:pPr>
      <w:r w:rsidRPr="00203C49">
        <w:rPr>
          <w:rFonts w:ascii="Times New Roman" w:hAnsi="Times New Roman" w:cs="Times New Roman"/>
        </w:rPr>
        <w:t>Para comprender el verdadero alcance y la potencia de nuestra propuesta metodológica, es preciso deconstruir, rastrear y ampliar la genealogía del término "resonancia". En su acepción original y más estricta proveniente de las ciencias duras (la física, la acústica, la mecánica y la química), la resonancia se define como el fenómeno que se produce cuando un cuerpo capaz de vibrar es sometido a la acción de una fuerza periódica, cuyo periodo de vibración coincide o se aproxima al periodo de vibración característico de dicho cuerpo. En estas condiciones, la amplitud del movimiento del cuerpo aumenta de manera drástica.</w:t>
      </w:r>
    </w:p>
    <w:p w14:paraId="0776073C" w14:textId="77777777" w:rsidR="00CC3A5C" w:rsidRPr="00203C49" w:rsidRDefault="00CC3A5C" w:rsidP="00CC3A5C">
      <w:pPr>
        <w:spacing w:line="240" w:lineRule="auto"/>
        <w:ind w:firstLine="708"/>
        <w:jc w:val="both"/>
        <w:rPr>
          <w:rFonts w:ascii="Times New Roman" w:hAnsi="Times New Roman" w:cs="Times New Roman"/>
        </w:rPr>
      </w:pPr>
      <w:r w:rsidRPr="00203C49">
        <w:rPr>
          <w:rFonts w:ascii="Times New Roman" w:hAnsi="Times New Roman" w:cs="Times New Roman"/>
        </w:rPr>
        <w:t>Sin embargo, en nuestro campo de trabajo transdisciplinario, nos apropiamos de esta noción y la utilizamos como una poderosa y fecunda metáfora conceptual para pensar el intrincado trabajo con el lenguaje, la implicación del cuerpo y los efectos de la experiencia clínica y formativa.</w:t>
      </w:r>
    </w:p>
    <w:p w14:paraId="56004078" w14:textId="77777777" w:rsidR="00CC3A5C" w:rsidRPr="00203C49" w:rsidRDefault="00CC3A5C" w:rsidP="00CC3A5C">
      <w:pPr>
        <w:spacing w:line="240" w:lineRule="auto"/>
        <w:ind w:firstLine="708"/>
        <w:jc w:val="both"/>
        <w:rPr>
          <w:rFonts w:ascii="Times New Roman" w:hAnsi="Times New Roman" w:cs="Times New Roman"/>
        </w:rPr>
      </w:pPr>
      <w:r w:rsidRPr="00203C49">
        <w:rPr>
          <w:rFonts w:ascii="Times New Roman" w:hAnsi="Times New Roman" w:cs="Times New Roman"/>
        </w:rPr>
        <w:t>En los espacios pedagógicos y terapéuticos contemporáneos, la resonancia alude a la misteriosa forma en que ciertas palabras, ciertas miradas, ciertos silencios o determinadas vivencias "vibran" en las capas más profundas del sujeto, produciendo sentido y transformando la economía libidinal en el preciso instante del encuentro con los otros. Resonar, en este contexto, no es repetir como un eco mecánico; resonar es dejar que el impacto de la otredad despierte una frecuencia propia, singular, colectiva e inédita en la caja de resonancia que es el cuerpo.</w:t>
      </w:r>
    </w:p>
    <w:p w14:paraId="62B613DC" w14:textId="77777777" w:rsidR="00CC3A5C" w:rsidRPr="00203C49" w:rsidRDefault="00CC3A5C" w:rsidP="00CC3A5C">
      <w:pPr>
        <w:spacing w:line="240" w:lineRule="auto"/>
        <w:ind w:firstLine="708"/>
        <w:jc w:val="both"/>
        <w:rPr>
          <w:rFonts w:ascii="Times New Roman" w:hAnsi="Times New Roman" w:cs="Times New Roman"/>
        </w:rPr>
      </w:pPr>
      <w:r w:rsidRPr="00203C49">
        <w:rPr>
          <w:rFonts w:ascii="Times New Roman" w:hAnsi="Times New Roman" w:cs="Times New Roman"/>
        </w:rPr>
        <w:lastRenderedPageBreak/>
        <w:t>La noción de resonancia se vuelve central porque nos permite nombrar aquello que vibra, aquello que insiste y se transmite mucho más allá de lo explícitamente dicho, aquello que sortea las barreras de la razón instrumental y deja una huella indeleble en el cuerpo.</w:t>
      </w:r>
    </w:p>
    <w:p w14:paraId="7E24B7B5" w14:textId="77777777" w:rsidR="00CC3A5C" w:rsidRPr="00203C49" w:rsidRDefault="00CC3A5C" w:rsidP="00CC3A5C">
      <w:pPr>
        <w:spacing w:line="240" w:lineRule="auto"/>
        <w:jc w:val="both"/>
        <w:rPr>
          <w:rFonts w:ascii="Times New Roman" w:hAnsi="Times New Roman" w:cs="Times New Roman"/>
        </w:rPr>
      </w:pPr>
      <w:r w:rsidRPr="00203C49">
        <w:rPr>
          <w:rFonts w:ascii="Times New Roman" w:hAnsi="Times New Roman" w:cs="Times New Roman"/>
        </w:rPr>
        <w:t xml:space="preserve">En este punto es crucial introducir una diferenciación topológica y temporal que utilizamos en nuestra metodología pedagógica: la distinción entre el </w:t>
      </w:r>
      <w:r w:rsidRPr="00203C49">
        <w:rPr>
          <w:rFonts w:ascii="Times New Roman" w:hAnsi="Times New Roman" w:cs="Times New Roman"/>
          <w:i/>
          <w:iCs/>
        </w:rPr>
        <w:t>registro sensible</w:t>
      </w:r>
      <w:r w:rsidRPr="00203C49">
        <w:rPr>
          <w:rFonts w:ascii="Times New Roman" w:hAnsi="Times New Roman" w:cs="Times New Roman"/>
        </w:rPr>
        <w:t xml:space="preserve"> y la</w:t>
      </w:r>
      <w:r w:rsidRPr="00203C49">
        <w:rPr>
          <w:rFonts w:ascii="Times New Roman" w:hAnsi="Times New Roman" w:cs="Times New Roman"/>
          <w:i/>
          <w:iCs/>
        </w:rPr>
        <w:t xml:space="preserve"> huella</w:t>
      </w:r>
      <w:r w:rsidRPr="00203C49">
        <w:rPr>
          <w:rFonts w:ascii="Times New Roman" w:hAnsi="Times New Roman" w:cs="Times New Roman"/>
        </w:rPr>
        <w:t>. El registro sensible hace referencia a la impresión fenoménica inmediata en el cuerpo frente al estímulo clínico o teórico. </w:t>
      </w:r>
    </w:p>
    <w:p w14:paraId="61A8A452" w14:textId="77777777" w:rsidR="00CC3A5C" w:rsidRPr="00203C49" w:rsidRDefault="00CC3A5C" w:rsidP="00CC3A5C">
      <w:pPr>
        <w:spacing w:line="240" w:lineRule="auto"/>
        <w:ind w:firstLine="708"/>
        <w:jc w:val="both"/>
        <w:rPr>
          <w:rFonts w:ascii="Times New Roman" w:hAnsi="Times New Roman" w:cs="Times New Roman"/>
        </w:rPr>
      </w:pPr>
      <w:r w:rsidRPr="00203C49">
        <w:rPr>
          <w:rFonts w:ascii="Times New Roman" w:hAnsi="Times New Roman" w:cs="Times New Roman"/>
        </w:rPr>
        <w:t>La resonancia metodológica consiste en un dispositivo de trabajo pensado específicamente para tomar ese registro sensible y, mediante los procesos de escritura y la puesta en común, transformarlo y elevarlo a la categoría de</w:t>
      </w:r>
      <w:r w:rsidRPr="00203C49">
        <w:rPr>
          <w:rFonts w:ascii="Times New Roman" w:hAnsi="Times New Roman" w:cs="Times New Roman"/>
          <w:i/>
          <w:iCs/>
        </w:rPr>
        <w:t xml:space="preserve"> huella</w:t>
      </w:r>
      <w:r w:rsidRPr="00203C49">
        <w:rPr>
          <w:rFonts w:ascii="Times New Roman" w:hAnsi="Times New Roman" w:cs="Times New Roman"/>
        </w:rPr>
        <w:t>, que es la inscripción de esa experiencia, articulada ahora con la teoría y el saber académico-conceptual.</w:t>
      </w:r>
    </w:p>
    <w:p w14:paraId="1DB4CA83" w14:textId="77777777" w:rsidR="00CC3A5C" w:rsidRPr="00203C49" w:rsidRDefault="00CC3A5C" w:rsidP="00CC3A5C">
      <w:pPr>
        <w:spacing w:line="240" w:lineRule="auto"/>
        <w:ind w:firstLine="708"/>
        <w:jc w:val="both"/>
        <w:rPr>
          <w:rFonts w:ascii="Times New Roman" w:hAnsi="Times New Roman" w:cs="Times New Roman"/>
        </w:rPr>
      </w:pPr>
      <w:r w:rsidRPr="00203C49">
        <w:rPr>
          <w:rFonts w:ascii="Times New Roman" w:hAnsi="Times New Roman" w:cs="Times New Roman"/>
        </w:rPr>
        <w:t xml:space="preserve">Lo resonante es aquello que afecta y que, si es debidamente alojado y procesado por el dispositivo (académico y/o clínico), genera inmediatamente nuevos recursos teórico-clínicos. En ocasiones hemos escuchado por parte de estudiantes o terapeutas expresiones como: </w:t>
      </w:r>
      <w:r w:rsidRPr="00203C49">
        <w:rPr>
          <w:rFonts w:ascii="Times New Roman" w:hAnsi="Times New Roman" w:cs="Times New Roman"/>
          <w:i/>
          <w:iCs/>
        </w:rPr>
        <w:t>"lo que se me pega en el cuerpo al trabajar con otro"</w:t>
      </w:r>
      <w:r w:rsidRPr="00203C49">
        <w:rPr>
          <w:rFonts w:ascii="Times New Roman" w:hAnsi="Times New Roman" w:cs="Times New Roman"/>
        </w:rPr>
        <w:t>, como testimonio de la afectación en el cuerpo. La posibilidad de alojar esa experiencia en el marco del dispositivo de resonancias permite tramitarla, elaborarla y transformarla en nuevos recursos para la práctica. </w:t>
      </w:r>
    </w:p>
    <w:p w14:paraId="3BC9CC92" w14:textId="77777777" w:rsidR="00CC3A5C" w:rsidRDefault="00CC3A5C" w:rsidP="00CC3A5C">
      <w:pPr>
        <w:spacing w:line="240" w:lineRule="auto"/>
        <w:jc w:val="both"/>
        <w:rPr>
          <w:rFonts w:ascii="Times New Roman" w:hAnsi="Times New Roman" w:cs="Times New Roman"/>
          <w:i/>
          <w:iCs/>
        </w:rPr>
      </w:pPr>
    </w:p>
    <w:p w14:paraId="47B9D3BB" w14:textId="77777777" w:rsidR="00CC3A5C" w:rsidRPr="003300B7" w:rsidRDefault="00CC3A5C" w:rsidP="00CC3A5C">
      <w:pPr>
        <w:spacing w:line="240" w:lineRule="auto"/>
        <w:jc w:val="both"/>
        <w:rPr>
          <w:rFonts w:ascii="Times New Roman" w:hAnsi="Times New Roman" w:cs="Times New Roman"/>
          <w:b/>
          <w:bCs/>
          <w:i/>
          <w:iCs/>
        </w:rPr>
      </w:pPr>
      <w:r w:rsidRPr="003300B7">
        <w:rPr>
          <w:rFonts w:ascii="Times New Roman" w:hAnsi="Times New Roman" w:cs="Times New Roman"/>
          <w:b/>
          <w:bCs/>
          <w:i/>
          <w:iCs/>
        </w:rPr>
        <w:t>La articulación significante y la producción de sentido</w:t>
      </w:r>
    </w:p>
    <w:p w14:paraId="3EFC8CD8" w14:textId="77777777" w:rsidR="00CC3A5C" w:rsidRPr="00203C49" w:rsidRDefault="00CC3A5C" w:rsidP="00CC3A5C">
      <w:pPr>
        <w:spacing w:line="240" w:lineRule="auto"/>
        <w:ind w:firstLine="708"/>
        <w:jc w:val="both"/>
        <w:rPr>
          <w:rFonts w:ascii="Times New Roman" w:hAnsi="Times New Roman" w:cs="Times New Roman"/>
        </w:rPr>
      </w:pPr>
      <w:r w:rsidRPr="00203C49">
        <w:rPr>
          <w:rFonts w:ascii="Times New Roman" w:hAnsi="Times New Roman" w:cs="Times New Roman"/>
        </w:rPr>
        <w:t>La resonancia tiene consonancia con el marco teórico psicoanalítico en lo relativo al campo del lenguaje y sus leyes, lo real del cuerpo y su consecuente producción imaginaria.</w:t>
      </w:r>
    </w:p>
    <w:p w14:paraId="79B4011F" w14:textId="77777777" w:rsidR="00CC3A5C" w:rsidRPr="00203C49" w:rsidRDefault="00CC3A5C" w:rsidP="00CC3A5C">
      <w:pPr>
        <w:spacing w:line="240" w:lineRule="auto"/>
        <w:jc w:val="both"/>
        <w:rPr>
          <w:rFonts w:ascii="Times New Roman" w:hAnsi="Times New Roman" w:cs="Times New Roman"/>
        </w:rPr>
      </w:pPr>
      <w:r w:rsidRPr="00203C49">
        <w:rPr>
          <w:rFonts w:ascii="Times New Roman" w:hAnsi="Times New Roman" w:cs="Times New Roman"/>
        </w:rPr>
        <w:t xml:space="preserve">Como planteamos anteriormente, la resonancia se sirve de la puesta en trabajo, es decir, la elaboración grupal, de aquellas afectaciones que parten del registro sensible, para producir una huella, un nuevo sentido. Es por ello </w:t>
      </w:r>
      <w:proofErr w:type="gramStart"/>
      <w:r w:rsidRPr="00203C49">
        <w:rPr>
          <w:rFonts w:ascii="Times New Roman" w:hAnsi="Times New Roman" w:cs="Times New Roman"/>
        </w:rPr>
        <w:t>que</w:t>
      </w:r>
      <w:proofErr w:type="gramEnd"/>
      <w:r w:rsidRPr="00203C49">
        <w:rPr>
          <w:rFonts w:ascii="Times New Roman" w:hAnsi="Times New Roman" w:cs="Times New Roman"/>
        </w:rPr>
        <w:t xml:space="preserve"> el sentido pedagógico será un efecto que se produce a partir de la articulación significante. En nuestra metodología, sostenemos que el sentido pedagógico y clínico no es algo dado a priori, implica una construcción, es un efecto, es más, en este sentido, resultaría imposible adelantar un resultado si tenemos en cuenta que poner en articulación es encontrar una relación entre elementos heterogéneos. </w:t>
      </w:r>
    </w:p>
    <w:p w14:paraId="099C0D7B" w14:textId="77777777" w:rsidR="00CC3A5C" w:rsidRPr="00203C49" w:rsidRDefault="00CC3A5C" w:rsidP="00CC3A5C">
      <w:pPr>
        <w:spacing w:line="240" w:lineRule="auto"/>
        <w:ind w:firstLine="708"/>
        <w:jc w:val="both"/>
        <w:rPr>
          <w:rFonts w:ascii="Times New Roman" w:hAnsi="Times New Roman" w:cs="Times New Roman"/>
        </w:rPr>
      </w:pPr>
      <w:r w:rsidRPr="00203C49">
        <w:rPr>
          <w:rFonts w:ascii="Times New Roman" w:hAnsi="Times New Roman" w:cs="Times New Roman"/>
        </w:rPr>
        <w:t xml:space="preserve">En el contexto de nuestras prácticas en la UBA y la UNTREF, diferenciamos radicalmente, apoyándonos en la teoría clínica, entre las "palabras gastadas" y las "palabras </w:t>
      </w:r>
      <w:proofErr w:type="spellStart"/>
      <w:r w:rsidRPr="00203C49">
        <w:rPr>
          <w:rFonts w:ascii="Times New Roman" w:hAnsi="Times New Roman" w:cs="Times New Roman"/>
        </w:rPr>
        <w:t>texturadas</w:t>
      </w:r>
      <w:proofErr w:type="spellEnd"/>
      <w:r w:rsidRPr="00203C49">
        <w:rPr>
          <w:rFonts w:ascii="Times New Roman" w:hAnsi="Times New Roman" w:cs="Times New Roman"/>
        </w:rPr>
        <w:t>".</w:t>
      </w:r>
    </w:p>
    <w:p w14:paraId="42BDEE0B" w14:textId="77777777" w:rsidR="00CC3A5C" w:rsidRPr="00203C49" w:rsidRDefault="00CC3A5C" w:rsidP="00CC3A5C">
      <w:pPr>
        <w:spacing w:line="240" w:lineRule="auto"/>
        <w:ind w:firstLine="708"/>
        <w:jc w:val="both"/>
        <w:rPr>
          <w:rFonts w:ascii="Times New Roman" w:hAnsi="Times New Roman" w:cs="Times New Roman"/>
        </w:rPr>
      </w:pPr>
      <w:r w:rsidRPr="00203C49">
        <w:rPr>
          <w:rFonts w:ascii="Times New Roman" w:hAnsi="Times New Roman" w:cs="Times New Roman"/>
        </w:rPr>
        <w:t xml:space="preserve">El discurso académico tradicional, burocratizado y estandarizado, suele estar abrumadoramente plagado de palabras gastadas. Estas son palabras-cliché, tecnicismos vaciados de su carga afectiva, jergas profesionales que circulan de boca en boca como monedas lisas, desgastadas por el uso, que han perdido su relieve. El estudiante aprende a repetir estas palabras gastadas para satisfacer la demanda del evaluador y aprobar un </w:t>
      </w:r>
      <w:r w:rsidRPr="00203C49">
        <w:rPr>
          <w:rFonts w:ascii="Times New Roman" w:hAnsi="Times New Roman" w:cs="Times New Roman"/>
        </w:rPr>
        <w:lastRenderedPageBreak/>
        <w:t>examen, pero en ese acto de repetición vacía, las palabras son radicalmente incapaces de conmover el cuerpo de quien las enuncia ni de quien las escucha. Constituyen lo que en psicoanálisis se denomina palabra vacía: un parloteo imaginario que no produce ninguna mutación subjetiva.</w:t>
      </w:r>
    </w:p>
    <w:p w14:paraId="0B61E4FB" w14:textId="77777777" w:rsidR="00CC3A5C" w:rsidRPr="00203C49" w:rsidRDefault="00CC3A5C" w:rsidP="00CC3A5C">
      <w:pPr>
        <w:spacing w:line="240" w:lineRule="auto"/>
        <w:ind w:firstLine="708"/>
        <w:jc w:val="both"/>
        <w:rPr>
          <w:rFonts w:ascii="Times New Roman" w:hAnsi="Times New Roman" w:cs="Times New Roman"/>
        </w:rPr>
      </w:pPr>
      <w:r w:rsidRPr="00203C49">
        <w:rPr>
          <w:rFonts w:ascii="Times New Roman" w:hAnsi="Times New Roman" w:cs="Times New Roman"/>
        </w:rPr>
        <w:t xml:space="preserve">Por el contrario, las palabras </w:t>
      </w:r>
      <w:proofErr w:type="spellStart"/>
      <w:r w:rsidRPr="00203C49">
        <w:rPr>
          <w:rFonts w:ascii="Times New Roman" w:hAnsi="Times New Roman" w:cs="Times New Roman"/>
        </w:rPr>
        <w:t>texturadas</w:t>
      </w:r>
      <w:proofErr w:type="spellEnd"/>
      <w:r w:rsidRPr="00203C49">
        <w:rPr>
          <w:rFonts w:ascii="Times New Roman" w:hAnsi="Times New Roman" w:cs="Times New Roman"/>
        </w:rPr>
        <w:t xml:space="preserve"> son aquellas que ostentan relieve, que portan un espesor histórico y pulsional. Son palabras que impactan, que desgarran el velo de la rutina académica, que conmueven las defensas y generan un encuentro genuino. La palabra </w:t>
      </w:r>
      <w:proofErr w:type="spellStart"/>
      <w:r w:rsidRPr="00203C49">
        <w:rPr>
          <w:rFonts w:ascii="Times New Roman" w:hAnsi="Times New Roman" w:cs="Times New Roman"/>
        </w:rPr>
        <w:t>texturada</w:t>
      </w:r>
      <w:proofErr w:type="spellEnd"/>
      <w:r w:rsidRPr="00203C49">
        <w:rPr>
          <w:rFonts w:ascii="Times New Roman" w:hAnsi="Times New Roman" w:cs="Times New Roman"/>
        </w:rPr>
        <w:t xml:space="preserve"> está ligada a la palabra plena: aquella que funda y transforma al sujeto en el acto mismo de su enunciación.</w:t>
      </w:r>
    </w:p>
    <w:p w14:paraId="459A2183" w14:textId="77777777" w:rsidR="00CC3A5C" w:rsidRPr="00203C49" w:rsidRDefault="00CC3A5C" w:rsidP="00CC3A5C">
      <w:pPr>
        <w:spacing w:line="240" w:lineRule="auto"/>
        <w:ind w:firstLine="708"/>
        <w:jc w:val="both"/>
        <w:rPr>
          <w:rFonts w:ascii="Times New Roman" w:hAnsi="Times New Roman" w:cs="Times New Roman"/>
        </w:rPr>
      </w:pPr>
      <w:r w:rsidRPr="00203C49">
        <w:rPr>
          <w:rFonts w:ascii="Times New Roman" w:hAnsi="Times New Roman" w:cs="Times New Roman"/>
        </w:rPr>
        <w:t xml:space="preserve">La resonancia como metodología busca deliberadamente habilitar y resguardar el espacio institucional para que el estudiante pueda, y se atreva a, abandonar la comodidad de la palabra gastada (la de la mera descripción clínica aséptica) y se apropie del coraje de la palabra </w:t>
      </w:r>
      <w:proofErr w:type="spellStart"/>
      <w:r w:rsidRPr="00203C49">
        <w:rPr>
          <w:rFonts w:ascii="Times New Roman" w:hAnsi="Times New Roman" w:cs="Times New Roman"/>
        </w:rPr>
        <w:t>texturada</w:t>
      </w:r>
      <w:proofErr w:type="spellEnd"/>
      <w:r w:rsidRPr="00203C49">
        <w:rPr>
          <w:rFonts w:ascii="Times New Roman" w:hAnsi="Times New Roman" w:cs="Times New Roman"/>
        </w:rPr>
        <w:t>. El dispositivo exige que el futuro profesional construya una narrativa capaz de dar cuenta de cómo un concepto teórico espinoso, o una viñeta territorial perturbadora, ha atravesado su propia historia y ha hecho mella en su propio cuerpo.</w:t>
      </w:r>
    </w:p>
    <w:p w14:paraId="45047E80" w14:textId="77777777" w:rsidR="00CC3A5C" w:rsidRPr="00203C49" w:rsidRDefault="00CC3A5C" w:rsidP="00CC3A5C">
      <w:pPr>
        <w:spacing w:line="240" w:lineRule="auto"/>
        <w:ind w:firstLine="708"/>
        <w:jc w:val="both"/>
        <w:rPr>
          <w:rFonts w:ascii="Times New Roman" w:hAnsi="Times New Roman" w:cs="Times New Roman"/>
        </w:rPr>
      </w:pPr>
      <w:r w:rsidRPr="00203C49">
        <w:rPr>
          <w:rFonts w:ascii="Times New Roman" w:hAnsi="Times New Roman" w:cs="Times New Roman"/>
        </w:rPr>
        <w:t>Además, debemos considerar que gran parte del trabajo clínico —</w:t>
      </w:r>
      <w:proofErr w:type="gramStart"/>
      <w:r w:rsidRPr="00203C49">
        <w:rPr>
          <w:rFonts w:ascii="Times New Roman" w:hAnsi="Times New Roman" w:cs="Times New Roman"/>
        </w:rPr>
        <w:t>y</w:t>
      </w:r>
      <w:proofErr w:type="gramEnd"/>
      <w:r w:rsidRPr="00203C49">
        <w:rPr>
          <w:rFonts w:ascii="Times New Roman" w:hAnsi="Times New Roman" w:cs="Times New Roman"/>
        </w:rPr>
        <w:t xml:space="preserve"> por consiguiente, de la formación para dicho trabajo— se realiza en los márgenes de lo decible. Operamos cotidianamente en el resbaladizo terreno de lo que no se dice, de los silencios ensordecedores, allí donde irrumpe lo Real aturdiendo y pulverizando el sentido preconcebido. Los estudiantes, al insertarse en hospitales públicos, salas de espera abarrotadas o centros comunitarios, se enfrentan a la irrupción de este real indomable, que muchas veces se presenta bajo la cara del desamparo, la violencia estructural o la locura más descarnada.</w:t>
      </w:r>
    </w:p>
    <w:p w14:paraId="5875BB28" w14:textId="77777777" w:rsidR="00CC3A5C" w:rsidRPr="00203C49" w:rsidRDefault="00CC3A5C" w:rsidP="00CC3A5C">
      <w:pPr>
        <w:spacing w:line="240" w:lineRule="auto"/>
        <w:ind w:firstLine="708"/>
        <w:jc w:val="both"/>
        <w:rPr>
          <w:rFonts w:ascii="Times New Roman" w:hAnsi="Times New Roman" w:cs="Times New Roman"/>
        </w:rPr>
      </w:pPr>
      <w:r w:rsidRPr="00203C49">
        <w:rPr>
          <w:rFonts w:ascii="Times New Roman" w:hAnsi="Times New Roman" w:cs="Times New Roman"/>
        </w:rPr>
        <w:t xml:space="preserve">Frente a la inminencia de la nada, frente al vacío abismal que en tantas viñetas clínicas de nuestras supervisiones se presenta como un objeto ominoso o paralizante, ¿qué herramientas provee la universidad? Nuestro posicionamiento afirma que es allí donde el lenguaje y la simbolización, con sus ropajes y sus velos, pueden ofrecer un sostén vital. Al decir de José Ángel Rodríguez Ribas (2026) “Será el propio sujeto el que dé un sentido a su acción, en la medida que la vivencia o la resonancia de la acción o su lectura pueda propiciar la emergencia de un significado, que es la de sus reminiscencias”. Así, la escritura de la resonancia funciona para el estudiante universitario como una operatoria de </w:t>
      </w:r>
      <w:r>
        <w:rPr>
          <w:rFonts w:ascii="Times New Roman" w:hAnsi="Times New Roman" w:cs="Times New Roman"/>
        </w:rPr>
        <w:t xml:space="preserve">corte, </w:t>
      </w:r>
      <w:r w:rsidRPr="00203C49">
        <w:rPr>
          <w:rFonts w:ascii="Times New Roman" w:hAnsi="Times New Roman" w:cs="Times New Roman"/>
        </w:rPr>
        <w:t>velatorio</w:t>
      </w:r>
      <w:r>
        <w:rPr>
          <w:rFonts w:ascii="Times New Roman" w:hAnsi="Times New Roman" w:cs="Times New Roman"/>
        </w:rPr>
        <w:t>, sutura</w:t>
      </w:r>
      <w:r w:rsidRPr="00203C49">
        <w:rPr>
          <w:rFonts w:ascii="Times New Roman" w:hAnsi="Times New Roman" w:cs="Times New Roman"/>
        </w:rPr>
        <w:t xml:space="preserve"> y ligadura. Velatorio en </w:t>
      </w:r>
      <w:r>
        <w:rPr>
          <w:rFonts w:ascii="Times New Roman" w:hAnsi="Times New Roman" w:cs="Times New Roman"/>
        </w:rPr>
        <w:t>un</w:t>
      </w:r>
      <w:r w:rsidRPr="00203C49">
        <w:rPr>
          <w:rFonts w:ascii="Times New Roman" w:hAnsi="Times New Roman" w:cs="Times New Roman"/>
        </w:rPr>
        <w:t xml:space="preserve"> doble sentido, el de</w:t>
      </w:r>
      <w:r>
        <w:rPr>
          <w:rFonts w:ascii="Times New Roman" w:hAnsi="Times New Roman" w:cs="Times New Roman"/>
        </w:rPr>
        <w:t xml:space="preserve"> un trabajo de elaboración simbólica que, a modo de trabajo de duelo permite enlazar en su discurso la irrupción del</w:t>
      </w:r>
      <w:r w:rsidRPr="00203C49">
        <w:rPr>
          <w:rFonts w:ascii="Times New Roman" w:hAnsi="Times New Roman" w:cs="Times New Roman"/>
        </w:rPr>
        <w:t xml:space="preserve"> encuentro con lo real de la experiencia y, por </w:t>
      </w:r>
      <w:r>
        <w:rPr>
          <w:rFonts w:ascii="Times New Roman" w:hAnsi="Times New Roman" w:cs="Times New Roman"/>
        </w:rPr>
        <w:t>otro lado</w:t>
      </w:r>
      <w:r w:rsidRPr="00203C49">
        <w:rPr>
          <w:rFonts w:ascii="Times New Roman" w:hAnsi="Times New Roman" w:cs="Times New Roman"/>
        </w:rPr>
        <w:t xml:space="preserve">, </w:t>
      </w:r>
      <w:r>
        <w:rPr>
          <w:rFonts w:ascii="Times New Roman" w:hAnsi="Times New Roman" w:cs="Times New Roman"/>
        </w:rPr>
        <w:t>en el sentido de recubrir con</w:t>
      </w:r>
      <w:r w:rsidRPr="00203C49">
        <w:rPr>
          <w:rFonts w:ascii="Times New Roman" w:hAnsi="Times New Roman" w:cs="Times New Roman"/>
        </w:rPr>
        <w:t xml:space="preserve"> los velos de lo simbólico </w:t>
      </w:r>
      <w:r>
        <w:rPr>
          <w:rFonts w:ascii="Times New Roman" w:hAnsi="Times New Roman" w:cs="Times New Roman"/>
        </w:rPr>
        <w:t>aquello que de</w:t>
      </w:r>
      <w:r w:rsidRPr="00203C49">
        <w:rPr>
          <w:rFonts w:ascii="Times New Roman" w:hAnsi="Times New Roman" w:cs="Times New Roman"/>
        </w:rPr>
        <w:t xml:space="preserve"> la experiencia de la práctica amenazaba con dejarlo mudo y angustiado ante la inmensidad del dolor ajeno.</w:t>
      </w:r>
    </w:p>
    <w:p w14:paraId="3799D263" w14:textId="77777777" w:rsidR="00CC3A5C" w:rsidRPr="00203C49" w:rsidRDefault="00CC3A5C" w:rsidP="00CC3A5C">
      <w:pPr>
        <w:spacing w:line="240" w:lineRule="auto"/>
        <w:ind w:firstLine="708"/>
        <w:jc w:val="both"/>
        <w:rPr>
          <w:rFonts w:ascii="Times New Roman" w:hAnsi="Times New Roman" w:cs="Times New Roman"/>
        </w:rPr>
      </w:pPr>
      <w:r w:rsidRPr="00203C49">
        <w:rPr>
          <w:rFonts w:ascii="Times New Roman" w:hAnsi="Times New Roman" w:cs="Times New Roman"/>
        </w:rPr>
        <w:t xml:space="preserve">Ilustramos esto último con el fragmento de una resonancia elaborada por una estudiante de la Práctica </w:t>
      </w:r>
      <w:proofErr w:type="spellStart"/>
      <w:r w:rsidRPr="00203C49">
        <w:rPr>
          <w:rFonts w:ascii="Times New Roman" w:hAnsi="Times New Roman" w:cs="Times New Roman"/>
        </w:rPr>
        <w:t>pre-profesional</w:t>
      </w:r>
      <w:proofErr w:type="spellEnd"/>
      <w:r w:rsidRPr="00203C49">
        <w:rPr>
          <w:rFonts w:ascii="Times New Roman" w:hAnsi="Times New Roman" w:cs="Times New Roman"/>
        </w:rPr>
        <w:t xml:space="preserve"> en el ámbito </w:t>
      </w:r>
      <w:proofErr w:type="spellStart"/>
      <w:r w:rsidRPr="00203C49">
        <w:rPr>
          <w:rFonts w:ascii="Times New Roman" w:hAnsi="Times New Roman" w:cs="Times New Roman"/>
        </w:rPr>
        <w:t>sociocomunitario</w:t>
      </w:r>
      <w:proofErr w:type="spellEnd"/>
      <w:r w:rsidRPr="00203C49">
        <w:rPr>
          <w:rFonts w:ascii="Times New Roman" w:hAnsi="Times New Roman" w:cs="Times New Roman"/>
        </w:rPr>
        <w:t xml:space="preserve"> (UNTREF), que se lleva </w:t>
      </w:r>
      <w:r>
        <w:rPr>
          <w:rFonts w:ascii="Times New Roman" w:hAnsi="Times New Roman" w:cs="Times New Roman"/>
        </w:rPr>
        <w:t xml:space="preserve">a </w:t>
      </w:r>
      <w:r w:rsidRPr="00203C49">
        <w:rPr>
          <w:rFonts w:ascii="Times New Roman" w:hAnsi="Times New Roman" w:cs="Times New Roman"/>
        </w:rPr>
        <w:t>cabo en el barrio Ejército de los Andes -conocido como “Fuerte Apache”-: </w:t>
      </w:r>
    </w:p>
    <w:p w14:paraId="2328E62D" w14:textId="77777777" w:rsidR="00CC3A5C" w:rsidRDefault="00CC3A5C" w:rsidP="00CC3A5C">
      <w:pPr>
        <w:spacing w:line="480" w:lineRule="auto"/>
        <w:ind w:left="709"/>
        <w:jc w:val="both"/>
        <w:rPr>
          <w:rFonts w:ascii="Times New Roman" w:hAnsi="Times New Roman" w:cs="Times New Roman"/>
        </w:rPr>
      </w:pPr>
      <w:r w:rsidRPr="00203C49">
        <w:rPr>
          <w:rFonts w:ascii="Times New Roman" w:hAnsi="Times New Roman" w:cs="Times New Roman"/>
        </w:rPr>
        <w:lastRenderedPageBreak/>
        <w:t>Ya terminando el encuentro Betty propone tomar el té y esto es bien recibido por todas las participantes incluso por Laura y por mí. Era un día muy frío.</w:t>
      </w:r>
      <w:r w:rsidRPr="00203C49">
        <w:rPr>
          <w:rFonts w:ascii="Times New Roman" w:hAnsi="Times New Roman" w:cs="Times New Roman"/>
        </w:rPr>
        <w:br/>
        <w:t xml:space="preserve">Esa última parte fue un gran cierre para el encuentro. Todas alrededor de la mesa, cada una con una taza diferente, un bidón cortado convertido en bandeja con galletitas y hablando de deseos y avatares de la vida. Pienso en la hospitalidad, en la poca cosa material que se necesita para hacer sentir eso a un otro y cómo a veces nos quedamos detenidos en detalles que nos hacen pasar por alto momentos de esa calidad. Pienso en todas las veces que pospuse una juntada en mi casa por tenerla desordenada o en disculparme con los invitados por no tener todas las compoteras del mismo modelo. ¿Cuál es la frontera que marca lo superficial de lo más profundo, de lo importante?, ¿qué viene a mostrarme esta práctica </w:t>
      </w:r>
      <w:proofErr w:type="spellStart"/>
      <w:r w:rsidRPr="00203C49">
        <w:rPr>
          <w:rFonts w:ascii="Times New Roman" w:hAnsi="Times New Roman" w:cs="Times New Roman"/>
        </w:rPr>
        <w:t>sociocomunitaria</w:t>
      </w:r>
      <w:proofErr w:type="spellEnd"/>
      <w:r w:rsidRPr="00203C49">
        <w:rPr>
          <w:rFonts w:ascii="Times New Roman" w:hAnsi="Times New Roman" w:cs="Times New Roman"/>
        </w:rPr>
        <w:t xml:space="preserve">? Recuerdo lo que hablábamos en la primera reunión de </w:t>
      </w:r>
      <w:proofErr w:type="spellStart"/>
      <w:r w:rsidRPr="00203C49">
        <w:rPr>
          <w:rFonts w:ascii="Times New Roman" w:hAnsi="Times New Roman" w:cs="Times New Roman"/>
        </w:rPr>
        <w:t>co-visión</w:t>
      </w:r>
      <w:proofErr w:type="spellEnd"/>
      <w:r w:rsidRPr="00203C49">
        <w:rPr>
          <w:rFonts w:ascii="Times New Roman" w:hAnsi="Times New Roman" w:cs="Times New Roman"/>
        </w:rPr>
        <w:t xml:space="preserve"> sobre el irse enriquecido de cada encuentro y no solamente nutrido de la práctica disciplinar.</w:t>
      </w:r>
    </w:p>
    <w:p w14:paraId="73130763" w14:textId="77777777" w:rsidR="00CC3A5C" w:rsidRPr="00203C49" w:rsidRDefault="00CC3A5C" w:rsidP="00CC3A5C">
      <w:pPr>
        <w:spacing w:line="480" w:lineRule="auto"/>
        <w:ind w:left="709"/>
        <w:jc w:val="both"/>
        <w:rPr>
          <w:rFonts w:ascii="Times New Roman" w:hAnsi="Times New Roman" w:cs="Times New Roman"/>
        </w:rPr>
      </w:pPr>
      <w:r w:rsidRPr="00203C49">
        <w:rPr>
          <w:rFonts w:ascii="Times New Roman" w:hAnsi="Times New Roman" w:cs="Times New Roman"/>
        </w:rPr>
        <w:t>Me voy contenta, emocionada y con una mirada renovada para con los modos de vivir.</w:t>
      </w:r>
    </w:p>
    <w:p w14:paraId="3C0F6643" w14:textId="77777777" w:rsidR="00CC3A5C" w:rsidRPr="003300B7" w:rsidRDefault="00CC3A5C" w:rsidP="00CC3A5C">
      <w:pPr>
        <w:spacing w:line="240" w:lineRule="auto"/>
        <w:jc w:val="both"/>
        <w:rPr>
          <w:rFonts w:ascii="Times New Roman" w:hAnsi="Times New Roman" w:cs="Times New Roman"/>
          <w:b/>
          <w:bCs/>
        </w:rPr>
      </w:pPr>
      <w:r w:rsidRPr="003300B7">
        <w:rPr>
          <w:rFonts w:ascii="Times New Roman" w:hAnsi="Times New Roman" w:cs="Times New Roman"/>
          <w:b/>
          <w:bCs/>
          <w:i/>
          <w:iCs/>
        </w:rPr>
        <w:t>El dispositivo pedagógico de la resonancia: arquitectura y prácticas en UBA y UNTREF</w:t>
      </w:r>
    </w:p>
    <w:p w14:paraId="35D2F793" w14:textId="77777777" w:rsidR="00CC3A5C" w:rsidRPr="00203C49" w:rsidRDefault="00CC3A5C" w:rsidP="00CC3A5C">
      <w:pPr>
        <w:spacing w:line="240" w:lineRule="auto"/>
        <w:ind w:firstLine="708"/>
        <w:jc w:val="both"/>
        <w:rPr>
          <w:rFonts w:ascii="Times New Roman" w:hAnsi="Times New Roman" w:cs="Times New Roman"/>
        </w:rPr>
      </w:pPr>
      <w:r w:rsidRPr="00203C49">
        <w:rPr>
          <w:rFonts w:ascii="Times New Roman" w:hAnsi="Times New Roman" w:cs="Times New Roman"/>
        </w:rPr>
        <w:t>Habiendo cimentado la justificación epistémica y clínica de la resonancia, corresponde ahora detallar la arquitectura misma del dispositivo tal como lo implementamos en las instituciones. Proponemos la resonancia metodológica mediante un encuadre de trabajo definido y preciso: la puesta en común a través de la escritura individual o en dupla de relatos vivenciales y teóricos que se recogen e intercambian en un formato de grupalidad colectiva y horizontal.</w:t>
      </w:r>
    </w:p>
    <w:p w14:paraId="79709711" w14:textId="77777777" w:rsidR="00CC3A5C" w:rsidRPr="00203C49" w:rsidRDefault="00CC3A5C" w:rsidP="00CC3A5C">
      <w:pPr>
        <w:spacing w:line="240" w:lineRule="auto"/>
        <w:ind w:firstLine="708"/>
        <w:jc w:val="both"/>
        <w:rPr>
          <w:rFonts w:ascii="Times New Roman" w:hAnsi="Times New Roman" w:cs="Times New Roman"/>
        </w:rPr>
      </w:pPr>
      <w:r w:rsidRPr="00203C49">
        <w:rPr>
          <w:rFonts w:ascii="Times New Roman" w:hAnsi="Times New Roman" w:cs="Times New Roman"/>
        </w:rPr>
        <w:t xml:space="preserve">En la vasta experiencia recogida durante los últimos años en diversas asignaturas mencionadas anteriormente y en el trabajo de campo de pasantías en hospitales públicos </w:t>
      </w:r>
      <w:r w:rsidRPr="00203C49">
        <w:rPr>
          <w:rFonts w:ascii="Times New Roman" w:hAnsi="Times New Roman" w:cs="Times New Roman"/>
        </w:rPr>
        <w:lastRenderedPageBreak/>
        <w:t>y dispositivos socio-comunitarios, la resonancia cobra relevancia como insumo bibliográfico y evaluativo.</w:t>
      </w:r>
    </w:p>
    <w:p w14:paraId="6F60711E" w14:textId="77777777" w:rsidR="00CC3A5C" w:rsidRPr="00203C49" w:rsidRDefault="00CC3A5C" w:rsidP="00CC3A5C">
      <w:pPr>
        <w:spacing w:line="240" w:lineRule="auto"/>
        <w:ind w:firstLine="708"/>
        <w:jc w:val="both"/>
        <w:rPr>
          <w:rFonts w:ascii="Times New Roman" w:hAnsi="Times New Roman" w:cs="Times New Roman"/>
        </w:rPr>
      </w:pPr>
      <w:r w:rsidRPr="00203C49">
        <w:rPr>
          <w:rFonts w:ascii="Times New Roman" w:hAnsi="Times New Roman" w:cs="Times New Roman"/>
        </w:rPr>
        <w:t xml:space="preserve">En estos espacios especialmente diseñados, el estudiante no es convocado a dar una clase magistral frente a sus compañeros y docentes, lo que implicaría una relación de jerarquía netamente vertical y de control. Por el contrario, la topología del aula se modifica. Los cuerpos de estudiantes, ayudantes, tutores y docentes titulares se ubican en una ronda, en una perspectiva de </w:t>
      </w:r>
      <w:r w:rsidRPr="00203C49">
        <w:rPr>
          <w:rFonts w:ascii="Times New Roman" w:hAnsi="Times New Roman" w:cs="Times New Roman"/>
          <w:i/>
          <w:iCs/>
        </w:rPr>
        <w:t>horizontalidad</w:t>
      </w:r>
      <w:r w:rsidRPr="00203C49">
        <w:rPr>
          <w:rFonts w:ascii="Times New Roman" w:hAnsi="Times New Roman" w:cs="Times New Roman"/>
        </w:rPr>
        <w:t>.</w:t>
      </w:r>
    </w:p>
    <w:p w14:paraId="61E0752C" w14:textId="77777777" w:rsidR="00CC3A5C" w:rsidRPr="00203C49" w:rsidRDefault="00CC3A5C" w:rsidP="00CC3A5C">
      <w:pPr>
        <w:spacing w:line="240" w:lineRule="auto"/>
        <w:ind w:firstLine="708"/>
        <w:jc w:val="both"/>
        <w:rPr>
          <w:rFonts w:ascii="Times New Roman" w:hAnsi="Times New Roman" w:cs="Times New Roman"/>
        </w:rPr>
      </w:pPr>
      <w:r w:rsidRPr="00203C49">
        <w:rPr>
          <w:rFonts w:ascii="Times New Roman" w:hAnsi="Times New Roman" w:cs="Times New Roman"/>
        </w:rPr>
        <w:t xml:space="preserve">Este círculo pedagógico tiene lugar en cada clase, donde el estudiante, en duplas o de manera individual, comparte con el grupo un texto escrito previamente, al que llamamos "la resonancia". Este texto es el producto destilado y trabajado a partir del encuentro singular del alumno con la bibliografía teórica obligatoria, con las experiencias de la clase anterior y de sus prácticas </w:t>
      </w:r>
      <w:proofErr w:type="spellStart"/>
      <w:r w:rsidRPr="00203C49">
        <w:rPr>
          <w:rFonts w:ascii="Times New Roman" w:hAnsi="Times New Roman" w:cs="Times New Roman"/>
        </w:rPr>
        <w:t>pre-profesionales</w:t>
      </w:r>
      <w:proofErr w:type="spellEnd"/>
      <w:r w:rsidRPr="00203C49">
        <w:rPr>
          <w:rFonts w:ascii="Times New Roman" w:hAnsi="Times New Roman" w:cs="Times New Roman"/>
        </w:rPr>
        <w:t xml:space="preserve"> en el territorio.</w:t>
      </w:r>
    </w:p>
    <w:p w14:paraId="7AFBFAC3" w14:textId="77777777" w:rsidR="00CC3A5C" w:rsidRPr="00203C49" w:rsidRDefault="00CC3A5C" w:rsidP="00CC3A5C">
      <w:pPr>
        <w:spacing w:line="240" w:lineRule="auto"/>
        <w:ind w:firstLine="708"/>
        <w:jc w:val="both"/>
        <w:rPr>
          <w:rFonts w:ascii="Times New Roman" w:hAnsi="Times New Roman" w:cs="Times New Roman"/>
        </w:rPr>
      </w:pPr>
      <w:r w:rsidRPr="00203C49">
        <w:rPr>
          <w:rFonts w:ascii="Times New Roman" w:hAnsi="Times New Roman" w:cs="Times New Roman"/>
        </w:rPr>
        <w:t>Mediante la dinámica de este dispositivo, quienes integran la comunidad formativa logran evidenciar no solo la aprehensión e integración conceptual de los contenidos formales exigidos por los programas de las asignaturas, sino, de manera fundamental e inescindible, la forma en que sus propias matrices de pensamiento y sus subjetividades han sido interpeladas. Se observa repetidamente que la resonancia opera como el contrapunto esencial y necesario frente a la fijeza de lo meramente descriptivo.</w:t>
      </w:r>
    </w:p>
    <w:p w14:paraId="2FD00C9E" w14:textId="77777777" w:rsidR="00CC3A5C" w:rsidRPr="00203C49" w:rsidRDefault="00CC3A5C" w:rsidP="00CC3A5C">
      <w:pPr>
        <w:spacing w:line="240" w:lineRule="auto"/>
        <w:ind w:firstLine="708"/>
        <w:jc w:val="both"/>
        <w:rPr>
          <w:rFonts w:ascii="Times New Roman" w:hAnsi="Times New Roman" w:cs="Times New Roman"/>
        </w:rPr>
      </w:pPr>
      <w:r w:rsidRPr="00203C49">
        <w:rPr>
          <w:rFonts w:ascii="Times New Roman" w:hAnsi="Times New Roman" w:cs="Times New Roman"/>
        </w:rPr>
        <w:t xml:space="preserve">Para graficar la diferencia metodológica veremos que, por ejemplo, un informe académico clásico de una práctica puede presentar una redacción del estilo: "El paciente observó el objeto, presentó este síntoma específico en el minuto diez, encuadrándose en tal categoría </w:t>
      </w:r>
      <w:proofErr w:type="spellStart"/>
      <w:r w:rsidRPr="00203C49">
        <w:rPr>
          <w:rFonts w:ascii="Times New Roman" w:hAnsi="Times New Roman" w:cs="Times New Roman"/>
        </w:rPr>
        <w:t>nosográfica</w:t>
      </w:r>
      <w:proofErr w:type="spellEnd"/>
      <w:r w:rsidRPr="00203C49">
        <w:rPr>
          <w:rFonts w:ascii="Times New Roman" w:hAnsi="Times New Roman" w:cs="Times New Roman"/>
        </w:rPr>
        <w:t>". Por el contrario, como vemos en el recorte de una resonancia, su escritura empuja al estudiante a una elaboración mucho más profunda y exigente:</w:t>
      </w:r>
    </w:p>
    <w:p w14:paraId="5B80D3F3" w14:textId="77777777" w:rsidR="00CC3A5C" w:rsidRPr="00203C49" w:rsidRDefault="00CC3A5C" w:rsidP="00CC3A5C">
      <w:pPr>
        <w:spacing w:line="480" w:lineRule="auto"/>
        <w:ind w:left="709"/>
        <w:jc w:val="both"/>
        <w:rPr>
          <w:rFonts w:ascii="Times New Roman" w:hAnsi="Times New Roman" w:cs="Times New Roman"/>
        </w:rPr>
      </w:pPr>
      <w:r w:rsidRPr="00203C49">
        <w:rPr>
          <w:rFonts w:ascii="Times New Roman" w:hAnsi="Times New Roman" w:cs="Times New Roman"/>
        </w:rPr>
        <w:t xml:space="preserve">…Son varios los significantes y los sentidos que se abren. Entre ellos, Silvia rescata la apuesta al arte. El arte de escuchar, del ritmo, de la apuesta, del mirar sin prejuicios, del valorar lo que sucede sin ellos y del rescatar la potencia del otro y de uno mismo. Todo ello cobra valor de germen y potencia para el trabajo corporal que va desplegando una nueva producción, un nuevo modo de crear saberes, de </w:t>
      </w:r>
      <w:proofErr w:type="spellStart"/>
      <w:r w:rsidRPr="00203C49">
        <w:rPr>
          <w:rFonts w:ascii="Times New Roman" w:hAnsi="Times New Roman" w:cs="Times New Roman"/>
        </w:rPr>
        <w:t>experienciar</w:t>
      </w:r>
      <w:proofErr w:type="spellEnd"/>
      <w:r w:rsidRPr="00203C49">
        <w:rPr>
          <w:rFonts w:ascii="Times New Roman" w:hAnsi="Times New Roman" w:cs="Times New Roman"/>
        </w:rPr>
        <w:t>, de pasar por el cuerpo aquello que surge en ese encuentro de otros, con otros. Lo más ancestral, primitivo que tenemos, el cuerpo moviéndose ritmado con otros, entre otros, y que es capaz de hacer circular algo que va más allá de la palabra. Saberes compartidos, construidos colectivamente. Así el trabajo cobra su sentido pleno, siendo punto de capitón [</w:t>
      </w:r>
      <w:r w:rsidRPr="00203C49">
        <w:rPr>
          <w:rFonts w:ascii="Times New Roman" w:hAnsi="Times New Roman" w:cs="Times New Roman"/>
          <w:i/>
          <w:iCs/>
        </w:rPr>
        <w:t xml:space="preserve">punto que </w:t>
      </w:r>
      <w:r w:rsidRPr="00203C49">
        <w:rPr>
          <w:rFonts w:ascii="Times New Roman" w:hAnsi="Times New Roman" w:cs="Times New Roman"/>
          <w:i/>
          <w:iCs/>
        </w:rPr>
        <w:lastRenderedPageBreak/>
        <w:t>concentra toda la escritura</w:t>
      </w:r>
      <w:r w:rsidRPr="00203C49">
        <w:rPr>
          <w:rFonts w:ascii="Times New Roman" w:hAnsi="Times New Roman" w:cs="Times New Roman"/>
        </w:rPr>
        <w:t>] en torno al cual se va fijando la experiencia y, principalmente, donde se construye la formación. (Resonancia 22/06/2021)</w:t>
      </w:r>
    </w:p>
    <w:p w14:paraId="78500736" w14:textId="77777777" w:rsidR="00CC3A5C" w:rsidRPr="00203C49" w:rsidRDefault="00CC3A5C" w:rsidP="00CC3A5C">
      <w:pPr>
        <w:spacing w:line="240" w:lineRule="auto"/>
        <w:ind w:firstLine="708"/>
        <w:jc w:val="both"/>
        <w:rPr>
          <w:rFonts w:ascii="Times New Roman" w:hAnsi="Times New Roman" w:cs="Times New Roman"/>
        </w:rPr>
      </w:pPr>
      <w:r w:rsidRPr="00203C49">
        <w:rPr>
          <w:rFonts w:ascii="Times New Roman" w:hAnsi="Times New Roman" w:cs="Times New Roman"/>
        </w:rPr>
        <w:t xml:space="preserve">Este espacio áulico horizontal permite y fomenta la tramitación de las afectaciones de manera colectiva. El aprendizaje universitario, tradicionalmente configurado como un acto competitivo, individualista y solitario de asimilación de datos, se convierte así en un verdadero </w:t>
      </w:r>
      <w:r w:rsidRPr="00203C49">
        <w:rPr>
          <w:rFonts w:ascii="Times New Roman" w:hAnsi="Times New Roman" w:cs="Times New Roman"/>
          <w:i/>
          <w:iCs/>
        </w:rPr>
        <w:t>acontecimiento</w:t>
      </w:r>
      <w:r w:rsidRPr="00203C49">
        <w:rPr>
          <w:rFonts w:ascii="Times New Roman" w:hAnsi="Times New Roman" w:cs="Times New Roman"/>
        </w:rPr>
        <w:t xml:space="preserve"> atravesado por la dimensión del lazo social.</w:t>
      </w:r>
    </w:p>
    <w:p w14:paraId="31319F13" w14:textId="77777777" w:rsidR="00CC3A5C" w:rsidRPr="00203C49" w:rsidRDefault="00CC3A5C" w:rsidP="00CC3A5C">
      <w:pPr>
        <w:spacing w:line="240" w:lineRule="auto"/>
        <w:ind w:firstLine="708"/>
        <w:jc w:val="both"/>
        <w:rPr>
          <w:rFonts w:ascii="Times New Roman" w:hAnsi="Times New Roman" w:cs="Times New Roman"/>
        </w:rPr>
      </w:pPr>
      <w:r w:rsidRPr="00203C49">
        <w:rPr>
          <w:rFonts w:ascii="Times New Roman" w:hAnsi="Times New Roman" w:cs="Times New Roman"/>
        </w:rPr>
        <w:t xml:space="preserve">El </w:t>
      </w:r>
      <w:r w:rsidRPr="00203C49">
        <w:rPr>
          <w:rFonts w:ascii="Times New Roman" w:hAnsi="Times New Roman" w:cs="Times New Roman"/>
          <w:i/>
          <w:iCs/>
        </w:rPr>
        <w:t>encuentro</w:t>
      </w:r>
      <w:r w:rsidRPr="00203C49">
        <w:rPr>
          <w:rFonts w:ascii="Times New Roman" w:hAnsi="Times New Roman" w:cs="Times New Roman"/>
        </w:rPr>
        <w:t>, concebido como una experiencia singular y estructurante de la práctica, no es cualquier intercambio comunicativo trivial. Para que haya verdadero encuentro, tanto en el consultorio, la salita, el centro barrial, el espacio para las infancias, la Casa de los Niños, el aula en el ámbito universitario, el hospital de día, etc., tiene que producirse algo del orden de lo novedoso, un acto creador que transforma a todas las partes, un acto que está ineludiblemente sostenido por la articulación de una palabra verdadera y por la disponibilidad de los cuerpos en presencia.</w:t>
      </w:r>
    </w:p>
    <w:p w14:paraId="57B06A80" w14:textId="77777777" w:rsidR="00CC3A5C" w:rsidRDefault="00CC3A5C" w:rsidP="00CC3A5C">
      <w:pPr>
        <w:spacing w:line="240" w:lineRule="auto"/>
        <w:jc w:val="both"/>
        <w:rPr>
          <w:rFonts w:ascii="Times New Roman" w:hAnsi="Times New Roman" w:cs="Times New Roman"/>
        </w:rPr>
      </w:pPr>
    </w:p>
    <w:p w14:paraId="25F29F19" w14:textId="77777777" w:rsidR="00CC3A5C" w:rsidRPr="009602C1" w:rsidRDefault="00CC3A5C" w:rsidP="00CC3A5C">
      <w:pPr>
        <w:spacing w:line="240" w:lineRule="auto"/>
        <w:jc w:val="both"/>
        <w:rPr>
          <w:rFonts w:ascii="Times New Roman" w:hAnsi="Times New Roman" w:cs="Times New Roman"/>
          <w:b/>
          <w:bCs/>
        </w:rPr>
      </w:pPr>
      <w:r w:rsidRPr="009602C1">
        <w:rPr>
          <w:rFonts w:ascii="Times New Roman" w:hAnsi="Times New Roman" w:cs="Times New Roman"/>
          <w:b/>
          <w:bCs/>
        </w:rPr>
        <w:t>Conclusiones</w:t>
      </w:r>
    </w:p>
    <w:p w14:paraId="67CE3974" w14:textId="77777777" w:rsidR="00CC3A5C" w:rsidRPr="00203C49" w:rsidRDefault="00CC3A5C" w:rsidP="00CC3A5C">
      <w:pPr>
        <w:spacing w:line="240" w:lineRule="auto"/>
        <w:ind w:firstLine="708"/>
        <w:jc w:val="both"/>
        <w:rPr>
          <w:rFonts w:ascii="Times New Roman" w:hAnsi="Times New Roman" w:cs="Times New Roman"/>
        </w:rPr>
      </w:pPr>
      <w:r w:rsidRPr="00203C49">
        <w:rPr>
          <w:rFonts w:ascii="Times New Roman" w:hAnsi="Times New Roman" w:cs="Times New Roman"/>
        </w:rPr>
        <w:t>A modo de síntesis resolutiva del extenso y complejo andamiaje argumental aquí propuesto, podemos afirmar de manera concluyente que la resonancia, asumida y ejecutada rigurosamente como metodología clínico-pedagógica, posee el vigor epistemológico suficiente como alternativa al orden positivista tradicional.</w:t>
      </w:r>
    </w:p>
    <w:p w14:paraId="6D7EF9E5" w14:textId="77777777" w:rsidR="00CC3A5C" w:rsidRPr="00203C49" w:rsidRDefault="00CC3A5C" w:rsidP="00CC3A5C">
      <w:pPr>
        <w:spacing w:line="240" w:lineRule="auto"/>
        <w:ind w:firstLine="708"/>
        <w:jc w:val="both"/>
        <w:rPr>
          <w:rFonts w:ascii="Times New Roman" w:hAnsi="Times New Roman" w:cs="Times New Roman"/>
        </w:rPr>
      </w:pPr>
      <w:r w:rsidRPr="00203C49">
        <w:rPr>
          <w:rFonts w:ascii="Times New Roman" w:hAnsi="Times New Roman" w:cs="Times New Roman"/>
        </w:rPr>
        <w:t>Al descentralizar el interés exclusivo por la repetición memorística para integrar activamente el cuerpo como superficie ineludible y territorio vivo de la experiencia; al fomentar el registro y el ejercicio arduo de la disponibilidad corporal y tónica ante el padecimiento ajeno; al sostener y demandar explícitamente la implicación ética, política y vital del futuro profesional que se forma; y al apelar a la construcción y sostenimiento de espacios de intercambio discursivo, reflexivo y horizontal, este dispositivo logra transformar la travesía, en una experiencia de implicancia y transformación en el proceso de enseñanza-aprendizaje. Su valor radica en que es una metodología capaz de alojar, metabolizar, tramitar desde el registro sensible hacia el entramado conceptual.</w:t>
      </w:r>
    </w:p>
    <w:p w14:paraId="3B45AF77" w14:textId="77777777" w:rsidR="00CC3A5C" w:rsidRPr="00203C49" w:rsidRDefault="00CC3A5C" w:rsidP="00CC3A5C">
      <w:pPr>
        <w:spacing w:line="240" w:lineRule="auto"/>
        <w:ind w:firstLine="708"/>
        <w:jc w:val="both"/>
        <w:rPr>
          <w:rFonts w:ascii="Times New Roman" w:hAnsi="Times New Roman" w:cs="Times New Roman"/>
        </w:rPr>
      </w:pPr>
      <w:r w:rsidRPr="00203C49">
        <w:rPr>
          <w:rFonts w:ascii="Times New Roman" w:hAnsi="Times New Roman" w:cs="Times New Roman"/>
        </w:rPr>
        <w:t xml:space="preserve">Las riqueza de las experiencias recogidas, analizadas y sistematizadas en cátedras de la Universidad Nacional de Tres de Febrero, de la Universidad de Buenos Aires y en la red de espacios de inserción </w:t>
      </w:r>
      <w:proofErr w:type="spellStart"/>
      <w:r w:rsidRPr="00203C49">
        <w:rPr>
          <w:rFonts w:ascii="Times New Roman" w:hAnsi="Times New Roman" w:cs="Times New Roman"/>
        </w:rPr>
        <w:t>pre-profesional</w:t>
      </w:r>
      <w:proofErr w:type="spellEnd"/>
      <w:r w:rsidRPr="00203C49">
        <w:rPr>
          <w:rFonts w:ascii="Times New Roman" w:hAnsi="Times New Roman" w:cs="Times New Roman"/>
        </w:rPr>
        <w:t xml:space="preserve"> territorial como pasantías y concurrencias, nos permiten otorgar a la resonancia el valor de marco metodológico que aloja la afectación compartida ofreciendo un lugar de elaboración, e intercambio de experiencias, que permite en la reflexión colectiva la construcción de nuevos sentidos y saberes para la función del futuro rol profesional.</w:t>
      </w:r>
    </w:p>
    <w:p w14:paraId="7B694A02" w14:textId="77777777" w:rsidR="00CC3A5C" w:rsidRPr="00203C49" w:rsidRDefault="00CC3A5C" w:rsidP="00CC3A5C">
      <w:pPr>
        <w:spacing w:line="240" w:lineRule="auto"/>
        <w:ind w:firstLine="708"/>
        <w:jc w:val="both"/>
        <w:rPr>
          <w:rFonts w:ascii="Times New Roman" w:hAnsi="Times New Roman" w:cs="Times New Roman"/>
        </w:rPr>
      </w:pPr>
      <w:r w:rsidRPr="00203C49">
        <w:rPr>
          <w:rFonts w:ascii="Times New Roman" w:hAnsi="Times New Roman" w:cs="Times New Roman"/>
        </w:rPr>
        <w:t xml:space="preserve">Para finalizar, sostenemos que la elaboración de estas resonancias colectivas trasciende el simple objetivo de acumular conocimientos para cada estudiante en forma individual y aislada. Por el contrario, gracias a la potencia de la experiencia colectiva, </w:t>
      </w:r>
      <w:r w:rsidRPr="00203C49">
        <w:rPr>
          <w:rFonts w:ascii="Times New Roman" w:hAnsi="Times New Roman" w:cs="Times New Roman"/>
        </w:rPr>
        <w:lastRenderedPageBreak/>
        <w:t>compartida de manera grupal en las rondas, se profundiza la calidad de la intervención clínica y pedagógica en los diferentes ámbitos. Al ofrecer una alternativa a los modelos clásicos de enseñanza, y al recuperar para el campo formativo el valor de la palabra, del silencio, la escucha, la vivencia, el juego creador, entre otras, la resonancia nos permite incorporar una dimensión que trasciende los límites de la enseñanza tradicional. Mediante este dispositivo teórico-práctico fundado y guiado por la brújula ética de que sin sujeto no hay salud posible, logramos finalmente lo más urgente e importante que se nos exige en los tiempos que corren: devolverle al nivel superior de la educación pública no solo su verdadera vocación emancipadora de la transmisión de saberes teóricos enlazados, sino su profunda potencia para la transformación de subjetividades.</w:t>
      </w:r>
    </w:p>
    <w:p w14:paraId="11493081" w14:textId="77777777" w:rsidR="00CC3A5C" w:rsidRPr="00203C49" w:rsidRDefault="00CC3A5C" w:rsidP="00CC3A5C">
      <w:pPr>
        <w:jc w:val="both"/>
        <w:rPr>
          <w:rFonts w:ascii="Times New Roman" w:hAnsi="Times New Roman" w:cs="Times New Roman"/>
        </w:rPr>
      </w:pPr>
    </w:p>
    <w:p w14:paraId="3FD68F6B" w14:textId="77777777" w:rsidR="00CC3A5C" w:rsidRDefault="00CC3A5C" w:rsidP="00CC3A5C">
      <w:pPr>
        <w:jc w:val="both"/>
        <w:rPr>
          <w:rFonts w:ascii="Times New Roman" w:hAnsi="Times New Roman" w:cs="Times New Roman"/>
          <w:b/>
          <w:bCs/>
        </w:rPr>
      </w:pPr>
    </w:p>
    <w:p w14:paraId="2548CB72" w14:textId="77777777" w:rsidR="00CC3A5C" w:rsidRDefault="00CC3A5C" w:rsidP="00CC3A5C">
      <w:pPr>
        <w:jc w:val="both"/>
        <w:rPr>
          <w:rFonts w:ascii="Times New Roman" w:hAnsi="Times New Roman" w:cs="Times New Roman"/>
          <w:b/>
          <w:bCs/>
        </w:rPr>
      </w:pPr>
    </w:p>
    <w:p w14:paraId="74B1AA81" w14:textId="77777777" w:rsidR="00CC3A5C" w:rsidRDefault="00CC3A5C" w:rsidP="00CC3A5C">
      <w:pPr>
        <w:jc w:val="both"/>
        <w:rPr>
          <w:rFonts w:ascii="Times New Roman" w:hAnsi="Times New Roman" w:cs="Times New Roman"/>
          <w:b/>
          <w:bCs/>
        </w:rPr>
      </w:pPr>
    </w:p>
    <w:p w14:paraId="5EE70BC0" w14:textId="77777777" w:rsidR="00CC3A5C" w:rsidRDefault="00CC3A5C" w:rsidP="00CC3A5C">
      <w:pPr>
        <w:jc w:val="both"/>
        <w:rPr>
          <w:rFonts w:ascii="Times New Roman" w:hAnsi="Times New Roman" w:cs="Times New Roman"/>
          <w:b/>
          <w:bCs/>
        </w:rPr>
      </w:pPr>
    </w:p>
    <w:p w14:paraId="60BAAC60" w14:textId="77777777" w:rsidR="00CC3A5C" w:rsidRDefault="00CC3A5C" w:rsidP="00CC3A5C">
      <w:pPr>
        <w:jc w:val="both"/>
        <w:rPr>
          <w:rFonts w:ascii="Times New Roman" w:hAnsi="Times New Roman" w:cs="Times New Roman"/>
          <w:b/>
          <w:bCs/>
        </w:rPr>
      </w:pPr>
    </w:p>
    <w:p w14:paraId="7473C0BA" w14:textId="77777777" w:rsidR="00CC3A5C" w:rsidRDefault="00CC3A5C" w:rsidP="00CC3A5C">
      <w:pPr>
        <w:jc w:val="both"/>
        <w:rPr>
          <w:rFonts w:ascii="Times New Roman" w:hAnsi="Times New Roman" w:cs="Times New Roman"/>
          <w:b/>
          <w:bCs/>
        </w:rPr>
      </w:pPr>
    </w:p>
    <w:p w14:paraId="17B5A851" w14:textId="77777777" w:rsidR="00CC3A5C" w:rsidRDefault="00CC3A5C" w:rsidP="00CC3A5C">
      <w:pPr>
        <w:jc w:val="both"/>
        <w:rPr>
          <w:rFonts w:ascii="Times New Roman" w:hAnsi="Times New Roman" w:cs="Times New Roman"/>
          <w:b/>
          <w:bCs/>
        </w:rPr>
      </w:pPr>
    </w:p>
    <w:p w14:paraId="2F06F1EF" w14:textId="77777777" w:rsidR="00CC3A5C" w:rsidRDefault="00CC3A5C" w:rsidP="00CC3A5C">
      <w:pPr>
        <w:jc w:val="both"/>
        <w:rPr>
          <w:rFonts w:ascii="Times New Roman" w:hAnsi="Times New Roman" w:cs="Times New Roman"/>
          <w:b/>
          <w:bCs/>
        </w:rPr>
      </w:pPr>
    </w:p>
    <w:p w14:paraId="387C34BE" w14:textId="77777777" w:rsidR="00CC3A5C" w:rsidRDefault="00CC3A5C" w:rsidP="00CC3A5C">
      <w:pPr>
        <w:jc w:val="both"/>
        <w:rPr>
          <w:rFonts w:ascii="Times New Roman" w:hAnsi="Times New Roman" w:cs="Times New Roman"/>
          <w:b/>
          <w:bCs/>
        </w:rPr>
      </w:pPr>
    </w:p>
    <w:p w14:paraId="10002B7A" w14:textId="77777777" w:rsidR="00CC3A5C" w:rsidRDefault="00CC3A5C" w:rsidP="00CC3A5C">
      <w:pPr>
        <w:jc w:val="both"/>
        <w:rPr>
          <w:rFonts w:ascii="Times New Roman" w:hAnsi="Times New Roman" w:cs="Times New Roman"/>
          <w:b/>
          <w:bCs/>
        </w:rPr>
      </w:pPr>
    </w:p>
    <w:p w14:paraId="7190A19D" w14:textId="77777777" w:rsidR="00CC3A5C" w:rsidRDefault="00CC3A5C" w:rsidP="00CC3A5C">
      <w:pPr>
        <w:jc w:val="both"/>
        <w:rPr>
          <w:rFonts w:ascii="Times New Roman" w:hAnsi="Times New Roman" w:cs="Times New Roman"/>
          <w:b/>
          <w:bCs/>
        </w:rPr>
      </w:pPr>
    </w:p>
    <w:p w14:paraId="5494EA03" w14:textId="77777777" w:rsidR="00CC3A5C" w:rsidRDefault="00CC3A5C" w:rsidP="00CC3A5C">
      <w:pPr>
        <w:jc w:val="both"/>
        <w:rPr>
          <w:rFonts w:ascii="Times New Roman" w:hAnsi="Times New Roman" w:cs="Times New Roman"/>
          <w:b/>
          <w:bCs/>
        </w:rPr>
      </w:pPr>
    </w:p>
    <w:p w14:paraId="6FE2572B" w14:textId="77777777" w:rsidR="00CC3A5C" w:rsidRDefault="00CC3A5C" w:rsidP="00CC3A5C">
      <w:pPr>
        <w:jc w:val="both"/>
        <w:rPr>
          <w:rFonts w:ascii="Times New Roman" w:hAnsi="Times New Roman" w:cs="Times New Roman"/>
          <w:b/>
          <w:bCs/>
        </w:rPr>
      </w:pPr>
    </w:p>
    <w:p w14:paraId="593703E8" w14:textId="77777777" w:rsidR="00CC3A5C" w:rsidRDefault="00CC3A5C" w:rsidP="00CC3A5C">
      <w:pPr>
        <w:jc w:val="both"/>
        <w:rPr>
          <w:rFonts w:ascii="Times New Roman" w:hAnsi="Times New Roman" w:cs="Times New Roman"/>
          <w:b/>
          <w:bCs/>
        </w:rPr>
      </w:pPr>
    </w:p>
    <w:p w14:paraId="2E9DBBB7" w14:textId="77777777" w:rsidR="00CC3A5C" w:rsidRDefault="00CC3A5C" w:rsidP="00CC3A5C">
      <w:pPr>
        <w:jc w:val="both"/>
        <w:rPr>
          <w:rFonts w:ascii="Times New Roman" w:hAnsi="Times New Roman" w:cs="Times New Roman"/>
          <w:b/>
          <w:bCs/>
        </w:rPr>
      </w:pPr>
    </w:p>
    <w:p w14:paraId="74372C8D" w14:textId="77777777" w:rsidR="00CC3A5C" w:rsidRDefault="00CC3A5C" w:rsidP="00CC3A5C">
      <w:pPr>
        <w:jc w:val="both"/>
        <w:rPr>
          <w:rFonts w:ascii="Times New Roman" w:hAnsi="Times New Roman" w:cs="Times New Roman"/>
          <w:b/>
          <w:bCs/>
        </w:rPr>
      </w:pPr>
    </w:p>
    <w:p w14:paraId="03B50B99" w14:textId="77777777" w:rsidR="00CC3A5C" w:rsidRDefault="00CC3A5C" w:rsidP="00CC3A5C">
      <w:pPr>
        <w:jc w:val="both"/>
        <w:rPr>
          <w:rFonts w:ascii="Times New Roman" w:hAnsi="Times New Roman" w:cs="Times New Roman"/>
          <w:b/>
          <w:bCs/>
        </w:rPr>
      </w:pPr>
    </w:p>
    <w:p w14:paraId="538A8F20" w14:textId="77777777" w:rsidR="00CC3A5C" w:rsidRDefault="00CC3A5C" w:rsidP="00CC3A5C">
      <w:pPr>
        <w:jc w:val="both"/>
        <w:rPr>
          <w:rFonts w:ascii="Times New Roman" w:hAnsi="Times New Roman" w:cs="Times New Roman"/>
          <w:b/>
          <w:bCs/>
        </w:rPr>
      </w:pPr>
    </w:p>
    <w:p w14:paraId="05A18E5A" w14:textId="77777777" w:rsidR="00CC3A5C" w:rsidRDefault="00CC3A5C" w:rsidP="00CC3A5C">
      <w:pPr>
        <w:jc w:val="both"/>
        <w:rPr>
          <w:rFonts w:ascii="Times New Roman" w:hAnsi="Times New Roman" w:cs="Times New Roman"/>
          <w:b/>
          <w:bCs/>
        </w:rPr>
      </w:pPr>
    </w:p>
    <w:p w14:paraId="6952B7ED" w14:textId="0AFCD745" w:rsidR="00CC3A5C" w:rsidRPr="00203C49" w:rsidRDefault="00CC3A5C" w:rsidP="00CC3A5C">
      <w:pPr>
        <w:jc w:val="both"/>
        <w:rPr>
          <w:rFonts w:ascii="Times New Roman" w:hAnsi="Times New Roman" w:cs="Times New Roman"/>
          <w:b/>
          <w:bCs/>
        </w:rPr>
      </w:pPr>
      <w:r>
        <w:rPr>
          <w:rFonts w:ascii="Times New Roman" w:hAnsi="Times New Roman" w:cs="Times New Roman"/>
          <w:b/>
          <w:bCs/>
        </w:rPr>
        <w:lastRenderedPageBreak/>
        <w:t xml:space="preserve">Referencias </w:t>
      </w:r>
      <w:r w:rsidRPr="00203C49">
        <w:rPr>
          <w:rFonts w:ascii="Times New Roman" w:hAnsi="Times New Roman" w:cs="Times New Roman"/>
          <w:b/>
          <w:bCs/>
        </w:rPr>
        <w:t>Bibliogr</w:t>
      </w:r>
      <w:r>
        <w:rPr>
          <w:rFonts w:ascii="Times New Roman" w:hAnsi="Times New Roman" w:cs="Times New Roman"/>
          <w:b/>
          <w:bCs/>
        </w:rPr>
        <w:t>á</w:t>
      </w:r>
      <w:r w:rsidRPr="00203C49">
        <w:rPr>
          <w:rFonts w:ascii="Times New Roman" w:hAnsi="Times New Roman" w:cs="Times New Roman"/>
          <w:b/>
          <w:bCs/>
        </w:rPr>
        <w:t>f</w:t>
      </w:r>
      <w:r>
        <w:rPr>
          <w:rFonts w:ascii="Times New Roman" w:hAnsi="Times New Roman" w:cs="Times New Roman"/>
          <w:b/>
          <w:bCs/>
        </w:rPr>
        <w:t>icas</w:t>
      </w:r>
    </w:p>
    <w:p w14:paraId="764C98F8" w14:textId="77777777" w:rsidR="00CC3A5C" w:rsidRPr="00203C49" w:rsidRDefault="00CC3A5C" w:rsidP="00CC3A5C">
      <w:pPr>
        <w:jc w:val="both"/>
        <w:rPr>
          <w:rFonts w:ascii="Times New Roman" w:hAnsi="Times New Roman" w:cs="Times New Roman"/>
        </w:rPr>
      </w:pPr>
      <w:proofErr w:type="spellStart"/>
      <w:r w:rsidRPr="00203C49">
        <w:rPr>
          <w:rFonts w:ascii="Times New Roman" w:hAnsi="Times New Roman" w:cs="Times New Roman"/>
        </w:rPr>
        <w:t>Ardoino</w:t>
      </w:r>
      <w:proofErr w:type="spellEnd"/>
      <w:r w:rsidRPr="00203C49">
        <w:rPr>
          <w:rFonts w:ascii="Times New Roman" w:hAnsi="Times New Roman" w:cs="Times New Roman"/>
        </w:rPr>
        <w:t xml:space="preserve">, J. (1997). </w:t>
      </w:r>
      <w:r w:rsidRPr="00C12B1C">
        <w:rPr>
          <w:rFonts w:ascii="Times New Roman" w:hAnsi="Times New Roman" w:cs="Times New Roman"/>
          <w:i/>
          <w:iCs/>
        </w:rPr>
        <w:t>La implicación</w:t>
      </w:r>
      <w:r w:rsidRPr="00203C49">
        <w:rPr>
          <w:rFonts w:ascii="Times New Roman" w:hAnsi="Times New Roman" w:cs="Times New Roman"/>
        </w:rPr>
        <w:t>. Conferencia impartida en el Centro de estudios sobre la Universidad, UNAM</w:t>
      </w:r>
      <w:r>
        <w:rPr>
          <w:rFonts w:ascii="Times New Roman" w:hAnsi="Times New Roman" w:cs="Times New Roman"/>
        </w:rPr>
        <w:t>.</w:t>
      </w:r>
    </w:p>
    <w:p w14:paraId="41AA14CE" w14:textId="77777777" w:rsidR="00CC3A5C" w:rsidRPr="00203C49" w:rsidRDefault="00CC3A5C" w:rsidP="00CC3A5C">
      <w:pPr>
        <w:jc w:val="both"/>
        <w:rPr>
          <w:rFonts w:ascii="Times New Roman" w:hAnsi="Times New Roman" w:cs="Times New Roman"/>
        </w:rPr>
      </w:pPr>
      <w:r w:rsidRPr="00203C49">
        <w:rPr>
          <w:rFonts w:ascii="Times New Roman" w:hAnsi="Times New Roman" w:cs="Times New Roman"/>
        </w:rPr>
        <w:t>Brukman, S. (1995). Reflexiones acerca de la relajación terapéutica y la formación de psicomotricistas. En González, L. y Aragón, R.</w:t>
      </w:r>
      <w:r>
        <w:rPr>
          <w:rFonts w:ascii="Times New Roman" w:hAnsi="Times New Roman" w:cs="Times New Roman"/>
        </w:rPr>
        <w:t xml:space="preserve"> (</w:t>
      </w:r>
      <w:proofErr w:type="spellStart"/>
      <w:r>
        <w:rPr>
          <w:rFonts w:ascii="Times New Roman" w:hAnsi="Times New Roman" w:cs="Times New Roman"/>
        </w:rPr>
        <w:t>comps</w:t>
      </w:r>
      <w:proofErr w:type="spellEnd"/>
      <w:r>
        <w:rPr>
          <w:rFonts w:ascii="Times New Roman" w:hAnsi="Times New Roman" w:cs="Times New Roman"/>
        </w:rPr>
        <w:t xml:space="preserve">.), </w:t>
      </w:r>
      <w:r w:rsidRPr="00C12B1C">
        <w:rPr>
          <w:rFonts w:ascii="Times New Roman" w:hAnsi="Times New Roman" w:cs="Times New Roman"/>
          <w:i/>
          <w:iCs/>
        </w:rPr>
        <w:t xml:space="preserve">Crónicas Clínicas en relajación terapéutica y psicomotricidad </w:t>
      </w:r>
      <w:proofErr w:type="spellStart"/>
      <w:r w:rsidRPr="00C12B1C">
        <w:rPr>
          <w:rFonts w:ascii="Times New Roman" w:hAnsi="Times New Roman" w:cs="Times New Roman"/>
          <w:i/>
          <w:iCs/>
        </w:rPr>
        <w:t>N°</w:t>
      </w:r>
      <w:proofErr w:type="spellEnd"/>
      <w:r w:rsidRPr="00C12B1C">
        <w:rPr>
          <w:rFonts w:ascii="Times New Roman" w:hAnsi="Times New Roman" w:cs="Times New Roman"/>
          <w:i/>
          <w:iCs/>
        </w:rPr>
        <w:t xml:space="preserve"> 2</w:t>
      </w:r>
      <w:r>
        <w:rPr>
          <w:rFonts w:ascii="Times New Roman" w:hAnsi="Times New Roman" w:cs="Times New Roman"/>
        </w:rPr>
        <w:t>.</w:t>
      </w:r>
    </w:p>
    <w:p w14:paraId="04F0B024" w14:textId="77777777" w:rsidR="00CC3A5C" w:rsidRPr="00203C49" w:rsidRDefault="00CC3A5C" w:rsidP="00CC3A5C">
      <w:pPr>
        <w:jc w:val="both"/>
        <w:rPr>
          <w:rFonts w:ascii="Times New Roman" w:hAnsi="Times New Roman" w:cs="Times New Roman"/>
        </w:rPr>
      </w:pPr>
      <w:r w:rsidRPr="00203C49">
        <w:rPr>
          <w:rFonts w:ascii="Times New Roman" w:hAnsi="Times New Roman" w:cs="Times New Roman"/>
        </w:rPr>
        <w:t xml:space="preserve">Brukman, S., Saal, S. (2016). </w:t>
      </w:r>
      <w:r w:rsidRPr="00C12B1C">
        <w:rPr>
          <w:rFonts w:ascii="Times New Roman" w:hAnsi="Times New Roman" w:cs="Times New Roman"/>
          <w:i/>
          <w:iCs/>
        </w:rPr>
        <w:t>Trabajo final para la cátedra Sujetos estudiantes en la Universidad de la Especialización en docencia universitaria de UNTREF</w:t>
      </w:r>
      <w:r w:rsidRPr="00203C49">
        <w:rPr>
          <w:rFonts w:ascii="Times New Roman" w:hAnsi="Times New Roman" w:cs="Times New Roman"/>
        </w:rPr>
        <w:t>. Docente Titular Cristina Tomasi. Inédito</w:t>
      </w:r>
      <w:r>
        <w:rPr>
          <w:rFonts w:ascii="Times New Roman" w:hAnsi="Times New Roman" w:cs="Times New Roman"/>
        </w:rPr>
        <w:t>.</w:t>
      </w:r>
    </w:p>
    <w:p w14:paraId="039C3C59" w14:textId="77777777" w:rsidR="00CC3A5C" w:rsidRPr="00203C49" w:rsidRDefault="00CC3A5C" w:rsidP="00CC3A5C">
      <w:pPr>
        <w:jc w:val="both"/>
        <w:rPr>
          <w:rFonts w:ascii="Times New Roman" w:hAnsi="Times New Roman" w:cs="Times New Roman"/>
        </w:rPr>
      </w:pPr>
      <w:r w:rsidRPr="00203C49">
        <w:rPr>
          <w:rFonts w:ascii="Times New Roman" w:hAnsi="Times New Roman" w:cs="Times New Roman"/>
        </w:rPr>
        <w:t>Contreras</w:t>
      </w:r>
      <w:r>
        <w:rPr>
          <w:rFonts w:ascii="Times New Roman" w:hAnsi="Times New Roman" w:cs="Times New Roman"/>
        </w:rPr>
        <w:t xml:space="preserve"> Domingo</w:t>
      </w:r>
      <w:r w:rsidRPr="00203C49">
        <w:rPr>
          <w:rFonts w:ascii="Times New Roman" w:hAnsi="Times New Roman" w:cs="Times New Roman"/>
        </w:rPr>
        <w:t xml:space="preserve">, J. (2011). El lugar de la experiencia. En </w:t>
      </w:r>
      <w:r w:rsidRPr="00C12B1C">
        <w:rPr>
          <w:rFonts w:ascii="Times New Roman" w:hAnsi="Times New Roman" w:cs="Times New Roman"/>
          <w:i/>
          <w:iCs/>
        </w:rPr>
        <w:t xml:space="preserve">Cuadernos de pedagogía </w:t>
      </w:r>
      <w:proofErr w:type="spellStart"/>
      <w:r w:rsidRPr="00C12B1C">
        <w:rPr>
          <w:rFonts w:ascii="Times New Roman" w:hAnsi="Times New Roman" w:cs="Times New Roman"/>
          <w:i/>
          <w:iCs/>
        </w:rPr>
        <w:t>N°</w:t>
      </w:r>
      <w:proofErr w:type="spellEnd"/>
      <w:r w:rsidRPr="00C12B1C">
        <w:rPr>
          <w:rFonts w:ascii="Times New Roman" w:hAnsi="Times New Roman" w:cs="Times New Roman"/>
          <w:i/>
          <w:iCs/>
        </w:rPr>
        <w:t xml:space="preserve"> 417</w:t>
      </w:r>
      <w:r>
        <w:rPr>
          <w:rFonts w:ascii="Times New Roman" w:hAnsi="Times New Roman" w:cs="Times New Roman"/>
        </w:rPr>
        <w:t>, 60-63.</w:t>
      </w:r>
    </w:p>
    <w:p w14:paraId="42643E14" w14:textId="77777777" w:rsidR="00CC3A5C" w:rsidRDefault="00CC3A5C" w:rsidP="00CC3A5C">
      <w:pPr>
        <w:jc w:val="both"/>
        <w:rPr>
          <w:rFonts w:ascii="Times New Roman" w:hAnsi="Times New Roman" w:cs="Times New Roman"/>
        </w:rPr>
      </w:pPr>
      <w:r w:rsidRPr="00203C49">
        <w:rPr>
          <w:rFonts w:ascii="Times New Roman" w:hAnsi="Times New Roman" w:cs="Times New Roman"/>
        </w:rPr>
        <w:t>De Ajuriaguerra, J. (1982). Ontogénesis de las posturas: yo y el otro. En F. Alonso Fernández (</w:t>
      </w:r>
      <w:proofErr w:type="spellStart"/>
      <w:r w:rsidRPr="00203C49">
        <w:rPr>
          <w:rFonts w:ascii="Times New Roman" w:hAnsi="Times New Roman" w:cs="Times New Roman"/>
        </w:rPr>
        <w:t>comp.</w:t>
      </w:r>
      <w:proofErr w:type="spellEnd"/>
      <w:r w:rsidRPr="00203C49">
        <w:rPr>
          <w:rFonts w:ascii="Times New Roman" w:hAnsi="Times New Roman" w:cs="Times New Roman"/>
        </w:rPr>
        <w:t>)</w:t>
      </w:r>
      <w:r>
        <w:rPr>
          <w:rFonts w:ascii="Times New Roman" w:hAnsi="Times New Roman" w:cs="Times New Roman"/>
        </w:rPr>
        <w:t>,</w:t>
      </w:r>
      <w:r w:rsidRPr="00203C49">
        <w:rPr>
          <w:rFonts w:ascii="Times New Roman" w:hAnsi="Times New Roman" w:cs="Times New Roman"/>
        </w:rPr>
        <w:t xml:space="preserve"> </w:t>
      </w:r>
      <w:r w:rsidRPr="00C12B1C">
        <w:rPr>
          <w:rFonts w:ascii="Times New Roman" w:hAnsi="Times New Roman" w:cs="Times New Roman"/>
          <w:i/>
          <w:iCs/>
        </w:rPr>
        <w:t>Cuerpo y comunicación</w:t>
      </w:r>
      <w:r>
        <w:rPr>
          <w:rFonts w:ascii="Times New Roman" w:hAnsi="Times New Roman" w:cs="Times New Roman"/>
          <w:i/>
          <w:iCs/>
        </w:rPr>
        <w:t>,</w:t>
      </w:r>
      <w:r w:rsidRPr="00203C49">
        <w:rPr>
          <w:rFonts w:ascii="Times New Roman" w:hAnsi="Times New Roman" w:cs="Times New Roman"/>
        </w:rPr>
        <w:t xml:space="preserve"> 17-24. España: Pirámides.</w:t>
      </w:r>
    </w:p>
    <w:p w14:paraId="2F5816E9" w14:textId="77777777" w:rsidR="00CC3A5C" w:rsidRPr="00203C49" w:rsidRDefault="00CC3A5C" w:rsidP="00CC3A5C">
      <w:pPr>
        <w:jc w:val="both"/>
        <w:rPr>
          <w:rFonts w:ascii="Times New Roman" w:hAnsi="Times New Roman" w:cs="Times New Roman"/>
        </w:rPr>
      </w:pPr>
      <w:r>
        <w:rPr>
          <w:rFonts w:ascii="Times New Roman" w:hAnsi="Times New Roman" w:cs="Times New Roman"/>
        </w:rPr>
        <w:t xml:space="preserve">Fernández Ribas, J. A. (17 de marzo 2026). </w:t>
      </w:r>
      <w:r w:rsidRPr="00C12B1C">
        <w:rPr>
          <w:rFonts w:ascii="Times New Roman" w:hAnsi="Times New Roman" w:cs="Times New Roman"/>
          <w:i/>
          <w:iCs/>
        </w:rPr>
        <w:t xml:space="preserve">Qué funda una práctica de la acción corporal (psicomotriz o </w:t>
      </w:r>
      <w:proofErr w:type="spellStart"/>
      <w:r w:rsidRPr="00C12B1C">
        <w:rPr>
          <w:rFonts w:ascii="Times New Roman" w:hAnsi="Times New Roman" w:cs="Times New Roman"/>
          <w:i/>
          <w:iCs/>
        </w:rPr>
        <w:t>psicocorporal</w:t>
      </w:r>
      <w:proofErr w:type="spellEnd"/>
      <w:r w:rsidRPr="00C12B1C">
        <w:rPr>
          <w:rFonts w:ascii="Times New Roman" w:hAnsi="Times New Roman" w:cs="Times New Roman"/>
          <w:i/>
          <w:iCs/>
        </w:rPr>
        <w:t>)</w:t>
      </w:r>
      <w:r>
        <w:rPr>
          <w:rFonts w:ascii="Times New Roman" w:hAnsi="Times New Roman" w:cs="Times New Roman"/>
        </w:rPr>
        <w:t xml:space="preserve">. Facebook. </w:t>
      </w:r>
      <w:hyperlink r:id="rId8" w:history="1">
        <w:r w:rsidRPr="0021127C">
          <w:rPr>
            <w:rStyle w:val="Hipervnculo"/>
            <w:rFonts w:ascii="Times New Roman" w:hAnsi="Times New Roman" w:cs="Times New Roman"/>
          </w:rPr>
          <w:t>https://www.facebook.com/share/1B49V1qywK/</w:t>
        </w:r>
      </w:hyperlink>
      <w:r>
        <w:rPr>
          <w:rFonts w:ascii="Times New Roman" w:hAnsi="Times New Roman" w:cs="Times New Roman"/>
        </w:rPr>
        <w:t xml:space="preserve"> </w:t>
      </w:r>
    </w:p>
    <w:p w14:paraId="31325E22" w14:textId="77777777" w:rsidR="00CC3A5C" w:rsidRPr="00203C49" w:rsidRDefault="00CC3A5C" w:rsidP="00CC3A5C">
      <w:pPr>
        <w:jc w:val="both"/>
        <w:rPr>
          <w:rFonts w:ascii="Times New Roman" w:hAnsi="Times New Roman" w:cs="Times New Roman"/>
        </w:rPr>
      </w:pPr>
      <w:r w:rsidRPr="00203C49">
        <w:rPr>
          <w:rFonts w:ascii="Times New Roman" w:hAnsi="Times New Roman" w:cs="Times New Roman"/>
        </w:rPr>
        <w:t xml:space="preserve">Lacan, J. (1953). Función y campo de la palabra y del lenguaje en psicoanálisis. En </w:t>
      </w:r>
      <w:r w:rsidRPr="00C12B1C">
        <w:rPr>
          <w:rFonts w:ascii="Times New Roman" w:hAnsi="Times New Roman" w:cs="Times New Roman"/>
          <w:i/>
          <w:iCs/>
        </w:rPr>
        <w:t>Escritos 1</w:t>
      </w:r>
      <w:r w:rsidRPr="00203C49">
        <w:rPr>
          <w:rFonts w:ascii="Times New Roman" w:hAnsi="Times New Roman" w:cs="Times New Roman"/>
        </w:rPr>
        <w:t>. Siglo XXI</w:t>
      </w:r>
      <w:r>
        <w:rPr>
          <w:rFonts w:ascii="Times New Roman" w:hAnsi="Times New Roman" w:cs="Times New Roman"/>
        </w:rPr>
        <w:t>.</w:t>
      </w:r>
    </w:p>
    <w:p w14:paraId="0B8B2C15" w14:textId="77777777" w:rsidR="00CC3A5C" w:rsidRPr="00203C49" w:rsidRDefault="00CC3A5C" w:rsidP="00CC3A5C">
      <w:pPr>
        <w:jc w:val="both"/>
        <w:rPr>
          <w:rFonts w:ascii="Times New Roman" w:hAnsi="Times New Roman" w:cs="Times New Roman"/>
        </w:rPr>
      </w:pPr>
      <w:r w:rsidRPr="00203C49">
        <w:rPr>
          <w:rFonts w:ascii="Times New Roman" w:hAnsi="Times New Roman" w:cs="Times New Roman"/>
        </w:rPr>
        <w:t xml:space="preserve">Larrosa, J. (2003). Experiencia y pasión. En </w:t>
      </w:r>
      <w:r w:rsidRPr="00BE03B4">
        <w:rPr>
          <w:rFonts w:ascii="Times New Roman" w:hAnsi="Times New Roman" w:cs="Times New Roman"/>
          <w:i/>
          <w:iCs/>
        </w:rPr>
        <w:t>La experiencia de la lectura. Estudios sobre literatura y formación</w:t>
      </w:r>
      <w:r w:rsidRPr="00203C49">
        <w:rPr>
          <w:rFonts w:ascii="Times New Roman" w:hAnsi="Times New Roman" w:cs="Times New Roman"/>
        </w:rPr>
        <w:t>. Fondo de Cultura Económica</w:t>
      </w:r>
      <w:r>
        <w:rPr>
          <w:rFonts w:ascii="Times New Roman" w:hAnsi="Times New Roman" w:cs="Times New Roman"/>
        </w:rPr>
        <w:t>.</w:t>
      </w:r>
    </w:p>
    <w:p w14:paraId="6C9F4BEE" w14:textId="77777777" w:rsidR="00CC3A5C" w:rsidRPr="00760C38" w:rsidRDefault="00CC3A5C" w:rsidP="00CC3A5C">
      <w:pPr>
        <w:jc w:val="both"/>
        <w:rPr>
          <w:rFonts w:ascii="Times New Roman" w:hAnsi="Times New Roman" w:cs="Times New Roman"/>
        </w:rPr>
      </w:pPr>
      <w:proofErr w:type="spellStart"/>
      <w:r w:rsidRPr="00203C49">
        <w:rPr>
          <w:rFonts w:ascii="Times New Roman" w:hAnsi="Times New Roman" w:cs="Times New Roman"/>
        </w:rPr>
        <w:t>Vilanou</w:t>
      </w:r>
      <w:proofErr w:type="spellEnd"/>
      <w:r w:rsidRPr="00203C49">
        <w:rPr>
          <w:rFonts w:ascii="Times New Roman" w:hAnsi="Times New Roman" w:cs="Times New Roman"/>
        </w:rPr>
        <w:t xml:space="preserve">, C., García Farrero, J., de la Arada, R. </w:t>
      </w:r>
      <w:r>
        <w:rPr>
          <w:rFonts w:ascii="Times New Roman" w:hAnsi="Times New Roman" w:cs="Times New Roman"/>
        </w:rPr>
        <w:t>(</w:t>
      </w:r>
      <w:r w:rsidRPr="00203C49">
        <w:rPr>
          <w:rFonts w:ascii="Times New Roman" w:hAnsi="Times New Roman" w:cs="Times New Roman"/>
        </w:rPr>
        <w:t>2018</w:t>
      </w:r>
      <w:r>
        <w:rPr>
          <w:rFonts w:ascii="Times New Roman" w:hAnsi="Times New Roman" w:cs="Times New Roman"/>
        </w:rPr>
        <w:t xml:space="preserve">). </w:t>
      </w:r>
      <w:r w:rsidRPr="00760C38">
        <w:rPr>
          <w:rFonts w:ascii="Times New Roman" w:hAnsi="Times New Roman" w:cs="Times New Roman"/>
        </w:rPr>
        <w:t>De la pedagogía de Herbart</w:t>
      </w:r>
      <w:r>
        <w:rPr>
          <w:rFonts w:ascii="Times New Roman" w:hAnsi="Times New Roman" w:cs="Times New Roman"/>
        </w:rPr>
        <w:t xml:space="preserve"> </w:t>
      </w:r>
      <w:r w:rsidRPr="00760C38">
        <w:rPr>
          <w:rFonts w:ascii="Times New Roman" w:hAnsi="Times New Roman" w:cs="Times New Roman"/>
        </w:rPr>
        <w:t>a la pedagogía culturalista.</w:t>
      </w:r>
      <w:r>
        <w:rPr>
          <w:rFonts w:ascii="Times New Roman" w:hAnsi="Times New Roman" w:cs="Times New Roman"/>
        </w:rPr>
        <w:t xml:space="preserve"> </w:t>
      </w:r>
      <w:r w:rsidRPr="00760C38">
        <w:rPr>
          <w:rFonts w:ascii="Times New Roman" w:hAnsi="Times New Roman" w:cs="Times New Roman"/>
        </w:rPr>
        <w:t xml:space="preserve">Un episodio de la crisis en la </w:t>
      </w:r>
      <w:r>
        <w:rPr>
          <w:rFonts w:ascii="Times New Roman" w:hAnsi="Times New Roman" w:cs="Times New Roman"/>
        </w:rPr>
        <w:t>E</w:t>
      </w:r>
      <w:r w:rsidRPr="00760C38">
        <w:rPr>
          <w:rFonts w:ascii="Times New Roman" w:hAnsi="Times New Roman" w:cs="Times New Roman"/>
        </w:rPr>
        <w:t>uropa</w:t>
      </w:r>
      <w:r>
        <w:rPr>
          <w:rFonts w:ascii="Times New Roman" w:hAnsi="Times New Roman" w:cs="Times New Roman"/>
        </w:rPr>
        <w:t xml:space="preserve"> </w:t>
      </w:r>
      <w:r w:rsidRPr="00760C38">
        <w:rPr>
          <w:rFonts w:ascii="Times New Roman" w:hAnsi="Times New Roman" w:cs="Times New Roman"/>
        </w:rPr>
        <w:t>de entreguerras (1919-1939)</w:t>
      </w:r>
      <w:r>
        <w:rPr>
          <w:rFonts w:ascii="Times New Roman" w:hAnsi="Times New Roman" w:cs="Times New Roman"/>
        </w:rPr>
        <w:t xml:space="preserve">. En </w:t>
      </w:r>
      <w:proofErr w:type="spellStart"/>
      <w:r>
        <w:rPr>
          <w:rFonts w:ascii="Times New Roman" w:hAnsi="Times New Roman" w:cs="Times New Roman"/>
          <w:i/>
          <w:iCs/>
        </w:rPr>
        <w:t>Ars</w:t>
      </w:r>
      <w:proofErr w:type="spellEnd"/>
      <w:r>
        <w:rPr>
          <w:rFonts w:ascii="Times New Roman" w:hAnsi="Times New Roman" w:cs="Times New Roman"/>
          <w:i/>
          <w:iCs/>
        </w:rPr>
        <w:t xml:space="preserve"> Brevis </w:t>
      </w:r>
      <w:proofErr w:type="spellStart"/>
      <w:r>
        <w:rPr>
          <w:rFonts w:ascii="Times New Roman" w:hAnsi="Times New Roman" w:cs="Times New Roman"/>
          <w:i/>
          <w:iCs/>
        </w:rPr>
        <w:t>N°</w:t>
      </w:r>
      <w:proofErr w:type="spellEnd"/>
      <w:r>
        <w:rPr>
          <w:rFonts w:ascii="Times New Roman" w:hAnsi="Times New Roman" w:cs="Times New Roman"/>
          <w:i/>
          <w:iCs/>
        </w:rPr>
        <w:t xml:space="preserve"> 24</w:t>
      </w:r>
      <w:r>
        <w:rPr>
          <w:rFonts w:ascii="Times New Roman" w:hAnsi="Times New Roman" w:cs="Times New Roman"/>
        </w:rPr>
        <w:t>, 222-258.</w:t>
      </w:r>
    </w:p>
    <w:p w14:paraId="544B704F" w14:textId="77777777" w:rsidR="00BC236F" w:rsidRPr="00BA642E" w:rsidRDefault="00BC236F" w:rsidP="007B5B5F">
      <w:pPr>
        <w:spacing w:line="240" w:lineRule="auto"/>
        <w:jc w:val="both"/>
        <w:rPr>
          <w:rFonts w:ascii="Times New Roman" w:hAnsi="Times New Roman" w:cs="Times New Roman"/>
        </w:rPr>
      </w:pPr>
    </w:p>
    <w:sectPr w:rsidR="00BC236F" w:rsidRPr="00BA642E" w:rsidSect="00701F64">
      <w:headerReference w:type="default" r:id="rId9"/>
      <w:footerReference w:type="default" r:id="rId10"/>
      <w:pgSz w:w="11906" w:h="16838"/>
      <w:pgMar w:top="2410" w:right="1701" w:bottom="1843" w:left="1701" w:header="284" w:footer="0" w:gutter="0"/>
      <w:pgBorders w:offsetFrom="page">
        <w:left w:val="single" w:sz="48" w:space="12" w:color="00B0F0"/>
        <w:right w:val="single" w:sz="48" w:space="12" w:color="00B0F0"/>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FDDD91" w14:textId="77777777" w:rsidR="006D3709" w:rsidRPr="00BA642E" w:rsidRDefault="006D3709" w:rsidP="00C802F5">
      <w:pPr>
        <w:spacing w:after="0" w:line="240" w:lineRule="auto"/>
      </w:pPr>
      <w:r w:rsidRPr="00BA642E">
        <w:separator/>
      </w:r>
    </w:p>
  </w:endnote>
  <w:endnote w:type="continuationSeparator" w:id="0">
    <w:p w14:paraId="04E4A579" w14:textId="77777777" w:rsidR="006D3709" w:rsidRPr="00BA642E" w:rsidRDefault="006D3709" w:rsidP="00C802F5">
      <w:pPr>
        <w:spacing w:after="0" w:line="240" w:lineRule="auto"/>
      </w:pPr>
      <w:r w:rsidRPr="00BA642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F1CC46" w14:textId="732B193D" w:rsidR="00701F64" w:rsidRPr="00BA642E" w:rsidRDefault="00BA642E">
    <w:pPr>
      <w:pStyle w:val="Piedepgina"/>
    </w:pPr>
    <w:r w:rsidRPr="00BA642E">
      <w:rPr>
        <w:noProof/>
      </w:rPr>
      <w:drawing>
        <wp:inline distT="0" distB="0" distL="0" distR="0" wp14:anchorId="26F90C63" wp14:editId="4B2180C6">
          <wp:extent cx="5400040" cy="428625"/>
          <wp:effectExtent l="0" t="0" r="0" b="9525"/>
          <wp:docPr id="142015709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0157093" name=""/>
                  <pic:cNvPicPr/>
                </pic:nvPicPr>
                <pic:blipFill>
                  <a:blip r:embed="rId1"/>
                  <a:stretch>
                    <a:fillRect/>
                  </a:stretch>
                </pic:blipFill>
                <pic:spPr>
                  <a:xfrm>
                    <a:off x="0" y="0"/>
                    <a:ext cx="5400040" cy="428625"/>
                  </a:xfrm>
                  <a:prstGeom prst="rect">
                    <a:avLst/>
                  </a:prstGeom>
                </pic:spPr>
              </pic:pic>
            </a:graphicData>
          </a:graphic>
        </wp:inline>
      </w:drawing>
    </w:r>
  </w:p>
  <w:p w14:paraId="7065C7CD" w14:textId="77777777" w:rsidR="00C802F5" w:rsidRPr="00BA642E" w:rsidRDefault="00C802F5">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1524D8" w14:textId="77777777" w:rsidR="006D3709" w:rsidRPr="00BA642E" w:rsidRDefault="006D3709" w:rsidP="00C802F5">
      <w:pPr>
        <w:spacing w:after="0" w:line="240" w:lineRule="auto"/>
      </w:pPr>
      <w:r w:rsidRPr="00BA642E">
        <w:separator/>
      </w:r>
    </w:p>
  </w:footnote>
  <w:footnote w:type="continuationSeparator" w:id="0">
    <w:p w14:paraId="679CCE16" w14:textId="77777777" w:rsidR="006D3709" w:rsidRPr="00BA642E" w:rsidRDefault="006D3709" w:rsidP="00C802F5">
      <w:pPr>
        <w:spacing w:after="0" w:line="240" w:lineRule="auto"/>
      </w:pPr>
      <w:r w:rsidRPr="00BA642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44B213" w14:textId="0B58DBD9" w:rsidR="00C802F5" w:rsidRPr="00BA642E" w:rsidRDefault="00C802F5" w:rsidP="00C802F5">
    <w:pPr>
      <w:pStyle w:val="Encabezado"/>
      <w:jc w:val="center"/>
    </w:pPr>
    <w:r w:rsidRPr="00BA642E">
      <w:rPr>
        <w:noProof/>
      </w:rPr>
      <w:drawing>
        <wp:inline distT="0" distB="0" distL="0" distR="0" wp14:anchorId="6AF6CEA6" wp14:editId="7A9FD2E8">
          <wp:extent cx="2595676" cy="1082040"/>
          <wp:effectExtent l="0" t="0" r="0" b="3810"/>
          <wp:docPr id="186449059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0131383" name=""/>
                  <pic:cNvPicPr/>
                </pic:nvPicPr>
                <pic:blipFill>
                  <a:blip r:embed="rId1"/>
                  <a:stretch>
                    <a:fillRect/>
                  </a:stretch>
                </pic:blipFill>
                <pic:spPr>
                  <a:xfrm>
                    <a:off x="0" y="0"/>
                    <a:ext cx="2617939" cy="1091320"/>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23DC"/>
    <w:rsid w:val="001816D6"/>
    <w:rsid w:val="00185F5E"/>
    <w:rsid w:val="001923DC"/>
    <w:rsid w:val="002327C3"/>
    <w:rsid w:val="00312392"/>
    <w:rsid w:val="003C5A65"/>
    <w:rsid w:val="004040C0"/>
    <w:rsid w:val="00437E9C"/>
    <w:rsid w:val="00550766"/>
    <w:rsid w:val="005F3B2E"/>
    <w:rsid w:val="006D3709"/>
    <w:rsid w:val="00701F64"/>
    <w:rsid w:val="007B5B5F"/>
    <w:rsid w:val="007D233B"/>
    <w:rsid w:val="0085070B"/>
    <w:rsid w:val="00A17247"/>
    <w:rsid w:val="00BA642E"/>
    <w:rsid w:val="00BC236F"/>
    <w:rsid w:val="00C802F5"/>
    <w:rsid w:val="00C96B2C"/>
    <w:rsid w:val="00CC04C1"/>
    <w:rsid w:val="00CC3A5C"/>
    <w:rsid w:val="00D843EC"/>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3D64F8"/>
  <w15:chartTrackingRefBased/>
  <w15:docId w15:val="{3B8DAB1D-3259-4DAF-A33D-10F61153BD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A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s-419"/>
    </w:rPr>
  </w:style>
  <w:style w:type="paragraph" w:styleId="Ttulo1">
    <w:name w:val="heading 1"/>
    <w:basedOn w:val="Normal"/>
    <w:next w:val="Normal"/>
    <w:link w:val="Ttulo1Car"/>
    <w:uiPriority w:val="9"/>
    <w:qFormat/>
    <w:rsid w:val="001923D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1923D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1923DC"/>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1923DC"/>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1923DC"/>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1923DC"/>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1923DC"/>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1923DC"/>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1923DC"/>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1923DC"/>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1923DC"/>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1923DC"/>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1923DC"/>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1923DC"/>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1923DC"/>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1923DC"/>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1923DC"/>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1923DC"/>
    <w:rPr>
      <w:rFonts w:eastAsiaTheme="majorEastAsia" w:cstheme="majorBidi"/>
      <w:color w:val="272727" w:themeColor="text1" w:themeTint="D8"/>
    </w:rPr>
  </w:style>
  <w:style w:type="paragraph" w:styleId="Ttulo">
    <w:name w:val="Title"/>
    <w:basedOn w:val="Normal"/>
    <w:next w:val="Normal"/>
    <w:link w:val="TtuloCar"/>
    <w:uiPriority w:val="10"/>
    <w:qFormat/>
    <w:rsid w:val="001923D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1923DC"/>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1923DC"/>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1923DC"/>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1923DC"/>
    <w:pPr>
      <w:spacing w:before="160"/>
      <w:jc w:val="center"/>
    </w:pPr>
    <w:rPr>
      <w:i/>
      <w:iCs/>
      <w:color w:val="404040" w:themeColor="text1" w:themeTint="BF"/>
    </w:rPr>
  </w:style>
  <w:style w:type="character" w:customStyle="1" w:styleId="CitaCar">
    <w:name w:val="Cita Car"/>
    <w:basedOn w:val="Fuentedeprrafopredeter"/>
    <w:link w:val="Cita"/>
    <w:uiPriority w:val="29"/>
    <w:rsid w:val="001923DC"/>
    <w:rPr>
      <w:i/>
      <w:iCs/>
      <w:color w:val="404040" w:themeColor="text1" w:themeTint="BF"/>
    </w:rPr>
  </w:style>
  <w:style w:type="paragraph" w:styleId="Prrafodelista">
    <w:name w:val="List Paragraph"/>
    <w:basedOn w:val="Normal"/>
    <w:uiPriority w:val="34"/>
    <w:qFormat/>
    <w:rsid w:val="001923DC"/>
    <w:pPr>
      <w:ind w:left="720"/>
      <w:contextualSpacing/>
    </w:pPr>
  </w:style>
  <w:style w:type="character" w:styleId="nfasisintenso">
    <w:name w:val="Intense Emphasis"/>
    <w:basedOn w:val="Fuentedeprrafopredeter"/>
    <w:uiPriority w:val="21"/>
    <w:qFormat/>
    <w:rsid w:val="001923DC"/>
    <w:rPr>
      <w:i/>
      <w:iCs/>
      <w:color w:val="2F5496" w:themeColor="accent1" w:themeShade="BF"/>
    </w:rPr>
  </w:style>
  <w:style w:type="paragraph" w:styleId="Citadestacada">
    <w:name w:val="Intense Quote"/>
    <w:basedOn w:val="Normal"/>
    <w:next w:val="Normal"/>
    <w:link w:val="CitadestacadaCar"/>
    <w:uiPriority w:val="30"/>
    <w:qFormat/>
    <w:rsid w:val="001923D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1923DC"/>
    <w:rPr>
      <w:i/>
      <w:iCs/>
      <w:color w:val="2F5496" w:themeColor="accent1" w:themeShade="BF"/>
    </w:rPr>
  </w:style>
  <w:style w:type="character" w:styleId="Referenciaintensa">
    <w:name w:val="Intense Reference"/>
    <w:basedOn w:val="Fuentedeprrafopredeter"/>
    <w:uiPriority w:val="32"/>
    <w:qFormat/>
    <w:rsid w:val="001923DC"/>
    <w:rPr>
      <w:b/>
      <w:bCs/>
      <w:smallCaps/>
      <w:color w:val="2F5496" w:themeColor="accent1" w:themeShade="BF"/>
      <w:spacing w:val="5"/>
    </w:rPr>
  </w:style>
  <w:style w:type="paragraph" w:styleId="Encabezado">
    <w:name w:val="header"/>
    <w:basedOn w:val="Normal"/>
    <w:link w:val="EncabezadoCar"/>
    <w:uiPriority w:val="99"/>
    <w:unhideWhenUsed/>
    <w:rsid w:val="00C802F5"/>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C802F5"/>
  </w:style>
  <w:style w:type="paragraph" w:styleId="Piedepgina">
    <w:name w:val="footer"/>
    <w:basedOn w:val="Normal"/>
    <w:link w:val="PiedepginaCar"/>
    <w:uiPriority w:val="99"/>
    <w:unhideWhenUsed/>
    <w:rsid w:val="00C802F5"/>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C802F5"/>
  </w:style>
  <w:style w:type="character" w:styleId="Hipervnculo">
    <w:name w:val="Hyperlink"/>
    <w:basedOn w:val="Fuentedeprrafopredeter"/>
    <w:uiPriority w:val="99"/>
    <w:unhideWhenUsed/>
    <w:rsid w:val="00C802F5"/>
    <w:rPr>
      <w:color w:val="0563C1" w:themeColor="hyperlink"/>
      <w:u w:val="single"/>
    </w:rPr>
  </w:style>
  <w:style w:type="character" w:styleId="Mencinsinresolver">
    <w:name w:val="Unresolved Mention"/>
    <w:basedOn w:val="Fuentedeprrafopredeter"/>
    <w:uiPriority w:val="99"/>
    <w:semiHidden/>
    <w:unhideWhenUsed/>
    <w:rsid w:val="00C802F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acebook.com/share/1B49V1qywK/" TargetMode="External"/><Relationship Id="rId3" Type="http://schemas.openxmlformats.org/officeDocument/2006/relationships/webSettings" Target="webSettings.xml"/><Relationship Id="rId7" Type="http://schemas.openxmlformats.org/officeDocument/2006/relationships/hyperlink" Target="mailto:martingcampero@gmail.com"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silvia56bruk@gmail.com"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13</Pages>
  <Words>5187</Words>
  <Characters>28532</Characters>
  <Application>Microsoft Office Word</Application>
  <DocSecurity>0</DocSecurity>
  <Lines>237</Lines>
  <Paragraphs>67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33652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Pablo Daniel Garcia</dc:creator>
  <cp:keywords/>
  <dc:description/>
  <cp:lastModifiedBy>Martin C.</cp:lastModifiedBy>
  <cp:revision>2</cp:revision>
  <dcterms:created xsi:type="dcterms:W3CDTF">2026-07-01T03:00:00Z</dcterms:created>
  <dcterms:modified xsi:type="dcterms:W3CDTF">2026-07-01T03:00:00Z</dcterms:modified>
</cp:coreProperties>
</file>