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CC8B2A5" w14:textId="77777777" w:rsidR="00897779" w:rsidRDefault="00897779" w:rsidP="00897779">
      <w:pPr>
        <w:spacing w:line="360" w:lineRule="auto"/>
        <w:jc w:val="center"/>
        <w:rPr>
          <w:rFonts w:ascii="Times New Roman" w:hAnsi="Times New Roman" w:cs="Times New Roman"/>
          <w:b/>
          <w:bCs/>
          <w:lang w:val="es-MX"/>
        </w:rPr>
      </w:pPr>
      <w:r w:rsidRPr="009D58B7">
        <w:rPr>
          <w:rFonts w:ascii="Times New Roman" w:hAnsi="Times New Roman" w:cs="Times New Roman"/>
          <w:b/>
          <w:bCs/>
          <w:lang w:val="es-MX"/>
        </w:rPr>
        <w:t>Los Incentivos en la Publicación de Revistas Académicas: Navegando y Resistiendo el Colonialismo y el Capitalismo académicos en Colombia</w:t>
      </w:r>
    </w:p>
    <w:p w14:paraId="43C49479" w14:textId="77777777" w:rsidR="005F3B2E" w:rsidRPr="00897779" w:rsidRDefault="005F3B2E" w:rsidP="001923DC">
      <w:pPr>
        <w:jc w:val="center"/>
        <w:rPr>
          <w:rFonts w:ascii="Times New Roman" w:hAnsi="Times New Roman" w:cs="Times New Roman"/>
          <w:lang w:val="es-MX"/>
        </w:rPr>
      </w:pPr>
    </w:p>
    <w:p w14:paraId="03B02D16" w14:textId="0F70666A" w:rsidR="00897779" w:rsidRDefault="00897779" w:rsidP="005F3B2E">
      <w:pPr>
        <w:spacing w:after="0" w:line="240" w:lineRule="auto"/>
        <w:jc w:val="right"/>
        <w:rPr>
          <w:rFonts w:ascii="Times New Roman" w:hAnsi="Times New Roman" w:cs="Times New Roman"/>
        </w:rPr>
      </w:pPr>
      <w:r w:rsidRPr="00897779">
        <w:rPr>
          <w:rFonts w:ascii="Times New Roman" w:hAnsi="Times New Roman" w:cs="Times New Roman"/>
        </w:rPr>
        <w:t>Isabel C. Montes</w:t>
      </w:r>
    </w:p>
    <w:p w14:paraId="6C2AECCA" w14:textId="4ABF3585" w:rsidR="005F3B2E" w:rsidRPr="00BA642E" w:rsidRDefault="00897779" w:rsidP="005F3B2E">
      <w:pPr>
        <w:spacing w:after="0" w:line="240" w:lineRule="auto"/>
        <w:jc w:val="right"/>
        <w:rPr>
          <w:rFonts w:ascii="Times New Roman" w:hAnsi="Times New Roman" w:cs="Times New Roman"/>
        </w:rPr>
      </w:pPr>
      <w:r>
        <w:rPr>
          <w:rFonts w:ascii="Times New Roman" w:hAnsi="Times New Roman" w:cs="Times New Roman"/>
        </w:rPr>
        <w:t>Universidad EAFIT</w:t>
      </w:r>
    </w:p>
    <w:p w14:paraId="7D0026CD" w14:textId="2EED8CB8" w:rsidR="005F3B2E" w:rsidRPr="00BA642E" w:rsidRDefault="00897779" w:rsidP="005F3B2E">
      <w:pPr>
        <w:spacing w:after="0" w:line="240" w:lineRule="auto"/>
        <w:jc w:val="right"/>
        <w:rPr>
          <w:rFonts w:ascii="Times New Roman" w:hAnsi="Times New Roman" w:cs="Times New Roman"/>
        </w:rPr>
      </w:pPr>
      <w:r>
        <w:rPr>
          <w:rFonts w:ascii="Times New Roman" w:hAnsi="Times New Roman" w:cs="Times New Roman"/>
        </w:rPr>
        <w:t xml:space="preserve">imontesg@eafit.edu.co </w:t>
      </w:r>
    </w:p>
    <w:p w14:paraId="1FA0F857" w14:textId="77777777" w:rsidR="005F3B2E" w:rsidRPr="00BA642E" w:rsidRDefault="005F3B2E" w:rsidP="005F3B2E">
      <w:pPr>
        <w:rPr>
          <w:rFonts w:ascii="Times New Roman" w:hAnsi="Times New Roman" w:cs="Times New Roman"/>
        </w:rPr>
      </w:pPr>
    </w:p>
    <w:p w14:paraId="06B3038C" w14:textId="77777777" w:rsidR="00897779" w:rsidRDefault="00897779" w:rsidP="005F3B2E">
      <w:pPr>
        <w:spacing w:after="0" w:line="240" w:lineRule="auto"/>
        <w:jc w:val="right"/>
        <w:rPr>
          <w:rFonts w:ascii="Times New Roman" w:hAnsi="Times New Roman" w:cs="Times New Roman"/>
        </w:rPr>
      </w:pPr>
      <w:r w:rsidRPr="00897779">
        <w:rPr>
          <w:rFonts w:ascii="Times New Roman" w:hAnsi="Times New Roman" w:cs="Times New Roman"/>
        </w:rPr>
        <w:t>Rosa Alejandra Medina Riveros</w:t>
      </w:r>
    </w:p>
    <w:p w14:paraId="46FEEBE4" w14:textId="30BFC018" w:rsidR="005F3B2E" w:rsidRPr="00BA642E" w:rsidRDefault="00897779" w:rsidP="005F3B2E">
      <w:pPr>
        <w:spacing w:after="0" w:line="240" w:lineRule="auto"/>
        <w:jc w:val="right"/>
        <w:rPr>
          <w:rFonts w:ascii="Times New Roman" w:hAnsi="Times New Roman" w:cs="Times New Roman"/>
        </w:rPr>
      </w:pPr>
      <w:r>
        <w:rPr>
          <w:rFonts w:ascii="Times New Roman" w:hAnsi="Times New Roman" w:cs="Times New Roman"/>
        </w:rPr>
        <w:t>Universidad Nacional de Colombia</w:t>
      </w:r>
    </w:p>
    <w:p w14:paraId="640847CC" w14:textId="2E3DAF45" w:rsidR="005F3B2E" w:rsidRPr="00BA642E" w:rsidRDefault="00C73D31" w:rsidP="005F3B2E">
      <w:pPr>
        <w:spacing w:after="0" w:line="240" w:lineRule="auto"/>
        <w:jc w:val="right"/>
        <w:rPr>
          <w:rFonts w:ascii="Times New Roman" w:hAnsi="Times New Roman" w:cs="Times New Roman"/>
        </w:rPr>
      </w:pPr>
      <w:r w:rsidRPr="00C73D31">
        <w:rPr>
          <w:rFonts w:ascii="Times New Roman" w:hAnsi="Times New Roman" w:cs="Times New Roman"/>
        </w:rPr>
        <w:t>ramedinar@unal.edu.co</w:t>
      </w:r>
    </w:p>
    <w:p w14:paraId="7B9027E2" w14:textId="22D08E21" w:rsidR="00BA642E" w:rsidRPr="00BA642E" w:rsidRDefault="00C802F5" w:rsidP="00845A4B">
      <w:pPr>
        <w:tabs>
          <w:tab w:val="center" w:pos="4252"/>
          <w:tab w:val="right" w:pos="8504"/>
        </w:tabs>
        <w:spacing w:after="0" w:line="240" w:lineRule="auto"/>
        <w:rPr>
          <w:rFonts w:ascii="Times New Roman" w:hAnsi="Times New Roman" w:cs="Times New Roman"/>
          <w:b/>
          <w:bCs/>
        </w:rPr>
      </w:pPr>
      <w:r w:rsidRPr="00BA642E">
        <w:rPr>
          <w:rFonts w:ascii="Times New Roman" w:hAnsi="Times New Roman" w:cs="Times New Roman"/>
        </w:rPr>
        <w:tab/>
      </w:r>
      <w:r w:rsidRPr="00BA642E">
        <w:rPr>
          <w:rFonts w:ascii="Times New Roman" w:hAnsi="Times New Roman" w:cs="Times New Roman"/>
        </w:rPr>
        <w:tab/>
      </w:r>
    </w:p>
    <w:p w14:paraId="160A4EE5" w14:textId="77777777" w:rsidR="0011142A" w:rsidRPr="0011142A" w:rsidRDefault="00BA642E" w:rsidP="007B5B5F">
      <w:pPr>
        <w:spacing w:line="240" w:lineRule="auto"/>
        <w:jc w:val="both"/>
        <w:rPr>
          <w:rFonts w:ascii="Times New Roman" w:hAnsi="Times New Roman" w:cs="Times New Roman"/>
          <w:lang w:val="es-CO"/>
        </w:rPr>
      </w:pPr>
      <w:r w:rsidRPr="0011142A">
        <w:rPr>
          <w:rFonts w:ascii="Times New Roman" w:hAnsi="Times New Roman" w:cs="Times New Roman"/>
          <w:b/>
          <w:bCs/>
          <w:lang w:val="es-CO"/>
        </w:rPr>
        <w:t>Resumen:</w:t>
      </w:r>
      <w:r w:rsidR="007B5B5F" w:rsidRPr="0011142A">
        <w:rPr>
          <w:rFonts w:ascii="Times New Roman" w:hAnsi="Times New Roman" w:cs="Times New Roman"/>
          <w:b/>
          <w:bCs/>
          <w:lang w:val="es-CO"/>
        </w:rPr>
        <w:t xml:space="preserve"> </w:t>
      </w:r>
      <w:r w:rsidR="0011142A" w:rsidRPr="0011142A">
        <w:rPr>
          <w:rFonts w:ascii="Times New Roman" w:hAnsi="Times New Roman" w:cs="Times New Roman"/>
          <w:lang w:val="es-CO"/>
        </w:rPr>
        <w:t>Este capítulo analiza las políticas editoriales de las revistas académicas colombianas y las perspectivas de sus editores. Partiendo del colonialismo académico y la teoría del capitalismo académico, este capítulo examina: 1) cómo el actual sistema editorial global configura las políticas editoriales nacionales colombianas para las revistas académicas, y 2) cómo los editores de revistas colombianas se desenvuelven y decolonizan la publicación académica. Para abordar estas preguntas, nos basamos al análisis crítico del discurso tanto como diseño de investigación como estrategia analítica. Los resultados, organizados en dos fases, muestran que, cuando las políticas del Sur Global siguen ciegamente los estándares globales propuestos por las grandes corporaciones editoriales del Norte Global, esto resulta perjudicial para el panorama editorial local. Ayudamos a desentrañar cómo se pueden abordar estas políticas y su aplicación y, en ocasiones, decolonizarlas. La publicación académica es fundamental para la justicia cognitiva global. La forma en que los académicos del Sur Global intentan abordar y decolonizar estas políticas nos indica cómo llegar hasta allí.</w:t>
      </w:r>
    </w:p>
    <w:p w14:paraId="10E69F02" w14:textId="77777777" w:rsidR="0011142A" w:rsidRDefault="00BA642E" w:rsidP="0011142A">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11142A" w:rsidRPr="00290459">
        <w:rPr>
          <w:rFonts w:ascii="Times New Roman" w:eastAsiaTheme="majorEastAsia" w:hAnsi="Times New Roman" w:cs="Times New Roman"/>
          <w:lang w:val="es-MX"/>
        </w:rPr>
        <w:t>capitalismo académico, colonialismo académico, publicación académica, justicia cognitiva, Sur Global, revistas científicas</w:t>
      </w:r>
      <w:r w:rsidR="0011142A" w:rsidRPr="007B5B5F">
        <w:rPr>
          <w:rFonts w:ascii="Times New Roman" w:hAnsi="Times New Roman" w:cs="Times New Roman"/>
          <w:b/>
          <w:bCs/>
        </w:rPr>
        <w:t xml:space="preserve"> </w:t>
      </w:r>
    </w:p>
    <w:p w14:paraId="6A5547A1" w14:textId="7A6EBABB" w:rsidR="00BA642E" w:rsidRPr="007B5B5F" w:rsidRDefault="00BA642E" w:rsidP="0011142A">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1A2C14FE" w14:textId="77777777" w:rsidR="0011142A" w:rsidRPr="0011142A" w:rsidRDefault="0011142A" w:rsidP="0011142A">
      <w:pPr>
        <w:spacing w:line="240" w:lineRule="auto"/>
        <w:jc w:val="both"/>
        <w:rPr>
          <w:rFonts w:ascii="Times New Roman" w:hAnsi="Times New Roman" w:cs="Times New Roman"/>
          <w:lang w:val="es-CO"/>
        </w:rPr>
      </w:pPr>
      <w:r w:rsidRPr="0011142A">
        <w:rPr>
          <w:rFonts w:ascii="Times New Roman" w:hAnsi="Times New Roman" w:cs="Times New Roman"/>
          <w:lang w:val="es-CO"/>
        </w:rPr>
        <w:t xml:space="preserve">El actual sistema de publicación científica presenta distintos niveles de análisis, como la ciencia en sí misma, los profesores o investigadores, las editoriales, el papel de los Estados-nación y sus estructuras de poder a nivel mundial (Salager-Meyer, 2008). Este capítulo se centra en el nivel geopolítico, que incluye las estructuras de poder menos exploradas que generan desigualdades y una representación insuficiente en la producción global de conocimiento (Canagarajah, 2002; Demeter, 2020a y b; Maldonado-Maldonado, 2014; Moosa, 2024; Sengupta, 2021). Entre estas estructuras que generan desigualdades, las revistas de la periferia se enfrentan a un círculo vicioso para su supervivencia, impulsado —entre otros factores— por las dificultades para atraer a autores y lograr la clasificación como revistas de alto impacto (Salager-Meyer, 2008). En </w:t>
      </w:r>
      <w:r w:rsidRPr="0011142A">
        <w:rPr>
          <w:rFonts w:ascii="Times New Roman" w:hAnsi="Times New Roman" w:cs="Times New Roman"/>
          <w:lang w:val="es-CO"/>
        </w:rPr>
        <w:lastRenderedPageBreak/>
        <w:t xml:space="preserve">este trabajo, nos centramos en las revistas del contexto colombiano y en los esfuerzos de estas por formar parte del sistema mundial de producción de conocimiento global. </w:t>
      </w:r>
    </w:p>
    <w:p w14:paraId="282E22E0" w14:textId="77777777" w:rsidR="0011142A" w:rsidRPr="0011142A" w:rsidRDefault="0011142A" w:rsidP="0011142A">
      <w:pPr>
        <w:spacing w:line="240" w:lineRule="auto"/>
        <w:jc w:val="both"/>
        <w:rPr>
          <w:rFonts w:ascii="Times New Roman" w:hAnsi="Times New Roman" w:cs="Times New Roman"/>
          <w:lang w:val="es-CO"/>
        </w:rPr>
      </w:pPr>
      <w:r w:rsidRPr="0011142A">
        <w:rPr>
          <w:rFonts w:ascii="Times New Roman" w:hAnsi="Times New Roman" w:cs="Times New Roman"/>
          <w:lang w:val="es-CO"/>
        </w:rPr>
        <w:t xml:space="preserve">El núcleo del actual sistema de publicación científica, junto con su orden geopolítico, ha sido moldeado por una industria editorial con ánimo de lucro bien consolidada (Beverungen et al., 2012; Maldonado-Maldonado, 2014), un componente estructural que no puede pasarse por alto a la hora de intentar comprender el sistema editorial en general y las revistas del Sur Global en particular. La industria editorial académica con ánimo de lucro, impulsada por la lógica de mercado (Bauwens et al., 2023), se creó en 1945 y opera principalmente al margen del sistema de educación superior (Fyfe et al., 2017). Para consolidar los estándares académicos y obtener beneficios, las empresas internacionales gestionan la bibliometría para clasificar las revistas, retienen los derechos de propiedad intelectual de los profesores y cobran a las universidades y a la comunidad académica mediante suscripciones, descargas y la tasa de procesamiento de artículos para que el artículo sea de acceso abierto bajo una licencia Creative Commons (Jessop, 2017). Como resultado, el conocimiento se convierte en una mercancía en la que los profesores y las universidades obtienen una remuneración en forma de prestigio y producción basada en el mérito, mientras que las empresas con ánimo de lucro se quedan con todos los beneficios económicos. Las consecuencias no deseadas se observan a nivel global y contribuyen a agravar la desigualdad para el Sur Global (Maldonado-Maldonado, 2014). </w:t>
      </w:r>
    </w:p>
    <w:p w14:paraId="224ACBC1" w14:textId="77777777" w:rsidR="0011142A" w:rsidRDefault="0011142A" w:rsidP="0011142A">
      <w:pPr>
        <w:spacing w:line="240" w:lineRule="auto"/>
        <w:jc w:val="both"/>
        <w:rPr>
          <w:rFonts w:ascii="Times New Roman" w:hAnsi="Times New Roman" w:cs="Times New Roman"/>
          <w:lang w:val="es-CO"/>
        </w:rPr>
      </w:pPr>
      <w:r w:rsidRPr="0011142A">
        <w:rPr>
          <w:rFonts w:ascii="Times New Roman" w:hAnsi="Times New Roman" w:cs="Times New Roman"/>
          <w:lang w:val="es-CO"/>
        </w:rPr>
        <w:t>Siguiendo la teoría del capitalismo académico y el concepto de colonialismo académico, este trabajo pretende aportar tanto a nivel teórico como empírico mediante el análisis de la publicación a través de las políticas nacionales colombianas de publicación de revistas y las opiniones de los editores de revistas colombianas. El objetivo de este capítulo es analizar: 1) cómo el actual sistema editorial global configura las políticas editoriales nacionales colombianas para las revistas académicas, y 2) cómo los editores de revistas colombianas se desenvuelven y decolonizan la publicación académica. Consideramos que este tipo de investigación ayuda a comprender las diferencias geopolíticas de la publicación como una vía esencial para consolidar un diálogo académico inclusivo y una cultura de la ciencia que dé visibilidad y valore el conocimiento producido en diversos contextos e idiomas.</w:t>
      </w:r>
    </w:p>
    <w:p w14:paraId="2FD138AD" w14:textId="7495E025" w:rsidR="005F3B2E" w:rsidRPr="0011142A" w:rsidRDefault="0011142A" w:rsidP="0011142A">
      <w:pPr>
        <w:spacing w:line="240" w:lineRule="auto"/>
        <w:jc w:val="both"/>
        <w:rPr>
          <w:rFonts w:ascii="Times New Roman" w:hAnsi="Times New Roman" w:cs="Times New Roman"/>
          <w:b/>
          <w:bCs/>
          <w:lang w:val="es-CO"/>
        </w:rPr>
      </w:pPr>
      <w:r>
        <w:rPr>
          <w:rFonts w:ascii="Times New Roman" w:hAnsi="Times New Roman" w:cs="Times New Roman"/>
          <w:b/>
          <w:bCs/>
          <w:lang w:val="es-CO"/>
        </w:rPr>
        <w:t xml:space="preserve">Marco teórico </w:t>
      </w:r>
    </w:p>
    <w:p w14:paraId="2E19A143" w14:textId="77777777" w:rsidR="0011142A" w:rsidRPr="0011142A" w:rsidRDefault="0011142A" w:rsidP="0011142A">
      <w:pPr>
        <w:spacing w:line="240" w:lineRule="auto"/>
        <w:jc w:val="both"/>
        <w:rPr>
          <w:rFonts w:ascii="Times New Roman" w:hAnsi="Times New Roman" w:cs="Times New Roman"/>
          <w:lang w:val="es-CO"/>
        </w:rPr>
      </w:pPr>
      <w:r w:rsidRPr="0011142A">
        <w:rPr>
          <w:rFonts w:ascii="Times New Roman" w:hAnsi="Times New Roman" w:cs="Times New Roman"/>
          <w:lang w:val="es-CO"/>
        </w:rPr>
        <w:t xml:space="preserve">Combinamos dos perspectivas teóricas para analizar las políticas nacionales colombianas de publicación de revistas y las respuestas de los editores de estas. Mientras que el capitalismo académico es una teoría social crítica utilizada para explicar los cambios y las tendencias contemporáneas en el sistema de educación superior (Slaughter y Rhoades, 2004), el colonialismo académico constituye un marco crítico que examina la geopolítica del conocimiento al cuestionar quién lo produce, en qué contexto y para quién (Laó-Montes y Vásquez, 2018; Mignolo, 1993, 2002).  </w:t>
      </w:r>
    </w:p>
    <w:p w14:paraId="284C509F" w14:textId="77777777" w:rsidR="0011142A" w:rsidRPr="0011142A" w:rsidRDefault="0011142A" w:rsidP="0011142A">
      <w:pPr>
        <w:spacing w:line="240" w:lineRule="auto"/>
        <w:jc w:val="both"/>
        <w:rPr>
          <w:rFonts w:ascii="Times New Roman" w:hAnsi="Times New Roman" w:cs="Times New Roman"/>
          <w:i/>
          <w:iCs/>
          <w:lang w:val="es-CO"/>
        </w:rPr>
      </w:pPr>
      <w:r w:rsidRPr="0011142A">
        <w:rPr>
          <w:rFonts w:ascii="Times New Roman" w:hAnsi="Times New Roman" w:cs="Times New Roman"/>
          <w:i/>
          <w:iCs/>
          <w:lang w:val="es-CO"/>
        </w:rPr>
        <w:t>El capitalismo académico y el sistema editorial basado en el modelo de beneficios</w:t>
      </w:r>
    </w:p>
    <w:p w14:paraId="12BDAFF8" w14:textId="77777777" w:rsidR="0011142A" w:rsidRPr="0011142A" w:rsidRDefault="0011142A" w:rsidP="0011142A">
      <w:pPr>
        <w:spacing w:line="240" w:lineRule="auto"/>
        <w:jc w:val="both"/>
        <w:rPr>
          <w:rFonts w:ascii="Times New Roman" w:hAnsi="Times New Roman" w:cs="Times New Roman"/>
          <w:lang w:val="es-CO"/>
        </w:rPr>
      </w:pPr>
      <w:r w:rsidRPr="0011142A">
        <w:rPr>
          <w:rFonts w:ascii="Times New Roman" w:hAnsi="Times New Roman" w:cs="Times New Roman"/>
          <w:lang w:val="es-CO"/>
        </w:rPr>
        <w:t xml:space="preserve">La Teoría del Capitalismo Académico (TAC) identifica dos regímenes coexistentes. El primero es el régimen del bien público, basado en el ethos de la ciencia de Merton (1973), en el que el avance del conocimiento está impulsado por el interés de la ciencia en sí </w:t>
      </w:r>
      <w:r w:rsidRPr="0011142A">
        <w:rPr>
          <w:rFonts w:ascii="Times New Roman" w:hAnsi="Times New Roman" w:cs="Times New Roman"/>
          <w:lang w:val="es-CO"/>
        </w:rPr>
        <w:lastRenderedPageBreak/>
        <w:t xml:space="preserve">misma. El segundo es el régimen del capitalismo académico, que hace hincapié en la incorporación de motivos lucrativos al ámbito académico, especialmente a través de las patentes y los vínculos entre la industria y el mundo académico (Slaughter y Rhoades, 2004). </w:t>
      </w:r>
    </w:p>
    <w:p w14:paraId="12146628" w14:textId="77777777" w:rsidR="0011142A" w:rsidRPr="0011142A" w:rsidRDefault="0011142A" w:rsidP="0011142A">
      <w:pPr>
        <w:spacing w:line="240" w:lineRule="auto"/>
        <w:jc w:val="both"/>
        <w:rPr>
          <w:rFonts w:ascii="Times New Roman" w:hAnsi="Times New Roman" w:cs="Times New Roman"/>
          <w:lang w:val="es-CO"/>
        </w:rPr>
      </w:pPr>
      <w:r w:rsidRPr="0011142A">
        <w:rPr>
          <w:rFonts w:ascii="Times New Roman" w:hAnsi="Times New Roman" w:cs="Times New Roman"/>
          <w:lang w:val="es-CO"/>
        </w:rPr>
        <w:t xml:space="preserve">La TAC establece una dicotomía —y un punto de tensión— entre la concesión de patentes y la publicación (Slaughter y Rhoades, 2004). Mientras que la concesión de patentes se asocia con el régimen del capitalismo académico y la privatización del conocimiento, la publicación académica se sitúa exclusivamente dentro del régimen del bien público debido a la libre circulación del conocimiento que se espera de ella (Slaughter y Rhoades, 2004). </w:t>
      </w:r>
    </w:p>
    <w:p w14:paraId="339FD4B0" w14:textId="77777777" w:rsidR="0011142A" w:rsidRPr="0011142A" w:rsidRDefault="0011142A" w:rsidP="0011142A">
      <w:pPr>
        <w:spacing w:line="240" w:lineRule="auto"/>
        <w:jc w:val="both"/>
        <w:rPr>
          <w:rFonts w:ascii="Times New Roman" w:hAnsi="Times New Roman" w:cs="Times New Roman"/>
          <w:i/>
          <w:iCs/>
          <w:lang w:val="es-CO"/>
        </w:rPr>
      </w:pPr>
      <w:r w:rsidRPr="0011142A">
        <w:rPr>
          <w:rFonts w:ascii="Times New Roman" w:hAnsi="Times New Roman" w:cs="Times New Roman"/>
          <w:i/>
          <w:iCs/>
          <w:lang w:val="es-CO"/>
        </w:rPr>
        <w:t xml:space="preserve">Colonialismo académico </w:t>
      </w:r>
    </w:p>
    <w:p w14:paraId="64BD9F91" w14:textId="0E3A039B" w:rsidR="00C802F5" w:rsidRDefault="0011142A" w:rsidP="0011142A">
      <w:pPr>
        <w:spacing w:line="240" w:lineRule="auto"/>
        <w:jc w:val="both"/>
        <w:rPr>
          <w:rFonts w:ascii="Times New Roman" w:hAnsi="Times New Roman" w:cs="Times New Roman"/>
          <w:lang w:val="en-US"/>
        </w:rPr>
      </w:pPr>
      <w:r w:rsidRPr="0011142A">
        <w:rPr>
          <w:rFonts w:ascii="Times New Roman" w:hAnsi="Times New Roman" w:cs="Times New Roman"/>
          <w:lang w:val="es-CO"/>
        </w:rPr>
        <w:t>El colonialismo académico se refiere al predominio de los sistemas de conocimiento y las perspectivas occidentales en el ámbito académico, lo que a menudo margina y devalúa el conocimiento no occidental. Tal y como propone Mignolo (1993), el colonialismo académico es una práctica en la que el estudio de las experiencias coloniales y poscoloniales reproduce las dinámicas de poder de la colonización histórica. El colonialismo académico impone la imitación, la dependencia y la exportación de teorías y prácticas occidentales que no abordan necesariamente las necesidades locales. Esta dinámica genera dependencia y un colonialismo cultural interiorizado.</w:t>
      </w:r>
    </w:p>
    <w:p w14:paraId="725DF5E1" w14:textId="143318B3" w:rsidR="0011142A" w:rsidRPr="0011142A" w:rsidRDefault="0011142A" w:rsidP="0011142A">
      <w:pPr>
        <w:spacing w:line="240" w:lineRule="auto"/>
        <w:jc w:val="both"/>
        <w:rPr>
          <w:rFonts w:ascii="Times New Roman" w:hAnsi="Times New Roman" w:cs="Times New Roman"/>
          <w:b/>
          <w:bCs/>
          <w:lang w:val="es-CO"/>
        </w:rPr>
      </w:pPr>
      <w:r>
        <w:rPr>
          <w:rFonts w:ascii="Times New Roman" w:hAnsi="Times New Roman" w:cs="Times New Roman"/>
          <w:b/>
          <w:bCs/>
          <w:lang w:val="es-CO"/>
        </w:rPr>
        <w:t>M</w:t>
      </w:r>
      <w:r>
        <w:rPr>
          <w:rFonts w:ascii="Times New Roman" w:hAnsi="Times New Roman" w:cs="Times New Roman"/>
          <w:b/>
          <w:bCs/>
          <w:lang w:val="es-CO"/>
        </w:rPr>
        <w:t xml:space="preserve">etodología </w:t>
      </w:r>
      <w:r>
        <w:rPr>
          <w:rFonts w:ascii="Times New Roman" w:hAnsi="Times New Roman" w:cs="Times New Roman"/>
          <w:b/>
          <w:bCs/>
          <w:lang w:val="es-CO"/>
        </w:rPr>
        <w:t xml:space="preserve"> </w:t>
      </w:r>
    </w:p>
    <w:p w14:paraId="36D98A5A"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Para abordar la geopolítica del conocimiento en las revistas colombianas, este estudio adopta el Análisis Crítico del Discurso (ACD) (Fairclough, 2013, 2015, 2018). Las fuentes de datos primarias incluyen documentos normativos y entrevistas con editores de revistas académicas colombianas de diferentes disciplinas.</w:t>
      </w:r>
    </w:p>
    <w:p w14:paraId="529D7815" w14:textId="77777777" w:rsidR="0011142A" w:rsidRPr="0011142A" w:rsidRDefault="0011142A" w:rsidP="0011142A">
      <w:pPr>
        <w:spacing w:line="240" w:lineRule="auto"/>
        <w:jc w:val="both"/>
        <w:rPr>
          <w:rFonts w:ascii="Times New Roman" w:hAnsi="Times New Roman" w:cs="Times New Roman"/>
          <w:i/>
          <w:iCs/>
          <w:lang w:val="es-MX"/>
        </w:rPr>
      </w:pPr>
      <w:r w:rsidRPr="0011142A">
        <w:rPr>
          <w:rFonts w:ascii="Times New Roman" w:hAnsi="Times New Roman" w:cs="Times New Roman"/>
          <w:i/>
          <w:iCs/>
          <w:lang w:val="es-MX"/>
        </w:rPr>
        <w:t>Políticas nacionales colombianas de publicación de revistas académicas</w:t>
      </w:r>
    </w:p>
    <w:p w14:paraId="7E14B237"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Las políticas se consideran estructuras sociales arraigadas en discursos e ideologías (Ball et al., 2012; Coburn, 2016) que configuran y transforman los sistemas de educación superior (Musselin y Teixeira, 2013). Elegimos las políticas nacionales colombianas de publicación como fuente principal para analizar los fundamentos de las políticas. El análisis se basó en la resolución 790 de 2016 (Colciencias, 2016d)  , respaldada por el documento normativo oficial 1601 de 2016 (Colciencias, 2016b), y aplicada a través de dos modelos de clasificación de revistas académicas (Colciencias, 2016a; Minciencias, 2020a) y cuatro convocatorias para la clasificación de revistas colombianas entre 2016 y 2021 (Colciencias, 2016c, 2018; Minciencias, 2020b, 2021). </w:t>
      </w:r>
    </w:p>
    <w:p w14:paraId="7B05DA18" w14:textId="77777777" w:rsidR="0011142A" w:rsidRPr="0011142A" w:rsidRDefault="0011142A" w:rsidP="0011142A">
      <w:pPr>
        <w:spacing w:line="240" w:lineRule="auto"/>
        <w:jc w:val="both"/>
        <w:rPr>
          <w:rFonts w:ascii="Times New Roman" w:hAnsi="Times New Roman" w:cs="Times New Roman"/>
          <w:i/>
          <w:iCs/>
          <w:lang w:val="es-MX"/>
        </w:rPr>
      </w:pPr>
      <w:r w:rsidRPr="0011142A">
        <w:rPr>
          <w:rFonts w:ascii="Times New Roman" w:hAnsi="Times New Roman" w:cs="Times New Roman"/>
          <w:i/>
          <w:iCs/>
          <w:lang w:val="es-MX"/>
        </w:rPr>
        <w:t xml:space="preserve">Participantes en la investigación y recopilación de datos </w:t>
      </w:r>
    </w:p>
    <w:p w14:paraId="0ADE510A" w14:textId="2A8CBD23"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Seleccionamos a diez participantes en función de sus funciones actuales o anteriores como editores o editores jefe de revistas académicas colombianas. Mediante un muestreo intencional, realizamos la selección a través de invitaciones directas por correo electrónico, muestreo en bola de nieve y publicaciones en listas de correo de editores. </w:t>
      </w:r>
      <w:r w:rsidRPr="0011142A">
        <w:rPr>
          <w:rFonts w:ascii="Times New Roman" w:hAnsi="Times New Roman" w:cs="Times New Roman"/>
          <w:lang w:val="es-MX"/>
        </w:rPr>
        <w:lastRenderedPageBreak/>
        <w:t>Tras obtener el consentimiento, llevamos a cabo entrevistas semiestructuradas (Roulston, 2010).</w:t>
      </w:r>
    </w:p>
    <w:p w14:paraId="4206241E" w14:textId="77777777" w:rsidR="0011142A" w:rsidRPr="00290459" w:rsidRDefault="0011142A" w:rsidP="0011142A">
      <w:pPr>
        <w:spacing w:after="240"/>
        <w:rPr>
          <w:rFonts w:ascii="Times New Roman" w:hAnsi="Times New Roman" w:cs="Times New Roman"/>
          <w:i/>
          <w:lang w:val="es-MX"/>
        </w:rPr>
      </w:pPr>
      <w:r w:rsidRPr="00290459">
        <w:rPr>
          <w:rFonts w:ascii="Times New Roman" w:hAnsi="Times New Roman" w:cs="Times New Roman"/>
          <w:lang w:val="es-MX"/>
        </w:rPr>
        <w:t>Tabl</w:t>
      </w:r>
      <w:r>
        <w:rPr>
          <w:rFonts w:ascii="Times New Roman" w:hAnsi="Times New Roman" w:cs="Times New Roman"/>
          <w:lang w:val="es-MX"/>
        </w:rPr>
        <w:t>a 1</w:t>
      </w:r>
      <w:r w:rsidRPr="00290459">
        <w:rPr>
          <w:rFonts w:ascii="Times New Roman" w:hAnsi="Times New Roman" w:cs="Times New Roman"/>
          <w:lang w:val="es-MX"/>
        </w:rPr>
        <w:t>.</w:t>
      </w:r>
      <w:bookmarkStart w:id="0" w:name="_Ref60979282"/>
      <w:bookmarkStart w:id="1" w:name="_Toc67393076"/>
      <w:r w:rsidRPr="003103BC">
        <w:rPr>
          <w:rFonts w:ascii="Times New Roman" w:hAnsi="Times New Roman" w:cs="Times New Roman"/>
          <w:i/>
          <w:iCs/>
        </w:rPr>
        <w:fldChar w:fldCharType="begin"/>
      </w:r>
      <w:r w:rsidRPr="00290459">
        <w:rPr>
          <w:rFonts w:ascii="Times New Roman" w:hAnsi="Times New Roman" w:cs="Times New Roman"/>
          <w:i/>
          <w:iCs/>
          <w:lang w:val="es-MX"/>
        </w:rPr>
        <w:instrText xml:space="preserve"> SEQ Table \* ARABIC </w:instrText>
      </w:r>
      <w:r w:rsidRPr="003103BC">
        <w:rPr>
          <w:rFonts w:ascii="Times New Roman" w:hAnsi="Times New Roman" w:cs="Times New Roman"/>
          <w:i/>
          <w:iCs/>
        </w:rPr>
        <w:fldChar w:fldCharType="separate"/>
      </w:r>
      <w:r w:rsidRPr="003103BC">
        <w:rPr>
          <w:rFonts w:ascii="Times New Roman" w:hAnsi="Times New Roman" w:cs="Times New Roman"/>
          <w:i/>
          <w:iCs/>
        </w:rPr>
        <w:fldChar w:fldCharType="end"/>
      </w:r>
      <w:bookmarkEnd w:id="0"/>
      <w:r w:rsidRPr="00290459">
        <w:rPr>
          <w:rFonts w:ascii="Times New Roman" w:hAnsi="Times New Roman" w:cs="Times New Roman"/>
          <w:i/>
          <w:iCs/>
          <w:lang w:val="es-MX"/>
        </w:rPr>
        <w:t xml:space="preserve"> Número total de participante</w:t>
      </w:r>
      <w:bookmarkEnd w:id="1"/>
      <w:r>
        <w:rPr>
          <w:rFonts w:ascii="Times New Roman" w:hAnsi="Times New Roman" w:cs="Times New Roman"/>
          <w:i/>
          <w:iCs/>
          <w:lang w:val="es-MX"/>
        </w:rPr>
        <w:t xml:space="preserve">s </w:t>
      </w: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5"/>
        <w:gridCol w:w="1976"/>
        <w:gridCol w:w="1675"/>
        <w:gridCol w:w="1925"/>
        <w:gridCol w:w="1813"/>
      </w:tblGrid>
      <w:tr w:rsidR="0011142A" w:rsidRPr="00A64B5A" w14:paraId="55552F34" w14:textId="77777777" w:rsidTr="00F60399">
        <w:trPr>
          <w:tblHeader/>
          <w:jc w:val="center"/>
        </w:trPr>
        <w:tc>
          <w:tcPr>
            <w:tcW w:w="655" w:type="pct"/>
            <w:tcBorders>
              <w:top w:val="single" w:sz="4" w:space="0" w:color="auto"/>
              <w:bottom w:val="single" w:sz="4" w:space="0" w:color="auto"/>
            </w:tcBorders>
            <w:vAlign w:val="center"/>
          </w:tcPr>
          <w:p w14:paraId="00A4732F"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N.º Revista</w:t>
            </w:r>
          </w:p>
        </w:tc>
        <w:tc>
          <w:tcPr>
            <w:tcW w:w="1162" w:type="pct"/>
            <w:tcBorders>
              <w:top w:val="single" w:sz="4" w:space="0" w:color="auto"/>
              <w:bottom w:val="single" w:sz="4" w:space="0" w:color="auto"/>
            </w:tcBorders>
            <w:vAlign w:val="center"/>
          </w:tcPr>
          <w:p w14:paraId="3FE39536"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Seudónimo del participante</w:t>
            </w:r>
          </w:p>
        </w:tc>
        <w:tc>
          <w:tcPr>
            <w:tcW w:w="985" w:type="pct"/>
            <w:tcBorders>
              <w:top w:val="single" w:sz="4" w:space="0" w:color="auto"/>
              <w:bottom w:val="single" w:sz="4" w:space="0" w:color="auto"/>
            </w:tcBorders>
            <w:vAlign w:val="center"/>
          </w:tcPr>
          <w:p w14:paraId="18E008DF"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Rol</w:t>
            </w:r>
          </w:p>
        </w:tc>
        <w:tc>
          <w:tcPr>
            <w:tcW w:w="1132" w:type="pct"/>
            <w:tcBorders>
              <w:top w:val="single" w:sz="4" w:space="0" w:color="auto"/>
              <w:bottom w:val="single" w:sz="4" w:space="0" w:color="auto"/>
            </w:tcBorders>
            <w:vAlign w:val="center"/>
          </w:tcPr>
          <w:p w14:paraId="65C10031"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Estado de la revista</w:t>
            </w:r>
          </w:p>
        </w:tc>
        <w:tc>
          <w:tcPr>
            <w:tcW w:w="1066" w:type="pct"/>
            <w:tcBorders>
              <w:top w:val="single" w:sz="4" w:space="0" w:color="auto"/>
              <w:bottom w:val="single" w:sz="4" w:space="0" w:color="auto"/>
            </w:tcBorders>
            <w:vAlign w:val="center"/>
          </w:tcPr>
          <w:p w14:paraId="383145F2"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Año de inicio de la revista</w:t>
            </w:r>
          </w:p>
        </w:tc>
      </w:tr>
      <w:tr w:rsidR="0011142A" w:rsidRPr="00C14B27" w14:paraId="0C6FBDCE" w14:textId="77777777" w:rsidTr="00F60399">
        <w:trPr>
          <w:jc w:val="center"/>
        </w:trPr>
        <w:tc>
          <w:tcPr>
            <w:tcW w:w="655" w:type="pct"/>
            <w:vAlign w:val="center"/>
          </w:tcPr>
          <w:p w14:paraId="4000B302"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J1</w:t>
            </w:r>
          </w:p>
        </w:tc>
        <w:tc>
          <w:tcPr>
            <w:tcW w:w="1162" w:type="pct"/>
            <w:vAlign w:val="center"/>
          </w:tcPr>
          <w:p w14:paraId="75E03AC0"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Fátima</w:t>
            </w:r>
          </w:p>
        </w:tc>
        <w:tc>
          <w:tcPr>
            <w:tcW w:w="985" w:type="pct"/>
            <w:vAlign w:val="center"/>
          </w:tcPr>
          <w:p w14:paraId="363ACE96"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Antiguo editor</w:t>
            </w:r>
          </w:p>
        </w:tc>
        <w:tc>
          <w:tcPr>
            <w:tcW w:w="1132" w:type="pct"/>
            <w:vAlign w:val="center"/>
          </w:tcPr>
          <w:p w14:paraId="09142DA2"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Activo</w:t>
            </w:r>
          </w:p>
        </w:tc>
        <w:tc>
          <w:tcPr>
            <w:tcW w:w="1066" w:type="pct"/>
            <w:vAlign w:val="center"/>
          </w:tcPr>
          <w:p w14:paraId="66274ADC"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2001</w:t>
            </w:r>
          </w:p>
        </w:tc>
      </w:tr>
      <w:tr w:rsidR="0011142A" w:rsidRPr="00C14B27" w14:paraId="59F59AFC" w14:textId="77777777" w:rsidTr="00F60399">
        <w:trPr>
          <w:jc w:val="center"/>
        </w:trPr>
        <w:tc>
          <w:tcPr>
            <w:tcW w:w="655" w:type="pct"/>
            <w:vAlign w:val="center"/>
          </w:tcPr>
          <w:p w14:paraId="35D1402F"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J1</w:t>
            </w:r>
          </w:p>
        </w:tc>
        <w:tc>
          <w:tcPr>
            <w:tcW w:w="1162" w:type="pct"/>
            <w:vAlign w:val="center"/>
          </w:tcPr>
          <w:p w14:paraId="37981554"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Samantha</w:t>
            </w:r>
          </w:p>
        </w:tc>
        <w:tc>
          <w:tcPr>
            <w:tcW w:w="985" w:type="pct"/>
            <w:vAlign w:val="center"/>
          </w:tcPr>
          <w:p w14:paraId="60771194"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Redactora</w:t>
            </w:r>
          </w:p>
        </w:tc>
        <w:tc>
          <w:tcPr>
            <w:tcW w:w="1132" w:type="pct"/>
            <w:vAlign w:val="center"/>
          </w:tcPr>
          <w:p w14:paraId="52EA4157"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Activa</w:t>
            </w:r>
          </w:p>
        </w:tc>
        <w:tc>
          <w:tcPr>
            <w:tcW w:w="1066" w:type="pct"/>
            <w:vAlign w:val="center"/>
          </w:tcPr>
          <w:p w14:paraId="7FD999FE"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2001</w:t>
            </w:r>
          </w:p>
        </w:tc>
      </w:tr>
      <w:tr w:rsidR="0011142A" w:rsidRPr="00C14B27" w14:paraId="34B27E71" w14:textId="77777777" w:rsidTr="00F60399">
        <w:trPr>
          <w:jc w:val="center"/>
        </w:trPr>
        <w:tc>
          <w:tcPr>
            <w:tcW w:w="655" w:type="pct"/>
            <w:vAlign w:val="center"/>
          </w:tcPr>
          <w:p w14:paraId="3E479D2C"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J2</w:t>
            </w:r>
          </w:p>
        </w:tc>
        <w:tc>
          <w:tcPr>
            <w:tcW w:w="1162" w:type="pct"/>
            <w:vAlign w:val="center"/>
          </w:tcPr>
          <w:p w14:paraId="5C6582D7"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Inés</w:t>
            </w:r>
          </w:p>
        </w:tc>
        <w:tc>
          <w:tcPr>
            <w:tcW w:w="985" w:type="pct"/>
            <w:vAlign w:val="center"/>
          </w:tcPr>
          <w:p w14:paraId="3D59547D"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Editora</w:t>
            </w:r>
          </w:p>
        </w:tc>
        <w:tc>
          <w:tcPr>
            <w:tcW w:w="1132" w:type="pct"/>
            <w:vAlign w:val="center"/>
          </w:tcPr>
          <w:p w14:paraId="270B05D8"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Activo</w:t>
            </w:r>
          </w:p>
        </w:tc>
        <w:tc>
          <w:tcPr>
            <w:tcW w:w="1066" w:type="pct"/>
            <w:vAlign w:val="center"/>
          </w:tcPr>
          <w:p w14:paraId="6CEBFF6A"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2000</w:t>
            </w:r>
          </w:p>
        </w:tc>
      </w:tr>
      <w:tr w:rsidR="0011142A" w:rsidRPr="00C14B27" w14:paraId="4B63ADD9" w14:textId="77777777" w:rsidTr="00F60399">
        <w:trPr>
          <w:jc w:val="center"/>
        </w:trPr>
        <w:tc>
          <w:tcPr>
            <w:tcW w:w="655" w:type="pct"/>
            <w:vAlign w:val="center"/>
          </w:tcPr>
          <w:p w14:paraId="3EA9957C"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J3</w:t>
            </w:r>
          </w:p>
        </w:tc>
        <w:tc>
          <w:tcPr>
            <w:tcW w:w="1162" w:type="pct"/>
            <w:vAlign w:val="center"/>
          </w:tcPr>
          <w:p w14:paraId="0AD8871F"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María</w:t>
            </w:r>
          </w:p>
        </w:tc>
        <w:tc>
          <w:tcPr>
            <w:tcW w:w="985" w:type="pct"/>
            <w:vAlign w:val="center"/>
          </w:tcPr>
          <w:p w14:paraId="2FC47845"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Directora editorial</w:t>
            </w:r>
          </w:p>
        </w:tc>
        <w:tc>
          <w:tcPr>
            <w:tcW w:w="1132" w:type="pct"/>
            <w:vAlign w:val="center"/>
          </w:tcPr>
          <w:p w14:paraId="1F46B7E6"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Activa</w:t>
            </w:r>
          </w:p>
        </w:tc>
        <w:tc>
          <w:tcPr>
            <w:tcW w:w="1066" w:type="pct"/>
            <w:vAlign w:val="center"/>
          </w:tcPr>
          <w:p w14:paraId="7709BB4F"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2007</w:t>
            </w:r>
          </w:p>
        </w:tc>
      </w:tr>
      <w:tr w:rsidR="0011142A" w:rsidRPr="00C14B27" w14:paraId="3A27A009" w14:textId="77777777" w:rsidTr="00F60399">
        <w:trPr>
          <w:jc w:val="center"/>
        </w:trPr>
        <w:tc>
          <w:tcPr>
            <w:tcW w:w="655" w:type="pct"/>
            <w:vAlign w:val="center"/>
          </w:tcPr>
          <w:p w14:paraId="4A114A41" w14:textId="77777777" w:rsidR="0011142A" w:rsidRPr="00C14B27" w:rsidRDefault="0011142A" w:rsidP="00F60399">
            <w:pPr>
              <w:jc w:val="center"/>
              <w:rPr>
                <w:rFonts w:ascii="Times New Roman" w:hAnsi="Times New Roman" w:cs="Times New Roman"/>
                <w:lang w:val="es-CO"/>
              </w:rPr>
            </w:pPr>
            <w:bookmarkStart w:id="2" w:name="_Hlk226221769"/>
            <w:r w:rsidRPr="00C14B27">
              <w:rPr>
                <w:rFonts w:ascii="Times New Roman" w:hAnsi="Times New Roman" w:cs="Times New Roman"/>
                <w:lang w:val="es-CO"/>
              </w:rPr>
              <w:t>J4</w:t>
            </w:r>
          </w:p>
        </w:tc>
        <w:tc>
          <w:tcPr>
            <w:tcW w:w="1162" w:type="pct"/>
            <w:vAlign w:val="center"/>
          </w:tcPr>
          <w:p w14:paraId="145A7316"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Héctor</w:t>
            </w:r>
          </w:p>
        </w:tc>
        <w:tc>
          <w:tcPr>
            <w:tcW w:w="985" w:type="pct"/>
            <w:vAlign w:val="center"/>
          </w:tcPr>
          <w:p w14:paraId="6CFDD3CE"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Director editorial</w:t>
            </w:r>
          </w:p>
        </w:tc>
        <w:tc>
          <w:tcPr>
            <w:tcW w:w="1132" w:type="pct"/>
            <w:vAlign w:val="center"/>
          </w:tcPr>
          <w:p w14:paraId="60B3643E"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Dejó de publicarse en 2021</w:t>
            </w:r>
          </w:p>
        </w:tc>
        <w:tc>
          <w:tcPr>
            <w:tcW w:w="1066" w:type="pct"/>
            <w:vAlign w:val="center"/>
          </w:tcPr>
          <w:p w14:paraId="5D1999A1"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2005</w:t>
            </w:r>
          </w:p>
        </w:tc>
      </w:tr>
      <w:bookmarkEnd w:id="2"/>
      <w:tr w:rsidR="0011142A" w:rsidRPr="00C14B27" w14:paraId="1BDBA9E5" w14:textId="77777777" w:rsidTr="00F60399">
        <w:trPr>
          <w:jc w:val="center"/>
        </w:trPr>
        <w:tc>
          <w:tcPr>
            <w:tcW w:w="655" w:type="pct"/>
            <w:vAlign w:val="center"/>
          </w:tcPr>
          <w:p w14:paraId="1D335E5A"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J5</w:t>
            </w:r>
          </w:p>
        </w:tc>
        <w:tc>
          <w:tcPr>
            <w:tcW w:w="1162" w:type="pct"/>
            <w:vAlign w:val="center"/>
          </w:tcPr>
          <w:p w14:paraId="56B75772"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Lix</w:t>
            </w:r>
          </w:p>
        </w:tc>
        <w:tc>
          <w:tcPr>
            <w:tcW w:w="985" w:type="pct"/>
            <w:vAlign w:val="center"/>
          </w:tcPr>
          <w:p w14:paraId="52A28575"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Editor</w:t>
            </w:r>
          </w:p>
        </w:tc>
        <w:tc>
          <w:tcPr>
            <w:tcW w:w="1132" w:type="pct"/>
            <w:vAlign w:val="center"/>
          </w:tcPr>
          <w:p w14:paraId="3FE6B990"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Activo</w:t>
            </w:r>
          </w:p>
        </w:tc>
        <w:tc>
          <w:tcPr>
            <w:tcW w:w="1066" w:type="pct"/>
            <w:vAlign w:val="center"/>
          </w:tcPr>
          <w:p w14:paraId="11699DE9"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1935</w:t>
            </w:r>
          </w:p>
        </w:tc>
      </w:tr>
      <w:tr w:rsidR="0011142A" w:rsidRPr="00C14B27" w14:paraId="2D2A4FFD" w14:textId="77777777" w:rsidTr="00F60399">
        <w:trPr>
          <w:jc w:val="center"/>
        </w:trPr>
        <w:tc>
          <w:tcPr>
            <w:tcW w:w="655" w:type="pct"/>
            <w:vAlign w:val="center"/>
          </w:tcPr>
          <w:p w14:paraId="55117D26"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J6</w:t>
            </w:r>
          </w:p>
        </w:tc>
        <w:tc>
          <w:tcPr>
            <w:tcW w:w="1162" w:type="pct"/>
            <w:vAlign w:val="center"/>
          </w:tcPr>
          <w:p w14:paraId="1AFAF52C"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Xavier</w:t>
            </w:r>
          </w:p>
        </w:tc>
        <w:tc>
          <w:tcPr>
            <w:tcW w:w="985" w:type="pct"/>
            <w:vAlign w:val="center"/>
          </w:tcPr>
          <w:p w14:paraId="289C4EB6"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Editor</w:t>
            </w:r>
          </w:p>
        </w:tc>
        <w:tc>
          <w:tcPr>
            <w:tcW w:w="1132" w:type="pct"/>
            <w:vAlign w:val="center"/>
          </w:tcPr>
          <w:p w14:paraId="0F8458AA"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Activo</w:t>
            </w:r>
          </w:p>
        </w:tc>
        <w:tc>
          <w:tcPr>
            <w:tcW w:w="1066" w:type="pct"/>
            <w:vAlign w:val="center"/>
          </w:tcPr>
          <w:p w14:paraId="634A1C3E"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2023</w:t>
            </w:r>
          </w:p>
        </w:tc>
      </w:tr>
      <w:tr w:rsidR="0011142A" w:rsidRPr="00C14B27" w14:paraId="6B29B08E" w14:textId="77777777" w:rsidTr="00F60399">
        <w:trPr>
          <w:jc w:val="center"/>
        </w:trPr>
        <w:tc>
          <w:tcPr>
            <w:tcW w:w="655" w:type="pct"/>
            <w:vAlign w:val="center"/>
          </w:tcPr>
          <w:p w14:paraId="4B4B721A"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J7</w:t>
            </w:r>
          </w:p>
        </w:tc>
        <w:tc>
          <w:tcPr>
            <w:tcW w:w="1162" w:type="pct"/>
            <w:vAlign w:val="center"/>
          </w:tcPr>
          <w:p w14:paraId="28653D71"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Camilo</w:t>
            </w:r>
          </w:p>
        </w:tc>
        <w:tc>
          <w:tcPr>
            <w:tcW w:w="985" w:type="pct"/>
            <w:vAlign w:val="center"/>
          </w:tcPr>
          <w:p w14:paraId="4EF2E467"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Antiguo editor</w:t>
            </w:r>
          </w:p>
        </w:tc>
        <w:tc>
          <w:tcPr>
            <w:tcW w:w="1132" w:type="pct"/>
            <w:vAlign w:val="center"/>
          </w:tcPr>
          <w:p w14:paraId="573120C7"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Dejó de publicarse en 2021</w:t>
            </w:r>
          </w:p>
        </w:tc>
        <w:tc>
          <w:tcPr>
            <w:tcW w:w="1066" w:type="pct"/>
            <w:vAlign w:val="center"/>
          </w:tcPr>
          <w:p w14:paraId="12C35893"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1996</w:t>
            </w:r>
          </w:p>
        </w:tc>
      </w:tr>
      <w:tr w:rsidR="0011142A" w:rsidRPr="00C14B27" w14:paraId="5E3EE2CC" w14:textId="77777777" w:rsidTr="00F60399">
        <w:trPr>
          <w:jc w:val="center"/>
        </w:trPr>
        <w:tc>
          <w:tcPr>
            <w:tcW w:w="655" w:type="pct"/>
            <w:vAlign w:val="center"/>
          </w:tcPr>
          <w:p w14:paraId="3967176C"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J8</w:t>
            </w:r>
          </w:p>
        </w:tc>
        <w:tc>
          <w:tcPr>
            <w:tcW w:w="1162" w:type="pct"/>
            <w:vAlign w:val="center"/>
          </w:tcPr>
          <w:p w14:paraId="42FA4A00"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Tiago</w:t>
            </w:r>
          </w:p>
        </w:tc>
        <w:tc>
          <w:tcPr>
            <w:tcW w:w="985" w:type="pct"/>
            <w:vAlign w:val="center"/>
          </w:tcPr>
          <w:p w14:paraId="16F5AB95"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Editor</w:t>
            </w:r>
          </w:p>
        </w:tc>
        <w:tc>
          <w:tcPr>
            <w:tcW w:w="1132" w:type="pct"/>
            <w:vAlign w:val="center"/>
          </w:tcPr>
          <w:p w14:paraId="69C434D7"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Activo</w:t>
            </w:r>
          </w:p>
        </w:tc>
        <w:tc>
          <w:tcPr>
            <w:tcW w:w="1066" w:type="pct"/>
            <w:vAlign w:val="center"/>
          </w:tcPr>
          <w:p w14:paraId="272C0169"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2015</w:t>
            </w:r>
          </w:p>
        </w:tc>
      </w:tr>
      <w:tr w:rsidR="0011142A" w:rsidRPr="00C14B27" w14:paraId="38CF617E" w14:textId="77777777" w:rsidTr="00F60399">
        <w:trPr>
          <w:jc w:val="center"/>
        </w:trPr>
        <w:tc>
          <w:tcPr>
            <w:tcW w:w="655" w:type="pct"/>
            <w:tcBorders>
              <w:bottom w:val="single" w:sz="4" w:space="0" w:color="auto"/>
            </w:tcBorders>
            <w:vAlign w:val="center"/>
          </w:tcPr>
          <w:p w14:paraId="2D8F9B28"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J9</w:t>
            </w:r>
          </w:p>
        </w:tc>
        <w:tc>
          <w:tcPr>
            <w:tcW w:w="1162" w:type="pct"/>
            <w:tcBorders>
              <w:bottom w:val="single" w:sz="4" w:space="0" w:color="auto"/>
            </w:tcBorders>
            <w:vAlign w:val="center"/>
          </w:tcPr>
          <w:p w14:paraId="79400859"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Andrés</w:t>
            </w:r>
          </w:p>
        </w:tc>
        <w:tc>
          <w:tcPr>
            <w:tcW w:w="985" w:type="pct"/>
            <w:tcBorders>
              <w:bottom w:val="single" w:sz="4" w:space="0" w:color="auto"/>
            </w:tcBorders>
            <w:vAlign w:val="center"/>
          </w:tcPr>
          <w:p w14:paraId="288D2EBA"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Editor</w:t>
            </w:r>
          </w:p>
        </w:tc>
        <w:tc>
          <w:tcPr>
            <w:tcW w:w="1132" w:type="pct"/>
            <w:tcBorders>
              <w:bottom w:val="single" w:sz="4" w:space="0" w:color="auto"/>
            </w:tcBorders>
            <w:vAlign w:val="center"/>
          </w:tcPr>
          <w:p w14:paraId="4B465ABB"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Activo</w:t>
            </w:r>
          </w:p>
        </w:tc>
        <w:tc>
          <w:tcPr>
            <w:tcW w:w="1066" w:type="pct"/>
            <w:tcBorders>
              <w:bottom w:val="single" w:sz="4" w:space="0" w:color="auto"/>
            </w:tcBorders>
            <w:vAlign w:val="center"/>
          </w:tcPr>
          <w:p w14:paraId="65138482" w14:textId="77777777" w:rsidR="0011142A" w:rsidRPr="00C14B27" w:rsidRDefault="0011142A" w:rsidP="00F60399">
            <w:pPr>
              <w:jc w:val="center"/>
              <w:rPr>
                <w:rFonts w:ascii="Times New Roman" w:hAnsi="Times New Roman" w:cs="Times New Roman"/>
                <w:lang w:val="es-CO"/>
              </w:rPr>
            </w:pPr>
            <w:r w:rsidRPr="00C14B27">
              <w:rPr>
                <w:rFonts w:ascii="Times New Roman" w:hAnsi="Times New Roman" w:cs="Times New Roman"/>
                <w:lang w:val="es-CO"/>
              </w:rPr>
              <w:t>1953</w:t>
            </w:r>
          </w:p>
        </w:tc>
      </w:tr>
    </w:tbl>
    <w:p w14:paraId="2231FA59" w14:textId="77777777" w:rsidR="0011142A" w:rsidRDefault="0011142A" w:rsidP="0011142A">
      <w:pPr>
        <w:spacing w:line="240" w:lineRule="auto"/>
        <w:jc w:val="both"/>
        <w:rPr>
          <w:rFonts w:ascii="Times New Roman" w:hAnsi="Times New Roman" w:cs="Times New Roman"/>
          <w:lang w:val="es-CO"/>
        </w:rPr>
      </w:pPr>
    </w:p>
    <w:p w14:paraId="67EC96F3" w14:textId="77777777" w:rsidR="0011142A" w:rsidRPr="0011142A" w:rsidRDefault="0011142A" w:rsidP="0011142A">
      <w:pPr>
        <w:spacing w:line="240" w:lineRule="auto"/>
        <w:jc w:val="both"/>
        <w:rPr>
          <w:rFonts w:ascii="Times New Roman" w:hAnsi="Times New Roman" w:cs="Times New Roman"/>
          <w:i/>
          <w:iCs/>
          <w:lang w:val="es-MX"/>
        </w:rPr>
      </w:pPr>
      <w:r w:rsidRPr="0011142A">
        <w:rPr>
          <w:rFonts w:ascii="Times New Roman" w:hAnsi="Times New Roman" w:cs="Times New Roman"/>
          <w:i/>
          <w:iCs/>
          <w:lang w:val="es-MX"/>
        </w:rPr>
        <w:t xml:space="preserve">Diseño de la investigación y análisis de datos  </w:t>
      </w:r>
    </w:p>
    <w:p w14:paraId="7A67CFE6"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El análisis se basó en la política como estructura social que incentiva prácticas sociales, como la difusión del conocimiento. Al mismo tiempo, los discursos de las prácticas sociales están mediados por las estructuras sociales en las que se produce el discurso; en este caso, la política (Chiapello y Fairclough, 2002; Fairclough, 2015). Existe una relación dialéctica: «las estructuras sociales no solo determinan la práctica social, sino que también son producto de la práctica social…. las estructuras sociales no solo determinan el discurso, sino que también son producto del discurso» (Fairclough, 2015, p. 68). </w:t>
      </w:r>
    </w:p>
    <w:p w14:paraId="62187CF5" w14:textId="7B9FB2C5"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 Para analizar el discurso de los editores de revistas, los investigadores establecieron códigos iniciales que abordaban la pregunta de investigación, y cada uno desarrolló sus propios códigos para compararlos. Agrupamos a los participantes en cuatro categorías en función de sus experiencias como editores. Seleccionamos citas clave para un análisis más detallado, vinculándolas a conceptos teóricos y examinando las relaciones entre el discurso, las prácticas sociales y los roles.</w:t>
      </w:r>
    </w:p>
    <w:p w14:paraId="0F74DB51" w14:textId="44A47B9C" w:rsidR="0011142A" w:rsidRPr="0011142A" w:rsidRDefault="0011142A" w:rsidP="0011142A">
      <w:pPr>
        <w:spacing w:line="240" w:lineRule="auto"/>
        <w:jc w:val="both"/>
        <w:rPr>
          <w:rFonts w:ascii="Times New Roman" w:hAnsi="Times New Roman" w:cs="Times New Roman"/>
          <w:b/>
          <w:bCs/>
          <w:lang w:val="es-CO"/>
        </w:rPr>
      </w:pPr>
      <w:r>
        <w:rPr>
          <w:rFonts w:ascii="Times New Roman" w:hAnsi="Times New Roman" w:cs="Times New Roman"/>
          <w:b/>
          <w:bCs/>
          <w:lang w:val="es-CO"/>
        </w:rPr>
        <w:t>Resultados</w:t>
      </w:r>
      <w:r>
        <w:rPr>
          <w:rFonts w:ascii="Times New Roman" w:hAnsi="Times New Roman" w:cs="Times New Roman"/>
          <w:b/>
          <w:bCs/>
          <w:lang w:val="es-CO"/>
        </w:rPr>
        <w:t xml:space="preserve">  </w:t>
      </w:r>
    </w:p>
    <w:p w14:paraId="592D955A" w14:textId="77777777" w:rsidR="0011142A" w:rsidRPr="0011142A" w:rsidRDefault="0011142A" w:rsidP="0011142A">
      <w:pPr>
        <w:spacing w:line="240" w:lineRule="auto"/>
        <w:jc w:val="both"/>
        <w:rPr>
          <w:rFonts w:ascii="Times New Roman" w:hAnsi="Times New Roman" w:cs="Times New Roman"/>
          <w:b/>
          <w:bCs/>
          <w:lang w:val="es-MX"/>
        </w:rPr>
      </w:pPr>
      <w:r w:rsidRPr="0011142A">
        <w:rPr>
          <w:rFonts w:ascii="Times New Roman" w:hAnsi="Times New Roman" w:cs="Times New Roman"/>
          <w:b/>
          <w:bCs/>
          <w:lang w:val="es-MX"/>
        </w:rPr>
        <w:t>Fase 1. Cómo el actual sistema editorial global configura las políticas editoriales nacionales colombianas para las revistas académicas</w:t>
      </w:r>
    </w:p>
    <w:p w14:paraId="44C78878"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Desde mediados de los años noventa, el proceso de clasificación de las revistas colombianas se ha llevado a cabo cada dos años (Colciencias, 2016a). En 2016, el Ministerio de Ciencia de Colombia adoptó una política nacional destinada a mejorar el impacto de las publicaciones científicas nacionales y a reformar el modelo nacional de </w:t>
      </w:r>
      <w:r w:rsidRPr="0011142A">
        <w:rPr>
          <w:rFonts w:ascii="Times New Roman" w:hAnsi="Times New Roman" w:cs="Times New Roman"/>
          <w:lang w:val="es-MX"/>
        </w:rPr>
        <w:lastRenderedPageBreak/>
        <w:t xml:space="preserve">clasificación de revistas científicas Publindex—el Sistema Nacional de Indexación de Publicaciones Científicas Especializadas—(Colciencias, 2016b, 2016d). </w:t>
      </w:r>
    </w:p>
    <w:p w14:paraId="35CB4E38" w14:textId="5DB21122" w:rsidR="0011142A" w:rsidRPr="0011142A" w:rsidRDefault="0011142A" w:rsidP="0011142A">
      <w:pPr>
        <w:spacing w:line="240" w:lineRule="auto"/>
        <w:jc w:val="both"/>
        <w:rPr>
          <w:rFonts w:ascii="Times New Roman" w:hAnsi="Times New Roman" w:cs="Times New Roman"/>
          <w:i/>
          <w:iCs/>
          <w:lang w:val="es-MX"/>
        </w:rPr>
      </w:pPr>
      <w:r w:rsidRPr="0011142A">
        <w:rPr>
          <w:rFonts w:ascii="Times New Roman" w:hAnsi="Times New Roman" w:cs="Times New Roman"/>
          <w:i/>
          <w:iCs/>
          <w:lang w:val="es-MX"/>
        </w:rPr>
        <w:t xml:space="preserve">La justificación de las políticas   </w:t>
      </w:r>
    </w:p>
    <w:p w14:paraId="53848007"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Publindex fue creada para mejorar la visibilidad de la producción científica nacional (Colciencias, 2016a) mediante el establecimiento de una clasificación discrecional de revistas colombianas e internacionales (Pineda, 2015). Estas políticas incorporaron el sistema editorial internacional con ánimo de lucro como mecanismo para clasificar las revistas colombianas en Publindex, basándose en una justificación que ponía de relieve los problemas de gestión editorial, las limitadas cualificaciones de los editores y la consiguiente necesidad de armonizar Publindex con los indicadores bibliométricos internacionales.     </w:t>
      </w:r>
    </w:p>
    <w:p w14:paraId="1D30638A" w14:textId="18A52F07" w:rsidR="0011142A" w:rsidRPr="0011142A" w:rsidRDefault="0011142A" w:rsidP="0011142A">
      <w:pPr>
        <w:spacing w:line="240" w:lineRule="auto"/>
        <w:jc w:val="both"/>
        <w:rPr>
          <w:rFonts w:ascii="Times New Roman" w:hAnsi="Times New Roman" w:cs="Times New Roman"/>
          <w:i/>
          <w:iCs/>
          <w:lang w:val="es-MX"/>
        </w:rPr>
      </w:pPr>
      <w:r w:rsidRPr="0011142A">
        <w:rPr>
          <w:rFonts w:ascii="Times New Roman" w:hAnsi="Times New Roman" w:cs="Times New Roman"/>
          <w:i/>
          <w:iCs/>
          <w:lang w:val="es-MX"/>
        </w:rPr>
        <w:t>Medidas políticas: el nuevo modelo de clasificación y sus implicaciones</w:t>
      </w:r>
    </w:p>
    <w:p w14:paraId="64675430"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En el marco de Publindex, las revistas nacionales e internacionales se clasifican en cuatro categorías (A1, A2, B o C). Las A1 son aquellas revistas con mayor valor académico, seguidas de las A2, mientras que las B y C corresponden a un valor académico menor. En contraste, el nuevo modelo se integró en el marco de la política e incorporó el reconocimiento de la calidad de las revistas basado en indicadores bibliométricos internacionales (Colciencias, 2016b).  </w:t>
      </w:r>
    </w:p>
    <w:p w14:paraId="6B1591F9"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El nuevo modelo de clasificación de revistas. El modelo de clasificación de revistas académicas nacionales de 2016 introdujo cambios sustanciales en comparación con los modelos anteriores (Colciencias, 2016a). El esquema de clasificación tradicional, A1, A2, B y C, se alineó el sistema de clasificación nacional con las clasificaciones por cuartiles, que van de mayor a menor como Q1, Q2, Q3 y Q4. En consecuencia, las correspondencias entre las clasificaciones por cuartiles del JIF/SJR y el Publindex fueron las siguientes: A1 = Q1, A2 = Q2, B = Q3 y C = Q4 (Minciencias, 2020a). </w:t>
      </w:r>
    </w:p>
    <w:p w14:paraId="332C5323" w14:textId="358DE3CF"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Consecuencias de la armonización bibliométrica: el «epistemicidio» de las revistas nacionales. Tras la introducción del nuevo modelo de clasificación de revistas, el número de revistas nacionales clasificadas por Publindex disminuyó significativamente. Mientras que entre 2008 y 2015 el número de revistas clasificadas aumentó de forma constante —alcanzando las 526 en 2015—, la clasificación de 2017 se tradujo en 282 revistas menos. En 2017, solo una revista fue clasificada en la categoría más alta (A1), y en la ronda de clasificación más reciente, este número aumentó a siete revistas (véase la tabla 2).  </w:t>
      </w:r>
    </w:p>
    <w:p w14:paraId="665D6AC2" w14:textId="77777777" w:rsidR="0011142A" w:rsidRPr="00290459" w:rsidRDefault="0011142A" w:rsidP="0011142A">
      <w:pPr>
        <w:spacing w:line="480" w:lineRule="auto"/>
        <w:rPr>
          <w:rFonts w:ascii="Times New Roman" w:hAnsi="Times New Roman" w:cs="Times New Roman"/>
          <w:i/>
          <w:lang w:val="es-MX"/>
        </w:rPr>
      </w:pPr>
      <w:r w:rsidRPr="00290459">
        <w:rPr>
          <w:rFonts w:ascii="Times New Roman" w:hAnsi="Times New Roman" w:cs="Times New Roman"/>
          <w:lang w:val="es-MX"/>
        </w:rPr>
        <w:t>Tabla</w:t>
      </w:r>
      <w:r w:rsidRPr="537B4397">
        <w:rPr>
          <w:rFonts w:ascii="Times New Roman" w:hAnsi="Times New Roman" w:cs="Times New Roman"/>
          <w:i/>
        </w:rPr>
        <w:fldChar w:fldCharType="begin"/>
      </w:r>
      <w:r w:rsidRPr="00290459">
        <w:rPr>
          <w:rFonts w:ascii="Times New Roman" w:hAnsi="Times New Roman" w:cs="Times New Roman"/>
          <w:lang w:val="es-MX"/>
        </w:rPr>
        <w:instrText xml:space="preserve"> SEQ Table \* ARABIC </w:instrText>
      </w:r>
      <w:r w:rsidRPr="537B4397">
        <w:rPr>
          <w:rFonts w:ascii="Times New Roman" w:hAnsi="Times New Roman" w:cs="Times New Roman"/>
          <w:i/>
        </w:rPr>
        <w:fldChar w:fldCharType="separate"/>
      </w:r>
      <w:r w:rsidRPr="537B4397">
        <w:rPr>
          <w:rFonts w:ascii="Times New Roman" w:hAnsi="Times New Roman" w:cs="Times New Roman"/>
          <w:i/>
        </w:rPr>
        <w:fldChar w:fldCharType="end"/>
      </w:r>
      <w:r w:rsidRPr="00290459">
        <w:rPr>
          <w:rFonts w:ascii="Times New Roman" w:hAnsi="Times New Roman" w:cs="Times New Roman"/>
          <w:lang w:val="es-MX"/>
        </w:rPr>
        <w:t xml:space="preserve"> </w:t>
      </w:r>
      <w:r>
        <w:rPr>
          <w:rFonts w:ascii="Times New Roman" w:hAnsi="Times New Roman" w:cs="Times New Roman"/>
          <w:lang w:val="es-MX"/>
        </w:rPr>
        <w:t>2</w:t>
      </w:r>
      <w:r w:rsidRPr="00290459">
        <w:rPr>
          <w:rFonts w:ascii="Times New Roman" w:hAnsi="Times New Roman" w:cs="Times New Roman"/>
          <w:lang w:val="es-MX"/>
        </w:rPr>
        <w:t xml:space="preserve">. </w:t>
      </w:r>
      <w:r w:rsidRPr="00290459">
        <w:rPr>
          <w:rFonts w:ascii="Times New Roman" w:hAnsi="Times New Roman" w:cs="Times New Roman"/>
          <w:i/>
          <w:iCs/>
          <w:lang w:val="es-MX"/>
        </w:rPr>
        <w:t>Revistas colombianas clasificadas por Publindex (2008-2022)</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9"/>
        <w:gridCol w:w="1944"/>
        <w:gridCol w:w="1252"/>
        <w:gridCol w:w="1252"/>
        <w:gridCol w:w="1226"/>
        <w:gridCol w:w="1231"/>
      </w:tblGrid>
      <w:tr w:rsidR="0011142A" w:rsidRPr="00E24B6D" w14:paraId="4775AF74" w14:textId="77777777" w:rsidTr="00F60399">
        <w:tc>
          <w:tcPr>
            <w:tcW w:w="940" w:type="pct"/>
            <w:tcBorders>
              <w:top w:val="single" w:sz="4" w:space="0" w:color="auto"/>
              <w:bottom w:val="single" w:sz="4" w:space="0" w:color="auto"/>
            </w:tcBorders>
            <w:vAlign w:val="center"/>
          </w:tcPr>
          <w:p w14:paraId="28D576B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Año</w:t>
            </w:r>
          </w:p>
        </w:tc>
        <w:tc>
          <w:tcPr>
            <w:tcW w:w="1143" w:type="pct"/>
            <w:tcBorders>
              <w:top w:val="single" w:sz="4" w:space="0" w:color="auto"/>
              <w:bottom w:val="single" w:sz="4" w:space="0" w:color="auto"/>
            </w:tcBorders>
            <w:vAlign w:val="center"/>
          </w:tcPr>
          <w:p w14:paraId="2037DC9E" w14:textId="77777777" w:rsidR="0011142A" w:rsidRPr="0038760B" w:rsidRDefault="0011142A" w:rsidP="00F60399">
            <w:pPr>
              <w:jc w:val="center"/>
              <w:rPr>
                <w:rFonts w:ascii="Times New Roman" w:hAnsi="Times New Roman" w:cs="Times New Roman"/>
                <w:sz w:val="24"/>
                <w:szCs w:val="24"/>
                <w:lang w:val="es-CO"/>
              </w:rPr>
            </w:pPr>
            <w:bookmarkStart w:id="3" w:name="_Hlk175162905"/>
            <w:r w:rsidRPr="0038760B">
              <w:rPr>
                <w:rFonts w:ascii="Times New Roman" w:hAnsi="Times New Roman" w:cs="Times New Roman"/>
                <w:sz w:val="24"/>
                <w:szCs w:val="24"/>
                <w:lang w:val="es-CO"/>
              </w:rPr>
              <w:t>Revistas clasificadas</w:t>
            </w:r>
            <w:bookmarkEnd w:id="3"/>
          </w:p>
        </w:tc>
        <w:tc>
          <w:tcPr>
            <w:tcW w:w="736" w:type="pct"/>
            <w:tcBorders>
              <w:top w:val="single" w:sz="4" w:space="0" w:color="auto"/>
              <w:bottom w:val="single" w:sz="4" w:space="0" w:color="auto"/>
            </w:tcBorders>
            <w:vAlign w:val="center"/>
          </w:tcPr>
          <w:p w14:paraId="1A174B3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A1</w:t>
            </w:r>
          </w:p>
        </w:tc>
        <w:tc>
          <w:tcPr>
            <w:tcW w:w="736" w:type="pct"/>
            <w:tcBorders>
              <w:top w:val="single" w:sz="4" w:space="0" w:color="auto"/>
              <w:bottom w:val="single" w:sz="4" w:space="0" w:color="auto"/>
            </w:tcBorders>
            <w:vAlign w:val="center"/>
          </w:tcPr>
          <w:p w14:paraId="0AADC1E5"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A2</w:t>
            </w:r>
          </w:p>
        </w:tc>
        <w:tc>
          <w:tcPr>
            <w:tcW w:w="721" w:type="pct"/>
            <w:tcBorders>
              <w:top w:val="single" w:sz="4" w:space="0" w:color="auto"/>
              <w:bottom w:val="single" w:sz="4" w:space="0" w:color="auto"/>
            </w:tcBorders>
            <w:vAlign w:val="center"/>
          </w:tcPr>
          <w:p w14:paraId="46F42F2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B</w:t>
            </w:r>
          </w:p>
        </w:tc>
        <w:tc>
          <w:tcPr>
            <w:tcW w:w="724" w:type="pct"/>
            <w:tcBorders>
              <w:top w:val="single" w:sz="4" w:space="0" w:color="auto"/>
              <w:bottom w:val="single" w:sz="4" w:space="0" w:color="auto"/>
            </w:tcBorders>
            <w:vAlign w:val="center"/>
          </w:tcPr>
          <w:p w14:paraId="20C1D784"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C</w:t>
            </w:r>
          </w:p>
        </w:tc>
      </w:tr>
      <w:tr w:rsidR="0011142A" w:rsidRPr="00E24B6D" w14:paraId="741C2DFE" w14:textId="77777777" w:rsidTr="00F60399">
        <w:tc>
          <w:tcPr>
            <w:tcW w:w="940" w:type="pct"/>
            <w:tcBorders>
              <w:top w:val="single" w:sz="4" w:space="0" w:color="auto"/>
            </w:tcBorders>
            <w:vAlign w:val="center"/>
          </w:tcPr>
          <w:p w14:paraId="08D8E071"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2008*</w:t>
            </w:r>
          </w:p>
        </w:tc>
        <w:tc>
          <w:tcPr>
            <w:tcW w:w="1143" w:type="pct"/>
            <w:tcBorders>
              <w:top w:val="single" w:sz="4" w:space="0" w:color="auto"/>
            </w:tcBorders>
            <w:vAlign w:val="center"/>
          </w:tcPr>
          <w:p w14:paraId="032706B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262</w:t>
            </w:r>
          </w:p>
        </w:tc>
        <w:tc>
          <w:tcPr>
            <w:tcW w:w="736" w:type="pct"/>
            <w:tcBorders>
              <w:top w:val="single" w:sz="4" w:space="0" w:color="auto"/>
            </w:tcBorders>
            <w:vAlign w:val="center"/>
          </w:tcPr>
          <w:p w14:paraId="0B39BF7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15</w:t>
            </w:r>
          </w:p>
        </w:tc>
        <w:tc>
          <w:tcPr>
            <w:tcW w:w="736" w:type="pct"/>
            <w:tcBorders>
              <w:top w:val="single" w:sz="4" w:space="0" w:color="auto"/>
            </w:tcBorders>
            <w:vAlign w:val="center"/>
          </w:tcPr>
          <w:p w14:paraId="41735DC0"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39</w:t>
            </w:r>
          </w:p>
        </w:tc>
        <w:tc>
          <w:tcPr>
            <w:tcW w:w="721" w:type="pct"/>
            <w:tcBorders>
              <w:top w:val="single" w:sz="4" w:space="0" w:color="auto"/>
            </w:tcBorders>
            <w:vAlign w:val="center"/>
          </w:tcPr>
          <w:p w14:paraId="01E0629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68</w:t>
            </w:r>
          </w:p>
        </w:tc>
        <w:tc>
          <w:tcPr>
            <w:tcW w:w="724" w:type="pct"/>
            <w:tcBorders>
              <w:top w:val="single" w:sz="4" w:space="0" w:color="auto"/>
            </w:tcBorders>
            <w:vAlign w:val="center"/>
          </w:tcPr>
          <w:p w14:paraId="1832E8DD"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140</w:t>
            </w:r>
          </w:p>
        </w:tc>
      </w:tr>
      <w:tr w:rsidR="0011142A" w:rsidRPr="00E24B6D" w14:paraId="3C264234" w14:textId="77777777" w:rsidTr="00F60399">
        <w:tc>
          <w:tcPr>
            <w:tcW w:w="940" w:type="pct"/>
            <w:vAlign w:val="center"/>
          </w:tcPr>
          <w:p w14:paraId="781D5398"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2009*</w:t>
            </w:r>
          </w:p>
        </w:tc>
        <w:tc>
          <w:tcPr>
            <w:tcW w:w="1143" w:type="pct"/>
            <w:vAlign w:val="center"/>
          </w:tcPr>
          <w:p w14:paraId="181CE4D5"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309</w:t>
            </w:r>
          </w:p>
        </w:tc>
        <w:tc>
          <w:tcPr>
            <w:tcW w:w="736" w:type="pct"/>
            <w:vAlign w:val="center"/>
          </w:tcPr>
          <w:p w14:paraId="27838789"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19</w:t>
            </w:r>
          </w:p>
        </w:tc>
        <w:tc>
          <w:tcPr>
            <w:tcW w:w="736" w:type="pct"/>
            <w:vAlign w:val="center"/>
          </w:tcPr>
          <w:p w14:paraId="7BF36988"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50</w:t>
            </w:r>
          </w:p>
        </w:tc>
        <w:tc>
          <w:tcPr>
            <w:tcW w:w="721" w:type="pct"/>
            <w:vAlign w:val="center"/>
          </w:tcPr>
          <w:p w14:paraId="442493A5"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75</w:t>
            </w:r>
          </w:p>
        </w:tc>
        <w:tc>
          <w:tcPr>
            <w:tcW w:w="724" w:type="pct"/>
            <w:vAlign w:val="center"/>
          </w:tcPr>
          <w:p w14:paraId="4A4109E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165</w:t>
            </w:r>
          </w:p>
        </w:tc>
      </w:tr>
      <w:tr w:rsidR="0011142A" w:rsidRPr="00E24B6D" w14:paraId="15568F5F" w14:textId="77777777" w:rsidTr="00F60399">
        <w:tc>
          <w:tcPr>
            <w:tcW w:w="940" w:type="pct"/>
            <w:vAlign w:val="center"/>
          </w:tcPr>
          <w:p w14:paraId="22C6A9D2"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2010*</w:t>
            </w:r>
          </w:p>
        </w:tc>
        <w:tc>
          <w:tcPr>
            <w:tcW w:w="1143" w:type="pct"/>
            <w:vAlign w:val="center"/>
          </w:tcPr>
          <w:p w14:paraId="3A6DAA7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373</w:t>
            </w:r>
          </w:p>
        </w:tc>
        <w:tc>
          <w:tcPr>
            <w:tcW w:w="736" w:type="pct"/>
            <w:vAlign w:val="center"/>
          </w:tcPr>
          <w:p w14:paraId="1C317485"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23</w:t>
            </w:r>
          </w:p>
        </w:tc>
        <w:tc>
          <w:tcPr>
            <w:tcW w:w="736" w:type="pct"/>
            <w:vAlign w:val="center"/>
          </w:tcPr>
          <w:p w14:paraId="304FCB43"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74</w:t>
            </w:r>
          </w:p>
        </w:tc>
        <w:tc>
          <w:tcPr>
            <w:tcW w:w="721" w:type="pct"/>
            <w:vAlign w:val="center"/>
          </w:tcPr>
          <w:p w14:paraId="0035A4FB"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66</w:t>
            </w:r>
          </w:p>
        </w:tc>
        <w:tc>
          <w:tcPr>
            <w:tcW w:w="724" w:type="pct"/>
            <w:vAlign w:val="center"/>
          </w:tcPr>
          <w:p w14:paraId="2506EA48"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210</w:t>
            </w:r>
          </w:p>
        </w:tc>
      </w:tr>
      <w:tr w:rsidR="0011142A" w:rsidRPr="00E24B6D" w14:paraId="70D79B33" w14:textId="77777777" w:rsidTr="00F60399">
        <w:tc>
          <w:tcPr>
            <w:tcW w:w="940" w:type="pct"/>
            <w:vAlign w:val="center"/>
          </w:tcPr>
          <w:p w14:paraId="34C6EEC1"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2011*</w:t>
            </w:r>
          </w:p>
        </w:tc>
        <w:tc>
          <w:tcPr>
            <w:tcW w:w="1143" w:type="pct"/>
            <w:vAlign w:val="center"/>
          </w:tcPr>
          <w:p w14:paraId="4EC2214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453</w:t>
            </w:r>
          </w:p>
        </w:tc>
        <w:tc>
          <w:tcPr>
            <w:tcW w:w="736" w:type="pct"/>
            <w:vAlign w:val="center"/>
          </w:tcPr>
          <w:p w14:paraId="08837F5B"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22</w:t>
            </w:r>
          </w:p>
        </w:tc>
        <w:tc>
          <w:tcPr>
            <w:tcW w:w="736" w:type="pct"/>
            <w:vAlign w:val="center"/>
          </w:tcPr>
          <w:p w14:paraId="37B98260"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108</w:t>
            </w:r>
          </w:p>
        </w:tc>
        <w:tc>
          <w:tcPr>
            <w:tcW w:w="721" w:type="pct"/>
            <w:vAlign w:val="center"/>
          </w:tcPr>
          <w:p w14:paraId="62CB7F2E"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116</w:t>
            </w:r>
          </w:p>
        </w:tc>
        <w:tc>
          <w:tcPr>
            <w:tcW w:w="724" w:type="pct"/>
            <w:vAlign w:val="center"/>
          </w:tcPr>
          <w:p w14:paraId="33DAED8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207</w:t>
            </w:r>
          </w:p>
        </w:tc>
      </w:tr>
      <w:tr w:rsidR="0011142A" w:rsidRPr="00E24B6D" w14:paraId="387C78A9" w14:textId="77777777" w:rsidTr="00F60399">
        <w:tc>
          <w:tcPr>
            <w:tcW w:w="940" w:type="pct"/>
            <w:vAlign w:val="center"/>
          </w:tcPr>
          <w:p w14:paraId="1A69EC1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lastRenderedPageBreak/>
              <w:t>2012*</w:t>
            </w:r>
          </w:p>
        </w:tc>
        <w:tc>
          <w:tcPr>
            <w:tcW w:w="1143" w:type="pct"/>
            <w:vAlign w:val="center"/>
          </w:tcPr>
          <w:p w14:paraId="6C92EBDF"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513</w:t>
            </w:r>
          </w:p>
        </w:tc>
        <w:tc>
          <w:tcPr>
            <w:tcW w:w="736" w:type="pct"/>
            <w:vAlign w:val="center"/>
          </w:tcPr>
          <w:p w14:paraId="5B6FA8B8"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27</w:t>
            </w:r>
          </w:p>
        </w:tc>
        <w:tc>
          <w:tcPr>
            <w:tcW w:w="736" w:type="pct"/>
            <w:vAlign w:val="center"/>
          </w:tcPr>
          <w:p w14:paraId="65A88B7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113</w:t>
            </w:r>
          </w:p>
        </w:tc>
        <w:tc>
          <w:tcPr>
            <w:tcW w:w="721" w:type="pct"/>
            <w:vAlign w:val="center"/>
          </w:tcPr>
          <w:p w14:paraId="0DFB07EF"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110</w:t>
            </w:r>
          </w:p>
        </w:tc>
        <w:tc>
          <w:tcPr>
            <w:tcW w:w="724" w:type="pct"/>
            <w:vAlign w:val="center"/>
          </w:tcPr>
          <w:p w14:paraId="726C1C09"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263</w:t>
            </w:r>
          </w:p>
        </w:tc>
      </w:tr>
      <w:tr w:rsidR="0011142A" w:rsidRPr="00E24B6D" w14:paraId="635EF57B" w14:textId="77777777" w:rsidTr="00F60399">
        <w:tc>
          <w:tcPr>
            <w:tcW w:w="940" w:type="pct"/>
            <w:vAlign w:val="center"/>
          </w:tcPr>
          <w:p w14:paraId="1A2DBABF"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2013*</w:t>
            </w:r>
          </w:p>
        </w:tc>
        <w:tc>
          <w:tcPr>
            <w:tcW w:w="1143" w:type="pct"/>
            <w:vAlign w:val="center"/>
          </w:tcPr>
          <w:p w14:paraId="6761F292"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515</w:t>
            </w:r>
          </w:p>
        </w:tc>
        <w:tc>
          <w:tcPr>
            <w:tcW w:w="736" w:type="pct"/>
            <w:vAlign w:val="center"/>
          </w:tcPr>
          <w:p w14:paraId="33A3CC4B"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26</w:t>
            </w:r>
          </w:p>
        </w:tc>
        <w:tc>
          <w:tcPr>
            <w:tcW w:w="736" w:type="pct"/>
            <w:vAlign w:val="center"/>
          </w:tcPr>
          <w:p w14:paraId="2DE11963"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127</w:t>
            </w:r>
          </w:p>
        </w:tc>
        <w:tc>
          <w:tcPr>
            <w:tcW w:w="721" w:type="pct"/>
            <w:vAlign w:val="center"/>
          </w:tcPr>
          <w:p w14:paraId="2F97B10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129</w:t>
            </w:r>
          </w:p>
        </w:tc>
        <w:tc>
          <w:tcPr>
            <w:tcW w:w="724" w:type="pct"/>
            <w:vAlign w:val="center"/>
          </w:tcPr>
          <w:p w14:paraId="696F06A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233</w:t>
            </w:r>
          </w:p>
        </w:tc>
      </w:tr>
      <w:tr w:rsidR="0011142A" w:rsidRPr="00E24B6D" w14:paraId="7AC2DFC0" w14:textId="77777777" w:rsidTr="00F60399">
        <w:tc>
          <w:tcPr>
            <w:tcW w:w="940" w:type="pct"/>
            <w:vAlign w:val="center"/>
          </w:tcPr>
          <w:p w14:paraId="4CFC4E18"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2015*</w:t>
            </w:r>
          </w:p>
        </w:tc>
        <w:tc>
          <w:tcPr>
            <w:tcW w:w="1143" w:type="pct"/>
            <w:vAlign w:val="center"/>
          </w:tcPr>
          <w:p w14:paraId="064CC37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526</w:t>
            </w:r>
          </w:p>
        </w:tc>
        <w:tc>
          <w:tcPr>
            <w:tcW w:w="736" w:type="pct"/>
            <w:vAlign w:val="center"/>
          </w:tcPr>
          <w:p w14:paraId="49F3706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29</w:t>
            </w:r>
          </w:p>
        </w:tc>
        <w:tc>
          <w:tcPr>
            <w:tcW w:w="736" w:type="pct"/>
            <w:vAlign w:val="center"/>
          </w:tcPr>
          <w:p w14:paraId="1B2C779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148</w:t>
            </w:r>
          </w:p>
        </w:tc>
        <w:tc>
          <w:tcPr>
            <w:tcW w:w="721" w:type="pct"/>
            <w:vAlign w:val="center"/>
          </w:tcPr>
          <w:p w14:paraId="13F4909C"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124</w:t>
            </w:r>
          </w:p>
        </w:tc>
        <w:tc>
          <w:tcPr>
            <w:tcW w:w="724" w:type="pct"/>
            <w:vAlign w:val="center"/>
          </w:tcPr>
          <w:p w14:paraId="285C5F5B"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225</w:t>
            </w:r>
          </w:p>
        </w:tc>
      </w:tr>
      <w:tr w:rsidR="0011142A" w:rsidRPr="00E24B6D" w14:paraId="6108A02B" w14:textId="77777777" w:rsidTr="00F60399">
        <w:tc>
          <w:tcPr>
            <w:tcW w:w="940" w:type="pct"/>
            <w:vAlign w:val="center"/>
          </w:tcPr>
          <w:p w14:paraId="210EC3B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2017</w:t>
            </w:r>
          </w:p>
        </w:tc>
        <w:tc>
          <w:tcPr>
            <w:tcW w:w="1143" w:type="pct"/>
            <w:vAlign w:val="center"/>
          </w:tcPr>
          <w:p w14:paraId="4E76D371"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244</w:t>
            </w:r>
          </w:p>
        </w:tc>
        <w:tc>
          <w:tcPr>
            <w:tcW w:w="736" w:type="pct"/>
            <w:vAlign w:val="center"/>
          </w:tcPr>
          <w:p w14:paraId="3F9A63F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w:t>
            </w:r>
          </w:p>
        </w:tc>
        <w:tc>
          <w:tcPr>
            <w:tcW w:w="736" w:type="pct"/>
            <w:vAlign w:val="center"/>
          </w:tcPr>
          <w:p w14:paraId="20FA4411"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14</w:t>
            </w:r>
          </w:p>
        </w:tc>
        <w:tc>
          <w:tcPr>
            <w:tcW w:w="721" w:type="pct"/>
            <w:vAlign w:val="center"/>
          </w:tcPr>
          <w:p w14:paraId="3C11F64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104</w:t>
            </w:r>
          </w:p>
        </w:tc>
        <w:tc>
          <w:tcPr>
            <w:tcW w:w="724" w:type="pct"/>
            <w:vAlign w:val="center"/>
          </w:tcPr>
          <w:p w14:paraId="1821BAD1"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125</w:t>
            </w:r>
          </w:p>
        </w:tc>
      </w:tr>
      <w:tr w:rsidR="0011142A" w:rsidRPr="00E24B6D" w14:paraId="770769DB" w14:textId="77777777" w:rsidTr="00F60399">
        <w:tc>
          <w:tcPr>
            <w:tcW w:w="940" w:type="pct"/>
            <w:vAlign w:val="center"/>
          </w:tcPr>
          <w:p w14:paraId="22F56CF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2019</w:t>
            </w:r>
          </w:p>
        </w:tc>
        <w:tc>
          <w:tcPr>
            <w:tcW w:w="1143" w:type="pct"/>
            <w:vAlign w:val="center"/>
          </w:tcPr>
          <w:p w14:paraId="3C61DCF4"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275</w:t>
            </w:r>
          </w:p>
        </w:tc>
        <w:tc>
          <w:tcPr>
            <w:tcW w:w="736" w:type="pct"/>
            <w:vAlign w:val="center"/>
          </w:tcPr>
          <w:p w14:paraId="1166505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3</w:t>
            </w:r>
          </w:p>
        </w:tc>
        <w:tc>
          <w:tcPr>
            <w:tcW w:w="736" w:type="pct"/>
            <w:vAlign w:val="center"/>
          </w:tcPr>
          <w:p w14:paraId="1D24C8F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10</w:t>
            </w:r>
          </w:p>
        </w:tc>
        <w:tc>
          <w:tcPr>
            <w:tcW w:w="721" w:type="pct"/>
            <w:vAlign w:val="center"/>
          </w:tcPr>
          <w:p w14:paraId="273E576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119</w:t>
            </w:r>
          </w:p>
        </w:tc>
        <w:tc>
          <w:tcPr>
            <w:tcW w:w="724" w:type="pct"/>
            <w:vAlign w:val="center"/>
          </w:tcPr>
          <w:p w14:paraId="1DAC5361"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143</w:t>
            </w:r>
          </w:p>
        </w:tc>
      </w:tr>
      <w:tr w:rsidR="0011142A" w:rsidRPr="00E24B6D" w14:paraId="21770F7C" w14:textId="77777777" w:rsidTr="00F60399">
        <w:tc>
          <w:tcPr>
            <w:tcW w:w="940" w:type="pct"/>
            <w:vAlign w:val="center"/>
          </w:tcPr>
          <w:p w14:paraId="7274EA8B"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2020</w:t>
            </w:r>
          </w:p>
        </w:tc>
        <w:tc>
          <w:tcPr>
            <w:tcW w:w="1143" w:type="pct"/>
            <w:vAlign w:val="center"/>
          </w:tcPr>
          <w:p w14:paraId="0A56DD98"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277</w:t>
            </w:r>
          </w:p>
        </w:tc>
        <w:tc>
          <w:tcPr>
            <w:tcW w:w="736" w:type="pct"/>
            <w:vAlign w:val="center"/>
          </w:tcPr>
          <w:p w14:paraId="417FD6E0"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4</w:t>
            </w:r>
          </w:p>
        </w:tc>
        <w:tc>
          <w:tcPr>
            <w:tcW w:w="736" w:type="pct"/>
            <w:vAlign w:val="center"/>
          </w:tcPr>
          <w:p w14:paraId="6063343A"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19</w:t>
            </w:r>
          </w:p>
        </w:tc>
        <w:tc>
          <w:tcPr>
            <w:tcW w:w="721" w:type="pct"/>
            <w:vAlign w:val="center"/>
          </w:tcPr>
          <w:p w14:paraId="58D781A4"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120</w:t>
            </w:r>
          </w:p>
        </w:tc>
        <w:tc>
          <w:tcPr>
            <w:tcW w:w="724" w:type="pct"/>
            <w:vAlign w:val="center"/>
          </w:tcPr>
          <w:p w14:paraId="5E9551FC"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134</w:t>
            </w:r>
          </w:p>
        </w:tc>
      </w:tr>
      <w:tr w:rsidR="0011142A" w:rsidRPr="00E24B6D" w14:paraId="5B7FAADE" w14:textId="77777777" w:rsidTr="00F60399">
        <w:tc>
          <w:tcPr>
            <w:tcW w:w="940" w:type="pct"/>
            <w:tcBorders>
              <w:bottom w:val="single" w:sz="4" w:space="0" w:color="auto"/>
            </w:tcBorders>
            <w:vAlign w:val="center"/>
          </w:tcPr>
          <w:p w14:paraId="6F99C0D7"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2022</w:t>
            </w:r>
          </w:p>
        </w:tc>
        <w:tc>
          <w:tcPr>
            <w:tcW w:w="1143" w:type="pct"/>
            <w:tcBorders>
              <w:bottom w:val="single" w:sz="4" w:space="0" w:color="auto"/>
            </w:tcBorders>
            <w:vAlign w:val="center"/>
          </w:tcPr>
          <w:p w14:paraId="7887EC2B"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286</w:t>
            </w:r>
          </w:p>
        </w:tc>
        <w:tc>
          <w:tcPr>
            <w:tcW w:w="736" w:type="pct"/>
            <w:tcBorders>
              <w:bottom w:val="single" w:sz="4" w:space="0" w:color="auto"/>
            </w:tcBorders>
            <w:vAlign w:val="center"/>
          </w:tcPr>
          <w:p w14:paraId="117C1566"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7</w:t>
            </w:r>
          </w:p>
        </w:tc>
        <w:tc>
          <w:tcPr>
            <w:tcW w:w="736" w:type="pct"/>
            <w:tcBorders>
              <w:bottom w:val="single" w:sz="4" w:space="0" w:color="auto"/>
            </w:tcBorders>
            <w:vAlign w:val="center"/>
          </w:tcPr>
          <w:p w14:paraId="604DB38F"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17</w:t>
            </w:r>
          </w:p>
        </w:tc>
        <w:tc>
          <w:tcPr>
            <w:tcW w:w="721" w:type="pct"/>
            <w:tcBorders>
              <w:bottom w:val="single" w:sz="4" w:space="0" w:color="auto"/>
            </w:tcBorders>
            <w:vAlign w:val="center"/>
          </w:tcPr>
          <w:p w14:paraId="1FEE560F"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113</w:t>
            </w:r>
          </w:p>
        </w:tc>
        <w:tc>
          <w:tcPr>
            <w:tcW w:w="724" w:type="pct"/>
            <w:tcBorders>
              <w:bottom w:val="single" w:sz="4" w:space="0" w:color="auto"/>
            </w:tcBorders>
            <w:vAlign w:val="center"/>
          </w:tcPr>
          <w:p w14:paraId="15684083" w14:textId="77777777" w:rsidR="0011142A" w:rsidRPr="00E24B6D" w:rsidRDefault="0011142A" w:rsidP="00F60399">
            <w:pPr>
              <w:jc w:val="center"/>
              <w:rPr>
                <w:rFonts w:ascii="Times New Roman" w:hAnsi="Times New Roman" w:cs="Times New Roman"/>
                <w:sz w:val="24"/>
                <w:szCs w:val="24"/>
              </w:rPr>
            </w:pPr>
            <w:r w:rsidRPr="537B4397">
              <w:rPr>
                <w:rFonts w:ascii="Times New Roman" w:hAnsi="Times New Roman" w:cs="Times New Roman"/>
                <w:sz w:val="24"/>
                <w:szCs w:val="24"/>
              </w:rPr>
              <w:t>149</w:t>
            </w:r>
          </w:p>
        </w:tc>
      </w:tr>
    </w:tbl>
    <w:p w14:paraId="4BCAF937" w14:textId="77777777" w:rsidR="0011142A" w:rsidRPr="00290459" w:rsidRDefault="0011142A" w:rsidP="0011142A">
      <w:pPr>
        <w:rPr>
          <w:rFonts w:ascii="Times New Roman" w:hAnsi="Times New Roman" w:cs="Times New Roman"/>
          <w:lang w:val="es-MX"/>
        </w:rPr>
      </w:pPr>
      <w:r w:rsidRPr="00290459">
        <w:rPr>
          <w:rFonts w:ascii="Times New Roman" w:hAnsi="Times New Roman" w:cs="Times New Roman"/>
          <w:lang w:val="es-MX"/>
        </w:rPr>
        <w:t>* Antes del modelo de clasificación de revistas nacionales de 2016</w:t>
      </w:r>
    </w:p>
    <w:p w14:paraId="44C78268" w14:textId="77777777" w:rsidR="0011142A" w:rsidRPr="00290459" w:rsidRDefault="0011142A" w:rsidP="0011142A">
      <w:pPr>
        <w:spacing w:after="240"/>
        <w:rPr>
          <w:rFonts w:ascii="Times New Roman" w:hAnsi="Times New Roman" w:cs="Times New Roman"/>
          <w:lang w:val="es-MX"/>
        </w:rPr>
      </w:pPr>
      <w:r w:rsidRPr="00290459">
        <w:rPr>
          <w:rFonts w:ascii="Times New Roman" w:hAnsi="Times New Roman" w:cs="Times New Roman"/>
          <w:lang w:val="es-MX"/>
        </w:rPr>
        <w:t xml:space="preserve">Fuente: </w:t>
      </w:r>
      <w:r w:rsidRPr="00290459">
        <w:rPr>
          <w:rFonts w:ascii="Times New Roman" w:hAnsi="Times New Roman" w:cs="Times New Roman"/>
          <w:noProof/>
          <w:lang w:val="es-MX"/>
        </w:rPr>
        <w:t xml:space="preserve">(Colciencias, 2017b, 2019; Minciencias, 2020c, 2022, 2024) </w:t>
      </w:r>
    </w:p>
    <w:p w14:paraId="7648A862" w14:textId="60F604EB" w:rsidR="0011142A" w:rsidRPr="0011142A" w:rsidRDefault="0011142A" w:rsidP="0011142A">
      <w:pPr>
        <w:spacing w:line="240" w:lineRule="auto"/>
        <w:jc w:val="both"/>
        <w:rPr>
          <w:rFonts w:ascii="Times New Roman" w:hAnsi="Times New Roman" w:cs="Times New Roman"/>
          <w:i/>
          <w:iCs/>
          <w:lang w:val="es-MX"/>
        </w:rPr>
      </w:pPr>
      <w:r w:rsidRPr="0011142A">
        <w:rPr>
          <w:rFonts w:ascii="Times New Roman" w:hAnsi="Times New Roman" w:cs="Times New Roman"/>
          <w:i/>
          <w:iCs/>
          <w:lang w:val="es-MX"/>
        </w:rPr>
        <w:t>Justificación del «epistemicidio»</w:t>
      </w:r>
    </w:p>
    <w:p w14:paraId="5C70BFE5"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La justificación en la que se basa la política y las medidas adoptadas sirve de vehículo para naturalizar un conjunto de ideas que incluye supuestos sobre lo que se considera correcto, normal o deseable en el ámbito de la publicación académica. Estos supuestos operan como formas de sentido común y sirven para legitimar el predominio del modelo de publicación académica con ánimo de lucro y su discurso:  </w:t>
      </w:r>
    </w:p>
    <w:p w14:paraId="6C7E9D9D"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Las citas como criterio de calidad. Aunque el término «impacto» aparecía 15 veces en el documento de política, y uno de los objetivos de la misma era aumentar el número de publicaciones en revistas de «alto impacto», ni «impacto» ni «alto impacto» se definieron explícitamente (Colciencias, 2016b). No obstante, es posible deducir que el concepto se asociaba implícitamente con el recuento de citas, partiendo de la premisa de que el número de citas que recibe un investigador constituye el indicador principal de la relevancia o la calidad del trabajo académico. </w:t>
      </w:r>
    </w:p>
    <w:p w14:paraId="50717FAD"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La calidad de las revistas se sitúa fuera del país. La política construyó su argumento comparando la supuesta baja calidad de las revistas nacionales con «lo externo» como punto de referencia para la evaluación. Este enfoque apareció repetidamente a lo largo del documento de política (Colciencias, 2016b). En términos más generales, el término «internacional» apareció 76 veces en el documento de la política, tratando las revistas de alto impacto y revistas internacionales indistintamente (Colciencias, 2016b). </w:t>
      </w:r>
    </w:p>
    <w:p w14:paraId="2D3C0290" w14:textId="77777777" w:rsidR="0011142A" w:rsidRP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El factor de impacto como medidas dominantes e es de la calidad de las revistas. Para mejorar la calidad de las revistas nacionales, la política estableció la necesidad de adoptar herramientas objetivas «comúnmente aceptadas» (Colciencias, 2016a, p. 10). </w:t>
      </w:r>
    </w:p>
    <w:p w14:paraId="74E2F60C" w14:textId="723B2BAC" w:rsid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 El inglés es el idioma dominante en el ámbito editorial. La política fomenta implícitamente la publicación en inglés en lugar de en español, a través de criterios bibliométricos que privilegian las revistas internacionales mejor clasificadas (Q1 y Q2), que son predominantemente en inglés.</w:t>
      </w:r>
    </w:p>
    <w:p w14:paraId="791670E6" w14:textId="77777777" w:rsidR="0011142A" w:rsidRPr="0011142A" w:rsidRDefault="0011142A" w:rsidP="0011142A">
      <w:pPr>
        <w:spacing w:line="240" w:lineRule="auto"/>
        <w:jc w:val="both"/>
        <w:rPr>
          <w:rFonts w:ascii="Times New Roman" w:hAnsi="Times New Roman" w:cs="Times New Roman"/>
          <w:b/>
          <w:bCs/>
          <w:lang w:val="es-MX"/>
        </w:rPr>
      </w:pPr>
      <w:r w:rsidRPr="0011142A">
        <w:rPr>
          <w:rFonts w:ascii="Times New Roman" w:hAnsi="Times New Roman" w:cs="Times New Roman"/>
          <w:b/>
          <w:bCs/>
          <w:lang w:val="es-MX"/>
        </w:rPr>
        <w:t>Fase 2. Cómo los editores de revistas colombianas se desenvuelven y decolonizan la publicación académica</w:t>
      </w:r>
    </w:p>
    <w:p w14:paraId="363E0412" w14:textId="6CF621AF" w:rsidR="0011142A" w:rsidRDefault="0011142A" w:rsidP="0011142A">
      <w:pPr>
        <w:spacing w:line="240" w:lineRule="auto"/>
        <w:jc w:val="both"/>
        <w:rPr>
          <w:rFonts w:ascii="Times New Roman" w:hAnsi="Times New Roman" w:cs="Times New Roman"/>
          <w:lang w:val="es-MX"/>
        </w:rPr>
      </w:pPr>
      <w:r w:rsidRPr="0011142A">
        <w:rPr>
          <w:rFonts w:ascii="Times New Roman" w:hAnsi="Times New Roman" w:cs="Times New Roman"/>
          <w:lang w:val="es-MX"/>
        </w:rPr>
        <w:t xml:space="preserve">Identificamos cuatro vías diferentes a través de las cuales los editores se relacionan con la publicación académica, navegando por ella y, en ocasiones, decolonizándola: 1) </w:t>
      </w:r>
      <w:r w:rsidRPr="0011142A">
        <w:rPr>
          <w:rFonts w:ascii="Times New Roman" w:hAnsi="Times New Roman" w:cs="Times New Roman"/>
          <w:lang w:val="es-MX"/>
        </w:rPr>
        <w:lastRenderedPageBreak/>
        <w:t>Rechazo del colonialismo académico y el capitalismo. Estos editores critican explícitamente el modelo con ánimo de lucro y su anglocentrismo, y desobedecen sus objetivos y expectativas. 2) Aprovechando el sistema: «hacking» decolonial. Estos editores utilizan el sistema para alcanzar objetivos decoloniales; 3) Adaptación mediante la innovación en una nueva era. Los editores que son innovadores digitales con visión de futuro aspiran a la inclusión en el sistema global sin dejar de llevar a cabo acciones decoloniales, y 4) Extinción bajo el capitalismo académico: la colonización de las revistas periféricas, cuando los editores se rinden a los valores capitalistas y coloniales en sus revistas y no logran sobrevivir. Estas vías representan un continuo que va desde la decolonización y el régimen del bien público hasta la colonización y el régimen del capitalismo académico (véase la figura 1).</w:t>
      </w:r>
    </w:p>
    <w:p w14:paraId="21541B54" w14:textId="77777777" w:rsidR="00A30A59" w:rsidRPr="00290459" w:rsidRDefault="00A30A59" w:rsidP="00A30A59">
      <w:pPr>
        <w:spacing w:line="480" w:lineRule="auto"/>
        <w:ind w:firstLine="720"/>
        <w:rPr>
          <w:rFonts w:ascii="Times New Roman" w:hAnsi="Times New Roman" w:cs="Times New Roman"/>
          <w:i/>
          <w:iCs/>
          <w:lang w:val="es-MX"/>
        </w:rPr>
      </w:pPr>
      <w:r w:rsidRPr="00290459">
        <w:rPr>
          <w:rFonts w:ascii="Times New Roman" w:hAnsi="Times New Roman" w:cs="Times New Roman"/>
          <w:lang w:val="es-MX"/>
        </w:rPr>
        <w:t xml:space="preserve">Figura 1. </w:t>
      </w:r>
      <w:r w:rsidRPr="00290459">
        <w:rPr>
          <w:rFonts w:ascii="Times New Roman" w:hAnsi="Times New Roman" w:cs="Times New Roman"/>
          <w:i/>
          <w:iCs/>
          <w:lang w:val="es-MX"/>
        </w:rPr>
        <w:t xml:space="preserve">Vías para orientar y decolonizar la publicación académica    </w:t>
      </w:r>
    </w:p>
    <w:p w14:paraId="32A92BE0" w14:textId="77777777" w:rsidR="00A30A59" w:rsidRPr="00290459" w:rsidRDefault="00A30A59" w:rsidP="00A30A59">
      <w:pPr>
        <w:spacing w:line="480" w:lineRule="auto"/>
        <w:rPr>
          <w:rFonts w:ascii="Times New Roman" w:hAnsi="Times New Roman" w:cs="Times New Roman"/>
          <w:lang w:val="es-MX"/>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1ACF0AF2" wp14:editId="13E3B5CA">
                <wp:simplePos x="0" y="0"/>
                <wp:positionH relativeFrom="column">
                  <wp:posOffset>-228600</wp:posOffset>
                </wp:positionH>
                <wp:positionV relativeFrom="paragraph">
                  <wp:posOffset>79375</wp:posOffset>
                </wp:positionV>
                <wp:extent cx="6377305" cy="721360"/>
                <wp:effectExtent l="57150" t="38100" r="23495" b="78740"/>
                <wp:wrapNone/>
                <wp:docPr id="1939882446" name="Grupo 3"/>
                <wp:cNvGraphicFramePr/>
                <a:graphic xmlns:a="http://schemas.openxmlformats.org/drawingml/2006/main">
                  <a:graphicData uri="http://schemas.microsoft.com/office/word/2010/wordprocessingGroup">
                    <wpg:wgp>
                      <wpg:cNvGrpSpPr/>
                      <wpg:grpSpPr>
                        <a:xfrm>
                          <a:off x="0" y="0"/>
                          <a:ext cx="6377305" cy="721360"/>
                          <a:chOff x="0" y="0"/>
                          <a:chExt cx="6377305" cy="721360"/>
                        </a:xfrm>
                      </wpg:grpSpPr>
                      <wps:wsp>
                        <wps:cNvPr id="973411946" name="Flecha: a la izquierda y derecha 1"/>
                        <wps:cNvSpPr/>
                        <wps:spPr>
                          <a:xfrm>
                            <a:off x="0" y="0"/>
                            <a:ext cx="6377305" cy="721360"/>
                          </a:xfrm>
                          <a:prstGeom prst="leftRightArrow">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534494" name="Cuadro de texto 2"/>
                        <wps:cNvSpPr txBox="1"/>
                        <wps:spPr>
                          <a:xfrm>
                            <a:off x="173061" y="180264"/>
                            <a:ext cx="1931035" cy="387350"/>
                          </a:xfrm>
                          <a:prstGeom prst="rect">
                            <a:avLst/>
                          </a:prstGeom>
                          <a:noFill/>
                          <a:ln w="6350">
                            <a:noFill/>
                          </a:ln>
                        </wps:spPr>
                        <wps:txbx>
                          <w:txbxContent>
                            <w:p w14:paraId="50F55F29"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Régimen de bien público</w:t>
                              </w:r>
                            </w:p>
                            <w:p w14:paraId="705091B1"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Decolonización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28614701" name="Cuadro de texto 2"/>
                        <wps:cNvSpPr txBox="1"/>
                        <wps:spPr>
                          <a:xfrm>
                            <a:off x="4330226" y="180264"/>
                            <a:ext cx="1931035" cy="387350"/>
                          </a:xfrm>
                          <a:prstGeom prst="rect">
                            <a:avLst/>
                          </a:prstGeom>
                          <a:noFill/>
                          <a:ln w="6350">
                            <a:noFill/>
                          </a:ln>
                        </wps:spPr>
                        <wps:txbx>
                          <w:txbxContent>
                            <w:p w14:paraId="2CAC5045"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Régimen del capitalismo académico</w:t>
                              </w:r>
                            </w:p>
                            <w:p w14:paraId="69903F54"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Colonización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ACF0AF2" id="Grupo 3" o:spid="_x0000_s1026" style="position:absolute;margin-left:-18pt;margin-top:6.25pt;width:502.15pt;height:56.8pt;z-index:251659264" coordsize="63773,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echa: a la izquierda y derecha 1" o:spid="_x0000_s1027" type="#_x0000_t69" style="position:absolute;width:63773;height:7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" adj="1222" fillcolor="#d8d8d8 [2732]" stroked="f" strokeweight=".5pt"/>
                <v:shapetype id="_x0000_t202" coordsize="21600,21600" o:spt="202" path="m,l,21600r21600,l21600,xe">
                  <v:stroke joinstyle="miter"/>
                  <v:path gradientshapeok="t" o:connecttype="rect"/>
                </v:shapetype>
                <v:shape id="Cuadro de texto 2" o:spid="_x0000_s1028" type="#_x0000_t202" style="position:absolute;left:1730;top:1802;width:19310;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" filled="f" stroked="f" strokeweight=".5pt">
                  <v:textbox>
                    <w:txbxContent>
                      <w:p w14:paraId="50F55F29"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Régimen de bien público</w:t>
                        </w:r>
                      </w:p>
                      <w:p w14:paraId="705091B1"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Decolonización</w:t>
                        </w:r>
                      </w:p>
                    </w:txbxContent>
                  </v:textbox>
                </v:shape>
                <v:shape id="Cuadro de texto 2" o:spid="_x0000_s1029" type="#_x0000_t202" style="position:absolute;left:43302;top:1802;width:19310;height:3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" filled="f" stroked="f" strokeweight=".5pt">
                  <v:textbox>
                    <w:txbxContent>
                      <w:p w14:paraId="2CAC5045"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Régimen del capitalismo académico</w:t>
                        </w:r>
                      </w:p>
                      <w:p w14:paraId="69903F54" w14:textId="77777777" w:rsidR="00A30A59" w:rsidRPr="00117DE5" w:rsidRDefault="00A30A59" w:rsidP="00A30A59">
                        <w:pPr>
                          <w:jc w:val="center"/>
                          <w:rPr>
                            <w:rFonts w:ascii="Times New Roman" w:hAnsi="Times New Roman" w:cs="Times New Roman"/>
                            <w:b/>
                            <w:bCs/>
                            <w:i/>
                            <w:iCs/>
                            <w:sz w:val="20"/>
                            <w:szCs w:val="20"/>
                          </w:rPr>
                        </w:pPr>
                        <w:r w:rsidRPr="00117DE5">
                          <w:rPr>
                            <w:rFonts w:ascii="Times New Roman" w:hAnsi="Times New Roman" w:cs="Times New Roman"/>
                            <w:b/>
                            <w:bCs/>
                            <w:i/>
                            <w:iCs/>
                            <w:sz w:val="20"/>
                            <w:szCs w:val="20"/>
                          </w:rPr>
                          <w:t>Colonización</w:t>
                        </w:r>
                      </w:p>
                    </w:txbxContent>
                  </v:textbox>
                </v:shape>
              </v:group>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156"/>
        <w:gridCol w:w="2094"/>
        <w:gridCol w:w="2126"/>
      </w:tblGrid>
      <w:tr w:rsidR="00A30A59" w:rsidRPr="00A64B5A" w14:paraId="31907C94" w14:textId="77777777" w:rsidTr="00F60399">
        <w:tc>
          <w:tcPr>
            <w:tcW w:w="2337" w:type="dxa"/>
          </w:tcPr>
          <w:p w14:paraId="1F04F95C" w14:textId="77777777" w:rsidR="00A30A59" w:rsidRPr="00290459" w:rsidRDefault="00A30A59" w:rsidP="00F60399">
            <w:pPr>
              <w:rPr>
                <w:rFonts w:ascii="Times New Roman" w:hAnsi="Times New Roman" w:cs="Times New Roman"/>
                <w:i/>
                <w:iCs/>
                <w:sz w:val="20"/>
                <w:szCs w:val="20"/>
                <w:lang w:val="es-MX"/>
              </w:rPr>
            </w:pPr>
          </w:p>
        </w:tc>
        <w:tc>
          <w:tcPr>
            <w:tcW w:w="2337" w:type="dxa"/>
          </w:tcPr>
          <w:p w14:paraId="1CDEEEC1" w14:textId="77777777" w:rsidR="00A30A59" w:rsidRPr="00290459" w:rsidRDefault="00A30A59" w:rsidP="00F60399">
            <w:pPr>
              <w:rPr>
                <w:rFonts w:ascii="Times New Roman" w:hAnsi="Times New Roman" w:cs="Times New Roman"/>
                <w:i/>
                <w:iCs/>
                <w:sz w:val="20"/>
                <w:szCs w:val="20"/>
                <w:lang w:val="es-MX"/>
              </w:rPr>
            </w:pPr>
          </w:p>
        </w:tc>
        <w:tc>
          <w:tcPr>
            <w:tcW w:w="2338" w:type="dxa"/>
          </w:tcPr>
          <w:p w14:paraId="2F7A1BA9" w14:textId="77777777" w:rsidR="00A30A59" w:rsidRPr="00290459" w:rsidRDefault="00A30A59" w:rsidP="00F60399">
            <w:pPr>
              <w:rPr>
                <w:rFonts w:ascii="Times New Roman" w:hAnsi="Times New Roman" w:cs="Times New Roman"/>
                <w:i/>
                <w:iCs/>
                <w:sz w:val="20"/>
                <w:szCs w:val="20"/>
                <w:lang w:val="es-MX"/>
              </w:rPr>
            </w:pPr>
          </w:p>
        </w:tc>
        <w:tc>
          <w:tcPr>
            <w:tcW w:w="2338" w:type="dxa"/>
          </w:tcPr>
          <w:p w14:paraId="7A83E90C" w14:textId="77777777" w:rsidR="00A30A59" w:rsidRPr="00290459" w:rsidRDefault="00A30A59" w:rsidP="00F60399">
            <w:pPr>
              <w:rPr>
                <w:rFonts w:ascii="Times New Roman" w:hAnsi="Times New Roman" w:cs="Times New Roman"/>
                <w:i/>
                <w:iCs/>
                <w:sz w:val="20"/>
                <w:szCs w:val="20"/>
                <w:lang w:val="es-MX"/>
              </w:rPr>
            </w:pPr>
          </w:p>
        </w:tc>
      </w:tr>
      <w:tr w:rsidR="00A30A59" w:rsidRPr="00A64B5A" w14:paraId="3354F14E" w14:textId="77777777" w:rsidTr="00F60399">
        <w:tc>
          <w:tcPr>
            <w:tcW w:w="2337" w:type="dxa"/>
            <w:vAlign w:val="bottom"/>
          </w:tcPr>
          <w:p w14:paraId="0F080020" w14:textId="77777777" w:rsidR="00A30A59" w:rsidRPr="00290459" w:rsidRDefault="00A30A59" w:rsidP="00F60399">
            <w:pPr>
              <w:jc w:val="center"/>
              <w:rPr>
                <w:rFonts w:ascii="Times New Roman" w:hAnsi="Times New Roman" w:cs="Times New Roman"/>
                <w:i/>
                <w:iCs/>
                <w:sz w:val="20"/>
                <w:szCs w:val="20"/>
                <w:lang w:val="es-MX"/>
              </w:rPr>
            </w:pPr>
            <w:r>
              <w:rPr>
                <w:rFonts w:ascii="Times New Roman" w:hAnsi="Times New Roman" w:cs="Times New Roman"/>
                <w:i/>
                <w:iCs/>
                <w:noProof/>
                <w:sz w:val="20"/>
                <w:szCs w:val="20"/>
              </w:rPr>
              <mc:AlternateContent>
                <mc:Choice Requires="wps">
                  <w:drawing>
                    <wp:anchor distT="0" distB="0" distL="114300" distR="114300" simplePos="0" relativeHeight="251660288" behindDoc="0" locked="0" layoutInCell="1" allowOverlap="1" wp14:anchorId="21C1D1FD" wp14:editId="23A194F4">
                      <wp:simplePos x="0" y="0"/>
                      <wp:positionH relativeFrom="column">
                        <wp:posOffset>682047</wp:posOffset>
                      </wp:positionH>
                      <wp:positionV relativeFrom="paragraph">
                        <wp:posOffset>125020</wp:posOffset>
                      </wp:positionV>
                      <wp:extent cx="0" cy="181041"/>
                      <wp:effectExtent l="76200" t="0" r="57150" b="47625"/>
                      <wp:wrapNone/>
                      <wp:docPr id="976647289" name="Conector recto de flecha 4"/>
                      <wp:cNvGraphicFramePr/>
                      <a:graphic xmlns:a="http://schemas.openxmlformats.org/drawingml/2006/main">
                        <a:graphicData uri="http://schemas.microsoft.com/office/word/2010/wordprocessingShape">
                          <wps:wsp>
                            <wps:cNvCnPr/>
                            <wps:spPr>
                              <a:xfrm>
                                <a:off x="0" y="0"/>
                                <a:ext cx="0" cy="181041"/>
                              </a:xfrm>
                              <a:prstGeom prst="straightConnector1">
                                <a:avLst/>
                              </a:prstGeom>
                              <a:ln>
                                <a:solidFill>
                                  <a:schemeClr val="bg1">
                                    <a:lumMod val="6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92F4FF0" id="_x0000_t32" coordsize="21600,21600" o:spt="32" o:oned="t" path="m,l21600,21600e" filled="f">
                      <v:path arrowok="t" fillok="f" o:connecttype="none"/>
                      <o:lock v:ext="edit" shapetype="t"/>
                    </v:shapetype>
                    <v:shape id="Conector recto de flecha 4" o:spid="_x0000_s1026" type="#_x0000_t32" style="position:absolute;margin-left:53.7pt;margin-top:9.85pt;width:0;height:14.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" strokecolor="#a5a5a5 [2092]" strokeweight=".5pt">
                      <v:stroke endarrow="block" joinstyle="miter"/>
                    </v:shape>
                  </w:pict>
                </mc:Fallback>
              </mc:AlternateContent>
            </w:r>
          </w:p>
        </w:tc>
        <w:tc>
          <w:tcPr>
            <w:tcW w:w="2337" w:type="dxa"/>
          </w:tcPr>
          <w:p w14:paraId="40F9949B" w14:textId="77777777" w:rsidR="00A30A59" w:rsidRPr="00290459" w:rsidRDefault="00A30A59" w:rsidP="00F60399">
            <w:pPr>
              <w:rPr>
                <w:rFonts w:ascii="Times New Roman" w:hAnsi="Times New Roman" w:cs="Times New Roman"/>
                <w:i/>
                <w:iCs/>
                <w:sz w:val="20"/>
                <w:szCs w:val="20"/>
                <w:lang w:val="es-MX"/>
              </w:rPr>
            </w:pPr>
          </w:p>
        </w:tc>
        <w:tc>
          <w:tcPr>
            <w:tcW w:w="2338" w:type="dxa"/>
          </w:tcPr>
          <w:p w14:paraId="41C6D500" w14:textId="77777777" w:rsidR="00A30A59" w:rsidRPr="00290459" w:rsidRDefault="00A30A59" w:rsidP="00F60399">
            <w:pPr>
              <w:rPr>
                <w:rFonts w:ascii="Times New Roman" w:hAnsi="Times New Roman" w:cs="Times New Roman"/>
                <w:i/>
                <w:iCs/>
                <w:sz w:val="20"/>
                <w:szCs w:val="20"/>
                <w:lang w:val="es-MX"/>
              </w:rPr>
            </w:pPr>
            <w:r>
              <w:rPr>
                <w:rFonts w:ascii="Times New Roman" w:hAnsi="Times New Roman" w:cs="Times New Roman"/>
                <w:i/>
                <w:iCs/>
                <w:noProof/>
                <w:sz w:val="20"/>
                <w:szCs w:val="20"/>
              </w:rPr>
              <mc:AlternateContent>
                <mc:Choice Requires="wps">
                  <w:drawing>
                    <wp:anchor distT="0" distB="0" distL="114300" distR="114300" simplePos="0" relativeHeight="251662336" behindDoc="0" locked="0" layoutInCell="1" allowOverlap="1" wp14:anchorId="08DC1768" wp14:editId="7E7A9E2F">
                      <wp:simplePos x="0" y="0"/>
                      <wp:positionH relativeFrom="column">
                        <wp:posOffset>668655</wp:posOffset>
                      </wp:positionH>
                      <wp:positionV relativeFrom="paragraph">
                        <wp:posOffset>122844</wp:posOffset>
                      </wp:positionV>
                      <wp:extent cx="0" cy="180975"/>
                      <wp:effectExtent l="76200" t="0" r="57150" b="47625"/>
                      <wp:wrapNone/>
                      <wp:docPr id="674882939" name="Conector recto de flecha 4"/>
                      <wp:cNvGraphicFramePr/>
                      <a:graphic xmlns:a="http://schemas.openxmlformats.org/drawingml/2006/main">
                        <a:graphicData uri="http://schemas.microsoft.com/office/word/2010/wordprocessingShape">
                          <wps:wsp>
                            <wps:cNvCnPr/>
                            <wps:spPr>
                              <a:xfrm>
                                <a:off x="0" y="0"/>
                                <a:ext cx="0" cy="180975"/>
                              </a:xfrm>
                              <a:prstGeom prst="straightConnector1">
                                <a:avLst/>
                              </a:prstGeom>
                              <a:ln>
                                <a:solidFill>
                                  <a:schemeClr val="bg1">
                                    <a:lumMod val="6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0263E5" id="Conector recto de flecha 4" o:spid="_x0000_s1026" type="#_x0000_t32" style="position:absolute;margin-left:52.65pt;margin-top:9.65pt;width:0;height:14.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" strokecolor="#a5a5a5 [2092]" strokeweight=".5pt">
                      <v:stroke endarrow="block" joinstyle="miter"/>
                    </v:shape>
                  </w:pict>
                </mc:Fallback>
              </mc:AlternateContent>
            </w:r>
          </w:p>
        </w:tc>
        <w:tc>
          <w:tcPr>
            <w:tcW w:w="2338" w:type="dxa"/>
          </w:tcPr>
          <w:p w14:paraId="03E640EA" w14:textId="77777777" w:rsidR="00A30A59" w:rsidRPr="00290459" w:rsidRDefault="00A30A59" w:rsidP="00F60399">
            <w:pPr>
              <w:rPr>
                <w:rFonts w:ascii="Times New Roman" w:hAnsi="Times New Roman" w:cs="Times New Roman"/>
                <w:i/>
                <w:iCs/>
                <w:sz w:val="20"/>
                <w:szCs w:val="20"/>
                <w:lang w:val="es-MX"/>
              </w:rPr>
            </w:pPr>
            <w:r>
              <w:rPr>
                <w:rFonts w:ascii="Times New Roman" w:hAnsi="Times New Roman" w:cs="Times New Roman"/>
                <w:i/>
                <w:iCs/>
                <w:noProof/>
                <w:sz w:val="20"/>
                <w:szCs w:val="20"/>
              </w:rPr>
              <mc:AlternateContent>
                <mc:Choice Requires="wps">
                  <w:drawing>
                    <wp:anchor distT="0" distB="0" distL="114300" distR="114300" simplePos="0" relativeHeight="251663360" behindDoc="0" locked="0" layoutInCell="1" allowOverlap="1" wp14:anchorId="41137420" wp14:editId="225ABDA1">
                      <wp:simplePos x="0" y="0"/>
                      <wp:positionH relativeFrom="column">
                        <wp:posOffset>593725</wp:posOffset>
                      </wp:positionH>
                      <wp:positionV relativeFrom="paragraph">
                        <wp:posOffset>127346</wp:posOffset>
                      </wp:positionV>
                      <wp:extent cx="0" cy="180975"/>
                      <wp:effectExtent l="76200" t="0" r="57150" b="47625"/>
                      <wp:wrapNone/>
                      <wp:docPr id="1869589271" name="Conector recto de flecha 4"/>
                      <wp:cNvGraphicFramePr/>
                      <a:graphic xmlns:a="http://schemas.openxmlformats.org/drawingml/2006/main">
                        <a:graphicData uri="http://schemas.microsoft.com/office/word/2010/wordprocessingShape">
                          <wps:wsp>
                            <wps:cNvCnPr/>
                            <wps:spPr>
                              <a:xfrm>
                                <a:off x="0" y="0"/>
                                <a:ext cx="0" cy="180975"/>
                              </a:xfrm>
                              <a:prstGeom prst="straightConnector1">
                                <a:avLst/>
                              </a:prstGeom>
                              <a:ln>
                                <a:solidFill>
                                  <a:schemeClr val="bg1">
                                    <a:lumMod val="6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343E4E4" id="Conector recto de flecha 4" o:spid="_x0000_s1026" type="#_x0000_t32" style="position:absolute;margin-left:46.75pt;margin-top:10.05pt;width:0;height:14.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" strokecolor="#a5a5a5 [2092]" strokeweight=".5pt">
                      <v:stroke endarrow="block" joinstyle="miter"/>
                    </v:shape>
                  </w:pict>
                </mc:Fallback>
              </mc:AlternateContent>
            </w:r>
          </w:p>
        </w:tc>
      </w:tr>
      <w:tr w:rsidR="00A30A59" w:rsidRPr="00A64B5A" w14:paraId="746143D3" w14:textId="77777777" w:rsidTr="00F60399">
        <w:tc>
          <w:tcPr>
            <w:tcW w:w="2337" w:type="dxa"/>
          </w:tcPr>
          <w:p w14:paraId="5CB9FBD3" w14:textId="77777777" w:rsidR="00A30A59" w:rsidRPr="00290459" w:rsidRDefault="00A30A59" w:rsidP="00F60399">
            <w:pPr>
              <w:rPr>
                <w:rFonts w:ascii="Times New Roman" w:hAnsi="Times New Roman" w:cs="Times New Roman"/>
                <w:i/>
                <w:iCs/>
                <w:sz w:val="20"/>
                <w:szCs w:val="20"/>
                <w:lang w:val="es-MX"/>
              </w:rPr>
            </w:pPr>
          </w:p>
        </w:tc>
        <w:tc>
          <w:tcPr>
            <w:tcW w:w="2337" w:type="dxa"/>
          </w:tcPr>
          <w:p w14:paraId="65FEBA39" w14:textId="77777777" w:rsidR="00A30A59" w:rsidRPr="00290459" w:rsidRDefault="00A30A59" w:rsidP="00F60399">
            <w:pPr>
              <w:rPr>
                <w:rFonts w:ascii="Times New Roman" w:hAnsi="Times New Roman" w:cs="Times New Roman"/>
                <w:i/>
                <w:iCs/>
                <w:sz w:val="20"/>
                <w:szCs w:val="20"/>
                <w:lang w:val="es-MX"/>
              </w:rPr>
            </w:pPr>
            <w:r>
              <w:rPr>
                <w:rFonts w:ascii="Times New Roman" w:hAnsi="Times New Roman" w:cs="Times New Roman"/>
                <w:i/>
                <w:iCs/>
                <w:noProof/>
                <w:sz w:val="20"/>
                <w:szCs w:val="20"/>
              </w:rPr>
              <mc:AlternateContent>
                <mc:Choice Requires="wps">
                  <w:drawing>
                    <wp:anchor distT="0" distB="0" distL="114300" distR="114300" simplePos="0" relativeHeight="251661312" behindDoc="0" locked="0" layoutInCell="1" allowOverlap="1" wp14:anchorId="0E298057" wp14:editId="692D3B95">
                      <wp:simplePos x="0" y="0"/>
                      <wp:positionH relativeFrom="column">
                        <wp:posOffset>678834</wp:posOffset>
                      </wp:positionH>
                      <wp:positionV relativeFrom="paragraph">
                        <wp:posOffset>-18149</wp:posOffset>
                      </wp:positionV>
                      <wp:extent cx="0" cy="180975"/>
                      <wp:effectExtent l="76200" t="0" r="57150" b="47625"/>
                      <wp:wrapNone/>
                      <wp:docPr id="1872402576" name="Conector recto de flecha 4"/>
                      <wp:cNvGraphicFramePr/>
                      <a:graphic xmlns:a="http://schemas.openxmlformats.org/drawingml/2006/main">
                        <a:graphicData uri="http://schemas.microsoft.com/office/word/2010/wordprocessingShape">
                          <wps:wsp>
                            <wps:cNvCnPr/>
                            <wps:spPr>
                              <a:xfrm>
                                <a:off x="0" y="0"/>
                                <a:ext cx="0" cy="180975"/>
                              </a:xfrm>
                              <a:prstGeom prst="straightConnector1">
                                <a:avLst/>
                              </a:prstGeom>
                              <a:ln>
                                <a:solidFill>
                                  <a:schemeClr val="bg1">
                                    <a:lumMod val="65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B27B9" id="Conector recto de flecha 4" o:spid="_x0000_s1026" type="#_x0000_t32" style="position:absolute;margin-left:53.45pt;margin-top:-1.45pt;width:0;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" strokecolor="#a5a5a5 [2092]" strokeweight=".5pt">
                      <v:stroke endarrow="block" joinstyle="miter"/>
                    </v:shape>
                  </w:pict>
                </mc:Fallback>
              </mc:AlternateContent>
            </w:r>
          </w:p>
        </w:tc>
        <w:tc>
          <w:tcPr>
            <w:tcW w:w="2338" w:type="dxa"/>
          </w:tcPr>
          <w:p w14:paraId="783AFE1C" w14:textId="77777777" w:rsidR="00A30A59" w:rsidRPr="00290459" w:rsidRDefault="00A30A59" w:rsidP="00F60399">
            <w:pPr>
              <w:rPr>
                <w:rFonts w:ascii="Times New Roman" w:hAnsi="Times New Roman" w:cs="Times New Roman"/>
                <w:i/>
                <w:iCs/>
                <w:sz w:val="20"/>
                <w:szCs w:val="20"/>
                <w:lang w:val="es-MX"/>
              </w:rPr>
            </w:pPr>
          </w:p>
        </w:tc>
        <w:tc>
          <w:tcPr>
            <w:tcW w:w="2338" w:type="dxa"/>
          </w:tcPr>
          <w:p w14:paraId="0A337D79" w14:textId="77777777" w:rsidR="00A30A59" w:rsidRPr="00290459" w:rsidRDefault="00A30A59" w:rsidP="00F60399">
            <w:pPr>
              <w:rPr>
                <w:rFonts w:ascii="Times New Roman" w:hAnsi="Times New Roman" w:cs="Times New Roman"/>
                <w:i/>
                <w:iCs/>
                <w:sz w:val="20"/>
                <w:szCs w:val="20"/>
                <w:lang w:val="es-MX"/>
              </w:rPr>
            </w:pPr>
          </w:p>
        </w:tc>
      </w:tr>
      <w:tr w:rsidR="00A30A59" w:rsidRPr="00A64B5A" w14:paraId="0709B770" w14:textId="77777777" w:rsidTr="00F60399">
        <w:tc>
          <w:tcPr>
            <w:tcW w:w="2337" w:type="dxa"/>
          </w:tcPr>
          <w:p w14:paraId="5273F0AF" w14:textId="77777777" w:rsidR="00A30A59" w:rsidRPr="00290459" w:rsidRDefault="00A30A59" w:rsidP="00F60399">
            <w:pPr>
              <w:jc w:val="center"/>
              <w:rPr>
                <w:rFonts w:ascii="Times New Roman" w:hAnsi="Times New Roman" w:cs="Times New Roman"/>
                <w:b/>
                <w:bCs/>
                <w:i/>
                <w:iCs/>
                <w:sz w:val="20"/>
                <w:szCs w:val="20"/>
                <w:lang w:val="es-MX"/>
              </w:rPr>
            </w:pPr>
            <w:r w:rsidRPr="00290459">
              <w:rPr>
                <w:rFonts w:ascii="Times New Roman" w:hAnsi="Times New Roman" w:cs="Times New Roman"/>
                <w:b/>
                <w:bCs/>
                <w:i/>
                <w:iCs/>
                <w:sz w:val="20"/>
                <w:szCs w:val="20"/>
                <w:lang w:val="es-MX"/>
              </w:rPr>
              <w:t>Rechazo al capitalismo académico y al colonialismo</w:t>
            </w:r>
          </w:p>
        </w:tc>
        <w:tc>
          <w:tcPr>
            <w:tcW w:w="2337" w:type="dxa"/>
          </w:tcPr>
          <w:p w14:paraId="44E54D4E" w14:textId="77777777" w:rsidR="00A30A59" w:rsidRPr="00046C48" w:rsidRDefault="00A30A59" w:rsidP="00F60399">
            <w:pPr>
              <w:jc w:val="center"/>
              <w:rPr>
                <w:rFonts w:ascii="Times New Roman" w:hAnsi="Times New Roman" w:cs="Times New Roman"/>
                <w:b/>
                <w:bCs/>
                <w:i/>
                <w:iCs/>
                <w:sz w:val="20"/>
                <w:szCs w:val="20"/>
                <w:lang w:val="es-CO"/>
              </w:rPr>
            </w:pPr>
            <w:r w:rsidRPr="00046C48">
              <w:rPr>
                <w:rFonts w:ascii="Times New Roman" w:hAnsi="Times New Roman" w:cs="Times New Roman"/>
                <w:b/>
                <w:bCs/>
                <w:i/>
                <w:iCs/>
                <w:sz w:val="20"/>
                <w:szCs w:val="20"/>
                <w:lang w:val="es-CO"/>
              </w:rPr>
              <w:t>Aprovechando el sistem</w:t>
            </w:r>
            <w:r>
              <w:rPr>
                <w:rFonts w:ascii="Times New Roman" w:hAnsi="Times New Roman" w:cs="Times New Roman"/>
                <w:b/>
                <w:bCs/>
                <w:i/>
                <w:iCs/>
                <w:sz w:val="20"/>
                <w:szCs w:val="20"/>
                <w:lang w:val="es-CO"/>
              </w:rPr>
              <w:t>a</w:t>
            </w:r>
            <w:r w:rsidRPr="00046C48">
              <w:rPr>
                <w:rFonts w:ascii="Times New Roman" w:hAnsi="Times New Roman" w:cs="Times New Roman"/>
                <w:b/>
                <w:bCs/>
                <w:i/>
                <w:iCs/>
                <w:sz w:val="20"/>
                <w:szCs w:val="20"/>
                <w:lang w:val="es-CO"/>
              </w:rPr>
              <w:t>: decolonial</w:t>
            </w:r>
            <w:r>
              <w:rPr>
                <w:rFonts w:ascii="Times New Roman" w:hAnsi="Times New Roman" w:cs="Times New Roman"/>
                <w:b/>
                <w:bCs/>
                <w:i/>
                <w:iCs/>
                <w:sz w:val="20"/>
                <w:szCs w:val="20"/>
                <w:lang w:val="es-CO"/>
              </w:rPr>
              <w:t xml:space="preserve"> </w:t>
            </w:r>
            <w:r w:rsidRPr="00046C48">
              <w:rPr>
                <w:rFonts w:ascii="Times New Roman" w:hAnsi="Times New Roman" w:cs="Times New Roman"/>
                <w:b/>
                <w:bCs/>
                <w:i/>
                <w:iCs/>
                <w:sz w:val="20"/>
                <w:szCs w:val="20"/>
                <w:lang w:val="es-CO"/>
              </w:rPr>
              <w:t>hacking</w:t>
            </w:r>
          </w:p>
        </w:tc>
        <w:tc>
          <w:tcPr>
            <w:tcW w:w="2338" w:type="dxa"/>
          </w:tcPr>
          <w:p w14:paraId="2BD37A1C" w14:textId="77777777" w:rsidR="00A30A59" w:rsidRPr="00290459" w:rsidRDefault="00A30A59" w:rsidP="00F60399">
            <w:pPr>
              <w:jc w:val="center"/>
              <w:rPr>
                <w:rFonts w:ascii="Times New Roman" w:hAnsi="Times New Roman" w:cs="Times New Roman"/>
                <w:b/>
                <w:bCs/>
                <w:i/>
                <w:iCs/>
                <w:sz w:val="20"/>
                <w:szCs w:val="20"/>
                <w:lang w:val="es-MX"/>
              </w:rPr>
            </w:pPr>
            <w:r w:rsidRPr="00290459">
              <w:rPr>
                <w:rFonts w:ascii="Times New Roman" w:hAnsi="Times New Roman" w:cs="Times New Roman"/>
                <w:b/>
                <w:bCs/>
                <w:i/>
                <w:iCs/>
                <w:sz w:val="20"/>
                <w:szCs w:val="20"/>
                <w:lang w:val="es-MX"/>
              </w:rPr>
              <w:t>Adaptarse innovando en una nueva era</w:t>
            </w:r>
          </w:p>
        </w:tc>
        <w:tc>
          <w:tcPr>
            <w:tcW w:w="2338" w:type="dxa"/>
          </w:tcPr>
          <w:p w14:paraId="6B0056AA" w14:textId="77777777" w:rsidR="00A30A59" w:rsidRPr="00290459" w:rsidRDefault="00A30A59" w:rsidP="00F60399">
            <w:pPr>
              <w:jc w:val="center"/>
              <w:rPr>
                <w:rFonts w:ascii="Times New Roman" w:hAnsi="Times New Roman" w:cs="Times New Roman"/>
                <w:b/>
                <w:bCs/>
                <w:i/>
                <w:iCs/>
                <w:sz w:val="20"/>
                <w:szCs w:val="20"/>
                <w:lang w:val="es-MX"/>
              </w:rPr>
            </w:pPr>
            <w:r w:rsidRPr="00290459">
              <w:rPr>
                <w:rFonts w:ascii="Times New Roman" w:hAnsi="Times New Roman" w:cs="Times New Roman"/>
                <w:b/>
                <w:bCs/>
                <w:i/>
                <w:iCs/>
                <w:sz w:val="20"/>
                <w:szCs w:val="20"/>
                <w:lang w:val="es-MX"/>
              </w:rPr>
              <w:t>La extinción bajo el capitalismo académico y la colonización</w:t>
            </w:r>
          </w:p>
        </w:tc>
      </w:tr>
    </w:tbl>
    <w:p w14:paraId="196523F7" w14:textId="77777777" w:rsidR="0011142A" w:rsidRDefault="0011142A" w:rsidP="0011142A">
      <w:pPr>
        <w:spacing w:line="240" w:lineRule="auto"/>
        <w:jc w:val="both"/>
        <w:rPr>
          <w:rFonts w:ascii="Times New Roman" w:hAnsi="Times New Roman" w:cs="Times New Roman"/>
          <w:lang w:val="es-CO"/>
        </w:rPr>
      </w:pPr>
    </w:p>
    <w:p w14:paraId="597D7B71" w14:textId="3A1976A6" w:rsidR="00A30A59" w:rsidRPr="00A30A59" w:rsidRDefault="00A30A59" w:rsidP="00A30A59">
      <w:pPr>
        <w:spacing w:line="240" w:lineRule="auto"/>
        <w:jc w:val="both"/>
        <w:rPr>
          <w:rFonts w:ascii="Times New Roman" w:hAnsi="Times New Roman" w:cs="Times New Roman"/>
          <w:i/>
          <w:iCs/>
          <w:lang w:val="es-MX"/>
        </w:rPr>
      </w:pPr>
      <w:r w:rsidRPr="00A30A59">
        <w:rPr>
          <w:rFonts w:ascii="Times New Roman" w:hAnsi="Times New Roman" w:cs="Times New Roman"/>
          <w:i/>
          <w:iCs/>
          <w:lang w:val="es-MX"/>
        </w:rPr>
        <w:t>Rechazo al colonialismo académico y al capitalismo: escapar de los rankings mundiales y del anglocentrismo</w:t>
      </w:r>
    </w:p>
    <w:p w14:paraId="3DF58E98"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En nuestras entrevistas con editores de revistas colombianas, tres de los diez participantes —Lix, Camilo y Andrés— se negaron a seguir el colonialismo académico y el capitalismo académico con ánimo de lucro. En lugar de buscar la pertenencia y el reconocimiento a través de los rankings del Norte Global, estos editores critican radicalmente el sistema y encuentran formas de escapar de él, recurriendo a otros espacios para difundir la producción académica local. Lix, Camilo y Andrés pusieron en práctica el rechazo académico. Según Grande (2018), el rechazo va más allá de la resistencia, ya que rechaza tanto la negociación como el reconocimiento por parte de las estructuras coloniales o neoliberales; escapa al deseo de inclusión y pertenencia. </w:t>
      </w:r>
    </w:p>
    <w:p w14:paraId="106C3051"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Los editores Lix, Camilo y Andrés cuestionaron las prácticas colonizadoras y neoliberales de la publicación académica, optando en su lugar por defender los conocimientos y las lenguas locales. Su objetivo es contribuir al bien común de sus comunidades locales al tiempo que se resisten al giro hacia el modelo de publicación académica orientado al lucro. Desde el punto de vista del capitalismo académico, estos editores se mantuvieron fieles a la idea de la publicación académica bajo el régimen del bien público. Rechazaron el sistema editorial con ánimo de lucro y la bibliometría hegemónica. Los editores de este grupo ocupaban puestos que les permitían defender su postura y se consideraban a sí mismos outsiders o críticos del régimen académico. Lix era el editor de J5, una revista financiada por el gobierno que no está indexada en las principales bases de datos </w:t>
      </w:r>
      <w:r w:rsidRPr="00A30A59">
        <w:rPr>
          <w:rFonts w:ascii="Times New Roman" w:hAnsi="Times New Roman" w:cs="Times New Roman"/>
          <w:lang w:val="es-MX"/>
        </w:rPr>
        <w:lastRenderedPageBreak/>
        <w:t xml:space="preserve">mundiales, pero cuya financiación sigue estando asegurada. Camilo y Andrés eran catedráticos en instituciones de prestigio, Camilo en el sector privado y Andrés en el sector público. Todos ellos iniciaron sus carreras académicas antes del auge del modelo con ánimo de lucro. </w:t>
      </w:r>
    </w:p>
    <w:p w14:paraId="218657C3"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Además de trabajar al margen de los índices académicos mundiales, la perspectiva de Lix expresa una resistencia lingüística para contrarrestar lo que Piller (2022) denomina el predominio del anglocentrismo en la producción académica. La hegemonía anglófona en el sistema académico mundial ha dado lugar a «la exclusión lingüística y epistémica de los investigadores multilingües periféricos» (Piller et al., 2022, p. 655). Rechazando la expectativa de que las revistas deban adoptar el inglés, Lix afirma que «una revista colombiana debe publicar en español». </w:t>
      </w:r>
    </w:p>
    <w:p w14:paraId="39E1A07E"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Por su parte, la trayectoria de Camilo con J7 refleja el destino de muchas revistas académicas que han abandonado su propósito de promover el conocimiento local en favor del modelo del capitalismo académico, impulsado por el lucro. Este cambio llevó a Camilo a referirse al «mercenarismo académico». Recordó que, hace décadas, los editores de revistas y los autores deseaban sinceramente compartir el conocimiento local. Sin embargo, las nuevas generaciones se ven impulsadas por la mercantilización de la publicación, buscando prestigio a través de la publicación en revistas de gran prestigio. </w:t>
      </w:r>
    </w:p>
    <w:p w14:paraId="1FD6D4A5"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Finalmente, Andrés, catedrático en una universidad pública de élite, asumió recientemente el cargo de editor de J9. Como investigador y ahora editor de una revista, ha observado que J9, al igual que muchas revistas nacionales, ha tenido dificultades para cumplir con los cambiantes requisitos de indexación. Andrés rechazó las imposiciones temáticas y lingüísticas de este sistema en inglés y explicó que se negó a cumplir con los requisitos exigidos porque la misión de la revista se centra en intereses de investigación locales que entran en conflicto con los que promueven las principales editoriales internacionales. </w:t>
      </w:r>
    </w:p>
    <w:p w14:paraId="0FA893BD"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Estos editores se veían a sí mismos como ajenos al sistema editorial académico —y críticos del mismo— y son defensores de la difusión del conocimiento local. Para Lix, en J7, esto significaba dar prioridad a la misión de la revista frente al sistema de clasificación mundial. Para Camilo, significó enfrentarse a sus colegas y a su institución por la desviación respecto al espíritu original de J5. Para Andrés, significó ser consciente de que el sistema «nunca nos entenderá» y excluirá los temas que son relevantes a nivel local. Defendieron el conocimiento y las lenguas locales, criticaron el modelo con ánimo de lucro y rechazaron los rankings inadecuados para el Sur Global y los académicos que no hablan inglés. </w:t>
      </w:r>
    </w:p>
    <w:p w14:paraId="51386C50" w14:textId="04D51B5B" w:rsidR="00A30A59" w:rsidRPr="00A30A59" w:rsidRDefault="00A30A59" w:rsidP="00A30A59">
      <w:pPr>
        <w:spacing w:line="240" w:lineRule="auto"/>
        <w:jc w:val="both"/>
        <w:rPr>
          <w:rFonts w:ascii="Times New Roman" w:hAnsi="Times New Roman" w:cs="Times New Roman"/>
          <w:i/>
          <w:iCs/>
          <w:lang w:val="es-MX"/>
        </w:rPr>
      </w:pPr>
      <w:r w:rsidRPr="00A30A59">
        <w:rPr>
          <w:rFonts w:ascii="Times New Roman" w:hAnsi="Times New Roman" w:cs="Times New Roman"/>
          <w:i/>
          <w:iCs/>
          <w:lang w:val="es-MX"/>
        </w:rPr>
        <w:t xml:space="preserve">Jugar con el sistema: decolonial hacking </w:t>
      </w:r>
    </w:p>
    <w:p w14:paraId="7CA00ACE"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Denominamos la segunda vía «Jugar con el sistema» sin renunciar a la identidad. Inés y Samantha optaron por no rechazar el reconocimiento en los rankings académicos globales; en cambio, se involucran activamente en ellos y se esfuerzan por comprender sus reglas para desenvolverse eficazmente en el sistema. Reconocen la importancia de ocupar estos espacios, al tiempo que son conscientes de que sus lectores principales se encuentran en América Latina y el Sur Global. Para ellas, tanto la perspectiva local como </w:t>
      </w:r>
      <w:r w:rsidRPr="00A30A59">
        <w:rPr>
          <w:rFonts w:ascii="Times New Roman" w:hAnsi="Times New Roman" w:cs="Times New Roman"/>
          <w:lang w:val="es-MX"/>
        </w:rPr>
        <w:lastRenderedPageBreak/>
        <w:t>la global son cruciales. Se adaptan al sistema existente, pero siguen comprometidas con su misión original, velando por que el conocimiento local no quede marginado ni excluido. En lo que respecta al capitalismo académico, entienden la transformación de la publicación académica —del régimen de bien público al régimen capitalista académico— como un juego de supervivencia que deben jugar sin perder su identidad.</w:t>
      </w:r>
    </w:p>
    <w:p w14:paraId="22CB878F"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La trayectoria de Inés como ejemplo de esta forma de desenvolverse y decolonizar la publicación académica, lo que ella denomina «jugar con el sistema». Inés es editora de J2 desde 1995; la revista es una de las siete revistas académicas clasificadas en la categoría superior Q1 del Ranking Scimago para todo el país. Para Inés, la fundación de esta revista fue un e orientada por el concepto de «docente reflexivo». En su opinión, «los docentes poseen conocimientos, que son conocimientos prácticos, pero también los integran con los nuevos conocimientos que puedan adquirir». J2 se basó en la convicción de que «debemos dar voz al docente, que el docente, ya sea de una escuela pequeña o de cualquier otro lugar, merece un espacio para compartir lo que hace». En la década de 2000, el Ministerio de Ciencia presionó a las revistas para que aumentaran la participación de autores internacionales y evitaran la endogamia editorial; sin embargo, Inés se mantuvo firme en su compromiso de publicar a docentes locales, incluso cuando esto pudiera interpretarse como endogámico, al tiempo que abría espacios para autores internacionales. </w:t>
      </w:r>
    </w:p>
    <w:p w14:paraId="751C4333"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Inés y Samantha muestran cómo aprendieron a desenvolverse en el sistema, a utilizar los recursos institucionales y a seguir las reglas para garantizar que sus revistas sobrevivieran (la de Samantha) y prosperaran (la de Inés), sin dejar de dar cabida al conocimiento local y manteniéndose fieles a las misiones de las revistas. Para ambas el idioma inglés es una elección natural. Para Inés, la revista está dirigida a profesores de inglés. «Estaba dirigida a profesore es de inglés, así que para nosotros era algo natural; la idea era llevar a cabo el proyecto y hacerlo en inglés». Para ambas, el inglés contribuye de manera significativa al reconocimiento y al alcance internacional de la revista. </w:t>
      </w:r>
    </w:p>
    <w:p w14:paraId="584AFBF4"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La relación entre las editoras de este grupo y el sistema de publicación académica se ajusta al concepto de «decolonial hacking». El «hacking» decolonial implica crear espacios dentro del sistema, utilizando sus recursos y «“jugando el juego” de las instituciones al mismo tiempo que se flexibilizan las reglas para generar resultados alternativos» (de Oliveira Andreotti et al., 2015, p. 27). La forma en que Inés se salta las reglas del sistema de publicación académica fue por medio de foros internacionales le permitió seguir promocionando a los autores, en particular a los colombianos y a los docentes-investigadores noveles, que suelen quedar marginados en los foros de primer nivel del Norte Global. Samantha, la actual editora de J1, también comparte la voluntad de seguir las reglas del juego sin renunciar a la identidad de la revista. Casi dos décadas después de su fundación en una universidad privada de élite, se planteó un debate sobre la continuidad de la revista. Debido a la falta de envíos, su baja indexación en los principales rankings y la reasignación de los recursos universitarios, la primera opción fue cerrarla. La segunda opción era cambiar la tipología de la revista y transformarla en un boletín informativo, alejándola de la misión académica y científica para la que fue creada. Una tercera opción, la que defendió Samantha, era mantener la identidad </w:t>
      </w:r>
      <w:r w:rsidRPr="00A30A59">
        <w:rPr>
          <w:rFonts w:ascii="Times New Roman" w:hAnsi="Times New Roman" w:cs="Times New Roman"/>
          <w:lang w:val="es-MX"/>
        </w:rPr>
        <w:lastRenderedPageBreak/>
        <w:t>académica de la revista a pesar de las dificultades. Para defender la supervivencia de J1, Samantha esgrimió dos argumentos principales. Por un lado, como testigo de la trayectoria de la revista, quiere reivindicar su historia y su contribución. Por otro lado, el segundo argumento de Samantha se refiere al potencial que ve en la revista para alcanzar las primeras posiciones en los rankings.</w:t>
      </w:r>
    </w:p>
    <w:p w14:paraId="4FB0A65E"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Podemos argumentar que la postura de Inés y Samantha como editoras se alinea con la de los «hackers decoloniales» (de Oliveira Andreotti et al., 2015). En cuanto a la relación entre los «hackers decoloniales» y la universidad, Harney y Moten (2013) describen a estos intelectuales como aquellos que movilizan el tiempo, el espacio y los recursos de la universidad para apoyar a los «undercommons». Los «undercommons» son aquí, en su mayoría, actores periféricos del sistema editorial académico: editores latinoamericanos, académicos e investigadores noveles que, de otro modo, permanecerían excluidos.</w:t>
      </w:r>
    </w:p>
    <w:p w14:paraId="46EB3F1C" w14:textId="05602DAD" w:rsidR="00A30A59" w:rsidRPr="00A30A59" w:rsidRDefault="00A30A59" w:rsidP="00A30A59">
      <w:pPr>
        <w:spacing w:line="240" w:lineRule="auto"/>
        <w:jc w:val="both"/>
        <w:rPr>
          <w:rFonts w:ascii="Times New Roman" w:hAnsi="Times New Roman" w:cs="Times New Roman"/>
          <w:i/>
          <w:iCs/>
          <w:lang w:val="es-MX"/>
        </w:rPr>
      </w:pPr>
      <w:r w:rsidRPr="00A30A59">
        <w:rPr>
          <w:rFonts w:ascii="Times New Roman" w:hAnsi="Times New Roman" w:cs="Times New Roman"/>
          <w:i/>
          <w:iCs/>
          <w:lang w:val="es-MX"/>
        </w:rPr>
        <w:t xml:space="preserve">Adaptarse innovando en una nueva era    </w:t>
      </w:r>
    </w:p>
    <w:p w14:paraId="49E102A4"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María, Xavier y Thiago ilustran la tercera vía para desenvolverse en el mundo de la publicación académica en la era moderna, caracterizada por la innovación digital, la hiperconectividad y la normalización del capitalismo académico. Ambos dirigen nuevas revistas colombianas que comenzaron a publicarse a mediados de la década de 2000. A diferencia de los demás editores entrevistados, que están vinculados a universidades de investigación de élite, tanto públicas como privadas, este grupo trabaja en instituciones de educación superior no pertenecientes a la élite en Colombia —lugares que se esfuerzan activamente por obtener reconocimiento (O’Meara, 2007). Mientras que los editores de universidades de investigación públicas y privadas de gran prestigio tienden a enmarcar la supervivencia de la revista en términos de rechazo, gamming o extinción —a menudo en condiciones institucionales inestables y con escaso apoyo—, María, Tiago y Xavier se centran en el objetivo de sus revistas de lograr visibilidad académica en índices nacionales e internacionales, con el respaldo de sus instituciones a través de tiempo y asistencia asignados. </w:t>
      </w:r>
    </w:p>
    <w:p w14:paraId="582F35E1"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 Estos editores están integrados en el régimen académico capitalista y en su modelo comercial de publicación académica y bibliometría. También compartían una firme convicción sobre la importancia de mantener las revistas académicas en el contexto colombiano, al tiempo que reconocían —y aspiraban a— la visibilidad a través de los sistemas de clasificación nacionales e internacionales. Estos editores se mostraban optimistas respecto al futuro de sus revistas y menos conscientes —aunque no ingenuos— de las consecuencias y presiones derivadas de las políticas nacionales de publicación de Colombia para las revistas. </w:t>
      </w:r>
    </w:p>
    <w:p w14:paraId="2632CC96"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 Para estos editores, la nueva era significa que la reconfiguración de las políticas crea un nuevo panorama y nuevas posibilidades para sus revistas y sus instituciones de educación superior. Redefinieron su papel como editores, buscando activamente la innovación, aunque a menudo sin una conciencia crítica explícita. Impulsaban la innovación infundiendo nuevas ideas en sus revistas. Su objetivo era crear espacios académicos inclusivos que amplificaran las voces de los autores y los temas del Sur Global, al tiempo que fomentaban la visibilidad de sus revistas en los rankings hegemónicos.</w:t>
      </w:r>
    </w:p>
    <w:p w14:paraId="05DF53CA"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lastRenderedPageBreak/>
        <w:t xml:space="preserve">Para María, Xavier y Tiago, ser editores e impulsar sus revistas supuso un reto personal. María recibió J3 con la misión original de difundir el conocimiento; pero, con el tiempo, se ha fijado la misión de mejorar la diversidad bibliométrica y formar a otros sobre el proceso de publicación. Maria se posiciona como editora pedagoga: </w:t>
      </w:r>
    </w:p>
    <w:p w14:paraId="639E0FD2"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Bueno, he invertido mucho en convertirme en una editora pedagoga. Por eso, nunca le escribo a un autor con un simple «no» [rechazo]; en su lugar, escribo «no» y explico por qué... </w:t>
      </w:r>
    </w:p>
    <w:p w14:paraId="41D1E845"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Tiago y Xavier se centraron en posicionar sus revistas como un medio para mejorar la visibilidad tanto institucional como personal dentro de las instituciones de educación superior. Tiago señaló que «las citas, a pesar de ser muy criticadas, siguen siendo el indicador principal». No obstante, él, junto con los demás editores, se muestra receptivo a las métricas alternativas. Todos ellos manifestaron una gran pasión por el mundo editorial. Xavier dijo: «Yo mismo aprendí ese proceso. Me llevó tiempo y esfuerzo, pero lo aprendí, y eso permitió que la revista siguiera adelante, continuara, no perdiera su impulso». María: «Bueno, me gusta mucho, porque aprendo cosas que sé que no leería en otro contexto». Tiago dijo: «Esto [ser editor de una revista] me entusiasma de verdad. Quiero decir que el mundo editorial me emociona de verdad, me encanta y aprendo mucho de él».</w:t>
      </w:r>
    </w:p>
    <w:p w14:paraId="2CC87802"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Para estos editores, el inglés se redefine como un medio de comunicación entre los países del Sur Global. María explica: «El inglés abre una puerta muy interesante para el Sur Global, que incluye países como Etiopía, con los que en otros contextos no habríamos podido tender un puente». La revista J3 de María se publica exclusivamente en inglés, mientras que Tiago y Xavier publican J8 y J9 tanto en español como en inglés. </w:t>
      </w:r>
    </w:p>
    <w:p w14:paraId="21B0AF82"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Sin darse cuenta del todo, estos editores comenzaron a considerarse parte del sistema, aceptando sus reglas y los roles que se les habían asignado en el Sur Global. Su objetivo era ganar visibilidad dentro del régimen académico capitalista y del sistema editorial con ánimo de lucro. Al dar prioridad al reconocimiento y el apoyo a nivel mundial, reprodujeron sin darse cuenta formas de colonialismo académico y capitalismo. Sin embargo, también formaban parte de un movimiento contrahegemónico, ya que su objetivo era apoyar a los investigadores emergentes y crear un espacio de inclusión académica para autores del Sur Global, de lenguas no hegemónicas y de temas marginados.</w:t>
      </w:r>
    </w:p>
    <w:p w14:paraId="1249CC58" w14:textId="1F2EEA2F" w:rsidR="00A30A59" w:rsidRPr="00A30A59" w:rsidRDefault="00A30A59" w:rsidP="00A30A59">
      <w:pPr>
        <w:spacing w:line="240" w:lineRule="auto"/>
        <w:jc w:val="both"/>
        <w:rPr>
          <w:rFonts w:ascii="Times New Roman" w:hAnsi="Times New Roman" w:cs="Times New Roman"/>
          <w:i/>
          <w:iCs/>
          <w:lang w:val="es-MX"/>
        </w:rPr>
      </w:pPr>
      <w:r w:rsidRPr="00A30A59">
        <w:rPr>
          <w:rFonts w:ascii="Times New Roman" w:hAnsi="Times New Roman" w:cs="Times New Roman"/>
          <w:i/>
          <w:iCs/>
          <w:lang w:val="es-MX"/>
        </w:rPr>
        <w:t xml:space="preserve">Extinción bajo el capitalismo académico: la colonización de las revistas periféricas </w:t>
      </w:r>
    </w:p>
    <w:p w14:paraId="343115B3"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La última vía, «Extinción bajo el capitalismo académico», involucra a los editores —Fátima, Thomas y Héctor— que interiorizaron y normalizaron las clasificaciones académicas y el discurso editorial. Estos editores no consideran la revista como un proyecto académico importante, sino más bien como una carga de trabajo adicional. Por ejemplo, Fátima explicó que no esperaba recibir la revista J1; más bien, se la asignó el decano; sin embargo, una vez nombrada editora, su «promesa personal» fue convertir la revista en una publicación de alto impacto, indexada en Scopus o WoS, a pesar de la disminución del apoyo institucional.</w:t>
      </w:r>
    </w:p>
    <w:p w14:paraId="5A1A43AD"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lastRenderedPageBreak/>
        <w:t xml:space="preserve">Fátima señaló que se encontró con una revista de orientación local, con prácticas endogámicas y con lo que ella percibía como una baja calidad académica si se comparaba con los estándares globales. Su trabajo tenía como objetivo cambiar el enfoque de la revista, pasando de uno local/endogámico a una orientación internacional, pero con comités y autores que no fueran de primer nivel. En cuanto al comité, señaló: «Inicié un proceso en el que traté de establecer un comité editorial internacional con colegas —no necesariamente académicos de primer nivel, sino personas con experiencia editorial—». Describió a los posibles autores: «Sabía que existía una gran necesidad entre los autores que no pertenecían a la élite —autores que buscaban un espacio para publicar—». </w:t>
      </w:r>
    </w:p>
    <w:p w14:paraId="3CA320E9"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Al igual que en las otras vías, Fátima reconoció la revista como una plataforma para autores del Sur Global. Sin embargo, en lugar de defenderla como un importante espacio para autores locales o académicos emergentes, la consideraba un punto de partida inicialmente inferior para ellos, con la expectativa de que, con el tiempo, evolucionara hasta convertirse en una publicación de alto impacto, clasificada en el Q1.   </w:t>
      </w:r>
    </w:p>
    <w:p w14:paraId="5932550C"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Para lograr el reconocimiento internacional, Fátima sacrificó la misión original de la revista de difundir el conocimiento local en español, reorientándola hacia una mayor visibilidad y alineación con los estándares editoriales globales. Recurrió a su red profesional para adaptar la revista a los criterios de WoS y/o Scopus. Con este fin, implementó un proceso inicial de selección y revisión por pares más riguroso, garantizó la publicación puntual, cambió la política lingüística de «solo en español» a «solo en inglés», restringió los envíos a estudios empíricos, prohibió la endogamia editorial procedente de la misma institución y buscó activamente autores internacionales. Como resultado, Fátima posicionó a J1 en contextos geográficamente distantes, como Kazajistán, Irán y Egipto.    </w:t>
      </w:r>
    </w:p>
    <w:p w14:paraId="7AF5955B"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A pesar de los esfuerzos sostenidos de Fátima durante más de diez años por cumplir su «promesa personal» de transformar la revista en una publicación de alto impacto indexada en Scopus o WoS, finalmente no logró este objetivo. Aunque estuvo a punto de conseguirlo, la revista recibió dos rechazos por parte de Scopus. Del mismo modo, Héctor informó de que J4 había obtenido una buena posición en la clasificación nacional de Publindex; sin embargo, también recibió dos rechazos de Scopus.       </w:t>
      </w:r>
    </w:p>
    <w:p w14:paraId="3A6FC8C2"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Tal y como explicó Camilo, al igual que Fátima, Thomas asumió la dirección editorial de J7 bajo una presión creciente para alinearse con los sistemas bibliométricos —concretamente, WoS y Scopus— y porque, como profesor internacional, se le consideraba una fuente de perspectiva internacional. Según Camilo, Thomas asumió la dirección editorial de forma involuntaria mientras se cuestionaba la relevancia de mantener una revista local a la luz de los estándares internacionales de prestigio. Thomas mantuvo a flote la revista, aunque de una forma radical.  </w:t>
      </w:r>
    </w:p>
    <w:p w14:paraId="6D758853"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Fátima, Thomas y Héctor se enfrentaron a un círculo vicioso en las revistas periféricas, donde el prestigio limitado y la falta de indexación obstaculizaban su capacidad para mejorar su estatus u obtener mejores clasificaciones, lo que reforzaba su posición marginada. A pesar de la ambición de Fátima de que la revista se indexara en Scopus o </w:t>
      </w:r>
      <w:r w:rsidRPr="00A30A59">
        <w:rPr>
          <w:rFonts w:ascii="Times New Roman" w:hAnsi="Times New Roman" w:cs="Times New Roman"/>
          <w:lang w:val="es-MX"/>
        </w:rPr>
        <w:lastRenderedPageBreak/>
        <w:t>WoS, finalmente señaló: «Ningún académico de primer nivel enviaría un artículo a esta revista».</w:t>
      </w:r>
    </w:p>
    <w:p w14:paraId="50FBCDCA" w14:textId="77777777"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Thomas y Héctor acabaron cerrando las revistas, y Fátima recomendó encarecidamente cerrar J1 porque «esta revista no aporta ningún beneficio a la universidad». El decano, sin embargo, rechazó su propuesta, permitiendo que J1 siguiera activa. Mientras que Fátima y Thomas siguieron las directrices coloniales, comprometiendo el espíritu original de sus revistas, el decano de Héctor adoptó un enfoque diferente dentro del mismo sistema editorial orientado al beneficio. </w:t>
      </w:r>
    </w:p>
    <w:p w14:paraId="467B97EE" w14:textId="67129F1D" w:rsidR="00A30A59" w:rsidRPr="00A30A59" w:rsidRDefault="00A30A59" w:rsidP="00A30A59">
      <w:pPr>
        <w:spacing w:line="240" w:lineRule="auto"/>
        <w:jc w:val="both"/>
        <w:rPr>
          <w:rFonts w:ascii="Times New Roman" w:hAnsi="Times New Roman" w:cs="Times New Roman"/>
          <w:lang w:val="es-MX"/>
        </w:rPr>
      </w:pPr>
      <w:r w:rsidRPr="00A30A59">
        <w:rPr>
          <w:rFonts w:ascii="Times New Roman" w:hAnsi="Times New Roman" w:cs="Times New Roman"/>
          <w:lang w:val="es-MX"/>
        </w:rPr>
        <w:t xml:space="preserve">Los tres editores presentan una historia aleccionadora sobre cómo el cumplimiento total de las normas internacionales dentro de un sistema editorial con ánimo de lucro representa la máxima expresión de una colonización, que acaba conduciendo a la extinción. La aceptación acrítica por parte del decano de Fátima, Thomas y Héctor de la edición con ánimo de lucro y de los sistemas de clasificación llevó a la revista a perder su propósito original y, finalmente, a desaparecer debido a su incapacidad para cumplir con los altos estándares y ser clasificada como una revista de alto impacto.   </w:t>
      </w:r>
    </w:p>
    <w:p w14:paraId="269F0344" w14:textId="77777777" w:rsidR="00A30A59" w:rsidRPr="00A30A59" w:rsidRDefault="00A30A59" w:rsidP="00A30A59">
      <w:pPr>
        <w:spacing w:line="240" w:lineRule="auto"/>
        <w:jc w:val="both"/>
        <w:rPr>
          <w:rFonts w:ascii="Times New Roman" w:hAnsi="Times New Roman" w:cs="Times New Roman"/>
          <w:b/>
          <w:bCs/>
          <w:lang w:val="es-CO"/>
        </w:rPr>
      </w:pPr>
      <w:r w:rsidRPr="00A30A59">
        <w:rPr>
          <w:rFonts w:ascii="Times New Roman" w:hAnsi="Times New Roman" w:cs="Times New Roman"/>
          <w:b/>
          <w:bCs/>
          <w:lang w:val="es-CO"/>
        </w:rPr>
        <w:t>Discusión</w:t>
      </w:r>
    </w:p>
    <w:p w14:paraId="3D4D0897" w14:textId="77777777" w:rsidR="00A30A59" w:rsidRPr="00A30A59" w:rsidRDefault="00A30A59" w:rsidP="00A30A59">
      <w:pPr>
        <w:spacing w:line="240" w:lineRule="auto"/>
        <w:jc w:val="both"/>
        <w:rPr>
          <w:rFonts w:ascii="Times New Roman" w:hAnsi="Times New Roman" w:cs="Times New Roman"/>
          <w:lang w:val="es-CO"/>
        </w:rPr>
      </w:pPr>
      <w:r w:rsidRPr="00A30A59">
        <w:rPr>
          <w:rFonts w:ascii="Times New Roman" w:hAnsi="Times New Roman" w:cs="Times New Roman"/>
          <w:lang w:val="es-CO"/>
        </w:rPr>
        <w:t xml:space="preserve">La supervivencia de las revistas periféricas se ve atrapada en un círculo vicioso de exclusión del debate académico más amplio. Las revistas que no están clasificadas o que experimentan un descenso en su clasificación tienen una probabilidad cada vez menor de ser clasificadas en el futuro, debido a la reducción de los incentivos para que los autores envíen sus trabajos. Al mismo tiempo, las revistas clasificadas deben competir con la producción científica internacional para mantener o mejorar su categoría (Agudelo Trujillo, 2016). En este contexto, resulta un reto para las revistas conseguir la clasificación, mantenerla y/o ascender de una categoría a otra. </w:t>
      </w:r>
    </w:p>
    <w:p w14:paraId="4F4F6E3C" w14:textId="77777777" w:rsidR="00A30A59" w:rsidRPr="00A30A59" w:rsidRDefault="00A30A59" w:rsidP="00A30A59">
      <w:pPr>
        <w:spacing w:line="240" w:lineRule="auto"/>
        <w:jc w:val="both"/>
        <w:rPr>
          <w:rFonts w:ascii="Times New Roman" w:hAnsi="Times New Roman" w:cs="Times New Roman"/>
          <w:lang w:val="es-CO"/>
        </w:rPr>
      </w:pPr>
      <w:r w:rsidRPr="00A30A59">
        <w:rPr>
          <w:rFonts w:ascii="Times New Roman" w:hAnsi="Times New Roman" w:cs="Times New Roman"/>
          <w:lang w:val="es-CO"/>
        </w:rPr>
        <w:t xml:space="preserve">Los editores de revistas colombianas responden a estas políticas por diferentes vías a través de las cuales los editores del Sur Global se desenvuelven y, en ocasiones, decolonizan la publicación académica: 1) el rechazo, 2) el aprovechamiento de las lagunas del sistema, 3) la adaptación y la innovación, y 4) la extinción mediante la colonización total. En lo que respecta al capitalismo académico y al colonialismo, los editores que seguían la vía de la extinción se encontraban inmersos en el modelo comercial colonial de la publicación académica, en el que las métricas bibliométricas de WoS y Scopus se erigían como las pautas que había que cumplir o, de lo contrario, enfrentarse a la desaparición. Por el contrario, las vías del rechazo, gamming y la adaptación reflejaban distintos grados de compromiso con la publicación académica, así como formas diferenciadas de abordarla y decolonizarla. Los editores que siguieron la vía del rechazo se mantuvieron firmemente apegados a —y profundamente marcados por— la publicación académica bajo el régimen del bien público, oponiéndose abiertamente al giro hacia los regímenes del capitalismo académico y el colonialismo. Los editores que seguían la vía del juego entendían la transformación de la publicación académica —del régimen de bien público a los regímenes académicos capitalistas y coloniales— como un juego de supervivencia que debía jugarse sin perder su ethos. Por el contrario, los editores de la vía de la adaptación estaban integrados en el sistema hegemónico y respondían </w:t>
      </w:r>
      <w:r w:rsidRPr="00A30A59">
        <w:rPr>
          <w:rFonts w:ascii="Times New Roman" w:hAnsi="Times New Roman" w:cs="Times New Roman"/>
          <w:lang w:val="es-CO"/>
        </w:rPr>
        <w:lastRenderedPageBreak/>
        <w:t>mediante la adaptación, no como jugadores estratégicos, sino como actores que se posicionaban como miembros legítimos del sistema con derecho a pertenecer a él.</w:t>
      </w:r>
    </w:p>
    <w:p w14:paraId="3544C46C" w14:textId="77777777" w:rsidR="00A30A59" w:rsidRPr="00A30A59" w:rsidRDefault="00A30A59" w:rsidP="00A30A59">
      <w:pPr>
        <w:spacing w:line="240" w:lineRule="auto"/>
        <w:jc w:val="both"/>
        <w:rPr>
          <w:rFonts w:ascii="Times New Roman" w:hAnsi="Times New Roman" w:cs="Times New Roman"/>
          <w:lang w:val="es-CO"/>
        </w:rPr>
      </w:pPr>
      <w:r w:rsidRPr="00A30A59">
        <w:rPr>
          <w:rFonts w:ascii="Times New Roman" w:hAnsi="Times New Roman" w:cs="Times New Roman"/>
          <w:lang w:val="es-CO"/>
        </w:rPr>
        <w:t xml:space="preserve">La teoría del capitalismo académico y su literatura empírica señalaban que la publicación es diametralmente opuesta a la generación de patentes, enmarcando la publicación como un bien público (Slaughter y Rhoades, 2004). Sin embargo, los límites entre la publicación como bien público o privado se han difuminado. Como demuestra este estudio, la publicación académica también se considera un bien privado, guiada por principios coloniales. Como bien privado, la publicación ya no se asocia con el flujo libre de información, sino que se organiza jerárquicamente a través de sistemas bibliométricos en los que las revistas de alto impacto son principalmente revistas y artículos de pago, junto con el inglés como norma habitual. Estas dinámicas han marginado sistemáticamente a las revistas del Sur Global, que son en su mayoría de acceso abierto (Alperín y Fischman, 2015) y que luchan por ser incluidas o se ven abocadas a la desaparición. </w:t>
      </w:r>
    </w:p>
    <w:p w14:paraId="2A3027CC" w14:textId="77777777" w:rsidR="00A30A59" w:rsidRPr="00A30A59" w:rsidRDefault="00A30A59" w:rsidP="00A30A59">
      <w:pPr>
        <w:spacing w:line="240" w:lineRule="auto"/>
        <w:jc w:val="both"/>
        <w:rPr>
          <w:rFonts w:ascii="Times New Roman" w:hAnsi="Times New Roman" w:cs="Times New Roman"/>
          <w:lang w:val="es-CO"/>
        </w:rPr>
      </w:pPr>
      <w:r w:rsidRPr="00A30A59">
        <w:rPr>
          <w:rFonts w:ascii="Times New Roman" w:hAnsi="Times New Roman" w:cs="Times New Roman"/>
          <w:lang w:val="es-CO"/>
        </w:rPr>
        <w:t xml:space="preserve">Este estudio contribuye a la teoría del capitalismo académico al introducir una capa analítica adicional: la publicación académica como bien privado integrado en las estructuras editoriales con ánimo de lucro y en los regímenes bibliométricos internacionales. Al incorporar esta nueva capa junto con una perspectiva colonial, podemos comprender por qué las instituciones de educación superior sin ánimo de lucro y la comunidad académica están adoptando comportamientos de mercado y similares al mercado (Metcalfe y Slaughter, 2008; Rhoades, 2006), así como comportamientos coloniales o decoloniales dentro de un amplio mercado de editoriales comerciales internacionales. Esta reconfiguración nos permite comprender las consecuencias no deseadas del sistema de publicación académica, incluidas las estructuras de poder que reproducen las desigualdades y perpetúan la infrarrepresentación del Sur Global en la producción mundial de conocimiento. Esta perspectiva analítica adicional abre nuevas vías para la investigación futura sobre la publicación académica en el marco del capitalismo académico y la colonialidad. </w:t>
      </w:r>
    </w:p>
    <w:p w14:paraId="1473784E" w14:textId="77777777" w:rsidR="00A30A59" w:rsidRPr="00A30A59" w:rsidRDefault="00A30A59" w:rsidP="00A30A59">
      <w:pPr>
        <w:spacing w:line="240" w:lineRule="auto"/>
        <w:jc w:val="both"/>
        <w:rPr>
          <w:rFonts w:ascii="Times New Roman" w:hAnsi="Times New Roman" w:cs="Times New Roman"/>
          <w:b/>
          <w:bCs/>
          <w:lang w:val="es-CO"/>
        </w:rPr>
      </w:pPr>
      <w:r w:rsidRPr="00A30A59">
        <w:rPr>
          <w:rFonts w:ascii="Times New Roman" w:hAnsi="Times New Roman" w:cs="Times New Roman"/>
          <w:b/>
          <w:bCs/>
          <w:lang w:val="es-CO"/>
        </w:rPr>
        <w:t>Conclusión</w:t>
      </w:r>
    </w:p>
    <w:p w14:paraId="7055E1CD" w14:textId="2CDB0ED8" w:rsidR="00A30A59" w:rsidRPr="00A30A59" w:rsidRDefault="00A30A59" w:rsidP="00A30A59">
      <w:pPr>
        <w:spacing w:line="240" w:lineRule="auto"/>
        <w:jc w:val="both"/>
        <w:rPr>
          <w:rFonts w:ascii="Times New Roman" w:hAnsi="Times New Roman" w:cs="Times New Roman"/>
          <w:lang w:val="es-CO"/>
        </w:rPr>
      </w:pPr>
      <w:r w:rsidRPr="00A30A59">
        <w:rPr>
          <w:rFonts w:ascii="Times New Roman" w:hAnsi="Times New Roman" w:cs="Times New Roman"/>
          <w:lang w:val="es-CO"/>
        </w:rPr>
        <w:t xml:space="preserve">Este trabajo analiza cómo el capitalismo académico y el colonialismo sustentan las políticas, las motivaciones de los editores y las prácticas. Las políticas y las experiencias de los editores descritas en este estudio muestran que rendirse por completo al sistema editorial académico colonial y con ánimo de lucro solo conduce a la extinción. Además, los editores y académicos del Sur Global deben hacer frente a un sistema que, no fue diseñado pensando en ellos, sino que perpetúa la hegemonía epistemológica y lingüística de las potencias coloniales. Para sobrevivir y prosperar en estas condiciones, los editores y el diseño de las políticas pueden poner en práctica diversas estrategias desde una perspectiva decolonial y de bien común, como descentrar el inglés, construir comunidades de apoyo, adoptar una mirada y un discurso decoloniales, y el «hacking decolonial» —aprovechar las instituciones, las herramientas existentes como la tecnología, movilizar recursos y crear espacios para comunidades que, de otro modo, quedarían marginadas—. No existe una única forma de abordar y decolonizar la </w:t>
      </w:r>
      <w:r w:rsidRPr="00A30A59">
        <w:rPr>
          <w:rFonts w:ascii="Times New Roman" w:hAnsi="Times New Roman" w:cs="Times New Roman"/>
          <w:lang w:val="es-CO"/>
        </w:rPr>
        <w:lastRenderedPageBreak/>
        <w:t>publicación académica. No obstante, se trata de una tarea urgente, tal y como afirma De Sousa Santos (2015): «No hay justicia social global sin justicia cognitiva global» (p.  viii).</w:t>
      </w:r>
    </w:p>
    <w:p w14:paraId="39B57161" w14:textId="41900233" w:rsidR="005F3B2E" w:rsidRPr="00A30A59" w:rsidRDefault="005F3B2E" w:rsidP="007B5B5F">
      <w:pPr>
        <w:spacing w:line="240" w:lineRule="auto"/>
        <w:rPr>
          <w:rFonts w:ascii="Times New Roman" w:hAnsi="Times New Roman" w:cs="Times New Roman"/>
          <w:b/>
          <w:bCs/>
          <w:lang w:val="es-CO"/>
        </w:rPr>
      </w:pPr>
      <w:r w:rsidRPr="00A30A59">
        <w:rPr>
          <w:rFonts w:ascii="Times New Roman" w:hAnsi="Times New Roman" w:cs="Times New Roman"/>
          <w:b/>
          <w:bCs/>
          <w:lang w:val="es-CO"/>
        </w:rPr>
        <w:t xml:space="preserve">Referencias Bibliográficas </w:t>
      </w:r>
    </w:p>
    <w:p w14:paraId="2EB19218"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Agudelo Trujillo, J. H. (2016). El extraño viraje del PUBLINDEX. </w:t>
      </w:r>
      <w:r w:rsidRPr="008325FC">
        <w:rPr>
          <w:rFonts w:ascii="Times New Roman" w:hAnsi="Times New Roman" w:cs="Times New Roman"/>
          <w:i/>
          <w:sz w:val="24"/>
          <w:szCs w:val="24"/>
          <w:lang w:val="es-CO"/>
        </w:rPr>
        <w:t>Revista Colombiana de Ciencias Pecuarias</w:t>
      </w:r>
      <w:r w:rsidRPr="008325FC">
        <w:rPr>
          <w:rFonts w:ascii="Times New Roman" w:hAnsi="Times New Roman" w:cs="Times New Roman"/>
          <w:sz w:val="24"/>
          <w:szCs w:val="24"/>
          <w:lang w:val="es-CO"/>
        </w:rPr>
        <w:t>,</w:t>
      </w:r>
      <w:r w:rsidRPr="008325FC">
        <w:rPr>
          <w:rFonts w:ascii="Times New Roman" w:hAnsi="Times New Roman" w:cs="Times New Roman"/>
          <w:i/>
          <w:sz w:val="24"/>
          <w:szCs w:val="24"/>
          <w:lang w:val="es-CO"/>
        </w:rPr>
        <w:t xml:space="preserve"> 29</w:t>
      </w:r>
      <w:r w:rsidRPr="008325FC">
        <w:rPr>
          <w:rFonts w:ascii="Times New Roman" w:hAnsi="Times New Roman" w:cs="Times New Roman"/>
          <w:sz w:val="24"/>
          <w:szCs w:val="24"/>
          <w:lang w:val="es-CO"/>
        </w:rPr>
        <w:t xml:space="preserve">(4), 243-244. </w:t>
      </w:r>
    </w:p>
    <w:p w14:paraId="6D3E6913"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Alperín, J. P., &amp; Fischman, G. (2015). </w:t>
      </w:r>
      <w:r w:rsidRPr="008325FC">
        <w:rPr>
          <w:rFonts w:ascii="Times New Roman" w:hAnsi="Times New Roman" w:cs="Times New Roman"/>
          <w:i/>
          <w:sz w:val="24"/>
          <w:szCs w:val="24"/>
        </w:rPr>
        <w:t>Made in Latin America: Open access, scholarly journals, and regional innovations</w:t>
      </w:r>
      <w:r w:rsidRPr="008325FC">
        <w:rPr>
          <w:rFonts w:ascii="Times New Roman" w:hAnsi="Times New Roman" w:cs="Times New Roman"/>
          <w:sz w:val="24"/>
          <w:szCs w:val="24"/>
        </w:rPr>
        <w:t xml:space="preserve">. </w:t>
      </w:r>
      <w:r w:rsidRPr="008325FC">
        <w:rPr>
          <w:rFonts w:ascii="Times New Roman" w:hAnsi="Times New Roman" w:cs="Times New Roman"/>
          <w:sz w:val="24"/>
          <w:szCs w:val="24"/>
          <w:lang w:val="es-CO"/>
        </w:rPr>
        <w:t xml:space="preserve">CLACSO. </w:t>
      </w:r>
    </w:p>
    <w:p w14:paraId="0E51ED40"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lang w:val="es-CO"/>
        </w:rPr>
        <w:t xml:space="preserve">Alperin, J. P., &amp; Rozemblum, C. (2017). La reinterpretación de visibilidad y calidad en las nuevas políticas de evaluación de revistas científicas. </w:t>
      </w:r>
      <w:r w:rsidRPr="008325FC">
        <w:rPr>
          <w:rFonts w:ascii="Times New Roman" w:hAnsi="Times New Roman" w:cs="Times New Roman"/>
          <w:i/>
          <w:sz w:val="24"/>
          <w:szCs w:val="24"/>
        </w:rPr>
        <w:t>Revista Interamericana de Bibliotecología</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40</w:t>
      </w:r>
      <w:r w:rsidRPr="008325FC">
        <w:rPr>
          <w:rFonts w:ascii="Times New Roman" w:hAnsi="Times New Roman" w:cs="Times New Roman"/>
          <w:sz w:val="24"/>
          <w:szCs w:val="24"/>
        </w:rPr>
        <w:t xml:space="preserve">(3), 231-241. </w:t>
      </w:r>
    </w:p>
    <w:p w14:paraId="780760BA"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Ball, S. J., Maguire, M., &amp; Braun, A. (2012). </w:t>
      </w:r>
      <w:r w:rsidRPr="008325FC">
        <w:rPr>
          <w:rFonts w:ascii="Times New Roman" w:hAnsi="Times New Roman" w:cs="Times New Roman"/>
          <w:i/>
          <w:sz w:val="24"/>
          <w:szCs w:val="24"/>
        </w:rPr>
        <w:t>How schools do policy: Policy enactments in secondary schools</w:t>
      </w:r>
      <w:r w:rsidRPr="008325FC">
        <w:rPr>
          <w:rFonts w:ascii="Times New Roman" w:hAnsi="Times New Roman" w:cs="Times New Roman"/>
          <w:sz w:val="24"/>
          <w:szCs w:val="24"/>
        </w:rPr>
        <w:t xml:space="preserve">. Routledge. </w:t>
      </w:r>
    </w:p>
    <w:p w14:paraId="4E16AD6A"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Bauwens, T., Reike, D., &amp; Calisto-Friant, M. (2023). Science for sale? Why academic marketization is a problem and what sustainability research can do about it. </w:t>
      </w:r>
      <w:r w:rsidRPr="008325FC">
        <w:rPr>
          <w:rFonts w:ascii="Times New Roman" w:hAnsi="Times New Roman" w:cs="Times New Roman"/>
          <w:i/>
          <w:sz w:val="24"/>
          <w:szCs w:val="24"/>
        </w:rPr>
        <w:t>Environmental Innovation and Societal Transitions</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48</w:t>
      </w:r>
      <w:r w:rsidRPr="008325FC">
        <w:rPr>
          <w:rFonts w:ascii="Times New Roman" w:hAnsi="Times New Roman" w:cs="Times New Roman"/>
          <w:sz w:val="24"/>
          <w:szCs w:val="24"/>
        </w:rPr>
        <w:t xml:space="preserve">, 100749. https://doi.org/https://doi.org/10.1016/j.eist.2023.100749 </w:t>
      </w:r>
    </w:p>
    <w:p w14:paraId="5707A06F"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Beverungen, A., Böhm, S., &amp; Land, C. (2012). The poverty of journal publishing. </w:t>
      </w:r>
      <w:r w:rsidRPr="008325FC">
        <w:rPr>
          <w:rFonts w:ascii="Times New Roman" w:hAnsi="Times New Roman" w:cs="Times New Roman"/>
          <w:i/>
          <w:sz w:val="24"/>
          <w:szCs w:val="24"/>
        </w:rPr>
        <w:t>Organization</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19</w:t>
      </w:r>
      <w:r w:rsidRPr="008325FC">
        <w:rPr>
          <w:rFonts w:ascii="Times New Roman" w:hAnsi="Times New Roman" w:cs="Times New Roman"/>
          <w:sz w:val="24"/>
          <w:szCs w:val="24"/>
        </w:rPr>
        <w:t xml:space="preserve">(6), 929-938. https://doi.org/10.1177/1350508412448858 </w:t>
      </w:r>
    </w:p>
    <w:p w14:paraId="5AA2B5DD"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Canagarajah, S. (2002). </w:t>
      </w:r>
      <w:r w:rsidRPr="008325FC">
        <w:rPr>
          <w:rFonts w:ascii="Times New Roman" w:hAnsi="Times New Roman" w:cs="Times New Roman"/>
          <w:i/>
          <w:sz w:val="24"/>
          <w:szCs w:val="24"/>
        </w:rPr>
        <w:t xml:space="preserve">A Geopolitics of Academic Writing </w:t>
      </w:r>
      <w:r w:rsidRPr="008325FC">
        <w:rPr>
          <w:rFonts w:ascii="Times New Roman" w:hAnsi="Times New Roman" w:cs="Times New Roman"/>
          <w:sz w:val="24"/>
          <w:szCs w:val="24"/>
        </w:rPr>
        <w:t xml:space="preserve">Orient longman. </w:t>
      </w:r>
    </w:p>
    <w:p w14:paraId="2F27BC92"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lang w:val="pt-BR"/>
        </w:rPr>
        <w:t xml:space="preserve">Cárdenas, M. L., &amp; Nieto Cruz, M. C. (2018). </w:t>
      </w:r>
      <w:r w:rsidRPr="008325FC">
        <w:rPr>
          <w:rFonts w:ascii="Times New Roman" w:hAnsi="Times New Roman" w:cs="Times New Roman"/>
          <w:sz w:val="24"/>
          <w:szCs w:val="24"/>
        </w:rPr>
        <w:t xml:space="preserve">Bibliometric Indicators and their accurate use in the ranking of Colombian journals. </w:t>
      </w:r>
      <w:r w:rsidRPr="008325FC">
        <w:rPr>
          <w:rFonts w:ascii="Times New Roman" w:hAnsi="Times New Roman" w:cs="Times New Roman"/>
          <w:i/>
          <w:sz w:val="24"/>
          <w:szCs w:val="24"/>
        </w:rPr>
        <w:t>Profile Issues in TeachersProfessional Development</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20</w:t>
      </w:r>
      <w:r w:rsidRPr="008325FC">
        <w:rPr>
          <w:rFonts w:ascii="Times New Roman" w:hAnsi="Times New Roman" w:cs="Times New Roman"/>
          <w:sz w:val="24"/>
          <w:szCs w:val="24"/>
        </w:rPr>
        <w:t xml:space="preserve">(1), 7-12. </w:t>
      </w:r>
    </w:p>
    <w:p w14:paraId="227A0C5A"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Chiapello, E., &amp; Fairclough, N. (2002). Understanding the new management ideology: a transdisciplinary contribution from critical discourse analysis and new sociology of capitalism. </w:t>
      </w:r>
      <w:r w:rsidRPr="008325FC">
        <w:rPr>
          <w:rFonts w:ascii="Times New Roman" w:hAnsi="Times New Roman" w:cs="Times New Roman"/>
          <w:i/>
          <w:sz w:val="24"/>
          <w:szCs w:val="24"/>
        </w:rPr>
        <w:t>Discourse Society</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13</w:t>
      </w:r>
      <w:r w:rsidRPr="008325FC">
        <w:rPr>
          <w:rFonts w:ascii="Times New Roman" w:hAnsi="Times New Roman" w:cs="Times New Roman"/>
          <w:sz w:val="24"/>
          <w:szCs w:val="24"/>
        </w:rPr>
        <w:t xml:space="preserve">(2), 185-208. </w:t>
      </w:r>
    </w:p>
    <w:p w14:paraId="3F388DF8"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rPr>
        <w:t xml:space="preserve">Coburn, C. E. (2016). What’s policy got to do with it? How the structure-agency debate can illuminate policy implementation. </w:t>
      </w:r>
      <w:r w:rsidRPr="008325FC">
        <w:rPr>
          <w:rFonts w:ascii="Times New Roman" w:hAnsi="Times New Roman" w:cs="Times New Roman"/>
          <w:i/>
          <w:sz w:val="24"/>
          <w:szCs w:val="24"/>
          <w:lang w:val="es-CO"/>
        </w:rPr>
        <w:t>American Journal of Education</w:t>
      </w:r>
      <w:r w:rsidRPr="008325FC">
        <w:rPr>
          <w:rFonts w:ascii="Times New Roman" w:hAnsi="Times New Roman" w:cs="Times New Roman"/>
          <w:sz w:val="24"/>
          <w:szCs w:val="24"/>
          <w:lang w:val="es-CO"/>
        </w:rPr>
        <w:t>,</w:t>
      </w:r>
      <w:r w:rsidRPr="008325FC">
        <w:rPr>
          <w:rFonts w:ascii="Times New Roman" w:hAnsi="Times New Roman" w:cs="Times New Roman"/>
          <w:i/>
          <w:sz w:val="24"/>
          <w:szCs w:val="24"/>
          <w:lang w:val="es-CO"/>
        </w:rPr>
        <w:t xml:space="preserve"> 122</w:t>
      </w:r>
      <w:r w:rsidRPr="008325FC">
        <w:rPr>
          <w:rFonts w:ascii="Times New Roman" w:hAnsi="Times New Roman" w:cs="Times New Roman"/>
          <w:sz w:val="24"/>
          <w:szCs w:val="24"/>
          <w:lang w:val="es-CO"/>
        </w:rPr>
        <w:t xml:space="preserve">(3), 465-475. </w:t>
      </w:r>
    </w:p>
    <w:p w14:paraId="77AB428D"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(2016a). </w:t>
      </w:r>
      <w:r w:rsidRPr="008325FC">
        <w:rPr>
          <w:rFonts w:ascii="Times New Roman" w:hAnsi="Times New Roman" w:cs="Times New Roman"/>
          <w:i/>
          <w:sz w:val="24"/>
          <w:szCs w:val="24"/>
          <w:lang w:val="es-CO"/>
        </w:rPr>
        <w:t xml:space="preserve">Modelo de clasificación de revistas científicas nacionales </w:t>
      </w:r>
      <w:r w:rsidRPr="008325FC">
        <w:rPr>
          <w:rFonts w:ascii="Times New Roman" w:hAnsi="Times New Roman" w:cs="Times New Roman"/>
          <w:sz w:val="24"/>
          <w:szCs w:val="24"/>
          <w:lang w:val="es-CO"/>
        </w:rPr>
        <w:t xml:space="preserve">Departamento Administrativo de Ciencia, Tecnología e Innovación (Colciencias). </w:t>
      </w:r>
    </w:p>
    <w:p w14:paraId="002504CD"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(2016b). </w:t>
      </w:r>
      <w:r w:rsidRPr="008325FC">
        <w:rPr>
          <w:rFonts w:ascii="Times New Roman" w:hAnsi="Times New Roman" w:cs="Times New Roman"/>
          <w:i/>
          <w:sz w:val="24"/>
          <w:szCs w:val="24"/>
          <w:lang w:val="es-CO"/>
        </w:rPr>
        <w:t>Política nacional para mejorar la calidad de las publicaciones científicas nacionales. Documento N° 1601</w:t>
      </w:r>
      <w:r w:rsidRPr="008325FC">
        <w:rPr>
          <w:rFonts w:ascii="Times New Roman" w:hAnsi="Times New Roman" w:cs="Times New Roman"/>
          <w:sz w:val="24"/>
          <w:szCs w:val="24"/>
          <w:lang w:val="es-CO"/>
        </w:rPr>
        <w:t xml:space="preserve">. Departamento Administrativo de Ciencia, Tecnología e Innovación (Colciencias). http://www.colciencias.gov.co/sites/default/files/upload/noticias/120816-vfpolitica_publindex_2.0_og_ao_miv.pdf </w:t>
      </w:r>
    </w:p>
    <w:p w14:paraId="2735DD67"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lastRenderedPageBreak/>
        <w:t xml:space="preserve">Colciencias. (2016c). </w:t>
      </w:r>
      <w:r w:rsidRPr="008325FC">
        <w:rPr>
          <w:rFonts w:ascii="Times New Roman" w:hAnsi="Times New Roman" w:cs="Times New Roman"/>
          <w:i/>
          <w:sz w:val="24"/>
          <w:szCs w:val="24"/>
          <w:lang w:val="es-CO"/>
        </w:rPr>
        <w:t>Resolución 763 de 2016 “Por la cual se ordena la apertura de la convocatoria para la indexación de revistas especializadas de ciencia, tecnología e innovación. Publindex” Convocatoria 768</w:t>
      </w:r>
      <w:r w:rsidRPr="008325FC">
        <w:rPr>
          <w:rFonts w:ascii="Times New Roman" w:hAnsi="Times New Roman" w:cs="Times New Roman"/>
          <w:sz w:val="24"/>
          <w:szCs w:val="24"/>
          <w:lang w:val="es-CO"/>
        </w:rPr>
        <w:t xml:space="preserve">. Departamento Administrativo de Ciencia, Tecnología e Innovación – Colciencias. </w:t>
      </w:r>
    </w:p>
    <w:p w14:paraId="587B8359"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(2016d). </w:t>
      </w:r>
      <w:r w:rsidRPr="008325FC">
        <w:rPr>
          <w:rFonts w:ascii="Times New Roman" w:hAnsi="Times New Roman" w:cs="Times New Roman"/>
          <w:i/>
          <w:sz w:val="24"/>
          <w:szCs w:val="24"/>
          <w:lang w:val="es-CO"/>
        </w:rPr>
        <w:t xml:space="preserve">Resolución 790 de 2016 "Por la cual se adopta la Política Nacional para mejorar el impacto de las publicaciones científicas nacionales y el modelo de clasificación de revistas científicas nacionales, PUBLINDEX" </w:t>
      </w:r>
      <w:r w:rsidRPr="008325FC">
        <w:rPr>
          <w:rFonts w:ascii="Times New Roman" w:hAnsi="Times New Roman" w:cs="Times New Roman"/>
          <w:sz w:val="24"/>
          <w:szCs w:val="24"/>
          <w:lang w:val="es-CO"/>
        </w:rPr>
        <w:t xml:space="preserve">Departamento Administrativo de Ciencia, Tecnología e Innovación - Colciencias. </w:t>
      </w:r>
    </w:p>
    <w:p w14:paraId="156AC7C6"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(2017a). </w:t>
      </w:r>
      <w:r w:rsidRPr="008325FC">
        <w:rPr>
          <w:rFonts w:ascii="Times New Roman" w:hAnsi="Times New Roman" w:cs="Times New Roman"/>
          <w:i/>
          <w:sz w:val="24"/>
          <w:szCs w:val="24"/>
          <w:lang w:val="es-CO"/>
        </w:rPr>
        <w:t>Informe de la Convocatoria para Indexación de Revistas Científicas Colombianas Especializadas – Publindex</w:t>
      </w:r>
      <w:r w:rsidRPr="008325FC">
        <w:rPr>
          <w:rFonts w:ascii="Times New Roman" w:hAnsi="Times New Roman" w:cs="Times New Roman"/>
          <w:sz w:val="24"/>
          <w:szCs w:val="24"/>
          <w:lang w:val="es-CO"/>
        </w:rPr>
        <w:t xml:space="preserve">. Colciencias. https://minciencias.gov.co/sites/default/files/upload/noticias/informe-publindex.pdf </w:t>
      </w:r>
    </w:p>
    <w:p w14:paraId="3C7EB39F"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(2017b). </w:t>
      </w:r>
      <w:r w:rsidRPr="008325FC">
        <w:rPr>
          <w:rFonts w:ascii="Times New Roman" w:hAnsi="Times New Roman" w:cs="Times New Roman"/>
          <w:i/>
          <w:sz w:val="24"/>
          <w:szCs w:val="24"/>
          <w:lang w:val="es-CO"/>
        </w:rPr>
        <w:t xml:space="preserve">Resolución 0929 de 2017 “Por la cual se publican los resultados definitivos de la convocatoria 768 de 2016 para la indexación de revistas especializadas de Ciencia, Tecnología e Innovación - Publindex”  </w:t>
      </w:r>
      <w:r w:rsidRPr="008325FC">
        <w:rPr>
          <w:rFonts w:ascii="Times New Roman" w:hAnsi="Times New Roman" w:cs="Times New Roman"/>
          <w:sz w:val="24"/>
          <w:szCs w:val="24"/>
          <w:lang w:val="es-CO"/>
        </w:rPr>
        <w:t xml:space="preserve">Departamento Administrativo de Ciencia, Tecnología e Innovación – Colciencias. </w:t>
      </w:r>
    </w:p>
    <w:p w14:paraId="63BDB98B"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(2018). </w:t>
      </w:r>
      <w:r w:rsidRPr="008325FC">
        <w:rPr>
          <w:rFonts w:ascii="Times New Roman" w:hAnsi="Times New Roman" w:cs="Times New Roman"/>
          <w:i/>
          <w:sz w:val="24"/>
          <w:szCs w:val="24"/>
          <w:lang w:val="es-CO"/>
        </w:rPr>
        <w:t>Resolución 1202 de 2018 “Por la cual se ordena la apertura de la convocatoria para indexación de revistas científicas colombianas especializadas. Publindex 2018” Convocatoria 830</w:t>
      </w:r>
      <w:r w:rsidRPr="008325FC">
        <w:rPr>
          <w:rFonts w:ascii="Times New Roman" w:hAnsi="Times New Roman" w:cs="Times New Roman"/>
          <w:sz w:val="24"/>
          <w:szCs w:val="24"/>
          <w:lang w:val="es-CO"/>
        </w:rPr>
        <w:t xml:space="preserve">. Departamento Administrativo de Ciencia, Tecnología e Innovación - Colciencias. </w:t>
      </w:r>
    </w:p>
    <w:p w14:paraId="00840116"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Colciencias. (2019). </w:t>
      </w:r>
      <w:r w:rsidRPr="008325FC">
        <w:rPr>
          <w:rFonts w:ascii="Times New Roman" w:hAnsi="Times New Roman" w:cs="Times New Roman"/>
          <w:i/>
          <w:sz w:val="24"/>
          <w:szCs w:val="24"/>
          <w:lang w:val="es-CO"/>
        </w:rPr>
        <w:t xml:space="preserve">Resolución 1094 de 2019 “Por la cual se publican el listado de revistas clasificadas de la convocatoria 830 de 2018 para la indexación de revistas científicas colombianas especializadas- Publindex 2018”  </w:t>
      </w:r>
      <w:r w:rsidRPr="008325FC">
        <w:rPr>
          <w:rFonts w:ascii="Times New Roman" w:hAnsi="Times New Roman" w:cs="Times New Roman"/>
          <w:sz w:val="24"/>
          <w:szCs w:val="24"/>
          <w:lang w:val="es-CO"/>
        </w:rPr>
        <w:t xml:space="preserve">Departamento Administrativo de Ciencia, Tecnología e Innovación – Colciencias. </w:t>
      </w:r>
    </w:p>
    <w:p w14:paraId="632A5892"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lang w:val="pt-BR"/>
        </w:rPr>
        <w:t xml:space="preserve">de Oliveira Andreotti, V., Stein, S., Ahenakew, C., &amp; Hunt, D. (2015). </w:t>
      </w:r>
      <w:r w:rsidRPr="008325FC">
        <w:rPr>
          <w:rFonts w:ascii="Times New Roman" w:hAnsi="Times New Roman" w:cs="Times New Roman"/>
          <w:sz w:val="24"/>
          <w:szCs w:val="24"/>
        </w:rPr>
        <w:t xml:space="preserve">Mapping interpretations of decolonization in the context of higher education. </w:t>
      </w:r>
      <w:r w:rsidRPr="008325FC">
        <w:rPr>
          <w:rFonts w:ascii="Times New Roman" w:hAnsi="Times New Roman" w:cs="Times New Roman"/>
          <w:i/>
          <w:sz w:val="24"/>
          <w:szCs w:val="24"/>
        </w:rPr>
        <w:t>Decolonization: Indigeneity, education &amp; society</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4</w:t>
      </w:r>
      <w:r w:rsidRPr="008325FC">
        <w:rPr>
          <w:rFonts w:ascii="Times New Roman" w:hAnsi="Times New Roman" w:cs="Times New Roman"/>
          <w:sz w:val="24"/>
          <w:szCs w:val="24"/>
        </w:rPr>
        <w:t xml:space="preserve">(1), 21-40. </w:t>
      </w:r>
    </w:p>
    <w:p w14:paraId="6A94BFFD"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De Sousa Santos, B. (2015). </w:t>
      </w:r>
      <w:r w:rsidRPr="008325FC">
        <w:rPr>
          <w:rFonts w:ascii="Times New Roman" w:hAnsi="Times New Roman" w:cs="Times New Roman"/>
          <w:i/>
          <w:sz w:val="24"/>
          <w:szCs w:val="24"/>
        </w:rPr>
        <w:t>Epistemologies of the south: Justice against epistemicide</w:t>
      </w:r>
      <w:r w:rsidRPr="008325FC">
        <w:rPr>
          <w:rFonts w:ascii="Times New Roman" w:hAnsi="Times New Roman" w:cs="Times New Roman"/>
          <w:sz w:val="24"/>
          <w:szCs w:val="24"/>
        </w:rPr>
        <w:t xml:space="preserve">. Routledge. </w:t>
      </w:r>
    </w:p>
    <w:p w14:paraId="6796483D"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Demeter, M. (2020a). </w:t>
      </w:r>
      <w:r w:rsidRPr="008325FC">
        <w:rPr>
          <w:rFonts w:ascii="Times New Roman" w:hAnsi="Times New Roman" w:cs="Times New Roman"/>
          <w:i/>
          <w:sz w:val="24"/>
          <w:szCs w:val="24"/>
        </w:rPr>
        <w:t>Academic Knowledge Production and the Global South: Questioning Inequality and Under-representation</w:t>
      </w:r>
      <w:r w:rsidRPr="008325FC">
        <w:rPr>
          <w:rFonts w:ascii="Times New Roman" w:hAnsi="Times New Roman" w:cs="Times New Roman"/>
          <w:sz w:val="24"/>
          <w:szCs w:val="24"/>
        </w:rPr>
        <w:t xml:space="preserve">. Springer International Publishing. </w:t>
      </w:r>
    </w:p>
    <w:p w14:paraId="0B5E4B9E"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Demeter, M. (2020b). The Rise of the Global South. In </w:t>
      </w:r>
      <w:r w:rsidRPr="008325FC">
        <w:rPr>
          <w:rFonts w:ascii="Times New Roman" w:hAnsi="Times New Roman" w:cs="Times New Roman"/>
          <w:i/>
          <w:sz w:val="24"/>
          <w:szCs w:val="24"/>
        </w:rPr>
        <w:t>Academic Knowledge Production and the Global South: Questioning Inequality and Under-representation</w:t>
      </w:r>
      <w:r w:rsidRPr="008325FC">
        <w:rPr>
          <w:rFonts w:ascii="Times New Roman" w:hAnsi="Times New Roman" w:cs="Times New Roman"/>
          <w:sz w:val="24"/>
          <w:szCs w:val="24"/>
        </w:rPr>
        <w:t xml:space="preserve"> (pp. 85-104). Springer International Publishing. https://doi.org/10.1007/978-3-030-52701-3_4 </w:t>
      </w:r>
    </w:p>
    <w:p w14:paraId="3B879EC0"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Fairclough, N. (2013). </w:t>
      </w:r>
      <w:r w:rsidRPr="008325FC">
        <w:rPr>
          <w:rFonts w:ascii="Times New Roman" w:hAnsi="Times New Roman" w:cs="Times New Roman"/>
          <w:i/>
          <w:sz w:val="24"/>
          <w:szCs w:val="24"/>
        </w:rPr>
        <w:t>Critical discourse analysis: The critical study of language</w:t>
      </w:r>
      <w:r w:rsidRPr="008325FC">
        <w:rPr>
          <w:rFonts w:ascii="Times New Roman" w:hAnsi="Times New Roman" w:cs="Times New Roman"/>
          <w:sz w:val="24"/>
          <w:szCs w:val="24"/>
        </w:rPr>
        <w:t xml:space="preserve">. Routledge. </w:t>
      </w:r>
    </w:p>
    <w:p w14:paraId="5CE207FC"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Fairclough, N. (2015). </w:t>
      </w:r>
      <w:r w:rsidRPr="008325FC">
        <w:rPr>
          <w:rFonts w:ascii="Times New Roman" w:hAnsi="Times New Roman" w:cs="Times New Roman"/>
          <w:i/>
          <w:sz w:val="24"/>
          <w:szCs w:val="24"/>
        </w:rPr>
        <w:t>Language and power</w:t>
      </w:r>
      <w:r w:rsidRPr="008325FC">
        <w:rPr>
          <w:rFonts w:ascii="Times New Roman" w:hAnsi="Times New Roman" w:cs="Times New Roman"/>
          <w:sz w:val="24"/>
          <w:szCs w:val="24"/>
        </w:rPr>
        <w:t xml:space="preserve"> (Third ed.). Routledge. </w:t>
      </w:r>
    </w:p>
    <w:p w14:paraId="66593F63"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lastRenderedPageBreak/>
        <w:t xml:space="preserve">Fairclough, N. (2018). CDA as dialectical reasoning. In J. Flowerdew &amp; J. E. Richardson (Eds.), </w:t>
      </w:r>
      <w:r w:rsidRPr="008325FC">
        <w:rPr>
          <w:rFonts w:ascii="Times New Roman" w:hAnsi="Times New Roman" w:cs="Times New Roman"/>
          <w:i/>
          <w:sz w:val="24"/>
          <w:szCs w:val="24"/>
        </w:rPr>
        <w:t>The Routledge Handbook of Critical Discourse Studies</w:t>
      </w:r>
      <w:r w:rsidRPr="008325FC">
        <w:rPr>
          <w:rFonts w:ascii="Times New Roman" w:hAnsi="Times New Roman" w:cs="Times New Roman"/>
          <w:sz w:val="24"/>
          <w:szCs w:val="24"/>
        </w:rPr>
        <w:t xml:space="preserve"> (pp. 13-25). Routledge Handbooks. </w:t>
      </w:r>
    </w:p>
    <w:p w14:paraId="08E1A7F0"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Fyfe, A., Coate, K., Curry, S., Lawson, S., Moxham, N., &amp; Røstvik, C. M. (2017). </w:t>
      </w:r>
      <w:r w:rsidRPr="008325FC">
        <w:rPr>
          <w:rFonts w:ascii="Times New Roman" w:hAnsi="Times New Roman" w:cs="Times New Roman"/>
          <w:i/>
          <w:sz w:val="24"/>
          <w:szCs w:val="24"/>
        </w:rPr>
        <w:t>Untangling academic publishing: A history of the relationship between commercial interests, academic prestige and the circulation of research</w:t>
      </w:r>
      <w:r w:rsidRPr="008325FC">
        <w:rPr>
          <w:rFonts w:ascii="Times New Roman" w:hAnsi="Times New Roman" w:cs="Times New Roman"/>
          <w:sz w:val="24"/>
          <w:szCs w:val="24"/>
        </w:rPr>
        <w:t xml:space="preserve">. University of St Andrews. </w:t>
      </w:r>
    </w:p>
    <w:p w14:paraId="53F45609"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Garfield, E. (2003). The meaning of the impact factor. </w:t>
      </w:r>
      <w:r w:rsidRPr="008325FC">
        <w:rPr>
          <w:rFonts w:ascii="Times New Roman" w:hAnsi="Times New Roman" w:cs="Times New Roman"/>
          <w:i/>
          <w:sz w:val="24"/>
          <w:szCs w:val="24"/>
        </w:rPr>
        <w:t>International Journal of Clinical Health Psychology</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3</w:t>
      </w:r>
      <w:r w:rsidRPr="008325FC">
        <w:rPr>
          <w:rFonts w:ascii="Times New Roman" w:hAnsi="Times New Roman" w:cs="Times New Roman"/>
          <w:sz w:val="24"/>
          <w:szCs w:val="24"/>
        </w:rPr>
        <w:t xml:space="preserve">(2), 363-369. </w:t>
      </w:r>
    </w:p>
    <w:p w14:paraId="5F958BC8"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Godin, B. (2006). On the origins of bibliometrics. </w:t>
      </w:r>
      <w:r w:rsidRPr="008325FC">
        <w:rPr>
          <w:rFonts w:ascii="Times New Roman" w:hAnsi="Times New Roman" w:cs="Times New Roman"/>
          <w:i/>
          <w:sz w:val="24"/>
          <w:szCs w:val="24"/>
        </w:rPr>
        <w:t>Scientometrics</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68</w:t>
      </w:r>
      <w:r w:rsidRPr="008325FC">
        <w:rPr>
          <w:rFonts w:ascii="Times New Roman" w:hAnsi="Times New Roman" w:cs="Times New Roman"/>
          <w:sz w:val="24"/>
          <w:szCs w:val="24"/>
        </w:rPr>
        <w:t xml:space="preserve">(1), 109-133. </w:t>
      </w:r>
    </w:p>
    <w:p w14:paraId="072062CF"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Grande, S. (2018). Refusing the University In E. Tuck &amp; K. W. Yang (Eds.), </w:t>
      </w:r>
      <w:r w:rsidRPr="008325FC">
        <w:rPr>
          <w:rFonts w:ascii="Times New Roman" w:hAnsi="Times New Roman" w:cs="Times New Roman"/>
          <w:i/>
          <w:sz w:val="24"/>
          <w:szCs w:val="24"/>
        </w:rPr>
        <w:t>Toward What Justice? Describing Diverse Dreams of Justice in Education</w:t>
      </w:r>
      <w:r w:rsidRPr="008325FC">
        <w:rPr>
          <w:rFonts w:ascii="Times New Roman" w:hAnsi="Times New Roman" w:cs="Times New Roman"/>
          <w:sz w:val="24"/>
          <w:szCs w:val="24"/>
        </w:rPr>
        <w:t xml:space="preserve"> (pp. 47-65). Routledge. </w:t>
      </w:r>
    </w:p>
    <w:p w14:paraId="007B48F0"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Harney, S., &amp; Moten, F. (2013). </w:t>
      </w:r>
      <w:r w:rsidRPr="008325FC">
        <w:rPr>
          <w:rFonts w:ascii="Times New Roman" w:hAnsi="Times New Roman" w:cs="Times New Roman"/>
          <w:i/>
          <w:sz w:val="24"/>
          <w:szCs w:val="24"/>
        </w:rPr>
        <w:t>The Undercommons: Fugitive Planning &amp; Black Study</w:t>
      </w:r>
      <w:r w:rsidRPr="008325FC">
        <w:rPr>
          <w:rFonts w:ascii="Times New Roman" w:hAnsi="Times New Roman" w:cs="Times New Roman"/>
          <w:sz w:val="24"/>
          <w:szCs w:val="24"/>
        </w:rPr>
        <w:t xml:space="preserve">. Minor Compositions </w:t>
      </w:r>
    </w:p>
    <w:p w14:paraId="14A9D956"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Jessop, B. (2017). Varieties of academic capitalism and entrepreneurial universities. </w:t>
      </w:r>
      <w:r w:rsidRPr="008325FC">
        <w:rPr>
          <w:rFonts w:ascii="Times New Roman" w:hAnsi="Times New Roman" w:cs="Times New Roman"/>
          <w:i/>
          <w:sz w:val="24"/>
          <w:szCs w:val="24"/>
        </w:rPr>
        <w:t>Higher Education</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73</w:t>
      </w:r>
      <w:r w:rsidRPr="008325FC">
        <w:rPr>
          <w:rFonts w:ascii="Times New Roman" w:hAnsi="Times New Roman" w:cs="Times New Roman"/>
          <w:sz w:val="24"/>
          <w:szCs w:val="24"/>
        </w:rPr>
        <w:t xml:space="preserve">(6), 853-870. https://doi.org/10.1007/s10734-017-0120-6 </w:t>
      </w:r>
    </w:p>
    <w:p w14:paraId="530369EC"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rPr>
        <w:t xml:space="preserve">Laó-Montes, A., &amp; Vásquez, J. D. (2018). </w:t>
      </w:r>
      <w:r w:rsidRPr="008325FC">
        <w:rPr>
          <w:rFonts w:ascii="Times New Roman" w:hAnsi="Times New Roman" w:cs="Times New Roman"/>
          <w:sz w:val="24"/>
          <w:szCs w:val="24"/>
          <w:lang w:val="es-CO"/>
        </w:rPr>
        <w:t xml:space="preserve">Crítica decolonial de la filosofía y doble crítica en clave de Sur. In </w:t>
      </w:r>
      <w:r w:rsidRPr="008325FC">
        <w:rPr>
          <w:rFonts w:ascii="Times New Roman" w:hAnsi="Times New Roman" w:cs="Times New Roman"/>
          <w:i/>
          <w:sz w:val="24"/>
          <w:szCs w:val="24"/>
          <w:lang w:val="es-CO"/>
        </w:rPr>
        <w:t>Sujeto, decolonización, transmodernidad : debates filosóficos latinoamericanos</w:t>
      </w:r>
      <w:r w:rsidRPr="008325FC">
        <w:rPr>
          <w:rFonts w:ascii="Times New Roman" w:hAnsi="Times New Roman" w:cs="Times New Roman"/>
          <w:sz w:val="24"/>
          <w:szCs w:val="24"/>
          <w:lang w:val="es-CO"/>
        </w:rPr>
        <w:t xml:space="preserve"> (pp. 293-343). Iberoamericana Vervuert. http://digital.casalini.it/4375318 </w:t>
      </w:r>
    </w:p>
    <w:p w14:paraId="4503521F"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Larivière, V., Haustein, S., &amp; Mongeon, P. (2015). The Oligopoly of Academic Publishers in the Digital Era. </w:t>
      </w:r>
      <w:r w:rsidRPr="008325FC">
        <w:rPr>
          <w:rFonts w:ascii="Times New Roman" w:hAnsi="Times New Roman" w:cs="Times New Roman"/>
          <w:i/>
          <w:sz w:val="24"/>
          <w:szCs w:val="24"/>
        </w:rPr>
        <w:t>PLOS ONE</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10</w:t>
      </w:r>
      <w:r w:rsidRPr="008325FC">
        <w:rPr>
          <w:rFonts w:ascii="Times New Roman" w:hAnsi="Times New Roman" w:cs="Times New Roman"/>
          <w:sz w:val="24"/>
          <w:szCs w:val="24"/>
        </w:rPr>
        <w:t xml:space="preserve">(6), e0127502. https://doi.org/10.1371/journal.pone.0127502 </w:t>
      </w:r>
    </w:p>
    <w:p w14:paraId="2B724714"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Maldonado-Maldonado, A. (2014). Peripheral knowledge-driven economies. What does academic capitalism have to say? In B. Cantwell &amp; I. Kauppinen (Eds.), </w:t>
      </w:r>
      <w:r w:rsidRPr="008325FC">
        <w:rPr>
          <w:rFonts w:ascii="Times New Roman" w:hAnsi="Times New Roman" w:cs="Times New Roman"/>
          <w:i/>
          <w:sz w:val="24"/>
          <w:szCs w:val="24"/>
        </w:rPr>
        <w:t>Academic Capitalism in the Age of Globalization</w:t>
      </w:r>
      <w:r w:rsidRPr="008325FC">
        <w:rPr>
          <w:rFonts w:ascii="Times New Roman" w:hAnsi="Times New Roman" w:cs="Times New Roman"/>
          <w:sz w:val="24"/>
          <w:szCs w:val="24"/>
        </w:rPr>
        <w:t xml:space="preserve"> (pp. 187-207). Johns Hopkins University Press. </w:t>
      </w:r>
    </w:p>
    <w:p w14:paraId="5A1D9F9C"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Merriam-Webster. (2026). Mercenary. In </w:t>
      </w:r>
      <w:r w:rsidRPr="008325FC">
        <w:rPr>
          <w:rFonts w:ascii="Times New Roman" w:hAnsi="Times New Roman" w:cs="Times New Roman"/>
          <w:i/>
          <w:sz w:val="24"/>
          <w:szCs w:val="24"/>
        </w:rPr>
        <w:t>Merriam-Webster.com dictionary.</w:t>
      </w:r>
      <w:r w:rsidRPr="008325FC">
        <w:rPr>
          <w:rFonts w:ascii="Times New Roman" w:hAnsi="Times New Roman" w:cs="Times New Roman"/>
          <w:sz w:val="24"/>
          <w:szCs w:val="24"/>
        </w:rPr>
        <w:t xml:space="preserve"> https://www.merriam-webster.com/dictionary/mercenary </w:t>
      </w:r>
    </w:p>
    <w:p w14:paraId="3D80F93E"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lang w:val="pt-BR"/>
        </w:rPr>
        <w:t xml:space="preserve">Merriam, S. B., &amp; Tisdell, E. J. (2015). </w:t>
      </w:r>
      <w:r w:rsidRPr="008325FC">
        <w:rPr>
          <w:rFonts w:ascii="Times New Roman" w:hAnsi="Times New Roman" w:cs="Times New Roman"/>
          <w:i/>
          <w:sz w:val="24"/>
          <w:szCs w:val="24"/>
        </w:rPr>
        <w:t>Qualitative research: A guide to design and implementation</w:t>
      </w:r>
      <w:r w:rsidRPr="008325FC">
        <w:rPr>
          <w:rFonts w:ascii="Times New Roman" w:hAnsi="Times New Roman" w:cs="Times New Roman"/>
          <w:sz w:val="24"/>
          <w:szCs w:val="24"/>
        </w:rPr>
        <w:t xml:space="preserve">. John Wiley &amp; Sons. </w:t>
      </w:r>
    </w:p>
    <w:p w14:paraId="17E683A3"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Merton, R. K. (1973). </w:t>
      </w:r>
      <w:r w:rsidRPr="008325FC">
        <w:rPr>
          <w:rFonts w:ascii="Times New Roman" w:hAnsi="Times New Roman" w:cs="Times New Roman"/>
          <w:i/>
          <w:sz w:val="24"/>
          <w:szCs w:val="24"/>
        </w:rPr>
        <w:t>The sociology of science: Theoretical and empirical investigations</w:t>
      </w:r>
      <w:r w:rsidRPr="008325FC">
        <w:rPr>
          <w:rFonts w:ascii="Times New Roman" w:hAnsi="Times New Roman" w:cs="Times New Roman"/>
          <w:sz w:val="24"/>
          <w:szCs w:val="24"/>
        </w:rPr>
        <w:t xml:space="preserve">. The University of Chicago press. </w:t>
      </w:r>
    </w:p>
    <w:p w14:paraId="0154BBF7"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Metcalfe, A. S., &amp; Slaughter, S. (2008). The differential effects of academic capitalism on women in the academy. In J. Glazer-Raymo (Ed.), </w:t>
      </w:r>
      <w:r w:rsidRPr="008325FC">
        <w:rPr>
          <w:rFonts w:ascii="Times New Roman" w:hAnsi="Times New Roman" w:cs="Times New Roman"/>
          <w:i/>
          <w:sz w:val="24"/>
          <w:szCs w:val="24"/>
        </w:rPr>
        <w:t xml:space="preserve">Unfinished agendas: New and </w:t>
      </w:r>
      <w:r w:rsidRPr="008325FC">
        <w:rPr>
          <w:rFonts w:ascii="Times New Roman" w:hAnsi="Times New Roman" w:cs="Times New Roman"/>
          <w:i/>
          <w:sz w:val="24"/>
          <w:szCs w:val="24"/>
        </w:rPr>
        <w:lastRenderedPageBreak/>
        <w:t>continuing gender challenges in higher education</w:t>
      </w:r>
      <w:r w:rsidRPr="008325FC">
        <w:rPr>
          <w:rFonts w:ascii="Times New Roman" w:hAnsi="Times New Roman" w:cs="Times New Roman"/>
          <w:sz w:val="24"/>
          <w:szCs w:val="24"/>
        </w:rPr>
        <w:t xml:space="preserve"> (pp. 80-111). The Jhon Hopkins University Press. </w:t>
      </w:r>
    </w:p>
    <w:p w14:paraId="2ABBAB9A"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Mignolo, W. D. (1993). Colonial and Postcolonial Discourse: Cultural Critique or Academic Colonialism? </w:t>
      </w:r>
      <w:r w:rsidRPr="008325FC">
        <w:rPr>
          <w:rFonts w:ascii="Times New Roman" w:hAnsi="Times New Roman" w:cs="Times New Roman"/>
          <w:i/>
          <w:sz w:val="24"/>
          <w:szCs w:val="24"/>
        </w:rPr>
        <w:t>Latin American Research Review</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28</w:t>
      </w:r>
      <w:r w:rsidRPr="008325FC">
        <w:rPr>
          <w:rFonts w:ascii="Times New Roman" w:hAnsi="Times New Roman" w:cs="Times New Roman"/>
          <w:sz w:val="24"/>
          <w:szCs w:val="24"/>
        </w:rPr>
        <w:t xml:space="preserve">(3), 120-134. https://doi.org/10.1017/S0023879100016988 </w:t>
      </w:r>
    </w:p>
    <w:p w14:paraId="7CB3079D"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rPr>
        <w:t xml:space="preserve">Mignolo, W. D. (2002). The Geopolitics of Knowledge and the Colonial Difference. </w:t>
      </w:r>
      <w:r w:rsidRPr="008325FC">
        <w:rPr>
          <w:rFonts w:ascii="Times New Roman" w:hAnsi="Times New Roman" w:cs="Times New Roman"/>
          <w:i/>
          <w:sz w:val="24"/>
          <w:szCs w:val="24"/>
          <w:lang w:val="es-CO"/>
        </w:rPr>
        <w:t>South Atlantic Quarterly</w:t>
      </w:r>
      <w:r w:rsidRPr="008325FC">
        <w:rPr>
          <w:rFonts w:ascii="Times New Roman" w:hAnsi="Times New Roman" w:cs="Times New Roman"/>
          <w:sz w:val="24"/>
          <w:szCs w:val="24"/>
          <w:lang w:val="es-CO"/>
        </w:rPr>
        <w:t>,</w:t>
      </w:r>
      <w:r w:rsidRPr="008325FC">
        <w:rPr>
          <w:rFonts w:ascii="Times New Roman" w:hAnsi="Times New Roman" w:cs="Times New Roman"/>
          <w:i/>
          <w:sz w:val="24"/>
          <w:szCs w:val="24"/>
          <w:lang w:val="es-CO"/>
        </w:rPr>
        <w:t xml:space="preserve"> 101</w:t>
      </w:r>
      <w:r w:rsidRPr="008325FC">
        <w:rPr>
          <w:rFonts w:ascii="Times New Roman" w:hAnsi="Times New Roman" w:cs="Times New Roman"/>
          <w:sz w:val="24"/>
          <w:szCs w:val="24"/>
          <w:lang w:val="es-CO"/>
        </w:rPr>
        <w:t xml:space="preserve">(1), 57-96. https://doi.org/10.1215/00382876-101-1-57 </w:t>
      </w:r>
    </w:p>
    <w:p w14:paraId="7B38011D"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Minciencias. (2020a). </w:t>
      </w:r>
      <w:r w:rsidRPr="008325FC">
        <w:rPr>
          <w:rFonts w:ascii="Times New Roman" w:hAnsi="Times New Roman" w:cs="Times New Roman"/>
          <w:i/>
          <w:sz w:val="24"/>
          <w:szCs w:val="24"/>
          <w:lang w:val="es-CO"/>
        </w:rPr>
        <w:t>Modelo de clasificación de revistas científicas - Publindex</w:t>
      </w:r>
      <w:r w:rsidRPr="008325FC">
        <w:rPr>
          <w:rFonts w:ascii="Times New Roman" w:hAnsi="Times New Roman" w:cs="Times New Roman"/>
          <w:sz w:val="24"/>
          <w:szCs w:val="24"/>
          <w:lang w:val="es-CO"/>
        </w:rPr>
        <w:t xml:space="preserve">. Ministerio de Ciencia, Tecnología e Innovación. </w:t>
      </w:r>
    </w:p>
    <w:p w14:paraId="2E8FAD7F"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Minciencias. (2020b). </w:t>
      </w:r>
      <w:r w:rsidRPr="008325FC">
        <w:rPr>
          <w:rFonts w:ascii="Times New Roman" w:hAnsi="Times New Roman" w:cs="Times New Roman"/>
          <w:i/>
          <w:sz w:val="24"/>
          <w:szCs w:val="24"/>
          <w:lang w:val="es-CO"/>
        </w:rPr>
        <w:t>Resolución 0485 de 2020 “Por la cual se ordena la apertura de la convocatoria para la indexación de revistas científicas colombianas especializadas. Publindex 2020” Convocatoria 875</w:t>
      </w:r>
      <w:r w:rsidRPr="008325FC">
        <w:rPr>
          <w:rFonts w:ascii="Times New Roman" w:hAnsi="Times New Roman" w:cs="Times New Roman"/>
          <w:sz w:val="24"/>
          <w:szCs w:val="24"/>
          <w:lang w:val="es-CO"/>
        </w:rPr>
        <w:t xml:space="preserve">. Ministerio de Ciencia, Tecnología e Innovación </w:t>
      </w:r>
    </w:p>
    <w:p w14:paraId="58FFB3A2"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Minciencias. (2020c). </w:t>
      </w:r>
      <w:r w:rsidRPr="008325FC">
        <w:rPr>
          <w:rFonts w:ascii="Times New Roman" w:hAnsi="Times New Roman" w:cs="Times New Roman"/>
          <w:i/>
          <w:sz w:val="24"/>
          <w:szCs w:val="24"/>
          <w:lang w:val="es-CO"/>
        </w:rPr>
        <w:t xml:space="preserve">Resolución 1689 de 2020 “Por la cual se publica el listado de revistas clasificadas de la convocatoria 875 de 2020 para indexación de revistas científicas colombianas especializadas – Publindex 2020”  </w:t>
      </w:r>
      <w:r w:rsidRPr="008325FC">
        <w:rPr>
          <w:rFonts w:ascii="Times New Roman" w:hAnsi="Times New Roman" w:cs="Times New Roman"/>
          <w:sz w:val="24"/>
          <w:szCs w:val="24"/>
          <w:lang w:val="es-CO"/>
        </w:rPr>
        <w:t xml:space="preserve">Ministerio de Ciencia, Tecnología e Innovación. </w:t>
      </w:r>
    </w:p>
    <w:p w14:paraId="649B272A"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Minciencias. (2021). </w:t>
      </w:r>
      <w:r w:rsidRPr="008325FC">
        <w:rPr>
          <w:rFonts w:ascii="Times New Roman" w:hAnsi="Times New Roman" w:cs="Times New Roman"/>
          <w:i/>
          <w:sz w:val="24"/>
          <w:szCs w:val="24"/>
          <w:lang w:val="es-CO"/>
        </w:rPr>
        <w:t>Resolución 1577 de 2021 “Por la cual se ordena la apertura de la convocatoria para la indexación de revistas científicas colombianas especializadas. Publindex 2021" Convocatoria 910</w:t>
      </w:r>
      <w:r w:rsidRPr="008325FC">
        <w:rPr>
          <w:rFonts w:ascii="Times New Roman" w:hAnsi="Times New Roman" w:cs="Times New Roman"/>
          <w:sz w:val="24"/>
          <w:szCs w:val="24"/>
          <w:lang w:val="es-CO"/>
        </w:rPr>
        <w:t xml:space="preserve">. Viceministerio de Conocimiento, Innovación y Productividad del Ministerio de Ciencia, Tecnología e Innovación </w:t>
      </w:r>
    </w:p>
    <w:p w14:paraId="2F3A63E1"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sz w:val="24"/>
          <w:szCs w:val="24"/>
          <w:lang w:val="es-CO"/>
        </w:rPr>
        <w:t xml:space="preserve">Minciencias. (2022). </w:t>
      </w:r>
      <w:r w:rsidRPr="008325FC">
        <w:rPr>
          <w:rFonts w:ascii="Times New Roman" w:hAnsi="Times New Roman" w:cs="Times New Roman"/>
          <w:i/>
          <w:sz w:val="24"/>
          <w:szCs w:val="24"/>
          <w:lang w:val="es-CO"/>
        </w:rPr>
        <w:t xml:space="preserve">Resolución 0146 de 2022 “Por la cual se publica el listado de revistas clasificadas de la convocatoria 910 de 2021 para indexación de revistas científicas colombianas especializadas – Publindex 2021”  </w:t>
      </w:r>
      <w:r w:rsidRPr="008325FC">
        <w:rPr>
          <w:rFonts w:ascii="Times New Roman" w:hAnsi="Times New Roman" w:cs="Times New Roman"/>
          <w:sz w:val="24"/>
          <w:szCs w:val="24"/>
          <w:lang w:val="es-CO"/>
        </w:rPr>
        <w:t xml:space="preserve">Viceministerio de Conocimiento, Innovación y Productividad del Ministerio de Ciencia, Tecnología e Innovación. </w:t>
      </w:r>
    </w:p>
    <w:p w14:paraId="6E167E9C" w14:textId="77777777" w:rsidR="00A30A59" w:rsidRPr="008325FC" w:rsidRDefault="00A30A59" w:rsidP="004C00FA">
      <w:pPr>
        <w:pStyle w:val="EndNoteBibliography"/>
        <w:spacing w:after="240"/>
        <w:jc w:val="both"/>
        <w:rPr>
          <w:rFonts w:ascii="Times New Roman" w:hAnsi="Times New Roman" w:cs="Times New Roman"/>
          <w:i/>
          <w:sz w:val="24"/>
          <w:szCs w:val="24"/>
          <w:lang w:val="es-CO"/>
        </w:rPr>
      </w:pPr>
      <w:r w:rsidRPr="008325FC">
        <w:rPr>
          <w:rFonts w:ascii="Times New Roman" w:hAnsi="Times New Roman" w:cs="Times New Roman"/>
          <w:sz w:val="24"/>
          <w:szCs w:val="24"/>
          <w:lang w:val="es-CO"/>
        </w:rPr>
        <w:t xml:space="preserve">Minciencias. (2024). </w:t>
      </w:r>
      <w:r w:rsidRPr="008325FC">
        <w:rPr>
          <w:rFonts w:ascii="Times New Roman" w:hAnsi="Times New Roman" w:cs="Times New Roman"/>
          <w:i/>
          <w:sz w:val="24"/>
          <w:szCs w:val="24"/>
          <w:lang w:val="es-CO"/>
        </w:rPr>
        <w:t>Estadísticas Publindex. Revistas Científicas Nacionales Indexadas - Publindex</w:t>
      </w:r>
    </w:p>
    <w:p w14:paraId="700418A3" w14:textId="77777777" w:rsidR="00A30A59" w:rsidRPr="008325FC" w:rsidRDefault="00A30A59" w:rsidP="004C00FA">
      <w:pPr>
        <w:pStyle w:val="EndNoteBibliography"/>
        <w:spacing w:after="240"/>
        <w:jc w:val="both"/>
        <w:rPr>
          <w:rFonts w:ascii="Times New Roman" w:hAnsi="Times New Roman" w:cs="Times New Roman"/>
          <w:sz w:val="24"/>
          <w:szCs w:val="24"/>
          <w:lang w:val="es-CO"/>
        </w:rPr>
      </w:pPr>
      <w:r w:rsidRPr="008325FC">
        <w:rPr>
          <w:rFonts w:ascii="Times New Roman" w:hAnsi="Times New Roman" w:cs="Times New Roman"/>
          <w:i/>
          <w:sz w:val="24"/>
          <w:szCs w:val="24"/>
          <w:lang w:val="es-CO"/>
        </w:rPr>
        <w:t>2004-2016</w:t>
      </w:r>
      <w:r w:rsidRPr="008325FC">
        <w:rPr>
          <w:rFonts w:ascii="Times New Roman" w:hAnsi="Times New Roman" w:cs="Times New Roman"/>
          <w:sz w:val="24"/>
          <w:szCs w:val="24"/>
          <w:lang w:val="es-CO"/>
        </w:rPr>
        <w:t>. Retrieved August 21 from https://minciencias.gov.co/la-ciencia-en-cifras/publindex/estadisticas-2004-2016</w:t>
      </w:r>
    </w:p>
    <w:p w14:paraId="683209B1"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Miranda, R., &amp; Garcia-Carpintero, E. (2019). Comparison of the share of documents and citations from different quartile journals in 25 research areas. </w:t>
      </w:r>
      <w:r w:rsidRPr="008325FC">
        <w:rPr>
          <w:rFonts w:ascii="Times New Roman" w:hAnsi="Times New Roman" w:cs="Times New Roman"/>
          <w:i/>
          <w:sz w:val="24"/>
          <w:szCs w:val="24"/>
        </w:rPr>
        <w:t>Scientometrics</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121</w:t>
      </w:r>
      <w:r w:rsidRPr="008325FC">
        <w:rPr>
          <w:rFonts w:ascii="Times New Roman" w:hAnsi="Times New Roman" w:cs="Times New Roman"/>
          <w:sz w:val="24"/>
          <w:szCs w:val="24"/>
        </w:rPr>
        <w:t xml:space="preserve">(1), 479-501. https://doi.org/10.1007/s11192-019-03210-z </w:t>
      </w:r>
    </w:p>
    <w:p w14:paraId="62AABB77"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Moosa, I. A. (2024). </w:t>
      </w:r>
      <w:r w:rsidRPr="008325FC">
        <w:rPr>
          <w:rFonts w:ascii="Times New Roman" w:hAnsi="Times New Roman" w:cs="Times New Roman"/>
          <w:i/>
          <w:sz w:val="24"/>
          <w:szCs w:val="24"/>
        </w:rPr>
        <w:t xml:space="preserve">Publish or perish: perceived benefits versus unintended consequences  </w:t>
      </w:r>
      <w:r w:rsidRPr="008325FC">
        <w:rPr>
          <w:rFonts w:ascii="Times New Roman" w:hAnsi="Times New Roman" w:cs="Times New Roman"/>
          <w:sz w:val="24"/>
          <w:szCs w:val="24"/>
        </w:rPr>
        <w:t xml:space="preserve">(Second ed.). Edward Elgar Publishing. </w:t>
      </w:r>
    </w:p>
    <w:p w14:paraId="4AE6C136"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lastRenderedPageBreak/>
        <w:t xml:space="preserve">Musselin, C., &amp; Teixeira, P. N. (2013). </w:t>
      </w:r>
      <w:r w:rsidRPr="008325FC">
        <w:rPr>
          <w:rFonts w:ascii="Times New Roman" w:hAnsi="Times New Roman" w:cs="Times New Roman"/>
          <w:i/>
          <w:sz w:val="24"/>
          <w:szCs w:val="24"/>
        </w:rPr>
        <w:t>Reforming higher education: Public policy design and implementation</w:t>
      </w:r>
      <w:r w:rsidRPr="008325FC">
        <w:rPr>
          <w:rFonts w:ascii="Times New Roman" w:hAnsi="Times New Roman" w:cs="Times New Roman"/>
          <w:sz w:val="24"/>
          <w:szCs w:val="24"/>
        </w:rPr>
        <w:t xml:space="preserve"> (Vol. 41). Springer Science &amp; Business Media. </w:t>
      </w:r>
    </w:p>
    <w:p w14:paraId="118F0D8F"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O’Meara, K. A. (2007). Striving for What? Exploring the Pursuit of Prestige. In J. C. Smart (Ed.), </w:t>
      </w:r>
      <w:r w:rsidRPr="008325FC">
        <w:rPr>
          <w:rFonts w:ascii="Times New Roman" w:hAnsi="Times New Roman" w:cs="Times New Roman"/>
          <w:i/>
          <w:sz w:val="24"/>
          <w:szCs w:val="24"/>
        </w:rPr>
        <w:t>Higher Education: Handbook of Theory and Research</w:t>
      </w:r>
      <w:r w:rsidRPr="008325FC">
        <w:rPr>
          <w:rFonts w:ascii="Times New Roman" w:hAnsi="Times New Roman" w:cs="Times New Roman"/>
          <w:sz w:val="24"/>
          <w:szCs w:val="24"/>
        </w:rPr>
        <w:t xml:space="preserve"> (pp. 121-179). Springer https://doi.org/10.1007/978-1-4020-5666-6_3 </w:t>
      </w:r>
    </w:p>
    <w:p w14:paraId="3807F1BA"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Piller, I. (2022). </w:t>
      </w:r>
      <w:r w:rsidRPr="008325FC">
        <w:rPr>
          <w:rFonts w:ascii="Times New Roman" w:hAnsi="Times New Roman" w:cs="Times New Roman"/>
          <w:i/>
          <w:sz w:val="24"/>
          <w:szCs w:val="24"/>
        </w:rPr>
        <w:t>How to Challenge Anglocentricy in Academic Publishing</w:t>
      </w:r>
      <w:r w:rsidRPr="008325FC">
        <w:rPr>
          <w:rFonts w:ascii="Times New Roman" w:hAnsi="Times New Roman" w:cs="Times New Roman"/>
          <w:sz w:val="24"/>
          <w:szCs w:val="24"/>
        </w:rPr>
        <w:t>. https://www.languageonthemove.com/how-to-challenge-anglocentricity-in-academic-publishing/</w:t>
      </w:r>
    </w:p>
    <w:p w14:paraId="23D1510D"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Piller, I., Zhang, J., &amp; Li, J. (2022). Peripheral multilingual scholars confronting epistemic exclusion in global academic knowledge production: a positive case study. </w:t>
      </w:r>
      <w:r w:rsidRPr="008325FC">
        <w:rPr>
          <w:rFonts w:ascii="Times New Roman" w:hAnsi="Times New Roman" w:cs="Times New Roman"/>
          <w:i/>
          <w:sz w:val="24"/>
          <w:szCs w:val="24"/>
        </w:rPr>
        <w:t>Multilingua</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41</w:t>
      </w:r>
      <w:r w:rsidRPr="008325FC">
        <w:rPr>
          <w:rFonts w:ascii="Times New Roman" w:hAnsi="Times New Roman" w:cs="Times New Roman"/>
          <w:sz w:val="24"/>
          <w:szCs w:val="24"/>
        </w:rPr>
        <w:t xml:space="preserve">(6), 639-662. https://doi.org/doi:10.1515/multi-2022-0034 </w:t>
      </w:r>
    </w:p>
    <w:p w14:paraId="301F2974"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Pineda, P. (2015). </w:t>
      </w:r>
      <w:r w:rsidRPr="008325FC">
        <w:rPr>
          <w:rFonts w:ascii="Times New Roman" w:hAnsi="Times New Roman" w:cs="Times New Roman"/>
          <w:i/>
          <w:sz w:val="24"/>
          <w:szCs w:val="24"/>
        </w:rPr>
        <w:t>The Entrepreneurial Research University in Latin America: Global and Local Models in Chile and Colombia, 1950-2015</w:t>
      </w:r>
      <w:r w:rsidRPr="008325FC">
        <w:rPr>
          <w:rFonts w:ascii="Times New Roman" w:hAnsi="Times New Roman" w:cs="Times New Roman"/>
          <w:sz w:val="24"/>
          <w:szCs w:val="24"/>
        </w:rPr>
        <w:t xml:space="preserve">. Palgrave Macmillan. </w:t>
      </w:r>
    </w:p>
    <w:p w14:paraId="368616CA"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Rhoades, G. (2006). The higher education we choose: A question of balance. </w:t>
      </w:r>
      <w:r w:rsidRPr="008325FC">
        <w:rPr>
          <w:rFonts w:ascii="Times New Roman" w:hAnsi="Times New Roman" w:cs="Times New Roman"/>
          <w:i/>
          <w:sz w:val="24"/>
          <w:szCs w:val="24"/>
        </w:rPr>
        <w:t>The Review of Higher Education</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29</w:t>
      </w:r>
      <w:r w:rsidRPr="008325FC">
        <w:rPr>
          <w:rFonts w:ascii="Times New Roman" w:hAnsi="Times New Roman" w:cs="Times New Roman"/>
          <w:sz w:val="24"/>
          <w:szCs w:val="24"/>
        </w:rPr>
        <w:t xml:space="preserve">(3), 381-404. </w:t>
      </w:r>
    </w:p>
    <w:p w14:paraId="51252071"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Ross, S. (2017). Epistemologies of the South: Justice Against Epistemicide, Bonaventura de Sousa Santos (Boulder: Paradigm, 2014). </w:t>
      </w:r>
      <w:r w:rsidRPr="008325FC">
        <w:rPr>
          <w:rFonts w:ascii="Times New Roman" w:hAnsi="Times New Roman" w:cs="Times New Roman"/>
          <w:i/>
          <w:sz w:val="24"/>
          <w:szCs w:val="24"/>
        </w:rPr>
        <w:t>Alberta Law Review</w:t>
      </w:r>
      <w:r w:rsidRPr="008325FC">
        <w:rPr>
          <w:rFonts w:ascii="Times New Roman" w:hAnsi="Times New Roman" w:cs="Times New Roman"/>
          <w:sz w:val="24"/>
          <w:szCs w:val="24"/>
        </w:rPr>
        <w:t xml:space="preserve">. https://doi.org/https://doi.org/10.29173/alr787 </w:t>
      </w:r>
    </w:p>
    <w:p w14:paraId="185A7FD2"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Roulston, K. (2010). </w:t>
      </w:r>
      <w:r w:rsidRPr="008325FC">
        <w:rPr>
          <w:rFonts w:ascii="Times New Roman" w:hAnsi="Times New Roman" w:cs="Times New Roman"/>
          <w:i/>
          <w:sz w:val="24"/>
          <w:szCs w:val="24"/>
        </w:rPr>
        <w:t>Reflective Interviewing. A guide to theory and practice</w:t>
      </w:r>
      <w:r w:rsidRPr="008325FC">
        <w:rPr>
          <w:rFonts w:ascii="Times New Roman" w:hAnsi="Times New Roman" w:cs="Times New Roman"/>
          <w:sz w:val="24"/>
          <w:szCs w:val="24"/>
        </w:rPr>
        <w:t xml:space="preserve">. Sage. </w:t>
      </w:r>
    </w:p>
    <w:p w14:paraId="62E65CED"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Salager-Meyer, F. (2008). Scientific publishing in developing countries: Challenges for the future. </w:t>
      </w:r>
      <w:r w:rsidRPr="008325FC">
        <w:rPr>
          <w:rFonts w:ascii="Times New Roman" w:hAnsi="Times New Roman" w:cs="Times New Roman"/>
          <w:i/>
          <w:sz w:val="24"/>
          <w:szCs w:val="24"/>
        </w:rPr>
        <w:t>Journal of English for Academic Purposes</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7</w:t>
      </w:r>
      <w:r w:rsidRPr="008325FC">
        <w:rPr>
          <w:rFonts w:ascii="Times New Roman" w:hAnsi="Times New Roman" w:cs="Times New Roman"/>
          <w:sz w:val="24"/>
          <w:szCs w:val="24"/>
        </w:rPr>
        <w:t xml:space="preserve">(2), 121-132. https://doi.org/https://doi.org/10.1016/j.jeap.2008.03.009 </w:t>
      </w:r>
    </w:p>
    <w:p w14:paraId="3A87CE6F"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Sengupta, P. (2021). Open access publication: Academic colonialism or knowledge philanthropy? </w:t>
      </w:r>
      <w:r w:rsidRPr="008325FC">
        <w:rPr>
          <w:rFonts w:ascii="Times New Roman" w:hAnsi="Times New Roman" w:cs="Times New Roman"/>
          <w:i/>
          <w:sz w:val="24"/>
          <w:szCs w:val="24"/>
        </w:rPr>
        <w:t>Geoforum</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118</w:t>
      </w:r>
      <w:r w:rsidRPr="008325FC">
        <w:rPr>
          <w:rFonts w:ascii="Times New Roman" w:hAnsi="Times New Roman" w:cs="Times New Roman"/>
          <w:sz w:val="24"/>
          <w:szCs w:val="24"/>
        </w:rPr>
        <w:t xml:space="preserve">, 203-206. https://doi.org/https://doi.org/10.1016/j.geoforum.2020.04.001 </w:t>
      </w:r>
    </w:p>
    <w:p w14:paraId="0707461B"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Slaughter, S., &amp; Cantwell, B. (2012). Transatlantic moves to the market: The United States and the European Union. </w:t>
      </w:r>
      <w:r w:rsidRPr="008325FC">
        <w:rPr>
          <w:rFonts w:ascii="Times New Roman" w:hAnsi="Times New Roman" w:cs="Times New Roman"/>
          <w:i/>
          <w:sz w:val="24"/>
          <w:szCs w:val="24"/>
        </w:rPr>
        <w:t>Higher Education</w:t>
      </w:r>
      <w:r w:rsidRPr="008325FC">
        <w:rPr>
          <w:rFonts w:ascii="Times New Roman" w:hAnsi="Times New Roman" w:cs="Times New Roman"/>
          <w:sz w:val="24"/>
          <w:szCs w:val="24"/>
        </w:rPr>
        <w:t>,</w:t>
      </w:r>
      <w:r w:rsidRPr="008325FC">
        <w:rPr>
          <w:rFonts w:ascii="Times New Roman" w:hAnsi="Times New Roman" w:cs="Times New Roman"/>
          <w:i/>
          <w:sz w:val="24"/>
          <w:szCs w:val="24"/>
        </w:rPr>
        <w:t xml:space="preserve"> 63</w:t>
      </w:r>
      <w:r w:rsidRPr="008325FC">
        <w:rPr>
          <w:rFonts w:ascii="Times New Roman" w:hAnsi="Times New Roman" w:cs="Times New Roman"/>
          <w:sz w:val="24"/>
          <w:szCs w:val="24"/>
        </w:rPr>
        <w:t xml:space="preserve">(5), 583-606. </w:t>
      </w:r>
    </w:p>
    <w:p w14:paraId="3D191BC0" w14:textId="77777777" w:rsidR="00A30A59" w:rsidRPr="008325FC" w:rsidRDefault="00A30A59" w:rsidP="004C00FA">
      <w:pPr>
        <w:pStyle w:val="EndNoteBibliography"/>
        <w:spacing w:after="240"/>
        <w:jc w:val="both"/>
        <w:rPr>
          <w:rFonts w:ascii="Times New Roman" w:hAnsi="Times New Roman" w:cs="Times New Roman"/>
          <w:sz w:val="24"/>
          <w:szCs w:val="24"/>
        </w:rPr>
      </w:pPr>
      <w:r w:rsidRPr="008325FC">
        <w:rPr>
          <w:rFonts w:ascii="Times New Roman" w:hAnsi="Times New Roman" w:cs="Times New Roman"/>
          <w:sz w:val="24"/>
          <w:szCs w:val="24"/>
        </w:rPr>
        <w:t xml:space="preserve">Slaughter, S., &amp; Rhoades, G. (2004). </w:t>
      </w:r>
      <w:r w:rsidRPr="008325FC">
        <w:rPr>
          <w:rFonts w:ascii="Times New Roman" w:hAnsi="Times New Roman" w:cs="Times New Roman"/>
          <w:i/>
          <w:sz w:val="24"/>
          <w:szCs w:val="24"/>
        </w:rPr>
        <w:t>Academic capitalism and the new economy: markets, state, and higher education</w:t>
      </w:r>
      <w:r w:rsidRPr="008325FC">
        <w:rPr>
          <w:rFonts w:ascii="Times New Roman" w:hAnsi="Times New Roman" w:cs="Times New Roman"/>
          <w:sz w:val="24"/>
          <w:szCs w:val="24"/>
        </w:rPr>
        <w:t xml:space="preserve">. Johns Hopkins University Press. </w:t>
      </w:r>
    </w:p>
    <w:p w14:paraId="074A7975" w14:textId="77777777" w:rsidR="00A30A59" w:rsidRPr="00070FBB" w:rsidRDefault="00A30A59" w:rsidP="004C00FA">
      <w:pPr>
        <w:spacing w:after="240" w:line="240" w:lineRule="auto"/>
        <w:jc w:val="both"/>
        <w:rPr>
          <w:lang w:val="es-CO"/>
        </w:rPr>
      </w:pPr>
    </w:p>
    <w:p w14:paraId="4618563F" w14:textId="77777777" w:rsidR="00A30A59" w:rsidRPr="00897779" w:rsidRDefault="00A30A59" w:rsidP="004C00FA">
      <w:pPr>
        <w:spacing w:after="240" w:line="240" w:lineRule="auto"/>
        <w:rPr>
          <w:rFonts w:ascii="Times New Roman" w:hAnsi="Times New Roman" w:cs="Times New Roman"/>
          <w:b/>
          <w:bCs/>
          <w:lang w:val="en-US"/>
        </w:rPr>
      </w:pPr>
    </w:p>
    <w:sectPr w:rsidR="00A30A59" w:rsidRPr="00897779"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49731" w14:textId="77777777" w:rsidR="002D4087" w:rsidRPr="00BA642E" w:rsidRDefault="002D4087" w:rsidP="00C802F5">
      <w:pPr>
        <w:spacing w:after="0" w:line="240" w:lineRule="auto"/>
      </w:pPr>
      <w:r w:rsidRPr="00BA642E">
        <w:separator/>
      </w:r>
    </w:p>
  </w:endnote>
  <w:endnote w:type="continuationSeparator" w:id="0">
    <w:p w14:paraId="45E4027D" w14:textId="77777777" w:rsidR="002D4087" w:rsidRPr="00BA642E" w:rsidRDefault="002D4087"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704EE" w14:textId="77777777" w:rsidR="002D4087" w:rsidRPr="00BA642E" w:rsidRDefault="002D4087" w:rsidP="00C802F5">
      <w:pPr>
        <w:spacing w:after="0" w:line="240" w:lineRule="auto"/>
      </w:pPr>
      <w:r w:rsidRPr="00BA642E">
        <w:separator/>
      </w:r>
    </w:p>
  </w:footnote>
  <w:footnote w:type="continuationSeparator" w:id="0">
    <w:p w14:paraId="74634D4E" w14:textId="77777777" w:rsidR="002D4087" w:rsidRPr="00BA642E" w:rsidRDefault="002D4087"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50D6E"/>
    <w:multiLevelType w:val="multilevel"/>
    <w:tmpl w:val="D18C75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368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1142A"/>
    <w:rsid w:val="001816D6"/>
    <w:rsid w:val="00185F5E"/>
    <w:rsid w:val="001923DC"/>
    <w:rsid w:val="001B03C2"/>
    <w:rsid w:val="002327C3"/>
    <w:rsid w:val="002B763B"/>
    <w:rsid w:val="002D4087"/>
    <w:rsid w:val="00312392"/>
    <w:rsid w:val="004040C0"/>
    <w:rsid w:val="00437E9C"/>
    <w:rsid w:val="004C00FA"/>
    <w:rsid w:val="00550766"/>
    <w:rsid w:val="005F3B2E"/>
    <w:rsid w:val="00701F64"/>
    <w:rsid w:val="007B5B5F"/>
    <w:rsid w:val="007D233B"/>
    <w:rsid w:val="0082562F"/>
    <w:rsid w:val="00845A4B"/>
    <w:rsid w:val="0085070B"/>
    <w:rsid w:val="00897779"/>
    <w:rsid w:val="00A17247"/>
    <w:rsid w:val="00A30A59"/>
    <w:rsid w:val="00BA642E"/>
    <w:rsid w:val="00BC236F"/>
    <w:rsid w:val="00C73D31"/>
    <w:rsid w:val="00C802F5"/>
    <w:rsid w:val="00C96B2C"/>
    <w:rsid w:val="00C97CB5"/>
    <w:rsid w:val="00CC04C1"/>
    <w:rsid w:val="00D843EC"/>
    <w:rsid w:val="00FA2A5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11142A"/>
    <w:pPr>
      <w:spacing w:after="0" w:line="240" w:lineRule="auto"/>
    </w:pPr>
    <w:rPr>
      <w:rFonts w:ascii="Arial" w:eastAsia="Arial" w:hAnsi="Arial" w:cs="Arial"/>
      <w:kern w:val="0"/>
      <w:sz w:val="22"/>
      <w:szCs w:val="22"/>
      <w:lang w:val="en"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ar"/>
    <w:uiPriority w:val="1"/>
    <w:rsid w:val="00A30A59"/>
    <w:pPr>
      <w:spacing w:after="0" w:line="240" w:lineRule="auto"/>
    </w:pPr>
    <w:rPr>
      <w:rFonts w:ascii="Arial" w:eastAsia="Arial" w:hAnsi="Arial" w:cs="Arial"/>
      <w:noProof/>
      <w:kern w:val="0"/>
      <w:sz w:val="22"/>
      <w:szCs w:val="22"/>
      <w:lang w:val="en-US" w:eastAsia="ja-JP"/>
      <w14:ligatures w14:val="none"/>
    </w:rPr>
  </w:style>
  <w:style w:type="character" w:customStyle="1" w:styleId="EndNoteBibliographyCar">
    <w:name w:val="EndNote Bibliography Car"/>
    <w:basedOn w:val="Fuentedeprrafopredeter"/>
    <w:link w:val="EndNoteBibliography"/>
    <w:uiPriority w:val="1"/>
    <w:rsid w:val="00A30A59"/>
    <w:rPr>
      <w:rFonts w:ascii="Arial" w:eastAsia="Arial" w:hAnsi="Arial" w:cs="Arial"/>
      <w:noProof/>
      <w:kern w:val="0"/>
      <w:sz w:val="22"/>
      <w:szCs w:val="22"/>
      <w:lang w:val="en-US"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19</Pages>
  <Words>8185</Words>
  <Characters>46655</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Isabel Cristina Montes Gutierrez</cp:lastModifiedBy>
  <cp:revision>5</cp:revision>
  <dcterms:created xsi:type="dcterms:W3CDTF">2026-06-25T11:40:00Z</dcterms:created>
  <dcterms:modified xsi:type="dcterms:W3CDTF">2026-06-25T13:45:00Z</dcterms:modified>
</cp:coreProperties>
</file>