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D42B" w14:textId="3D774A77" w:rsidR="001923DC" w:rsidRPr="00B552A3" w:rsidRDefault="00B552A3" w:rsidP="001923DC">
      <w:pPr>
        <w:jc w:val="center"/>
        <w:rPr>
          <w:rFonts w:ascii="Times New Roman" w:hAnsi="Times New Roman" w:cs="Times New Roman"/>
          <w:b/>
          <w:bCs/>
          <w:lang w:val="es-CL"/>
        </w:rPr>
      </w:pPr>
      <w:r w:rsidRPr="00B552A3">
        <w:rPr>
          <w:rFonts w:ascii="Times New Roman" w:hAnsi="Times New Roman" w:cs="Times New Roman"/>
          <w:b/>
          <w:bCs/>
          <w:lang w:val="es-CL"/>
        </w:rPr>
        <w:t>Geografías de la combinación de instrumentos de financiamiento concursable a las ciencias y artes en Chile</w:t>
      </w:r>
    </w:p>
    <w:p w14:paraId="43C49479" w14:textId="77777777" w:rsidR="005F3B2E" w:rsidRPr="00B552A3" w:rsidRDefault="005F3B2E" w:rsidP="001923DC">
      <w:pPr>
        <w:jc w:val="center"/>
        <w:rPr>
          <w:rFonts w:ascii="Times New Roman" w:hAnsi="Times New Roman" w:cs="Times New Roman"/>
          <w:lang w:val="es-CL"/>
        </w:rPr>
      </w:pPr>
    </w:p>
    <w:p w14:paraId="4E738780" w14:textId="1C7D6833" w:rsidR="005F3B2E" w:rsidRPr="00B552A3" w:rsidRDefault="00B552A3" w:rsidP="005F3B2E">
      <w:pPr>
        <w:spacing w:after="0" w:line="240" w:lineRule="auto"/>
        <w:jc w:val="right"/>
        <w:rPr>
          <w:rFonts w:ascii="Times New Roman" w:hAnsi="Times New Roman" w:cs="Times New Roman"/>
          <w:lang w:val="es-CL"/>
        </w:rPr>
      </w:pPr>
      <w:r w:rsidRPr="00B552A3">
        <w:rPr>
          <w:rFonts w:ascii="Times New Roman" w:hAnsi="Times New Roman" w:cs="Times New Roman"/>
          <w:lang w:val="es-CL"/>
        </w:rPr>
        <w:t>Matías Fleischmann</w:t>
      </w:r>
    </w:p>
    <w:p w14:paraId="6C2AECCA" w14:textId="04ECBECB" w:rsidR="005F3B2E" w:rsidRPr="00B552A3" w:rsidRDefault="00B552A3" w:rsidP="005F3B2E">
      <w:pPr>
        <w:spacing w:after="0" w:line="240" w:lineRule="auto"/>
        <w:jc w:val="right"/>
        <w:rPr>
          <w:rFonts w:ascii="Times New Roman" w:hAnsi="Times New Roman" w:cs="Times New Roman"/>
          <w:lang w:val="es-CL"/>
        </w:rPr>
      </w:pPr>
      <w:r w:rsidRPr="00B552A3">
        <w:rPr>
          <w:rFonts w:ascii="Times New Roman" w:hAnsi="Times New Roman" w:cs="Times New Roman"/>
          <w:lang w:val="es-CL"/>
        </w:rPr>
        <w:t>Doctorado en Territorio, Espacio y Sociedad. Universidad de Chile</w:t>
      </w:r>
    </w:p>
    <w:p w14:paraId="3D73DB11" w14:textId="0FD09C44" w:rsidR="005F3B2E" w:rsidRPr="00B552A3" w:rsidRDefault="00B552A3" w:rsidP="00B552A3">
      <w:pPr>
        <w:spacing w:after="0" w:line="240" w:lineRule="auto"/>
        <w:jc w:val="right"/>
        <w:rPr>
          <w:rFonts w:ascii="Times New Roman" w:hAnsi="Times New Roman" w:cs="Times New Roman"/>
          <w:lang w:val="es-CL"/>
        </w:rPr>
      </w:pPr>
      <w:r w:rsidRPr="00B552A3">
        <w:rPr>
          <w:rFonts w:ascii="Times New Roman" w:hAnsi="Times New Roman" w:cs="Times New Roman"/>
          <w:lang w:val="es-CL"/>
        </w:rPr>
        <w:t>matias.fleischmann@uchile.cl</w:t>
      </w:r>
    </w:p>
    <w:p w14:paraId="7B9027E2" w14:textId="77777777" w:rsidR="00BA642E" w:rsidRPr="00B552A3" w:rsidRDefault="00BA642E" w:rsidP="005F3B2E">
      <w:pPr>
        <w:rPr>
          <w:rFonts w:ascii="Times New Roman" w:hAnsi="Times New Roman" w:cs="Times New Roman"/>
          <w:b/>
          <w:bCs/>
          <w:lang w:val="es-CL"/>
        </w:rPr>
      </w:pPr>
    </w:p>
    <w:p w14:paraId="2700E9DD" w14:textId="77777777" w:rsidR="00B552A3" w:rsidRPr="00B552A3" w:rsidRDefault="00BA642E" w:rsidP="007B5B5F">
      <w:pPr>
        <w:spacing w:line="240" w:lineRule="auto"/>
        <w:jc w:val="both"/>
        <w:rPr>
          <w:rFonts w:ascii="Times New Roman" w:hAnsi="Times New Roman" w:cs="Times New Roman"/>
          <w:b/>
          <w:bCs/>
          <w:lang w:val="es-CL"/>
        </w:rPr>
      </w:pPr>
      <w:r w:rsidRPr="00B552A3">
        <w:rPr>
          <w:rFonts w:ascii="Times New Roman" w:hAnsi="Times New Roman" w:cs="Times New Roman"/>
          <w:b/>
          <w:bCs/>
          <w:lang w:val="es-CL"/>
        </w:rPr>
        <w:t>Resumen:</w:t>
      </w:r>
      <w:r w:rsidR="007B5B5F" w:rsidRPr="00B552A3">
        <w:rPr>
          <w:rFonts w:ascii="Times New Roman" w:hAnsi="Times New Roman" w:cs="Times New Roman"/>
          <w:b/>
          <w:bCs/>
          <w:lang w:val="es-CL"/>
        </w:rPr>
        <w:t xml:space="preserve"> </w:t>
      </w:r>
    </w:p>
    <w:p w14:paraId="6F50D1CE" w14:textId="25ABDB4A" w:rsidR="00B552A3" w:rsidRPr="00B552A3" w:rsidRDefault="00B552A3" w:rsidP="007B5B5F">
      <w:pPr>
        <w:spacing w:line="240" w:lineRule="auto"/>
        <w:jc w:val="both"/>
        <w:rPr>
          <w:rFonts w:ascii="Times New Roman" w:hAnsi="Times New Roman" w:cs="Times New Roman"/>
          <w:lang w:val="es-CL"/>
        </w:rPr>
      </w:pPr>
      <w:r w:rsidRPr="00B552A3">
        <w:rPr>
          <w:rFonts w:ascii="Times New Roman" w:hAnsi="Times New Roman" w:cs="Times New Roman"/>
          <w:lang w:val="es-CL"/>
        </w:rPr>
        <w:t xml:space="preserve">El financiamiento público a la investigación científica y la creación artística en Chile ha consolidado un modelo basado en la concursabilidad, contexto en el cual han proliferado decenas de fondos concursables orientados tanto a investigadores/as individuales como a instituciones científicas y culturales. Mientras en algunos contextos estos instrumentos pueden resultar sinérgicos, en otros producen contradicciones y tensiones imprevisibles desde el punto de vista del diseño de la política científica y artística. Siguiendo propuestas presentes en la literatura científica sobre mezclas de políticas públicas (policy mixes), se reconoce que estas interacciones ocurren al menos en tres dimensiones: una misma temática es objeto de múltiples programas; los mismos actores sociales son considerados destinatarios de diversos instrumentos; y los mismos territorios son escogidos como espacio de múltiples intervenciones. Por este motivo, este proyecto doctoral en proceso apuesta por leer la combinación de instrumentos de financiamiento de ciencias y artes desde la perspectiva de la geografía de las políticas públicas. La investigación entonces argumenta que es posible observar el fenómeno como proceso eminentemente territorial, en tanto las políticas estatales operan sobre quehaceres y actores arraigados en territorios específicos y concretos. Desde este punto de vista, se reconoce que los programas estatales no operan vaciados de territorialidad, sino que entroncan con una distribución territorialmente desigual de la inversión, así como también contienen en su diseño y ejecución concepciones igualmente diversas de lo que constituye el fenómeno de lo territorial. En un país donde las universidades producen cerca del 80% de los resultados de investigación científica, y a la vez constituyen actores clave en los ecosistemas de las artes en los territorios donde se sitúan, esta investigación toma como punto de observación los contextos universitarios como escenarios clave para comprender los efectos de la combinación de fondos concursables en el quehacer mismo de la producción de conocimiento y la creación artística. El trabajo selecciona el caso chileno pues exhibe una distribución espacialmente compleja de actores científicos y artístico-culturales, la cual está acompañada por una proliferación igualmente compleja de actores, agencias e instituciones públicas partícipes de la distribución de fondos públicos para la investigación y la creación artística. Para abordar esta complejidad, donde más de 50 universidades distribuidas en 16 regiones reciben fondos de al menos una decena de instituciones públicas, esta investigación propone una estrategia analítica </w:t>
      </w:r>
      <w:r>
        <w:rPr>
          <w:rFonts w:ascii="Times New Roman" w:hAnsi="Times New Roman" w:cs="Times New Roman"/>
          <w:lang w:val="es-CL"/>
        </w:rPr>
        <w:t>mixta multimétodos.</w:t>
      </w:r>
      <w:r w:rsidRPr="00B552A3">
        <w:rPr>
          <w:rFonts w:ascii="Times New Roman" w:hAnsi="Times New Roman" w:cs="Times New Roman"/>
          <w:lang w:val="es-CL"/>
        </w:rPr>
        <w:t xml:space="preserve"> En una primera etapa, se aspira a caracterizar el paisaje de fondos concursables en Chile. Para ello, se analizarán los documentos de evaluación presupuestaria de dichos programas, realizados por la Dirección de Presupuestos del </w:t>
      </w:r>
      <w:r w:rsidRPr="00B552A3">
        <w:rPr>
          <w:rFonts w:ascii="Times New Roman" w:hAnsi="Times New Roman" w:cs="Times New Roman"/>
          <w:lang w:val="es-CL"/>
        </w:rPr>
        <w:lastRenderedPageBreak/>
        <w:t>Ministerio de Hacienda de Chile tanto de manera previa como durante la ejecución de cada iniciativa</w:t>
      </w:r>
      <w:r>
        <w:rPr>
          <w:rFonts w:ascii="Times New Roman" w:hAnsi="Times New Roman" w:cs="Times New Roman"/>
          <w:lang w:val="es-CL"/>
        </w:rPr>
        <w:t>, así como bases concursables y otros documentos</w:t>
      </w:r>
      <w:r w:rsidRPr="00B552A3">
        <w:rPr>
          <w:rFonts w:ascii="Times New Roman" w:hAnsi="Times New Roman" w:cs="Times New Roman"/>
          <w:lang w:val="es-CL"/>
        </w:rPr>
        <w:t xml:space="preserve">. En una segunda etapa, </w:t>
      </w:r>
      <w:r>
        <w:rPr>
          <w:rFonts w:ascii="Times New Roman" w:hAnsi="Times New Roman" w:cs="Times New Roman"/>
          <w:lang w:val="es-CL"/>
        </w:rPr>
        <w:t>se propone un análisis de clases latentes para desarrollar talleres de elicitación con actores clave, para posteriormente realizar análisis de discurso con el objetivo de observar las concepciones de territorio movilizadas en el proceso de política pública</w:t>
      </w:r>
      <w:r w:rsidRPr="00B552A3">
        <w:rPr>
          <w:rFonts w:ascii="Times New Roman" w:hAnsi="Times New Roman" w:cs="Times New Roman"/>
          <w:lang w:val="es-CL"/>
        </w:rPr>
        <w:t xml:space="preserve">. Esta combinación metodológica permitirá observar tanto el andamiaje institucional de los fondos concursables como las perspectivas de </w:t>
      </w:r>
      <w:r>
        <w:rPr>
          <w:rFonts w:ascii="Times New Roman" w:hAnsi="Times New Roman" w:cs="Times New Roman"/>
          <w:lang w:val="es-CL"/>
        </w:rPr>
        <w:t>algunos</w:t>
      </w:r>
      <w:r w:rsidRPr="00B552A3">
        <w:rPr>
          <w:rFonts w:ascii="Times New Roman" w:hAnsi="Times New Roman" w:cs="Times New Roman"/>
          <w:lang w:val="es-CL"/>
        </w:rPr>
        <w:t xml:space="preserve"> conjuntos de actores que experimentan los efectos cotidianos y vividos de esta multiplicación de estrategias de financiamiento a su quehacer científico y artístico.</w:t>
      </w:r>
    </w:p>
    <w:p w14:paraId="2994BAB3" w14:textId="07487FD6" w:rsidR="00BA642E" w:rsidRPr="00B552A3" w:rsidRDefault="00BA642E" w:rsidP="007B5B5F">
      <w:pPr>
        <w:spacing w:line="240" w:lineRule="auto"/>
        <w:jc w:val="both"/>
        <w:rPr>
          <w:rFonts w:ascii="Times New Roman" w:hAnsi="Times New Roman" w:cs="Times New Roman"/>
          <w:lang w:val="es-CL"/>
        </w:rPr>
      </w:pPr>
      <w:r w:rsidRPr="00B552A3">
        <w:rPr>
          <w:rFonts w:ascii="Times New Roman" w:hAnsi="Times New Roman" w:cs="Times New Roman"/>
          <w:b/>
          <w:bCs/>
          <w:lang w:val="es-CL"/>
        </w:rPr>
        <w:t xml:space="preserve">Palabras clave: </w:t>
      </w:r>
      <w:r w:rsidR="00B552A3">
        <w:rPr>
          <w:rFonts w:ascii="Times New Roman" w:hAnsi="Times New Roman" w:cs="Times New Roman"/>
          <w:lang w:val="es-CL"/>
        </w:rPr>
        <w:t>Policy mix, territorio, financiamiento.</w:t>
      </w:r>
      <w:r w:rsidRPr="00B552A3">
        <w:rPr>
          <w:rFonts w:ascii="Times New Roman" w:hAnsi="Times New Roman" w:cs="Times New Roman"/>
          <w:lang w:val="es-CL"/>
        </w:rPr>
        <w:t xml:space="preserve"> </w:t>
      </w:r>
    </w:p>
    <w:p w14:paraId="47F7D8BB" w14:textId="0A426676" w:rsidR="00B552A3" w:rsidRPr="00B552A3" w:rsidRDefault="00B552A3">
      <w:pPr>
        <w:rPr>
          <w:rFonts w:ascii="Times New Roman" w:hAnsi="Times New Roman" w:cs="Times New Roman"/>
          <w:lang w:val="es-CL"/>
        </w:rPr>
      </w:pPr>
      <w:r w:rsidRPr="00B552A3">
        <w:rPr>
          <w:rFonts w:ascii="Times New Roman" w:hAnsi="Times New Roman" w:cs="Times New Roman"/>
          <w:lang w:val="es-CL"/>
        </w:rPr>
        <w:br w:type="page"/>
      </w:r>
    </w:p>
    <w:p w14:paraId="6A5547A1" w14:textId="36B7FAC2" w:rsidR="00BA642E" w:rsidRPr="00B552A3" w:rsidRDefault="00BA642E" w:rsidP="007B5B5F">
      <w:pPr>
        <w:spacing w:line="240" w:lineRule="auto"/>
        <w:rPr>
          <w:rFonts w:ascii="Times New Roman" w:hAnsi="Times New Roman" w:cs="Times New Roman"/>
          <w:b/>
          <w:bCs/>
          <w:lang w:val="es-CL"/>
        </w:rPr>
      </w:pPr>
      <w:r w:rsidRPr="00B552A3">
        <w:rPr>
          <w:rFonts w:ascii="Times New Roman" w:hAnsi="Times New Roman" w:cs="Times New Roman"/>
          <w:b/>
          <w:bCs/>
          <w:lang w:val="es-CL"/>
        </w:rPr>
        <w:lastRenderedPageBreak/>
        <w:t>Introducción</w:t>
      </w:r>
    </w:p>
    <w:p w14:paraId="16699EA5" w14:textId="5C7408F7" w:rsidR="00B77E5D" w:rsidRDefault="00B77E5D" w:rsidP="00B77E5D">
      <w:pPr>
        <w:spacing w:line="240" w:lineRule="auto"/>
        <w:ind w:left="2410"/>
        <w:jc w:val="both"/>
        <w:rPr>
          <w:rFonts w:ascii="Times New Roman" w:hAnsi="Times New Roman" w:cs="Times New Roman"/>
          <w:lang w:val="es-CL"/>
        </w:rPr>
      </w:pPr>
      <w:r w:rsidRPr="00B77E5D">
        <w:rPr>
          <w:rFonts w:ascii="Times New Roman" w:hAnsi="Times New Roman" w:cs="Times New Roman"/>
          <w:lang w:val="es-CL"/>
        </w:rPr>
        <w:t>Desde las condiciones únicas del Desierto de Atacama hasta la puerta de entrada a la Antártica, nuestra historia y nuestro futuro está lleno de estas singularidades que forman parte de lo que somos, y de lo que podemos aportar</w:t>
      </w:r>
      <w:r>
        <w:rPr>
          <w:rFonts w:ascii="Times New Roman" w:hAnsi="Times New Roman" w:cs="Times New Roman"/>
          <w:lang w:val="es-CL"/>
        </w:rPr>
        <w:t xml:space="preserve">… </w:t>
      </w:r>
      <w:r w:rsidRPr="00B77E5D">
        <w:rPr>
          <w:rFonts w:ascii="Times New Roman" w:hAnsi="Times New Roman" w:cs="Times New Roman"/>
          <w:lang w:val="es-CL"/>
        </w:rPr>
        <w:t>Chile posee una diversidad enorme de ecosistemas y culturas con características únicas que de la mano de la CTCI pueden ser conocidas, protegidas y puestas en valor apoyando el desarrollo y bienestar de los territorios en que existen y del país.</w:t>
      </w:r>
    </w:p>
    <w:p w14:paraId="5FE03498" w14:textId="57F5F1D5" w:rsidR="00B77E5D" w:rsidRDefault="00B77E5D" w:rsidP="00B77E5D">
      <w:pPr>
        <w:spacing w:line="240" w:lineRule="auto"/>
        <w:ind w:left="2410"/>
        <w:jc w:val="right"/>
        <w:rPr>
          <w:rFonts w:ascii="Times New Roman" w:hAnsi="Times New Roman" w:cs="Times New Roman"/>
          <w:lang w:val="es-CL"/>
        </w:rPr>
      </w:pPr>
      <w:r>
        <w:rPr>
          <w:rFonts w:ascii="Times New Roman" w:hAnsi="Times New Roman" w:cs="Times New Roman"/>
          <w:lang w:val="es-CL"/>
        </w:rPr>
        <w:t xml:space="preserve">Definición de Desafíos País, </w:t>
      </w:r>
      <w:r w:rsidRPr="00B77E5D">
        <w:rPr>
          <w:rFonts w:ascii="Times New Roman" w:hAnsi="Times New Roman" w:cs="Times New Roman"/>
          <w:lang w:val="es-CL"/>
        </w:rPr>
        <w:t>Consejo Nacional de Ciencia Tecnología Conocimiento e Innovación para el Desarrollo</w:t>
      </w:r>
      <w:r>
        <w:rPr>
          <w:rFonts w:ascii="Times New Roman" w:hAnsi="Times New Roman" w:cs="Times New Roman"/>
          <w:lang w:val="es-CL"/>
        </w:rPr>
        <w:t xml:space="preserve"> </w:t>
      </w:r>
      <w:r>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{"citationItems":[{"id":"ITEM-1","itemData":{"author":[{"dropping-particle":"","family":"Consejo Nacional de Ciencia Tecnología Conocimiento e Innovación para el Desarrollo","given":"","non-dropping-particle":"","parse-names":false,"suffix":""}],"id":"ITEM-1","issue":"28","issued":{"date-parts":[["2024"]]},"publisher-place":"Chile","title":"Oficio No 28//2024. Responde solicitud definición de desafíos País","type":"legislation"},"locator":"4","uris":["http://www.mendeley.com/documents/?uuid=201ff393-4805-45cc-bb96-e8d45d8821bc"]}],"mendeley":{"formattedCitation":"(Oficio No 28//2024. Responde solicitud definición de desafíos País, 2024, p. 4)","plainTextFormattedCitation":"(Oficio No 28//2024. Responde solicitud definición de desafíos País, 2024, p. 4)","previouslyFormattedCitation":"(Oficio No 28//2024. Responde solicitud definición de desafíos País, 2024, p. 4)"},"properties":{"noteIndex":0},"schema":"https://github.com/citation-style-language/schema/raw/master/csl-citation.json"}</w:instrText>
      </w:r>
      <w:r>
        <w:rPr>
          <w:rFonts w:ascii="Times New Roman" w:hAnsi="Times New Roman" w:cs="Times New Roman"/>
          <w:lang w:val="es-CL"/>
        </w:rPr>
        <w:fldChar w:fldCharType="separate"/>
      </w:r>
      <w:r w:rsidRPr="00B77E5D">
        <w:rPr>
          <w:rFonts w:ascii="Times New Roman" w:hAnsi="Times New Roman" w:cs="Times New Roman"/>
          <w:noProof/>
          <w:lang w:val="es-CL"/>
        </w:rPr>
        <w:t>(Oficio No 28//2024. Responde solicitud definición de desafíos País, 2024, p. 4)</w:t>
      </w:r>
      <w:r>
        <w:rPr>
          <w:rFonts w:ascii="Times New Roman" w:hAnsi="Times New Roman" w:cs="Times New Roman"/>
          <w:lang w:val="es-CL"/>
        </w:rPr>
        <w:fldChar w:fldCharType="end"/>
      </w:r>
    </w:p>
    <w:p w14:paraId="7DDD7A5B" w14:textId="77777777" w:rsidR="00B77E5D" w:rsidRDefault="00B77E5D" w:rsidP="00C36520">
      <w:pPr>
        <w:spacing w:line="240" w:lineRule="auto"/>
        <w:jc w:val="both"/>
        <w:rPr>
          <w:rFonts w:ascii="Times New Roman" w:hAnsi="Times New Roman" w:cs="Times New Roman"/>
          <w:lang w:val="es-CL"/>
        </w:rPr>
      </w:pPr>
    </w:p>
    <w:p w14:paraId="106C3404" w14:textId="6CF7EA1E"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El régimen de la modernidad es inseparable, material e inmaterialmente, de la historia global de la ciencia y las artes. La vida contemporánea está atravesada por la creación científica y artística, y aunque cada tradición historiográfica ofrece genealogías distintas para comprender sus derivas, la literatura coincide en que ambos campos emergieron gracias a su imbricación con procesos sociales que los exceden </w:t>
      </w:r>
      <w:r w:rsidR="004F1080">
        <w:rPr>
          <w:rFonts w:ascii="Times New Roman" w:hAnsi="Times New Roman" w:cs="Times New Roman"/>
          <w:lang w:val="es-CL"/>
        </w:rPr>
        <w:fldChar w:fldCharType="begin" w:fldLock="1"/>
      </w:r>
      <w:r w:rsidR="004F1080">
        <w:rPr>
          <w:rFonts w:ascii="Times New Roman" w:hAnsi="Times New Roman" w:cs="Times New Roman"/>
          <w:lang w:val="es-CL"/>
        </w:rPr>
        <w:instrText>ADDIN CSL_CITATION {"citationItems":[{"id":"ITEM-1","itemData":{"author":[{"dropping-particle":"","family":"Knorr Cetina","given":"Karin","non-dropping-particle":"","parse-names":false,"suffix":""}],"id":"ITEM-1","issued":{"date-parts":[["2005"]]},"publisher":"Universidad Nacional de Quilmes Editorial","title":"La fabricación del conocimiento. Un ensayo sobre el caracter constructivista y contextual de la ciencia","type":"book"},"uris":["http://www.mendeley.com/documents/?uuid=6bfe1bb2-6fee-4842-a105-cf17ac42da1d"]},{"id":"ITEM-2","itemData":{"author":[{"dropping-particle":"","family":"Kreimer","given":"Pablo","non-dropping-particle":"","parse-names":false,"suffix":""}],"container-title":"La fabricación del conocimiento. Un ensayo sobre el carácter constructivista y contextual de la ciencia","id":"ITEM-2","issued":{"date-parts":[["2005"]]},"publisher":"Universidad Nacional de Quilmes Editorial","publisher-place":"Buenos Aires","title":"Estudio preliminar. El conocimiento se fabrica. ¿Cuándo? ¿Dónde? ¿Cómo?","type":"chapter"},"uris":["http://www.mendeley.com/documents/?uuid=2063c827-0f6a-41c9-bcf5-f540ddd39eac"]},{"id":"ITEM-3","itemData":{"author":[{"dropping-particle":"","family":"Latour","given":"Bruno","non-dropping-particle":"","parse-names":false,"suffix":""}],"container-title":"Science Observed: Perspectives on the Social Study of Science","editor":[{"dropping-particle":"","family":"Knorr Cetina","given":"Karin","non-dropping-particle":"","parse-names":false,"suffix":""},{"dropping-particle":"","family":"Mulkay","given":"M.","non-dropping-particle":"","parse-names":false,"suffix":""}],"id":"ITEM-3","issued":{"date-parts":[["1983"]]},"page":"141-170","publisher":"Sage","title":"Give Me a Laboratory and I will Raise the World","type":"chapter"},"uris":["http://www.mendeley.com/documents/?uuid=dc4cf49f-6381-42b6-8337-680b4ce6b3ba"]}],"mendeley":{"formattedCitation":"(Knorr Cetina, 2005; Kreimer, 2005; Latour, 1983)","plainTextFormattedCitation":"(Knorr Cetina, 2005; Kreimer, 2005; Latour, 1983)","previouslyFormattedCitation":"(Knorr Cetina, 2005; Kreimer, 2005; Latour, 1983)"},"properties":{"noteIndex":0},"schema":"https://github.com/citation-style-language/schema/raw/master/csl-citation.json"}</w:instrText>
      </w:r>
      <w:r w:rsidR="004F1080">
        <w:rPr>
          <w:rFonts w:ascii="Times New Roman" w:hAnsi="Times New Roman" w:cs="Times New Roman"/>
          <w:lang w:val="es-CL"/>
        </w:rPr>
        <w:fldChar w:fldCharType="separate"/>
      </w:r>
      <w:r w:rsidR="004F1080" w:rsidRPr="004F1080">
        <w:rPr>
          <w:rFonts w:ascii="Times New Roman" w:hAnsi="Times New Roman" w:cs="Times New Roman"/>
          <w:noProof/>
          <w:lang w:val="es-CL"/>
        </w:rPr>
        <w:t>(Knorr Cetina, 2005; Kreimer, 2005; Latour, 1983)</w:t>
      </w:r>
      <w:r w:rsidR="004F1080">
        <w:rPr>
          <w:rFonts w:ascii="Times New Roman" w:hAnsi="Times New Roman" w:cs="Times New Roman"/>
          <w:lang w:val="es-CL"/>
        </w:rPr>
        <w:fldChar w:fldCharType="end"/>
      </w:r>
      <w:r w:rsidRPr="00C36520">
        <w:rPr>
          <w:rFonts w:ascii="Times New Roman" w:hAnsi="Times New Roman" w:cs="Times New Roman"/>
          <w:lang w:val="es-CL"/>
        </w:rPr>
        <w:t xml:space="preserve">. Entre esos procesos, la consolidación de los estados modernos ha resultado particularmente decisiva: desde hace casi 250 años, las estructuras político-económicas estatales han modelado, financiado o albergado la creación científica y artística </w:t>
      </w:r>
      <w:r w:rsidR="004F1080">
        <w:rPr>
          <w:rFonts w:ascii="Times New Roman" w:hAnsi="Times New Roman" w:cs="Times New Roman"/>
          <w:lang w:val="es-CL"/>
        </w:rPr>
        <w:fldChar w:fldCharType="begin" w:fldLock="1"/>
      </w:r>
      <w:r w:rsidR="004F1080">
        <w:rPr>
          <w:rFonts w:ascii="Times New Roman" w:hAnsi="Times New Roman" w:cs="Times New Roman"/>
          <w:lang w:val="es-CL"/>
        </w:rPr>
        <w:instrText>ADDIN CSL_CITATION {"citationItems":[{"id":"ITEM-1","itemData":{"ISBN":"3323532325","author":[{"dropping-particle":"","family":"McClellan","given":"James E.","non-dropping-particle":"","parse-names":false,"suffix":""}],"id":"ITEM-1","issued":{"date-parts":[["1985"]]},"publisher":"Columbia University Press","title":"Science Reorganized: Scientific Societies in the Eighteenth Century","type":"book"},"uris":["http://www.mendeley.com/documents/?uuid=8aa2d389-ef7f-499e-8790-0f8efe66477c"]},{"id":"ITEM-2","itemData":{"author":[{"dropping-particle":"","family":"Shiner","given":"Larry","non-dropping-particle":"","parse-names":false,"suffix":""}],"id":"ITEM-2","issued":{"date-parts":[["2001"]]},"publisher":"The University of Chicago Press","title":"The Invention of Art: A Cultural History","type":"book"},"uris":["http://www.mendeley.com/documents/?uuid=b5ff1c90-0ec1-4218-9900-1074cc15b4ac"]}],"mendeley":{"formattedCitation":"(McClellan, 1985; Shiner, 2001)","plainTextFormattedCitation":"(McClellan, 1985; Shiner, 2001)","previouslyFormattedCitation":"(McClellan, 1985; Shiner, 2001)"},"properties":{"noteIndex":0},"schema":"https://github.com/citation-style-language/schema/raw/master/csl-citation.json"}</w:instrText>
      </w:r>
      <w:r w:rsidR="004F1080">
        <w:rPr>
          <w:rFonts w:ascii="Times New Roman" w:hAnsi="Times New Roman" w:cs="Times New Roman"/>
          <w:lang w:val="es-CL"/>
        </w:rPr>
        <w:fldChar w:fldCharType="separate"/>
      </w:r>
      <w:r w:rsidR="004F1080" w:rsidRPr="004F1080">
        <w:rPr>
          <w:rFonts w:ascii="Times New Roman" w:hAnsi="Times New Roman" w:cs="Times New Roman"/>
          <w:noProof/>
          <w:lang w:val="es-CL"/>
        </w:rPr>
        <w:t>(McClellan, 1985; Shiner, 2001)</w:t>
      </w:r>
      <w:r w:rsidR="004F1080">
        <w:rPr>
          <w:rFonts w:ascii="Times New Roman" w:hAnsi="Times New Roman" w:cs="Times New Roman"/>
          <w:lang w:val="es-CL"/>
        </w:rPr>
        <w:fldChar w:fldCharType="end"/>
      </w:r>
      <w:r w:rsidRPr="00C36520">
        <w:rPr>
          <w:rFonts w:ascii="Times New Roman" w:hAnsi="Times New Roman" w:cs="Times New Roman"/>
          <w:lang w:val="es-CL"/>
        </w:rPr>
        <w:t xml:space="preserve">. Hoy, esa relación se organiza bajo la forma de políticas científicas y políticas artístico-culturales, campos que transitaron desde el financiamiento estatal directo hacia una modalidad relativamente reciente en el tiempo largo: la competencia por fondos concursables </w:t>
      </w:r>
      <w:r w:rsidR="004F1080">
        <w:rPr>
          <w:rFonts w:ascii="Times New Roman" w:hAnsi="Times New Roman" w:cs="Times New Roman"/>
          <w:lang w:val="es-CL"/>
        </w:rPr>
        <w:fldChar w:fldCharType="begin" w:fldLock="1"/>
      </w:r>
      <w:r w:rsidR="004F1080">
        <w:rPr>
          <w:rFonts w:ascii="Times New Roman" w:hAnsi="Times New Roman" w:cs="Times New Roman"/>
          <w:lang w:val="es-CL"/>
        </w:rPr>
        <w:instrText>ADDIN CSL_CITATION {"citationItems":[{"id":"ITEM-1","itemData":{"ISBN":"091540074X","editor":[{"dropping-particle":"","family":"Cummings","given":"Milton C. Jr.","non-dropping-particle":"","parse-names":false,"suffix":""},{"dropping-particle":"","family":"Davidson Schuster","given":"J. Mark","non-dropping-particle":"","parse-names":false,"suffix":""}],"id":"ITEM-1","issued":{"date-parts":[["1989"]]},"publisher":"ACA Books","title":"Who's To Pay for The Arts? The International Search for Models of Support","type":"book"},"uris":["http://www.mendeley.com/documents/?uuid=35a482db-8545-4f3a-ae42-cc6bf6f47b45"]},{"id":"ITEM-2","itemData":{"author":[{"dropping-particle":"","family":"Merton England","given":"J.","non-dropping-particle":"","parse-names":false,"suffix":""}],"id":"ITEM-2","issued":{"date-parts":[["1982"]]},"publisher":"National Science Foundation","title":"A Patron for Pure Science. The National Science Foundation's Formative Years, 1945-57","type":"book"},"uris":["http://www.mendeley.com/documents/?uuid=a7be987a-0e75-4f9b-9d5b-49f08e819650"]}],"mendeley":{"formattedCitation":"(Cummings &amp; Davidson Schuster, 1989; Merton England, 1982)","plainTextFormattedCitation":"(Cummings &amp; Davidson Schuster, 1989; Merton England, 1982)","previouslyFormattedCitation":"(Cummings &amp; Davidson Schuster, 1989; Merton England, 1982)"},"properties":{"noteIndex":0},"schema":"https://github.com/citation-style-language/schema/raw/master/csl-citation.json"}</w:instrText>
      </w:r>
      <w:r w:rsidR="004F1080">
        <w:rPr>
          <w:rFonts w:ascii="Times New Roman" w:hAnsi="Times New Roman" w:cs="Times New Roman"/>
          <w:lang w:val="es-CL"/>
        </w:rPr>
        <w:fldChar w:fldCharType="separate"/>
      </w:r>
      <w:r w:rsidR="004F1080" w:rsidRPr="004F1080">
        <w:rPr>
          <w:rFonts w:ascii="Times New Roman" w:hAnsi="Times New Roman" w:cs="Times New Roman"/>
          <w:noProof/>
          <w:lang w:val="es-CL"/>
        </w:rPr>
        <w:t>(Cummings &amp; Davidson Schuster, 1989; Merton England, 1982)</w:t>
      </w:r>
      <w:r w:rsidR="004F1080">
        <w:rPr>
          <w:rFonts w:ascii="Times New Roman" w:hAnsi="Times New Roman" w:cs="Times New Roman"/>
          <w:lang w:val="es-CL"/>
        </w:rPr>
        <w:fldChar w:fldCharType="end"/>
      </w:r>
      <w:r w:rsidRPr="00C36520">
        <w:rPr>
          <w:rFonts w:ascii="Times New Roman" w:hAnsi="Times New Roman" w:cs="Times New Roman"/>
          <w:lang w:val="es-CL"/>
        </w:rPr>
        <w:t>.</w:t>
      </w:r>
    </w:p>
    <w:p w14:paraId="22143C9F" w14:textId="5B2F5137"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Esos fondos constituyen el foco de esta ponencia, que </w:t>
      </w:r>
      <w:r w:rsidR="004F1080">
        <w:rPr>
          <w:rFonts w:ascii="Times New Roman" w:hAnsi="Times New Roman" w:cs="Times New Roman"/>
          <w:lang w:val="es-CL"/>
        </w:rPr>
        <w:t>presenta</w:t>
      </w:r>
      <w:r w:rsidRPr="00C36520">
        <w:rPr>
          <w:rFonts w:ascii="Times New Roman" w:hAnsi="Times New Roman" w:cs="Times New Roman"/>
          <w:lang w:val="es-CL"/>
        </w:rPr>
        <w:t xml:space="preserve"> un proyecto de tesis doctoral en curso. Chile inició hace más de cuatro décadas una transición hacia un esquema de política científica centrado en instrumentos competitivos, prospectivos, reglamentados, evaluados y alineados con prioridades políticas estatales</w:t>
      </w:r>
      <w:r w:rsidR="004F1080">
        <w:rPr>
          <w:rFonts w:ascii="Times New Roman" w:hAnsi="Times New Roman" w:cs="Times New Roman"/>
          <w:lang w:val="es-CL"/>
        </w:rPr>
        <w:t xml:space="preserve"> </w:t>
      </w:r>
      <w:r w:rsidR="004F1080">
        <w:rPr>
          <w:rFonts w:ascii="Times New Roman" w:hAnsi="Times New Roman" w:cs="Times New Roman"/>
          <w:lang w:val="es-CL"/>
        </w:rPr>
        <w:fldChar w:fldCharType="begin" w:fldLock="1"/>
      </w:r>
      <w:r w:rsidR="004F1080">
        <w:rPr>
          <w:rFonts w:ascii="Times New Roman" w:hAnsi="Times New Roman" w:cs="Times New Roman"/>
          <w:lang w:val="es-CL"/>
        </w:rPr>
        <w:instrText>ADDIN CSL_CITATION {"citationItems":[{"id":"ITEM-1","itemData":{"author":[{"dropping-particle":"","family":"Boisier","given":"María Elena","non-dropping-particle":"","parse-names":false,"suffix":""},{"dropping-particle":"","family":"Cevallos","given":"Rodrigo A.","non-dropping-particle":"","parse-names":false,"suffix":""}],"container-title":"Revista Médica Clínica Las condes","id":"ITEM-1","issue":"1","issued":{"date-parts":[["2019"]]},"page":"19-28","title":"Instrumentos de fomento para la investigación en Chile: Historia reciente, estado actual y desafíos","type":"article-journal","volume":"30"},"uris":["http://www.mendeley.com/documents/?uuid=8f2f4c99-a535-41c2-b3b1-f228be09b5ee"]}],"mendeley":{"formattedCitation":"(Boisier &amp; Cevallos, 2019)","plainTextFormattedCitation":"(Boisier &amp; Cevallos, 2019)","previouslyFormattedCitation":"(Boisier &amp; Cevallos, 2019)"},"properties":{"noteIndex":0},"schema":"https://github.com/citation-style-language/schema/raw/master/csl-citation.json"}</w:instrText>
      </w:r>
      <w:r w:rsidR="004F1080">
        <w:rPr>
          <w:rFonts w:ascii="Times New Roman" w:hAnsi="Times New Roman" w:cs="Times New Roman"/>
          <w:lang w:val="es-CL"/>
        </w:rPr>
        <w:fldChar w:fldCharType="separate"/>
      </w:r>
      <w:r w:rsidR="004F1080" w:rsidRPr="004F1080">
        <w:rPr>
          <w:rFonts w:ascii="Times New Roman" w:hAnsi="Times New Roman" w:cs="Times New Roman"/>
          <w:noProof/>
          <w:lang w:val="es-CL"/>
        </w:rPr>
        <w:t>(Boisier &amp; Cevallos, 2019)</w:t>
      </w:r>
      <w:r w:rsidR="004F1080">
        <w:rPr>
          <w:rFonts w:ascii="Times New Roman" w:hAnsi="Times New Roman" w:cs="Times New Roman"/>
          <w:lang w:val="es-CL"/>
        </w:rPr>
        <w:fldChar w:fldCharType="end"/>
      </w:r>
      <w:r w:rsidRPr="00C36520">
        <w:rPr>
          <w:rFonts w:ascii="Times New Roman" w:hAnsi="Times New Roman" w:cs="Times New Roman"/>
          <w:lang w:val="es-CL"/>
        </w:rPr>
        <w:t>. Tras el retorno de la democracia, ese modelo se extendió, en 1992, al financiamiento de las artes y la cultura</w:t>
      </w:r>
      <w:r w:rsidR="004F1080">
        <w:rPr>
          <w:rFonts w:ascii="Times New Roman" w:hAnsi="Times New Roman" w:cs="Times New Roman"/>
          <w:lang w:val="es-CL"/>
        </w:rPr>
        <w:t xml:space="preserve"> </w:t>
      </w:r>
      <w:r w:rsidR="004F1080">
        <w:rPr>
          <w:rFonts w:ascii="Times New Roman" w:hAnsi="Times New Roman" w:cs="Times New Roman"/>
          <w:lang w:val="es-CL"/>
        </w:rPr>
        <w:fldChar w:fldCharType="begin" w:fldLock="1"/>
      </w:r>
      <w:r w:rsidR="004F1080">
        <w:rPr>
          <w:rFonts w:ascii="Times New Roman" w:hAnsi="Times New Roman" w:cs="Times New Roman"/>
          <w:lang w:val="es-CL"/>
        </w:rPr>
        <w:instrText>ADDIN CSL_CITATION {"citationItems":[{"id":"ITEM-1","itemData":{"author":[{"dropping-particle":"","family":"Soto Labbé","given":"María Paulina","non-dropping-particle":"","parse-names":false,"suffix":""}],"container-title":"Periférica","id":"ITEM-1","issued":{"date-parts":[["2011"]]},"page":"320-330","title":"FONDART: Balance político de un instrumento de financiamiento cultural del Chile 1990-2010","type":"article-journal","volume":"21"},"uris":["http://www.mendeley.com/documents/?uuid=c49bf7fc-c7c8-4229-a7b5-68558f879602"]}],"mendeley":{"formattedCitation":"(Soto Labbé, 2011)","plainTextFormattedCitation":"(Soto Labbé, 2011)","previouslyFormattedCitation":"(Soto Labbé, 2011)"},"properties":{"noteIndex":0},"schema":"https://github.com/citation-style-language/schema/raw/master/csl-citation.json"}</w:instrText>
      </w:r>
      <w:r w:rsidR="004F1080">
        <w:rPr>
          <w:rFonts w:ascii="Times New Roman" w:hAnsi="Times New Roman" w:cs="Times New Roman"/>
          <w:lang w:val="es-CL"/>
        </w:rPr>
        <w:fldChar w:fldCharType="separate"/>
      </w:r>
      <w:r w:rsidR="004F1080" w:rsidRPr="004F1080">
        <w:rPr>
          <w:rFonts w:ascii="Times New Roman" w:hAnsi="Times New Roman" w:cs="Times New Roman"/>
          <w:noProof/>
          <w:lang w:val="es-CL"/>
        </w:rPr>
        <w:t>(Soto Labbé, 2011)</w:t>
      </w:r>
      <w:r w:rsidR="004F1080">
        <w:rPr>
          <w:rFonts w:ascii="Times New Roman" w:hAnsi="Times New Roman" w:cs="Times New Roman"/>
          <w:lang w:val="es-CL"/>
        </w:rPr>
        <w:fldChar w:fldCharType="end"/>
      </w:r>
      <w:r w:rsidRPr="00C36520">
        <w:rPr>
          <w:rFonts w:ascii="Times New Roman" w:hAnsi="Times New Roman" w:cs="Times New Roman"/>
          <w:lang w:val="es-CL"/>
        </w:rPr>
        <w:t>. El resultado, tres décadas después, es un panorama de multiplicación creciente: varias decenas de fondos concursables, de periodicidades anuales, quinquenales y decadales, administrados por una cantidad no sistematizada de instituciones públicas</w:t>
      </w:r>
      <w:r w:rsidR="004F1080">
        <w:rPr>
          <w:rFonts w:ascii="Times New Roman" w:hAnsi="Times New Roman" w:cs="Times New Roman"/>
          <w:lang w:val="es-CL"/>
        </w:rPr>
        <w:t xml:space="preserve">, incluyendo </w:t>
      </w:r>
      <w:r w:rsidRPr="00C36520">
        <w:rPr>
          <w:rFonts w:ascii="Times New Roman" w:hAnsi="Times New Roman" w:cs="Times New Roman"/>
          <w:lang w:val="es-CL"/>
        </w:rPr>
        <w:t>ministerios, agencias, consejos autónomos y gobiernos regionales</w:t>
      </w:r>
      <w:r w:rsidR="004F1080">
        <w:rPr>
          <w:rFonts w:ascii="Times New Roman" w:hAnsi="Times New Roman" w:cs="Times New Roman"/>
          <w:lang w:val="es-CL"/>
        </w:rPr>
        <w:t xml:space="preserve"> </w:t>
      </w:r>
      <w:r w:rsidR="004F1080">
        <w:rPr>
          <w:rFonts w:ascii="Times New Roman" w:hAnsi="Times New Roman" w:cs="Times New Roman"/>
          <w:lang w:val="es-CL"/>
        </w:rPr>
        <w:fldChar w:fldCharType="begin" w:fldLock="1"/>
      </w:r>
      <w:r w:rsidR="004F1080">
        <w:rPr>
          <w:rFonts w:ascii="Times New Roman" w:hAnsi="Times New Roman" w:cs="Times New Roman"/>
          <w:lang w:val="es-CL"/>
        </w:rPr>
        <w:instrText>ADDIN CSL_CITATION {"citationItems":[{"id":"ITEM-1","itemData":{"URL":"https://fondos.gob.cl/","accessed":{"date-parts":[["2026","6","1"]]},"id":"ITEM-1","issued":{"date-parts":[["0"]]},"title":"Portal Único de Fondos Concursables","type":"webpage"},"uris":["http://www.mendeley.com/documents/?uuid=1f99fc0b-25d5-3fa3-a2fe-ab199f6ddc9e"]}],"mendeley":{"formattedCitation":"(&lt;i&gt;Portal Único de Fondos Concursables&lt;/i&gt;, s. f.)","plainTextFormattedCitation":"(Portal Único de Fondos Concursables, s. f.)","previouslyFormattedCitation":"(&lt;i&gt;Portal Único de Fondos Concursables&lt;/i&gt;, s. f.)"},"properties":{"noteIndex":0},"schema":"https://github.com/citation-style-language/schema/raw/master/csl-citation.json"}</w:instrText>
      </w:r>
      <w:r w:rsidR="004F1080">
        <w:rPr>
          <w:rFonts w:ascii="Times New Roman" w:hAnsi="Times New Roman" w:cs="Times New Roman"/>
          <w:lang w:val="es-CL"/>
        </w:rPr>
        <w:fldChar w:fldCharType="separate"/>
      </w:r>
      <w:r w:rsidR="004F1080" w:rsidRPr="004F1080">
        <w:rPr>
          <w:rFonts w:ascii="Times New Roman" w:hAnsi="Times New Roman" w:cs="Times New Roman"/>
          <w:noProof/>
          <w:lang w:val="es-CL"/>
        </w:rPr>
        <w:t>(</w:t>
      </w:r>
      <w:r w:rsidR="004F1080" w:rsidRPr="004F1080">
        <w:rPr>
          <w:rFonts w:ascii="Times New Roman" w:hAnsi="Times New Roman" w:cs="Times New Roman"/>
          <w:i/>
          <w:noProof/>
          <w:lang w:val="es-CL"/>
        </w:rPr>
        <w:t>Portal Único de Fondos Concursables</w:t>
      </w:r>
      <w:r w:rsidR="004F1080" w:rsidRPr="004F1080">
        <w:rPr>
          <w:rFonts w:ascii="Times New Roman" w:hAnsi="Times New Roman" w:cs="Times New Roman"/>
          <w:noProof/>
          <w:lang w:val="es-CL"/>
        </w:rPr>
        <w:t>, s. f.)</w:t>
      </w:r>
      <w:r w:rsidR="004F1080">
        <w:rPr>
          <w:rFonts w:ascii="Times New Roman" w:hAnsi="Times New Roman" w:cs="Times New Roman"/>
          <w:lang w:val="es-CL"/>
        </w:rPr>
        <w:fldChar w:fldCharType="end"/>
      </w:r>
      <w:r w:rsidRPr="00C36520">
        <w:rPr>
          <w:rFonts w:ascii="Times New Roman" w:hAnsi="Times New Roman" w:cs="Times New Roman"/>
          <w:lang w:val="es-CL"/>
        </w:rPr>
        <w:t>.</w:t>
      </w:r>
    </w:p>
    <w:p w14:paraId="7D6657F4" w14:textId="344CF14A"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La investigación de la que se desprende esta ponencia parte de dos premisas que orientan tanto su construcción del problema como su estrategia analítica. La primera es que estos instrumentos no pueden comprenderse aisladamente</w:t>
      </w:r>
      <w:r w:rsidR="004F1080">
        <w:rPr>
          <w:rFonts w:ascii="Times New Roman" w:hAnsi="Times New Roman" w:cs="Times New Roman"/>
          <w:lang w:val="es-CL"/>
        </w:rPr>
        <w:t xml:space="preserve">, sino que </w:t>
      </w:r>
      <w:r w:rsidRPr="00C36520">
        <w:rPr>
          <w:rFonts w:ascii="Times New Roman" w:hAnsi="Times New Roman" w:cs="Times New Roman"/>
          <w:lang w:val="es-CL"/>
        </w:rPr>
        <w:t xml:space="preserve">constituyen un </w:t>
      </w:r>
      <w:r w:rsidRPr="004F1080">
        <w:rPr>
          <w:rFonts w:ascii="Times New Roman" w:hAnsi="Times New Roman" w:cs="Times New Roman"/>
          <w:i/>
          <w:iCs/>
          <w:lang w:val="es-CL"/>
        </w:rPr>
        <w:t>policy mix</w:t>
      </w:r>
      <w:r w:rsidRPr="00C36520">
        <w:rPr>
          <w:rFonts w:ascii="Times New Roman" w:hAnsi="Times New Roman" w:cs="Times New Roman"/>
          <w:lang w:val="es-CL"/>
        </w:rPr>
        <w:t xml:space="preserve">, esto es, un conjunto de iniciativas de política pública que, al operar conjuntamente sobre una misma temática, población o territorio, generan efectos emergentes que exceden la </w:t>
      </w:r>
      <w:r w:rsidRPr="00C36520">
        <w:rPr>
          <w:rFonts w:ascii="Times New Roman" w:hAnsi="Times New Roman" w:cs="Times New Roman"/>
          <w:lang w:val="es-CL"/>
        </w:rPr>
        <w:lastRenderedPageBreak/>
        <w:t>suma de sus partes</w:t>
      </w:r>
      <w:r w:rsidR="004F1080">
        <w:rPr>
          <w:rFonts w:ascii="Times New Roman" w:hAnsi="Times New Roman" w:cs="Times New Roman"/>
          <w:lang w:val="es-CL"/>
        </w:rPr>
        <w:t xml:space="preserve"> </w:t>
      </w:r>
      <w:r w:rsidR="004F1080">
        <w:rPr>
          <w:rFonts w:ascii="Times New Roman" w:hAnsi="Times New Roman" w:cs="Times New Roman"/>
          <w:lang w:val="es-CL"/>
        </w:rPr>
        <w:fldChar w:fldCharType="begin" w:fldLock="1"/>
      </w:r>
      <w:r w:rsidR="004F1080">
        <w:rPr>
          <w:rFonts w:ascii="Times New Roman" w:hAnsi="Times New Roman" w:cs="Times New Roman"/>
          <w:lang w:val="es-CL"/>
        </w:rPr>
        <w:instrText xml:space="preserve">ADDIN CSL_CITATION {"citationItems":[{"id":"ITEM-1","itemData":{"DOI":"10.1016/j.respol.2011.02.005","ISSN":"00487333","abstract":"Recent years have seen the emergence, take-up and use of the term 'policy mix' by innovation policy makers and by policy analysts and scholars alike. Imported from economic policy debates, the term implies a focus on the interactions and interdependencies between different policies as they affect the extent to which intended policy outcomes are achieved. However the meaning of the term remains ambiguous. Nonetheless, we argue that the emergence of the 'policy mix' concept into common use in the field of innovation policy studies provides us with a window of opportunity to reconsider some basic and often hidden assumptions in order to better deal with a messy and complex, multi-level, multi-actor reality. We draw upon a range of literatures to re-conceptualise the basic building blocks of innovation policy studies in order to arrive at a useful definition of 'policy mix' tensions and interactions of different kinds across a series of dimensions. We suggest that this reconceptualisation has important implications for the future scope and focus of prescriptive and analytical innovation policy studies. © 2011 Elsevier B.V.","author":[{"dropping-particle":"","family":"Flanagan","given":"Kieron","non-dropping-particle":"","parse-names":false,"suffix":""},{"dropping-particle":"","family":"Uyarra","given":"Elvira","non-dropping-particle":"","parse-names":false,"suffix":""},{"dropping-particle":"","family":"Laranja","given":"Manuel","non-dropping-particle":"","parse-names":false,"suffix":""}],"container-title":"Research Policy","id":"ITEM-1","issue":"5","issued":{"date-parts":[["2011"]]},"page":"702-713","title":"Reconceptualising the 'policy mix' for innovation","type":"article-journal","volume":"40"},"uris":["http://www.mendeley.com/documents/?uuid=0b0bb19e-3172-459f-8e29-60a59ba16bc9"]},{"id":"ITEM-2","itemData":{"DOI":"10.1016/j.spc.2025.09.003","ISSN":"2352-5509","author":[{"dropping-particle":"","family":"Rizos","given":"Vasileios","non-dropping-particle":"","parse-names":false,"suffix":""},{"dropping-particle":"","family":"Zambianchi","given":"Valeria","non-dropping-particle":"","parse-names":false,"suffix":""}],"container-title":"Sustainable Production and Consumption","id":"ITEM-2","issue":"March","issued":{"date-parts":[["2025"]]},"page":"52-63","publisher":"Elsevier Ltd","title":"Unpacking policy coherence : A network analysis of the EU policy mix for the circular economy </w:instrText>
      </w:r>
      <w:r w:rsidR="004F1080">
        <w:rPr>
          <w:rFonts w:ascii="Segoe UI Symbol" w:hAnsi="Segoe UI Symbol" w:cs="Segoe UI Symbol"/>
          <w:lang w:val="es-CL"/>
        </w:rPr>
        <w:instrText>☆</w:instrText>
      </w:r>
      <w:r w:rsidR="004F1080">
        <w:rPr>
          <w:rFonts w:ascii="Times New Roman" w:hAnsi="Times New Roman" w:cs="Times New Roman"/>
          <w:lang w:val="es-CL"/>
        </w:rPr>
        <w:instrText>","type":"article-journal","volume":"60"},"uris":["http://www.mendeley.com/documents/?uuid=f198a148-27c6-4b4c-bd16-028f2f4cfb59"]}],"mendeley":{"formattedCitation":"(Flanagan et al., 2011; Rizos &amp; Zambianchi, 2025)","plainTextFormattedCitation":"(Flanagan et al., 2011; Rizos &amp; Zambianchi, 2025)","previouslyFormattedCitation":"(Flanagan et al., 2011; Rizos &amp; Zambianchi, 2025)"},"properties":{"noteIndex":0},"schema":"https://github.com/citation-style-language/schema/raw/master/csl-citation.json"}</w:instrText>
      </w:r>
      <w:r w:rsidR="004F1080">
        <w:rPr>
          <w:rFonts w:ascii="Times New Roman" w:hAnsi="Times New Roman" w:cs="Times New Roman"/>
          <w:lang w:val="es-CL"/>
        </w:rPr>
        <w:fldChar w:fldCharType="separate"/>
      </w:r>
      <w:r w:rsidR="004F1080" w:rsidRPr="004F1080">
        <w:rPr>
          <w:rFonts w:ascii="Times New Roman" w:hAnsi="Times New Roman" w:cs="Times New Roman"/>
          <w:noProof/>
          <w:lang w:val="es-CL"/>
        </w:rPr>
        <w:t>(Flanagan et al., 2011; Rizos &amp; Zambianchi, 2025)</w:t>
      </w:r>
      <w:r w:rsidR="004F1080">
        <w:rPr>
          <w:rFonts w:ascii="Times New Roman" w:hAnsi="Times New Roman" w:cs="Times New Roman"/>
          <w:lang w:val="es-CL"/>
        </w:rPr>
        <w:fldChar w:fldCharType="end"/>
      </w:r>
      <w:r w:rsidRPr="00C36520">
        <w:rPr>
          <w:rFonts w:ascii="Times New Roman" w:hAnsi="Times New Roman" w:cs="Times New Roman"/>
          <w:lang w:val="es-CL"/>
        </w:rPr>
        <w:t xml:space="preserve">. La segunda es que la operación de ese conjunto es constitutivamente territorial: las políticas públicas no operan en un vacío espacial, sino que se anclan en límites jurisdiccionales, divisiones administrativas e infraestructuras de gobernanza, y a la vez movilizan representaciones e imaginarios geográficos que hacen visible unos territorios y unos actores mientras invisibilizan otros </w:t>
      </w:r>
      <w:r w:rsidR="004F1080">
        <w:rPr>
          <w:rFonts w:ascii="Times New Roman" w:hAnsi="Times New Roman" w:cs="Times New Roman"/>
          <w:lang w:val="es-CL"/>
        </w:rPr>
        <w:fldChar w:fldCharType="begin" w:fldLock="1"/>
      </w:r>
      <w:r w:rsidR="004F1080">
        <w:rPr>
          <w:rFonts w:ascii="Times New Roman" w:hAnsi="Times New Roman" w:cs="Times New Roman"/>
          <w:lang w:val="es-CL"/>
        </w:rPr>
        <w:instrText>ADDIN CSL_CITATION {"citationItems":[{"id":"ITEM-1","itemData":{"author":[{"dropping-particle":"","family":"Lefebvre","given":"Henri","non-dropping-particle":"","parse-names":false,"suffix":""}],"id":"ITEM-1","issued":{"date-parts":[["2013"]]},"publisher":"Capitán Swing","title":"La producción del espacio","type":"book"},"uris":["http://www.mendeley.com/documents/?uuid=126c6703-51d5-43f5-8959-264df1496821"]},{"id":"ITEM-2","itemData":{"author":[{"dropping-particle":"","family":"Prince","given":"Russell","non-dropping-particle":"","parse-names":false,"suffix":""}],"container-title":"Handbook on the Changing Geographies of the State. New Spaces of Geopolitics","editor":[{"dropping-particle":"","family":"Moisio","given":"Sami","non-dropping-particle":"","parse-names":false,"suffix":""},{"dropping-particle":"","family":"Koch","given":"Natalie","non-dropping-particle":"","parse-names":false,"suffix":""},{"dropping-particle":"","family":"Jonas","given":"Andrew E.G.","non-dropping-particle":"","parse-names":false,"suffix":""},{"dropping-particle":"","family":"Lizotte","given":"Christopher","non-dropping-particle":"","parse-names":false,"suffix":""},{"dropping-particle":"","family":"Luukkonen","given":"Juho","non-dropping-particle":"","parse-names":false,"suffix":""}],"id":"ITEM-2","issued":{"date-parts":[["2020"]]},"page":"173-184","publisher":"Edward Elgar Publishing","title":"The geography of policy-making: mobile policy, territory and state space","type":"chapter"},"uris":["http://www.mendeley.com/documents/?uuid=863514b6-c4ff-49f3-8b19-bc5e26195709"]},{"id":"ITEM-3","itemData":{"abstract":"Este estudio define el territorio como un sistema social complejo donde se despliegan formas, comunicaciones y probabilidades. El objetivo de la investigación expuesta es observar la disponibilidad de formas de integración sistémico-funcional (servicios, conectividad, etc.) en el barrio al tiempo que se interroga por el acceso efectivo a ellas. A partir de ello, los procesos de inclusión/exclusión podrían observarse en un plano cartesiano de dos coordenadas dando lugar a cuadrantes que configuran cuatro tipologías de territorios en función de sus posibilidades de albergar procesos de inclusión social efectiva. Este marco analítico se tradujo en la operacionalización de dos variables: Disponibilidad de alternativas e Índice de Riesgo, las que fueron observadas a través de dos instrumentos: Pauta de observación de calle (POC) y Pauta de indicadores barriales (PIB). Este artículo presenta los resultados de esta investigación aplicada en barrios de cuatro comunas de alta complejidad del Gran Santiago: La Pintana, Cerro Navia, Lo Espejo y Puente Alto","author":[{"dropping-particle":"","family":"Urquieta Álvarez","given":"María Antonieta","non-dropping-particle":"","parse-names":false,"suffix":""}],"container-title":"TS Cuadernos de Trabajo Social","id":"ITEM-3","issue":"18","issued":{"date-parts":[["2019"]]},"page":"42-70","title":"Territorios de exclusiòn. Observando dinàmicas de inclusiòn/exclusiòn en sistemas territoriales complejos del Gran Santiago","type":"article-journal"},"uris":["http://www.mendeley.com/documents/?uuid=827086e5-7f54-4756-bacd-9be9af1e31d4"]}],"mendeley":{"formattedCitation":"(Lefebvre, 2013; Prince, 2020; Urquieta Álvarez, 2019)","plainTextFormattedCitation":"(Lefebvre, 2013; Prince, 2020; Urquieta Álvarez, 2019)","previouslyFormattedCitation":"(Lefebvre, 2013; Prince, 2020; Urquieta Álvarez, 2019)"},"properties":{"noteIndex":0},"schema":"https://github.com/citation-style-language/schema/raw/master/csl-citation.json"}</w:instrText>
      </w:r>
      <w:r w:rsidR="004F1080">
        <w:rPr>
          <w:rFonts w:ascii="Times New Roman" w:hAnsi="Times New Roman" w:cs="Times New Roman"/>
          <w:lang w:val="es-CL"/>
        </w:rPr>
        <w:fldChar w:fldCharType="separate"/>
      </w:r>
      <w:r w:rsidR="004F1080" w:rsidRPr="004F1080">
        <w:rPr>
          <w:rFonts w:ascii="Times New Roman" w:hAnsi="Times New Roman" w:cs="Times New Roman"/>
          <w:noProof/>
          <w:lang w:val="es-CL"/>
        </w:rPr>
        <w:t>(Lefebvre, 2013; Prince, 2020; Urquieta Álvarez, 2019)</w:t>
      </w:r>
      <w:r w:rsidR="004F1080">
        <w:rPr>
          <w:rFonts w:ascii="Times New Roman" w:hAnsi="Times New Roman" w:cs="Times New Roman"/>
          <w:lang w:val="es-CL"/>
        </w:rPr>
        <w:fldChar w:fldCharType="end"/>
      </w:r>
      <w:r w:rsidRPr="00C36520">
        <w:rPr>
          <w:rFonts w:ascii="Times New Roman" w:hAnsi="Times New Roman" w:cs="Times New Roman"/>
          <w:lang w:val="es-CL"/>
        </w:rPr>
        <w:t>.</w:t>
      </w:r>
    </w:p>
    <w:p w14:paraId="5A4934AF" w14:textId="1E493039"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Al cruzar ambas premisas, emerge un objeto que la literatura chilena ha abordado sólo parcialmente. Los estudios disponibles sobre financiamiento concursable a ciencias, artes y cultura han examinado los instrumentos casi exclusivamente uno a la vez </w:t>
      </w:r>
      <w:r w:rsidR="004F1080">
        <w:rPr>
          <w:rFonts w:ascii="Times New Roman" w:hAnsi="Times New Roman" w:cs="Times New Roman"/>
          <w:lang w:val="es-CL"/>
        </w:rPr>
        <w:fldChar w:fldCharType="begin" w:fldLock="1"/>
      </w:r>
      <w:r w:rsidR="004F1080">
        <w:rPr>
          <w:rFonts w:ascii="Times New Roman" w:hAnsi="Times New Roman" w:cs="Times New Roman"/>
          <w:lang w:val="es-CL"/>
        </w:rPr>
        <w:instrText>ADDIN CSL_CITATION {"citationItems":[{"id":"ITEM-1","itemData":{"DOI":"10.4067/s0718-04622015000100008","abstract":"RESUMEN Pese a que el Estado chileno viene desarrollando una nutrida actividad en el campo cultural desde los orígenes de la República, la creación en 2003 del Consejo Nacional de la Cultura y las Artes no ha supuesto necesariamente un desarrollo formal de políticas públicas en cultura (public policies in culture), especialmente porque estas decisiones legislativas, financieras y administrativas que el Estado realiza en el campo cultural no son sujetas a mecanismos conocidos de evaluación ni accountability. Cuando mucho lo que han hecho algunos gobiernos es presentar episódicos balances de la acción cultural que realizan con cargo al erario público. El ensayo aporta una propuesta de periodi-zación de la evolución de la acción pública del Estado chileno en cultura, explorando algunas razones por las que no se ha avanzado en una conceptualización más moderna de las políticas culturales. Palabras clave: Políticas culturales, evaluación, políticas públicas, acción cultural del Estado. ABSTRACT Even though the Chilean State has developed sustained activity in culture since the founding of the Republic, these advances have not necessarily crystallized in a formal development of public policies in culture, especially when the legislative, financial and","author":[{"dropping-particle":"","family":"Antoine","given":"Cristian","non-dropping-particle":"","parse-names":false,"suffix":""}],"container-title":"Atenea","id":"ITEM-1","issue":"511","issued":{"date-parts":[["2015"]]},"page":"147-174","title":"Más allá de la acción cultural del estado: Apuntes para una evolución de las políticas culturales en Chile","type":"article-journal"},"uris":["http://www.mendeley.com/documents/?uuid=0d1f227f-97d4-461a-bbf0-169e234f03f4"]},{"id":"ITEM-2","itemData":{"author":[{"dropping-particle":"","family":"Boisier","given":"María Elena","non-dropping-particle":"","parse-names":false,"suffix":""},{"dropping-particle":"","family":"Cevallos","given":"Rodrigo A.","non-dropping-particle":"","parse-names":false,"suffix":""}],"container-title":"Revista Médica Clínica Las condes","id":"ITEM-2","issue":"1","issued":{"date-parts":[["2019"]]},"page":"19-28","title":"Instrumentos de fomento para la investigación en Chile: Historia reciente, estado actual y desafíos","type":"article-journal","volume":"30"},"uris":["http://www.mendeley.com/documents/?uuid=8f2f4c99-a535-41c2-b3b1-f228be09b5ee"]},{"id":"ITEM-3","itemData":{"author":[{"dropping-particle":"","family":"Soto Labbé","given":"María Paulina","non-dropping-particle":"","parse-names":false,"suffix":""}],"container-title":"Periférica","id":"ITEM-3","issued":{"date-parts":[["2011"]]},"page":"320-330","title":"FONDART: Balance político de un instrumento de financiamiento cultural del Chile 1990-2010","type":"article-journal","volume":"21"},"uris":["http://www.mendeley.com/documents/?uuid=c49bf7fc-c7c8-4229-a7b5-68558f879602"]},{"id":"ITEM-4","itemData":{"author":[{"dropping-particle":"","family":"Spencer Zamora","given":"María Paz","non-dropping-particle":"","parse-names":false,"suffix":""}],"id":"ITEM-4","issued":{"date-parts":[["2013"]]},"publisher":"Tesis para optar al grado de Magíster en Gestión Cultural. Universidad de Chile.","title":"Análisis comparativo entre FONDART Regional y FNDR 2% Cultura de la Región Metropolitana para los años 2010, 2011 y 2012","type":"thesis"},"uris":["http://www.mendeley.com/documents/?uuid=bc89d806-51d8-4299-87e8-e9e2472b3868"]}],"mendeley":{"formattedCitation":"(Antoine, 2015; Boisier &amp; Cevallos, 2019; Soto Labbé, 2011; Spencer Zamora, 2013)","plainTextFormattedCitation":"(Antoine, 2015; Boisier &amp; Cevallos, 2019; Soto Labbé, 2011; Spencer Zamora, 2013)","previouslyFormattedCitation":"(Antoine, 2015; Boisier &amp; Cevallos, 2019; Soto Labbé, 2011; Spencer Zamora, 2013)"},"properties":{"noteIndex":0},"schema":"https://github.com/citation-style-language/schema/raw/master/csl-citation.json"}</w:instrText>
      </w:r>
      <w:r w:rsidR="004F1080">
        <w:rPr>
          <w:rFonts w:ascii="Times New Roman" w:hAnsi="Times New Roman" w:cs="Times New Roman"/>
          <w:lang w:val="es-CL"/>
        </w:rPr>
        <w:fldChar w:fldCharType="separate"/>
      </w:r>
      <w:r w:rsidR="004F1080" w:rsidRPr="004F1080">
        <w:rPr>
          <w:rFonts w:ascii="Times New Roman" w:hAnsi="Times New Roman" w:cs="Times New Roman"/>
          <w:noProof/>
          <w:lang w:val="es-CL"/>
        </w:rPr>
        <w:t>(Antoine, 2015; Boisier &amp; Cevallos, 2019; Soto Labbé, 2011; Spencer Zamora, 2013)</w:t>
      </w:r>
      <w:r w:rsidR="004F1080">
        <w:rPr>
          <w:rFonts w:ascii="Times New Roman" w:hAnsi="Times New Roman" w:cs="Times New Roman"/>
          <w:lang w:val="es-CL"/>
        </w:rPr>
        <w:fldChar w:fldCharType="end"/>
      </w:r>
      <w:r w:rsidRPr="00C36520">
        <w:rPr>
          <w:rFonts w:ascii="Times New Roman" w:hAnsi="Times New Roman" w:cs="Times New Roman"/>
          <w:lang w:val="es-CL"/>
        </w:rPr>
        <w:t>, y cuando han atendido a la dimensión territorial lo han hecho de forma acotada, sin construir el “paisaje” o “andamiaje” completo de fondos como unidad de análisis</w:t>
      </w:r>
      <w:r w:rsidR="004F1080">
        <w:rPr>
          <w:rFonts w:ascii="Times New Roman" w:hAnsi="Times New Roman" w:cs="Times New Roman"/>
          <w:lang w:val="es-CL"/>
        </w:rPr>
        <w:t xml:space="preserve"> </w:t>
      </w:r>
      <w:r w:rsidR="004F1080">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{"citationItems":[{"id":"ITEM-1","itemData":{"author":[{"dropping-particle":"","family":"Arias Yurisch","given":"Karina","non-dropping-particle":"","parse-names":false,"suffix":""},{"dropping-particle":"","family":"Gálvez Gómez","given":"Cristina","non-dropping-particle":"","parse-names":false,"suffix":""}],"id":"ITEM-1","issued":{"date-parts":[["2010"]]},"publisher":"Tesis para optar al grado de Magíster en Gestión Cultural. Universidad de Chile","title":"Política pública cultural en Chile: Revisión de las intervenciones del estado en el campo cultural en el siglo XX","type":"thesis"},"uris":["http://www.mendeley.com/documents/?uuid=c319fd1f-b544-4899-b35c-60961ce3a929"]},{"id":"ITEM-2","itemData":{"author":[{"dropping-particle":"","family":"Cancino Salas","given":"Ronald","non-dropping-particle":"","parse-names":false,"suffix":""},{"dropping-particle":"","family":"Ortega Caro","given":"Cristian","non-dropping-particle":"","parse-names":false,"suffix":""},{"dropping-particle":"","family":"Bustos Velásquez","given":"Felipe","non-dropping-particle":"","parse-names":false,"suffix":""}],"container-title":"Revista Mexicana de Sociología","id":"ITEM-2","issued":{"date-parts":[["2005"]]},"page":"135-173","title":"Giros socio-territoriales en políticas de ciencia y tecnología en Chile","type":"article-journal"},"uris":["http://www.mendeley.com/documents/?uuid=80b5a8d1-04f4-41f4-b833-8950a245f77e"]},{"id":"ITEM-3","itemData":{"author":[{"dropping-particle":"","family":"Menéndez","given":"María José","non-dropping-particle":"","parse-names":false,"suffix":""},{"dropping-particle":"","family":"Villarroel","given":"Katherine","non-dropping-particle":"","parse-names":false,"suffix":""}],"id":"ITEM-3","issued":{"date-parts":[["2023"]]},"publisher":"Consejo Nacional de Ciencia, Tecnología, Conocimiento e Innovación para el Desarrollo","title":"Revisión de Marcos de Políticas Públicas de Conocimiento e Innovación","type":"book"},"uris":["http://www.mendeley.com/documents/?uuid=35875417-7699-4f3f-8f05-910076927825"]}],"mendeley":{"formattedCitation":"(Arias Yurisch &amp; Gálvez Gómez, 2010; Cancino Salas et al., 2005; Menéndez &amp; Villarroel, 2023)","plainTextFormattedCitation":"(Arias Yurisch &amp; Gálvez Gómez, 2010; Cancino Salas et al., 2005; Menéndez &amp; Villarroel, 2023)","previouslyFormattedCitation":"(Arias Yurisch &amp; Gálvez Gómez, 2010; Cancino Salas et al., 2005; Menéndez &amp; Villarroel, 2023)"},"properties":{"noteIndex":0},"schema":"https://github.com/citation-style-language/schema/raw/master/csl-citation.json"}</w:instrText>
      </w:r>
      <w:r w:rsidR="004F1080">
        <w:rPr>
          <w:rFonts w:ascii="Times New Roman" w:hAnsi="Times New Roman" w:cs="Times New Roman"/>
          <w:lang w:val="es-CL"/>
        </w:rPr>
        <w:fldChar w:fldCharType="separate"/>
      </w:r>
      <w:r w:rsidR="004F1080" w:rsidRPr="004F1080">
        <w:rPr>
          <w:rFonts w:ascii="Times New Roman" w:hAnsi="Times New Roman" w:cs="Times New Roman"/>
          <w:noProof/>
          <w:lang w:val="es-CL"/>
        </w:rPr>
        <w:t>(Arias Yurisch &amp; Gálvez Gómez, 2010; Cancino Salas et al., 2005; Menéndez &amp; Villarroel, 2023)</w:t>
      </w:r>
      <w:r w:rsidR="004F1080">
        <w:rPr>
          <w:rFonts w:ascii="Times New Roman" w:hAnsi="Times New Roman" w:cs="Times New Roman"/>
          <w:lang w:val="es-CL"/>
        </w:rPr>
        <w:fldChar w:fldCharType="end"/>
      </w:r>
      <w:r w:rsidRPr="00C36520">
        <w:rPr>
          <w:rFonts w:ascii="Times New Roman" w:hAnsi="Times New Roman" w:cs="Times New Roman"/>
          <w:lang w:val="es-CL"/>
        </w:rPr>
        <w:t xml:space="preserve">. A ello se suma una separación disciplinar naturalizada entre política científica y política artístico-cultural, pese a que sus instrumentos, sus lógicas de asignación y buena parte de sus públicos destinatarios son notablemente similares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author":[{"dropping-particle":"","family":"Bouterse","given":"Jeroen","non-dropping-particle":"","parse-names":false,"suffix":""},{"dropping-particle":"","family":"Karstens","given":"Bart","non-dropping-particle":"","parse-names":false,"suffix":""}],"container-title":"Isis","id":"ITEM-1","issue":"2","issued":{"date-parts":[["2015"]]},"page":"341-352","title":"A Diversity of Divisions: Tracing the History of the Demarcation between the Sciences and the Humanities","type":"article-journal","volume":"106"},"uris":["http://www.mendeley.com/documents/?uuid=7abc7dd5-ea64-470b-8a7f-5a50bafe2f35"]}],"mendeley":{"formattedCitation":"(Bouterse &amp; Karstens, 2015)","plainTextFormattedCitation":"(Bouterse &amp; Karstens, 2015)","previouslyFormattedCitation":"(Bouterse &amp; Karstens, 2015)"},"properties":{"noteIndex":0},"schema":"https://github.com/citation-style-language/schema/raw/master/csl-citation.json"}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(Bouterse &amp; Karstens, 2015)</w:t>
      </w:r>
      <w:r w:rsidR="00C91BC4">
        <w:rPr>
          <w:rFonts w:ascii="Times New Roman" w:hAnsi="Times New Roman" w:cs="Times New Roman"/>
          <w:lang w:val="es-CL"/>
        </w:rPr>
        <w:fldChar w:fldCharType="end"/>
      </w:r>
      <w:r w:rsidRPr="00C36520">
        <w:rPr>
          <w:rFonts w:ascii="Times New Roman" w:hAnsi="Times New Roman" w:cs="Times New Roman"/>
          <w:lang w:val="es-CL"/>
        </w:rPr>
        <w:t>.</w:t>
      </w:r>
    </w:p>
    <w:p w14:paraId="4576FFF4" w14:textId="143E35CC"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Este último punto </w:t>
      </w:r>
      <w:r w:rsidR="00C91BC4">
        <w:rPr>
          <w:rFonts w:ascii="Times New Roman" w:hAnsi="Times New Roman" w:cs="Times New Roman"/>
          <w:lang w:val="es-CL"/>
        </w:rPr>
        <w:t>involucra a un tipo de actor específico, que en el caso chileno cobra un protagonismo especial: las universidades.</w:t>
      </w:r>
      <w:r w:rsidRPr="00C36520">
        <w:rPr>
          <w:rFonts w:ascii="Times New Roman" w:hAnsi="Times New Roman" w:cs="Times New Roman"/>
          <w:lang w:val="es-CL"/>
        </w:rPr>
        <w:t xml:space="preserve"> En Chile, las universidades producen cerca del 80% de los resultados de investigación científica y son, simultáneamente, actores clave de los ecosistemas artísticos y culturales de los territorios donde se sitúan. Ellas albergan facultades de arte, salas de teatro, orquestas, editoriales, museos, festivales y programas de extensión que compiten por los mismos fondos que sus departamentos científicos, muchas veces con las mismas unidades de apoyo administrativo. Más de cincuenta universidades distribuidas en dieciséis regiones reciben recursos de al menos una decena de instituciones públicas distintas. Las universidades constituyen, por tanto, un punto de observación privilegiado</w:t>
      </w:r>
      <w:r w:rsidR="00C91BC4">
        <w:rPr>
          <w:rFonts w:ascii="Times New Roman" w:hAnsi="Times New Roman" w:cs="Times New Roman"/>
          <w:lang w:val="es-CL"/>
        </w:rPr>
        <w:t>. S</w:t>
      </w:r>
      <w:r w:rsidRPr="00C36520">
        <w:rPr>
          <w:rFonts w:ascii="Times New Roman" w:hAnsi="Times New Roman" w:cs="Times New Roman"/>
          <w:lang w:val="es-CL"/>
        </w:rPr>
        <w:t>on el lugar donde la combinación de instrumentos</w:t>
      </w:r>
      <w:r w:rsidR="00C91BC4">
        <w:rPr>
          <w:rFonts w:ascii="Times New Roman" w:hAnsi="Times New Roman" w:cs="Times New Roman"/>
          <w:lang w:val="es-CL"/>
        </w:rPr>
        <w:t xml:space="preserve"> </w:t>
      </w:r>
      <w:r w:rsidRPr="00C36520">
        <w:rPr>
          <w:rFonts w:ascii="Times New Roman" w:hAnsi="Times New Roman" w:cs="Times New Roman"/>
          <w:lang w:val="es-CL"/>
        </w:rPr>
        <w:t>diseñados por agencias distintas, con temporalidades, criterios territoriales y expectativas divergentes se experimenta simultáneamente, se vuelve tangible y produce sus efectos emergentes sobre el quehacer cotidiano de la producción de conocimiento y la creación artística.</w:t>
      </w:r>
    </w:p>
    <w:p w14:paraId="01462071" w14:textId="2000933E" w:rsidR="00C36520" w:rsidRPr="00C36520" w:rsidRDefault="00C91BC4" w:rsidP="00C36520">
      <w:pPr>
        <w:spacing w:line="240" w:lineRule="auto"/>
        <w:jc w:val="both"/>
        <w:rPr>
          <w:rFonts w:ascii="Times New Roman" w:hAnsi="Times New Roman" w:cs="Times New Roman"/>
          <w:lang w:val="es-CL"/>
        </w:rPr>
      </w:pPr>
      <w:r>
        <w:rPr>
          <w:rFonts w:ascii="Times New Roman" w:hAnsi="Times New Roman" w:cs="Times New Roman"/>
          <w:lang w:val="es-CL"/>
        </w:rPr>
        <w:t xml:space="preserve">La investigación se pregunta, entonces, </w:t>
      </w:r>
      <w:r w:rsidR="00C36520" w:rsidRPr="00C36520">
        <w:rPr>
          <w:rFonts w:ascii="Times New Roman" w:hAnsi="Times New Roman" w:cs="Times New Roman"/>
          <w:lang w:val="es-CL"/>
        </w:rPr>
        <w:t xml:space="preserve">cómo operan los </w:t>
      </w:r>
      <w:r w:rsidR="00C36520" w:rsidRPr="00C91BC4">
        <w:rPr>
          <w:rFonts w:ascii="Times New Roman" w:hAnsi="Times New Roman" w:cs="Times New Roman"/>
          <w:i/>
          <w:iCs/>
          <w:lang w:val="es-CL"/>
        </w:rPr>
        <w:t>policy mixes</w:t>
      </w:r>
      <w:r w:rsidR="00C36520" w:rsidRPr="00C36520">
        <w:rPr>
          <w:rFonts w:ascii="Times New Roman" w:hAnsi="Times New Roman" w:cs="Times New Roman"/>
          <w:lang w:val="es-CL"/>
        </w:rPr>
        <w:t xml:space="preserve"> para el financiamiento concursable de ciencias, artes y cultura en Chile en tanto fenómenos emergentes territorializados</w:t>
      </w:r>
      <w:r>
        <w:rPr>
          <w:rFonts w:ascii="Times New Roman" w:hAnsi="Times New Roman" w:cs="Times New Roman"/>
          <w:lang w:val="es-CL"/>
        </w:rPr>
        <w:t>.</w:t>
      </w:r>
      <w:r w:rsidR="00C36520" w:rsidRPr="00C36520">
        <w:rPr>
          <w:rFonts w:ascii="Times New Roman" w:hAnsi="Times New Roman" w:cs="Times New Roman"/>
          <w:lang w:val="es-CL"/>
        </w:rPr>
        <w:t xml:space="preserve"> Su objetivo general es comprender esa operación para el periodo 2010-2027, desagregado en cuatro objetivos específicos: (i) describir la evolución de los policy mixes en ese periodo; (</w:t>
      </w:r>
      <w:proofErr w:type="spellStart"/>
      <w:r w:rsidR="00C36520" w:rsidRPr="00C36520">
        <w:rPr>
          <w:rFonts w:ascii="Times New Roman" w:hAnsi="Times New Roman" w:cs="Times New Roman"/>
          <w:lang w:val="es-CL"/>
        </w:rPr>
        <w:t>ii</w:t>
      </w:r>
      <w:proofErr w:type="spellEnd"/>
      <w:r w:rsidR="00C36520" w:rsidRPr="00C36520">
        <w:rPr>
          <w:rFonts w:ascii="Times New Roman" w:hAnsi="Times New Roman" w:cs="Times New Roman"/>
          <w:lang w:val="es-CL"/>
        </w:rPr>
        <w:t>) caracterizar las perspectivas de tipologías relevantes de actores clave de los sistemas científico y artístico-cultural sobre su operación (2025-2027); (</w:t>
      </w:r>
      <w:proofErr w:type="spellStart"/>
      <w:r w:rsidR="00C36520" w:rsidRPr="00C36520">
        <w:rPr>
          <w:rFonts w:ascii="Times New Roman" w:hAnsi="Times New Roman" w:cs="Times New Roman"/>
          <w:lang w:val="es-CL"/>
        </w:rPr>
        <w:t>iii</w:t>
      </w:r>
      <w:proofErr w:type="spellEnd"/>
      <w:r w:rsidR="00C36520" w:rsidRPr="00C36520">
        <w:rPr>
          <w:rFonts w:ascii="Times New Roman" w:hAnsi="Times New Roman" w:cs="Times New Roman"/>
          <w:lang w:val="es-CL"/>
        </w:rPr>
        <w:t>) caracterizar las semánticas territoriales presentes en dichos policy mixes; y (</w:t>
      </w:r>
      <w:proofErr w:type="spellStart"/>
      <w:r w:rsidR="00C36520" w:rsidRPr="00C36520">
        <w:rPr>
          <w:rFonts w:ascii="Times New Roman" w:hAnsi="Times New Roman" w:cs="Times New Roman"/>
          <w:lang w:val="es-CL"/>
        </w:rPr>
        <w:t>iv</w:t>
      </w:r>
      <w:proofErr w:type="spellEnd"/>
      <w:r w:rsidR="00C36520" w:rsidRPr="00C36520">
        <w:rPr>
          <w:rFonts w:ascii="Times New Roman" w:hAnsi="Times New Roman" w:cs="Times New Roman"/>
          <w:lang w:val="es-CL"/>
        </w:rPr>
        <w:t>) caracterizar las representaciones en prensa digital de sus operaciones territoriales.</w:t>
      </w:r>
    </w:p>
    <w:p w14:paraId="13C27DE8" w14:textId="3AC9E832" w:rsidR="00BA642E" w:rsidRPr="00B552A3"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Esta ponencia desarrolla los argumentos que sostienen esa formulación. Presenta primero la territorialidad constitutiva de las políticas públicas; luego la noción de policy mix y su rendimiento analítico; a continuación, el argumento por la unidad analítica de ciencias, artes y cultura; después las particularidades del caso chileno; luego una sección dedicada </w:t>
      </w:r>
      <w:r w:rsidRPr="00C36520">
        <w:rPr>
          <w:rFonts w:ascii="Times New Roman" w:hAnsi="Times New Roman" w:cs="Times New Roman"/>
          <w:lang w:val="es-CL"/>
        </w:rPr>
        <w:lastRenderedPageBreak/>
        <w:t xml:space="preserve">a las universidades como escenario de observación; posteriormente las </w:t>
      </w:r>
      <w:r w:rsidR="00C91BC4">
        <w:rPr>
          <w:rFonts w:ascii="Times New Roman" w:hAnsi="Times New Roman" w:cs="Times New Roman"/>
          <w:lang w:val="es-CL"/>
        </w:rPr>
        <w:t>herramientas</w:t>
      </w:r>
      <w:r w:rsidRPr="00C36520">
        <w:rPr>
          <w:rFonts w:ascii="Times New Roman" w:hAnsi="Times New Roman" w:cs="Times New Roman"/>
          <w:lang w:val="es-CL"/>
        </w:rPr>
        <w:t xml:space="preserve"> teóricas que permiten tratar el territorio como distinción y no como superficie; y finalmente la estrategia metodológica, sus limitaciones y sus implicancias éticas.</w:t>
      </w:r>
    </w:p>
    <w:p w14:paraId="2FD138AD" w14:textId="65FB0755" w:rsidR="005F3B2E" w:rsidRPr="00B552A3" w:rsidRDefault="005F3B2E" w:rsidP="007B5B5F">
      <w:pPr>
        <w:spacing w:line="240" w:lineRule="auto"/>
        <w:rPr>
          <w:rFonts w:ascii="Times New Roman" w:hAnsi="Times New Roman" w:cs="Times New Roman"/>
          <w:b/>
          <w:bCs/>
          <w:lang w:val="es-CL"/>
        </w:rPr>
      </w:pPr>
      <w:r w:rsidRPr="00B552A3">
        <w:rPr>
          <w:rFonts w:ascii="Times New Roman" w:hAnsi="Times New Roman" w:cs="Times New Roman"/>
          <w:b/>
          <w:bCs/>
          <w:lang w:val="es-CL"/>
        </w:rPr>
        <w:t>Desarrollo</w:t>
      </w:r>
    </w:p>
    <w:p w14:paraId="5213F9A3" w14:textId="77777777" w:rsidR="00C36520" w:rsidRPr="00C91BC4" w:rsidRDefault="00C36520" w:rsidP="00C36520">
      <w:pPr>
        <w:spacing w:line="240" w:lineRule="auto"/>
        <w:rPr>
          <w:rFonts w:ascii="Times New Roman" w:hAnsi="Times New Roman" w:cs="Times New Roman"/>
          <w:b/>
          <w:bCs/>
          <w:lang w:val="es-CL"/>
        </w:rPr>
      </w:pPr>
      <w:r w:rsidRPr="00C91BC4">
        <w:rPr>
          <w:rFonts w:ascii="Times New Roman" w:hAnsi="Times New Roman" w:cs="Times New Roman"/>
          <w:b/>
          <w:bCs/>
          <w:lang w:val="es-CL"/>
        </w:rPr>
        <w:t>Las políticas públicas como fenómenos territoriales</w:t>
      </w:r>
    </w:p>
    <w:p w14:paraId="635CD54E" w14:textId="0D46B371"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En un horizonte comunicativo global en constante ampliación, los estados modernos persisten como fenómenos sociales particularmente territorializados. Algunas tradiciones de las ciencias sociales han definido a los estados precisamente como organizaciones “delimitada[s] a través de confines territoriales”</w:t>
      </w:r>
      <w:r w:rsidR="00C91BC4">
        <w:rPr>
          <w:rFonts w:ascii="Times New Roman" w:hAnsi="Times New Roman" w:cs="Times New Roman"/>
          <w:lang w:val="es-CL"/>
        </w:rPr>
        <w:t xml:space="preserve">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author":[{"dropping-particle":"","family":"Corsi","given":"Giancarlo","non-dropping-particle":"","parse-names":false,"suffix":""},{"dropping-particle":"","family":"Esposito","given":"Elena","non-dropping-particle":"","parse-names":false,"suffix":""},{"dropping-particle":"","family":"Baraldi","given":"Claudio","non-dropping-particle":"","parse-names":false,"suffix":""}],"id":"ITEM-1","issued":{"date-parts":[["1996"]]},"publisher":"Universidad Iberoamericana - ITESO - Anthopos","title":"Glosario sobre la teoría social de Niklas Luhmann","type":"book"},"locator":"130","uris":["http://www.mendeley.com/documents/?uuid=8458b59e-4140-4a92-825b-c68b358b4861"]}],"mendeley":{"formattedCitation":"(Corsi et al., 1996, p. 130)","plainTextFormattedCitation":"(Corsi et al., 1996, p. 130)","previouslyFormattedCitation":"(Corsi et al., 1996, p. 130)"},"properties":{"noteIndex":0},"schema":"https://github.com/citation-style-language/schema/raw/master/csl-citation.json"}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(Corsi et al., 1996, p. 130)</w:t>
      </w:r>
      <w:r w:rsidR="00C91BC4">
        <w:rPr>
          <w:rFonts w:ascii="Times New Roman" w:hAnsi="Times New Roman" w:cs="Times New Roman"/>
          <w:lang w:val="es-CL"/>
        </w:rPr>
        <w:fldChar w:fldCharType="end"/>
      </w:r>
      <w:r w:rsidRPr="00C36520">
        <w:rPr>
          <w:rFonts w:ascii="Times New Roman" w:hAnsi="Times New Roman" w:cs="Times New Roman"/>
          <w:lang w:val="es-CL"/>
        </w:rPr>
        <w:t>. En tanto confinados territorialmente, la agencia de los estados sobre sus entornos opera igualmente confinada, y esa territorialidad inherente se manifiesta en su principal expresión: las políticas públicas</w:t>
      </w:r>
      <w:r w:rsidR="00C91BC4">
        <w:rPr>
          <w:rFonts w:ascii="Times New Roman" w:hAnsi="Times New Roman" w:cs="Times New Roman"/>
          <w:lang w:val="es-CL"/>
        </w:rPr>
        <w:t xml:space="preserve"> </w:t>
      </w:r>
      <w:r w:rsidR="00C91BC4">
        <w:rPr>
          <w:rFonts w:ascii="Times New Roman" w:hAnsi="Times New Roman" w:cs="Times New Roman"/>
          <w:lang w:val="es-CL"/>
        </w:rPr>
        <w:fldChar w:fldCharType="begin" w:fldLock="1"/>
      </w:r>
      <w:r w:rsidR="009F5C98">
        <w:rPr>
          <w:rFonts w:ascii="Times New Roman" w:hAnsi="Times New Roman" w:cs="Times New Roman"/>
          <w:lang w:val="es-CL"/>
        </w:rPr>
        <w:instrText>ADDIN CSL_CITATION {"citationItems":[{"id":"ITEM-1","itemData":{"ISBN":"9781626239777","author":[{"dropping-particle":"","family":"Luhmann","given":"Niklas","non-dropping-particle":"","parse-names":false,"suffix":""}],"id":"ITEM-1","issued":{"date-parts":[["2007"]]},"publisher":"Herder-Universidad Iberoamericana","publisher-place":"Ciudad de México","title":"La sociedad de la sociedad","type":"book"},"uris":["http://www.mendeley.com/documents/?uuid=af366d01-0d19-4c13-8356-03325fdac6b0"]}],"mendeley":{"formattedCitation":"(Luhmann, 2007b)","plainTextFormattedCitation":"(Luhmann, 2007b)","previouslyFormattedCitation":"(Luhmann, 2007b)"},"properties":{"noteIndex":0},"schema":"https://github.com/citation-style-language/schema/raw/master/csl-citation.json"}</w:instrText>
      </w:r>
      <w:r w:rsidR="00C91BC4">
        <w:rPr>
          <w:rFonts w:ascii="Times New Roman" w:hAnsi="Times New Roman" w:cs="Times New Roman"/>
          <w:lang w:val="es-CL"/>
        </w:rPr>
        <w:fldChar w:fldCharType="separate"/>
      </w:r>
      <w:r w:rsidR="00D33B90" w:rsidRPr="00D33B90">
        <w:rPr>
          <w:rFonts w:ascii="Times New Roman" w:hAnsi="Times New Roman" w:cs="Times New Roman"/>
          <w:noProof/>
          <w:lang w:val="es-CL"/>
        </w:rPr>
        <w:t>(Luhmann, 2007b)</w:t>
      </w:r>
      <w:r w:rsidR="00C91BC4">
        <w:rPr>
          <w:rFonts w:ascii="Times New Roman" w:hAnsi="Times New Roman" w:cs="Times New Roman"/>
          <w:lang w:val="es-CL"/>
        </w:rPr>
        <w:fldChar w:fldCharType="end"/>
      </w:r>
      <w:r w:rsidRPr="00C36520">
        <w:rPr>
          <w:rFonts w:ascii="Times New Roman" w:hAnsi="Times New Roman" w:cs="Times New Roman"/>
          <w:lang w:val="es-CL"/>
        </w:rPr>
        <w:t>.</w:t>
      </w:r>
    </w:p>
    <w:p w14:paraId="7B6FEB2C" w14:textId="69245801"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La geografía ha reconocido, desde otra vereda, que las políticas públicas emergen necesariamente como formaciones socioespaciales cuya capacidad operativa se ancla en límites jurisdiccionales, divisiones administrativas e infraestructuras espaciales de gobernanza producidas por los propios estados. Pero las políticas no sólo se apoyan en un territorio previo: intervienen en dinámicas territoriales, participando materialmente de la producción social del espacio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{"citationItems":[{"id":"ITEM-1","itemData":{"author":[{"dropping-particle":"","family":"Lefebvre","given":"Henri","non-dropping-particle":"","parse-names":false,"suffix":""}],"id":"ITEM-1","issued":{"date-parts":[["2013"]]},"publisher":"Capitán Swing","title":"La producción del espacio","type":"book"},"uris":["http://www.mendeley.com/documents/?uuid=126c6703-51d5-43f5-8959-264df1496821"]}],"mendeley":{"formattedCitation":"(Lefebvre, 2013)","plainTextFormattedCitation":"(Lefebvre, 2013)","previouslyFormattedCitation":"(Lefebvre, 2013)"},"properties":{"noteIndex":0},"schema":"https://github.com/citation-style-language/schema/raw/master/csl-citation.json"}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(Lefebvre, 2013)</w:t>
      </w:r>
      <w:r w:rsidR="00C91BC4">
        <w:rPr>
          <w:rFonts w:ascii="Times New Roman" w:hAnsi="Times New Roman" w:cs="Times New Roman"/>
          <w:lang w:val="es-CL"/>
        </w:rPr>
        <w:fldChar w:fldCharType="end"/>
      </w:r>
      <w:r w:rsidRPr="00C36520">
        <w:rPr>
          <w:rFonts w:ascii="Times New Roman" w:hAnsi="Times New Roman" w:cs="Times New Roman"/>
          <w:lang w:val="es-CL"/>
        </w:rPr>
        <w:t xml:space="preserve"> a través de estructuras de poder institucional que distribuyen recursos, crean infraestructuras, habilitan o restringen movimientos y generan concentraciones o dispersiones de actividades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{"citationItems":[{"id":"ITEM-1","itemData":{"editor":[{"dropping-particle":"","family":"Santos","given":"Milton","non-dropping-particle":"","parse-names":false,"suffix":""},{"dropping-particle":"","family":"Becker","given":"Bertha K.","non-dropping-particle":"","parse-names":false,"suffix":""}],"id":"ITEM-1","issued":{"date-parts":[["2006"]]},"publisher":"Lamparina Editora","title":"Território, territórios. Ensaios sobre o ordenamento territorial","type":"book"},"uris":["http://www.mendeley.com/documents/?uuid=acf98e53-f3d8-4a4b-93a8-861606f28b2e"]},{"id":"ITEM-2","itemData":{"author":[{"dropping-particle":"","family":"Swyngedouw","given":"Erik A.","non-dropping-particle":"","parse-names":false,"suffix":""}],"container-title":"Transactions of the Institute of British Geographers","id":"ITEM-2","issue":"4","issued":{"date-parts":[["1992"]]},"page":"417-433","title":"Territorial Organization and the Space/Technology Nexus","type":"article-journal","volume":"17"},"uris":["http://www.mendeley.com/documents/?uuid=470bdb22-47fa-4933-906f-b32c30999c50"]}],"mendeley":{"formattedCitation":"(Santos &amp; Becker, 2006; Swyngedouw, 1992)","plainTextFormattedCitation":"(Santos &amp; Becker, 2006; Swyngedouw, 1992)","previouslyFormattedCitation":"(Santos &amp; Becker, 2006; Swyngedouw, 1992)"},"properties":{"noteIndex":0},"schema":"https://github.com/citation-style-language/schema/raw/master/csl-citation.json"}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(Santos &amp; Becker, 2006; Swyngedouw, 1992)</w:t>
      </w:r>
      <w:r w:rsidR="00C91BC4">
        <w:rPr>
          <w:rFonts w:ascii="Times New Roman" w:hAnsi="Times New Roman" w:cs="Times New Roman"/>
          <w:lang w:val="es-CL"/>
        </w:rPr>
        <w:fldChar w:fldCharType="end"/>
      </w:r>
      <w:r w:rsidRPr="00C36520">
        <w:rPr>
          <w:rFonts w:ascii="Times New Roman" w:hAnsi="Times New Roman" w:cs="Times New Roman"/>
          <w:lang w:val="es-CL"/>
        </w:rPr>
        <w:t xml:space="preserve">. </w:t>
      </w:r>
      <w:r w:rsidR="00C91BC4">
        <w:rPr>
          <w:rFonts w:ascii="Times New Roman" w:hAnsi="Times New Roman" w:cs="Times New Roman"/>
          <w:lang w:val="es-CL"/>
        </w:rPr>
        <w:t>Así, podemos reconocer que u</w:t>
      </w:r>
      <w:r w:rsidRPr="00C36520">
        <w:rPr>
          <w:rFonts w:ascii="Times New Roman" w:hAnsi="Times New Roman" w:cs="Times New Roman"/>
          <w:lang w:val="es-CL"/>
        </w:rPr>
        <w:t>n fondo concursable que exige domicilio regional, que premia la asociatividad con instituciones locales o que descuenta puntaje a postulantes metropolitanos no describe un territorio preexistente</w:t>
      </w:r>
      <w:r w:rsidR="00C91BC4">
        <w:rPr>
          <w:rFonts w:ascii="Times New Roman" w:hAnsi="Times New Roman" w:cs="Times New Roman"/>
          <w:lang w:val="es-CL"/>
        </w:rPr>
        <w:t>, sino que</w:t>
      </w:r>
      <w:r w:rsidRPr="00C36520">
        <w:rPr>
          <w:rFonts w:ascii="Times New Roman" w:hAnsi="Times New Roman" w:cs="Times New Roman"/>
          <w:lang w:val="es-CL"/>
        </w:rPr>
        <w:t xml:space="preserve"> contribuye a producirlo.</w:t>
      </w:r>
    </w:p>
    <w:p w14:paraId="0F9DEF06" w14:textId="4681668A"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Junto a esta dimensión material, las políticas movilizan también representaciones, narrativas, discursos e imaginarios geográficos, o “espacios concebidos”</w:t>
      </w:r>
      <w:r w:rsidR="00C91BC4">
        <w:rPr>
          <w:rFonts w:ascii="Times New Roman" w:hAnsi="Times New Roman" w:cs="Times New Roman"/>
          <w:lang w:val="es-CL"/>
        </w:rPr>
        <w:t xml:space="preserve">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{"citationItems":[{"id":"ITEM-1","itemData":{"DOI":"10.5354/0718-0527.2016.42795","ISSN":"07180527","abstract":"The study of public policy has been addressed mainly from technical and theoretical perspectives that paid special attention to the results and processes under which they are designed. This paper analyzes how the State constructs its social problems on the basis of semantic formulations that condense orientations and meanings originated in multiple social spheres. The approach is developed through the analysis of the Chilean case of housing policy. Results indicate that four periods can be identified, each representing substantive changes in the State construction of the housing problems: from dwelling place to house, from the semantics of deficit to the juridification of housing, from juridification to the economic semantics, and finally, to the semantics of social inclusion through housing. The methodological strategy bases on the revision of acts and laws, which condenses and legitimates decision-making processes that shape public policy.","author":[{"dropping-particle":"","family":"Azocar","given":"Gabriela","non-dropping-particle":"","parse-names":false,"suffix":""}],"container-title":"Revista Mad","id":"ITEM-1","issue":"35","issued":{"date-parts":[["2016"]]},"page":"15-37","title":"La construcción semántica de problemas sociales en la política pública. El caso de la política de vivienda en Chile","type":"article-journal","volume":"35"},"uris":["http://www.mendeley.com/documents/?uuid=71993efd-fe42-41a3-b802-91e1af72c262"]},{"id":"ITEM-2","itemData":{"author":[{"dropping-particle":"","family":"Healey","given":"Patsy","non-dropping-particle":"","parse-names":false,"suffix":""}],"container-title":"International Journal of Urban and Regional Research","id":"ITEM-2","issue":"1","issued":{"date-parts":[["2004"]]},"page":"45-67","title":"The Treatment of Space and Place in the New Strategic Spatial Planning in Europe","type":"article-journal","volume":"28"},"uris":["http://www.mendeley.com/documents/?uuid=3367ed78-03d1-4c19-a7c4-6b4b9cde4887"]},{"id":"ITEM-3","itemData":{"author":[{"dropping-particle":"","family":"Lefebvre","given":"Henri","non-dropping-particle":"","parse-names":false,"suffix":""}],"id":"ITEM-3","issued":{"date-parts":[["2013"]]},"publisher":"Capitán Swing","title":"La producción del espacio","type":"book"},"uris":["http://www.mendeley.com/documents/?uuid=126c6703-51d5-43f5-8959-264df1496821"]},{"id":"ITEM-4","itemData":{"author":[{"dropping-particle":"","family":"Núñez González","given":"Andrés","non-dropping-particle":"","parse-names":false,"suffix":""},{"dropping-particle":"","family":"Aliste Almuna","given":"Enrique","non-dropping-particle":"","parse-names":false,"suffix":""},{"dropping-particle":"","family":"Bello Maldonado","given":"Alvaro","non-dropping-particle":"","parse-names":false,"suffix":""}],"container-title":"Iztapalapa. Revista de ciencias sociales y humanidades","id":"ITEM-4","issued":{"date-parts":[["2014"]]},"page":"165-188","title":"Patagonia-Aysén en la construcción del imaginario geográfico de la nación","type":"article-journal","volume":"75"},"uris":["http://www.mendeley.com/documents/?uuid=ea538787-6790-477e-9bc0-f08e45013c36"]}],"mendeley":{"formattedCitation":"(Azocar, 2016; Healey, 2004; Lefebvre, 2013; Núñez González et al., 2014)","plainTextFormattedCitation":"(Azocar, 2016; Healey, 2004; Lefebvre, 2013; Núñez González et al., 2014)","previouslyFormattedCitation":"(Azocar, 2016; Healey, 2004; Lefebvre, 2013; Núñez González et al., 2014)"},"properties":{"noteIndex":0},"schema":"https://github.com/citation-style-language/schema/raw/master/csl-citation.json"}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(Azocar, 2016; Healey, 2004; Lefebvre, 2013; Núñez González et al., 2014)</w:t>
      </w:r>
      <w:r w:rsidR="00C91BC4">
        <w:rPr>
          <w:rFonts w:ascii="Times New Roman" w:hAnsi="Times New Roman" w:cs="Times New Roman"/>
          <w:lang w:val="es-CL"/>
        </w:rPr>
        <w:fldChar w:fldCharType="end"/>
      </w:r>
      <w:r w:rsidRPr="00C36520">
        <w:rPr>
          <w:rFonts w:ascii="Times New Roman" w:hAnsi="Times New Roman" w:cs="Times New Roman"/>
          <w:lang w:val="es-CL"/>
        </w:rPr>
        <w:t xml:space="preserve"> en sus procesos de diseño, operación y evolución. Estas semánticas pueden ser explícitas, como ocurre en los paradigmas de políticas orientadas deliberadamente a dinámicas espaciales </w:t>
      </w:r>
      <w:r w:rsidR="00C91BC4">
        <w:rPr>
          <w:rFonts w:ascii="Times New Roman" w:hAnsi="Times New Roman" w:cs="Times New Roman"/>
          <w:lang w:val="es-CL"/>
        </w:rPr>
        <w:t>(</w:t>
      </w:r>
      <w:r w:rsidRPr="00C36520">
        <w:rPr>
          <w:rFonts w:ascii="Times New Roman" w:hAnsi="Times New Roman" w:cs="Times New Roman"/>
          <w:lang w:val="es-CL"/>
        </w:rPr>
        <w:t xml:space="preserve">las </w:t>
      </w:r>
      <w:proofErr w:type="spellStart"/>
      <w:r w:rsidRPr="00C91BC4">
        <w:rPr>
          <w:rFonts w:ascii="Times New Roman" w:hAnsi="Times New Roman" w:cs="Times New Roman"/>
          <w:i/>
          <w:iCs/>
          <w:lang w:val="es-CL"/>
        </w:rPr>
        <w:t>space-based</w:t>
      </w:r>
      <w:proofErr w:type="spellEnd"/>
      <w:r w:rsidRPr="00C36520">
        <w:rPr>
          <w:rFonts w:ascii="Times New Roman" w:hAnsi="Times New Roman" w:cs="Times New Roman"/>
          <w:lang w:val="es-CL"/>
        </w:rPr>
        <w:t xml:space="preserve"> o </w:t>
      </w:r>
      <w:r w:rsidRPr="00C91BC4">
        <w:rPr>
          <w:rFonts w:ascii="Times New Roman" w:hAnsi="Times New Roman" w:cs="Times New Roman"/>
          <w:i/>
          <w:iCs/>
          <w:lang w:val="es-CL"/>
        </w:rPr>
        <w:t>place-</w:t>
      </w:r>
      <w:proofErr w:type="spellStart"/>
      <w:r w:rsidRPr="00C91BC4">
        <w:rPr>
          <w:rFonts w:ascii="Times New Roman" w:hAnsi="Times New Roman" w:cs="Times New Roman"/>
          <w:i/>
          <w:iCs/>
          <w:lang w:val="es-CL"/>
        </w:rPr>
        <w:t>based</w:t>
      </w:r>
      <w:proofErr w:type="spellEnd"/>
      <w:r w:rsidRPr="00C91BC4">
        <w:rPr>
          <w:rFonts w:ascii="Times New Roman" w:hAnsi="Times New Roman" w:cs="Times New Roman"/>
          <w:i/>
          <w:iCs/>
          <w:lang w:val="es-CL"/>
        </w:rPr>
        <w:t xml:space="preserve"> </w:t>
      </w:r>
      <w:proofErr w:type="spellStart"/>
      <w:r w:rsidRPr="00C91BC4">
        <w:rPr>
          <w:rFonts w:ascii="Times New Roman" w:hAnsi="Times New Roman" w:cs="Times New Roman"/>
          <w:i/>
          <w:iCs/>
          <w:lang w:val="es-CL"/>
        </w:rPr>
        <w:t>policies</w:t>
      </w:r>
      <w:proofErr w:type="spellEnd"/>
      <w:r w:rsidRPr="00C36520">
        <w:rPr>
          <w:rFonts w:ascii="Times New Roman" w:hAnsi="Times New Roman" w:cs="Times New Roman"/>
          <w:lang w:val="es-CL"/>
        </w:rPr>
        <w:t xml:space="preserve">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DOI":"10.1111/1467-8500.12498","author":[{"dropping-particle":"","family":"Hart","given":"Aaron","non-dropping-particle":"","parse-names":false,"suffix":""},{"dropping-particle":"","family":"Connolly","given":"Julie","non-dropping-particle":"","parse-names":false,"suffix":""}],"container-title":"Australian Journal of Public Administration","id":"ITEM-1","issued":{"date-parts":[["2021"]]},"page":"1-18","title":"Commonwealth place-based policies for addressing geographically concentrated disadvantage: A typology and critical analysis","type":"article-journal"},"prefix":"las space-based o place-based policies, v.g. ","uris":["http://www.mendeley.com/documents/?uuid=553ec701-cd68-4b79-a2e3-0eb68693a34f"]},{"id":"ITEM-2","itemData":{"author":[{"dropping-particle":"","family":"Kramsch","given":"Olivier Thomas","non-dropping-particle":"","parse-names":false,"suffix":""}],"container-title":"Geopolítica(s)","id":"ITEM-2","issue":"2","issued":{"date-parts":[["2011"]]},"page":"185-207","title":"Negotiating the \"Spatial Turn\" in European Cross-Border Governance : Notes on a Research Agenda","type":"article-journal","volume":"2"},"uris":["http://www.mendeley.com/documents/?uuid=ac6dddeb-1460-420b-9342-7a183376c57b"]},{"id":"ITEM-3","itemData":{"ISBN":"9789264426849","author":[{"dropping-particle":"","family":"OECD","given":"","non-dropping-particle":"","parse-names":false,"suffix":""}],"collection-title":"OECD Regional Development Studies","id":"ITEM-3","issued":{"date-parts":[["2025"]]},"publisher":"OECD Publishing","title":"Place‑Based Policies for the Future","type":"report"},"uris":["http://www.mendeley.com/documents/?uuid=4e890209-6d74-4219-8b91-0e18fa994e70"]},{"id":"ITEM-4","itemData":{"DOI":"10.1080/0042098032000035491","author":[{"dropping-particle":"","family":"Richardson","given":"Tim","non-dropping-particle":"","parse-names":false,"suffix":""},{"dropping-particle":"","family":"Jensen","given":"Ole B.","non-dropping-particle":"","parse-names":false,"suffix":""}],"container-title":"Urban Studies","id":"ITEM-4","issue":"1","issued":{"date-parts":[["2003"]]},"page":"7-22","title":"Linking Discourse and Space: Towards a Cultural Sociology of Space in Analysing Spatial Policy Discourses","type":"article-journal","volume":"40"},"uris":["http://www.mendeley.com/documents/?uuid=3c7d4a8d-fad1-4c76-846e-bd0e167cfe47"]}],"mendeley":{"formattedCitation":"(las space-based o place-based policies, v.g. Hart &amp; Connolly, 2021; Kramsch, 2011; OECD, 2025; Richardson &amp; Jensen, 2003)","plainTextFormattedCitation":"(las space-based o place-based policies, v.g. Hart &amp; Connolly, 2021; Kramsch, 2011; OECD, 2025; Richardson &amp; Jensen, 2003)","previouslyFormattedCitation":"(las space-based o place-based policies, v.g. Hart &amp; Connolly, 2021; Kramsch, 2011; OECD, 2025; Richardson &amp; Jensen, 2003)"},"properties":{"noteIndex":0},"schema":"https://github.com/citation-style-language/schema/raw/master/csl-citation.json"}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(las space-based o place-based policies, v.g. Hart &amp; Connolly, 2021; Kramsch, 2011; OECD, 2025; Richardson &amp; Jensen, 2003)</w:t>
      </w:r>
      <w:r w:rsidR="00C91BC4">
        <w:rPr>
          <w:rFonts w:ascii="Times New Roman" w:hAnsi="Times New Roman" w:cs="Times New Roman"/>
          <w:lang w:val="es-CL"/>
        </w:rPr>
        <w:fldChar w:fldCharType="end"/>
      </w:r>
      <w:r w:rsidR="00C91BC4">
        <w:rPr>
          <w:rFonts w:ascii="Times New Roman" w:hAnsi="Times New Roman" w:cs="Times New Roman"/>
          <w:lang w:val="es-CL"/>
        </w:rPr>
        <w:t>,</w:t>
      </w:r>
      <w:r w:rsidRPr="00C36520">
        <w:rPr>
          <w:rFonts w:ascii="Times New Roman" w:hAnsi="Times New Roman" w:cs="Times New Roman"/>
          <w:lang w:val="es-CL"/>
        </w:rPr>
        <w:t xml:space="preserve"> pero también pueden ser implícitas. Aunque no se enuncien, el ejercicio fáctico del poder político requiere formular el territorio de una u otra forma para guiar la acción institucional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{"citationItems":[{"id":"ITEM-1","itemData":{"author":[{"dropping-particle":"","family":"MacLennan","given":"Barbara","non-dropping-particle":"","parse-names":false,"suffix":""}],"id":"ITEM-1","issued":{"date-parts":[["2021"]]},"publisher":"Graduate Theses, Dissertations and Problem Reports. 8230. West Virginia University","title":"Putting Policy in Its Place: Policy Enactment and Engagement Through a Multiscalar Policy-Shed Framework","type":"thesis"},"uris":["http://www.mendeley.com/documents/?uuid=a3d52049-ee05-4e7b-a72c-272605230c45"]},{"id":"ITEM-2","itemData":{"author":[{"dropping-particle":"","family":"Prince","given":"Russell","non-dropping-particle":"","parse-names":false,"suffix":""}],"container-title":"Handbook on the Changing Geographies of the State. New Spaces of Geopolitics","editor":[{"dropping-particle":"","family":"Moisio","given":"Sami","non-dropping-particle":"","parse-names":false,"suffix":""},{"dropping-particle":"","family":"Koch","given":"Natalie","non-dropping-particle":"","parse-names":false,"suffix":""},{"dropping-particle":"","family":"Jonas","given":"Andrew E.G.","non-dropping-particle":"","parse-names":false,"suffix":""},{"dropping-particle":"","family":"Lizotte","given":"Christopher","non-dropping-particle":"","parse-names":false,"suffix":""},{"dropping-particle":"","family":"Luukkonen","given":"Juho","non-dropping-particle":"","parse-names":false,"suffix":""}],"id":"ITEM-2","issued":{"date-parts":[["2020"]]},"page":"173-184","publisher":"Edward Elgar Publishing","title":"The geography of policy-making: mobile policy, territory and state space","type":"chapter"},"uris":["http://www.mendeley.com/documents/?uuid=863514b6-c4ff-49f3-8b19-bc5e26195709"]}],"mendeley":{"formattedCitation":"(MacLennan, 2021; Prince, 2020)","plainTextFormattedCitation":"(MacLennan, 2021; Prince, 2020)","previouslyFormattedCitation":"(MacLennan, 2021; Prince, 2020)"},"properties":{"noteIndex":0},"schema":"https://github.com/citation-style-language/schema/raw/master/csl-citation.json"}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(MacLennan, 2021; Prince, 2020)</w:t>
      </w:r>
      <w:r w:rsidR="00C91BC4">
        <w:rPr>
          <w:rFonts w:ascii="Times New Roman" w:hAnsi="Times New Roman" w:cs="Times New Roman"/>
          <w:lang w:val="es-CL"/>
        </w:rPr>
        <w:fldChar w:fldCharType="end"/>
      </w:r>
      <w:r w:rsidRPr="00C36520">
        <w:rPr>
          <w:rFonts w:ascii="Times New Roman" w:hAnsi="Times New Roman" w:cs="Times New Roman"/>
          <w:lang w:val="es-CL"/>
        </w:rPr>
        <w:t>. La literatura reconoce una tendencia de los estados a movilizar concepciones cartesianas del espacio</w:t>
      </w:r>
      <w:r w:rsidR="00C91BC4">
        <w:rPr>
          <w:rFonts w:ascii="Times New Roman" w:hAnsi="Times New Roman" w:cs="Times New Roman"/>
          <w:lang w:val="es-CL"/>
        </w:rPr>
        <w:t xml:space="preserve">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{"citationItems":[{"id":"ITEM-1","itemData":{"DOI":"10.1080/10841806.2018.1485446","ISSN":"1084-1806","author":[{"dropping-particle":"","family":"Austin","given":"Eric K.","non-dropping-particle":"","parse-names":false,"suffix":""}],"container-title":"Administrative Theory &amp; Praxis","id":"ITEM-1","issue":"0","issued":{"date-parts":[["2018"]]},"page":"1-16","publisher":"Routledge","title":"Bringing Back Place: Exploring the Conceptions of Space, Time, and Place for Environmental Policy","type":"article-journal","volume":"0"},"uris":["http://www.mendeley.com/documents/?uuid=2ff6014e-4caf-402d-8514-60badf94063e"]}],"mendeley":{"formattedCitation":"(Austin, 2018)","plainTextFormattedCitation":"(Austin, 2018)","previouslyFormattedCitation":"(Austin, 2018)"},"properties":{"noteIndex":0},"schema":"https://github.com/citation-style-language/schema/raw/master/csl-citation.json"}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(Austin, 2018)</w:t>
      </w:r>
      <w:r w:rsidR="00C91BC4">
        <w:rPr>
          <w:rFonts w:ascii="Times New Roman" w:hAnsi="Times New Roman" w:cs="Times New Roman"/>
          <w:lang w:val="es-CL"/>
        </w:rPr>
        <w:fldChar w:fldCharType="end"/>
      </w:r>
      <w:r w:rsidR="00C91BC4">
        <w:rPr>
          <w:rFonts w:ascii="Times New Roman" w:hAnsi="Times New Roman" w:cs="Times New Roman"/>
          <w:lang w:val="es-CL"/>
        </w:rPr>
        <w:t xml:space="preserve"> </w:t>
      </w:r>
      <w:r w:rsidRPr="00C36520">
        <w:rPr>
          <w:rFonts w:ascii="Times New Roman" w:hAnsi="Times New Roman" w:cs="Times New Roman"/>
          <w:lang w:val="es-CL"/>
        </w:rPr>
        <w:t xml:space="preserve"> y a naturalizar dicotomías espaciales</w:t>
      </w:r>
      <w:r w:rsidR="00C91BC4">
        <w:rPr>
          <w:rFonts w:ascii="Times New Roman" w:hAnsi="Times New Roman" w:cs="Times New Roman"/>
          <w:lang w:val="es-CL"/>
        </w:rPr>
        <w:t xml:space="preserve"> como </w:t>
      </w:r>
      <w:r w:rsidRPr="00C36520">
        <w:rPr>
          <w:rFonts w:ascii="Times New Roman" w:hAnsi="Times New Roman" w:cs="Times New Roman"/>
          <w:lang w:val="es-CL"/>
        </w:rPr>
        <w:t>centro/periferia, urbano/rural, metropolitano/regional</w:t>
      </w:r>
      <w:r w:rsidR="00C91BC4">
        <w:rPr>
          <w:rFonts w:ascii="Times New Roman" w:hAnsi="Times New Roman" w:cs="Times New Roman"/>
          <w:lang w:val="es-CL"/>
        </w:rPr>
        <w:t xml:space="preserve"> o </w:t>
      </w:r>
      <w:r w:rsidRPr="00C36520">
        <w:rPr>
          <w:rFonts w:ascii="Times New Roman" w:hAnsi="Times New Roman" w:cs="Times New Roman"/>
          <w:lang w:val="es-CL"/>
        </w:rPr>
        <w:t xml:space="preserve">nacional/local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author":[{"dropping-particle":"","family":"Corsi","given":"Giancarlo","non-dropping-particle":"","parse-names":false,"suffix":""},{"dropping-particle":"","family":"Esposito","given":"Elena","non-dropping-particle":"","parse-names":false,"suffix":""},{"dropping-particle":"","family":"Baraldi","given":"Claudio","non-dropping-particle":"","parse-names":false,"suffix":""}],"id":"ITEM-1","issued":{"date-parts":[["1996"]]},"publisher":"Universidad Iberoamericana - ITESO - Anthopos","title":"Glosario sobre la teoría social de Niklas Luhmann","type":"book"},"uris":["http://www.mendeley.com/documents/?uuid=8458b59e-4140-4a92-825b-c68b358b4861"]},{"id":"ITEM-2","itemData":{"DOI":"10.1177/0309132511417659","author":[{"dropping-particle":"","family":"Prince","given":"Russell","non-dropping-particle":"","parse-names":false,"suffix":""}],"container-title":"Progress in Human Geography","id":"ITEM-2","issue":"2","issued":{"date-parts":[["2012"]]},"page":"188-203","title":"Policy transfer, consultants and the geographies of governance","type":"article-journal","volume":"36"},"uris":["http://www.mendeley.com/documents/?uuid=49256d62-ca3b-45d0-b566-8f91c90fe246"]}],"mendeley":{"formattedCitation":"(Corsi et al., 1996; Prince, 2012)","plainTextFormattedCitation":"(Corsi et al., 1996; Prince, 2012)","previouslyFormattedCitation":"(Corsi et al., 1996; Prince, 2012)"},"properties":{"noteIndex":0},"schema":"https://github.com/citation-style-language/schema/raw/master/csl-citation.json"}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(Corsi et al., 1996; Prince, 2012)</w:t>
      </w:r>
      <w:r w:rsidR="00C91BC4">
        <w:rPr>
          <w:rFonts w:ascii="Times New Roman" w:hAnsi="Times New Roman" w:cs="Times New Roman"/>
          <w:lang w:val="es-CL"/>
        </w:rPr>
        <w:fldChar w:fldCharType="end"/>
      </w:r>
      <w:r w:rsidRPr="00C36520">
        <w:rPr>
          <w:rFonts w:ascii="Times New Roman" w:hAnsi="Times New Roman" w:cs="Times New Roman"/>
          <w:lang w:val="es-CL"/>
        </w:rPr>
        <w:t>. Estas representaciones no son neutrales</w:t>
      </w:r>
      <w:r w:rsidR="00C91BC4">
        <w:rPr>
          <w:rFonts w:ascii="Times New Roman" w:hAnsi="Times New Roman" w:cs="Times New Roman"/>
          <w:lang w:val="es-CL"/>
        </w:rPr>
        <w:t xml:space="preserve">, pues </w:t>
      </w:r>
      <w:r w:rsidRPr="00C36520">
        <w:rPr>
          <w:rFonts w:ascii="Times New Roman" w:hAnsi="Times New Roman" w:cs="Times New Roman"/>
          <w:lang w:val="es-CL"/>
        </w:rPr>
        <w:t>moldean qué aspectos, actores y problemas de los territorios se vuelven visibles y cuáles quedan fuera</w:t>
      </w:r>
      <w:r w:rsidR="00C91BC4">
        <w:rPr>
          <w:rFonts w:ascii="Times New Roman" w:hAnsi="Times New Roman" w:cs="Times New Roman"/>
          <w:lang w:val="es-CL"/>
        </w:rPr>
        <w:t xml:space="preserve">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{"citationItems":[{"id":"ITEM-1","itemData":{"abstract":"Este estudio define el territorio como un sistema social complejo donde se despliegan formas, comunicaciones y probabilidades. El objetivo de la investigación expuesta es observar la disponibilidad de formas de integración sistémico-funcional (servicios, conectividad, etc.) en el barrio al tiempo que se interroga por el acceso efectivo a ellas. A partir de ello, los procesos de inclusión/exclusión podrían observarse en un plano cartesiano de dos coordenadas dando lugar a cuadrantes que configuran cuatro tipologías de territorios en función de sus posibilidades de albergar procesos de inclusión social efectiva. Este marco analítico se tradujo en la operacionalización de dos variables: Disponibilidad de alternativas e Índice de Riesgo, las que fueron observadas a través de dos instrumentos: Pauta de observación de calle (POC) y Pauta de indicadores barriales (PIB). Este artículo presenta los resultados de esta investigación aplicada en barrios de cuatro comunas de alta complejidad del Gran Santiago: La Pintana, Cerro Navia, Lo Espejo y Puente Alto","author":[{"dropping-particle":"","family":"Urquieta Álvarez","given":"María Antonieta","non-dropping-particle":"","parse-names":false,"suffix":""}],"container-title":"TS Cuadernos de Trabajo Social","id":"ITEM-1","issue":"18","issued":{"date-parts":[["2019"]]},"page":"42-70","title":"Territorios de exclusiòn. Observando dinàmicas de inclusiòn/exclusiòn en sistemas territoriales complejos del Gran Santiago","type":"article-journal"},"uris":["http://www.mendeley.com/documents/?uuid=827086e5-7f54-4756-bacd-9be9af1e31d4"]}],"mendeley":{"formattedCitation":"(Urquieta Álvarez, 2019)","plainTextFormattedCitation":"(Urquieta Álvarez, 2019)","previouslyFormattedCitation":"(Urquieta Álvarez, 2019)"},"properties":{"noteIndex":0},"schema":"https://github.com/citation-style-language/schema/raw/master/csl-citation.json"}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(Urquieta Álvarez, 2019)</w:t>
      </w:r>
      <w:r w:rsidR="00C91BC4">
        <w:rPr>
          <w:rFonts w:ascii="Times New Roman" w:hAnsi="Times New Roman" w:cs="Times New Roman"/>
          <w:lang w:val="es-CL"/>
        </w:rPr>
        <w:fldChar w:fldCharType="end"/>
      </w:r>
      <w:r w:rsidRPr="00C36520">
        <w:rPr>
          <w:rFonts w:ascii="Times New Roman" w:hAnsi="Times New Roman" w:cs="Times New Roman"/>
          <w:lang w:val="es-CL"/>
        </w:rPr>
        <w:t>.</w:t>
      </w:r>
    </w:p>
    <w:p w14:paraId="38E76C5B" w14:textId="1D8A6461"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Para el caso que nos ocupa, esto significa que la pregunta por el territorio de los fondos concursables no se agota en la estadística de distribución regional del gasto. Supone también preguntar qué idea de territorio opera en las bases de un concurso, en un </w:t>
      </w:r>
      <w:r w:rsidRPr="00C36520">
        <w:rPr>
          <w:rFonts w:ascii="Times New Roman" w:hAnsi="Times New Roman" w:cs="Times New Roman"/>
          <w:lang w:val="es-CL"/>
        </w:rPr>
        <w:lastRenderedPageBreak/>
        <w:t>formulario de postulación, en un criterio de evaluación o en una glosa presupuestaria; y qué ideas de territorio movilizan, a su vez, quienes postulan, evalúan y ejecutan esos fondos desde universidades situadas en lugares muy distintos del país.</w:t>
      </w:r>
    </w:p>
    <w:p w14:paraId="2134BB39" w14:textId="77777777" w:rsidR="00C36520" w:rsidRPr="00C91BC4" w:rsidRDefault="00C36520" w:rsidP="00C36520">
      <w:pPr>
        <w:spacing w:line="240" w:lineRule="auto"/>
        <w:jc w:val="both"/>
        <w:rPr>
          <w:rFonts w:ascii="Times New Roman" w:hAnsi="Times New Roman" w:cs="Times New Roman"/>
          <w:b/>
          <w:bCs/>
          <w:lang w:val="es-CL"/>
        </w:rPr>
      </w:pPr>
      <w:r w:rsidRPr="00C91BC4">
        <w:rPr>
          <w:rFonts w:ascii="Times New Roman" w:hAnsi="Times New Roman" w:cs="Times New Roman"/>
          <w:b/>
          <w:bCs/>
          <w:lang w:val="es-CL"/>
        </w:rPr>
        <w:t xml:space="preserve">Los fondos concursables como elementos en mutua interacción: la noción de </w:t>
      </w:r>
      <w:r w:rsidRPr="00C91BC4">
        <w:rPr>
          <w:rFonts w:ascii="Times New Roman" w:hAnsi="Times New Roman" w:cs="Times New Roman"/>
          <w:b/>
          <w:bCs/>
          <w:i/>
          <w:iCs/>
          <w:lang w:val="es-CL"/>
        </w:rPr>
        <w:t>policy mix</w:t>
      </w:r>
    </w:p>
    <w:p w14:paraId="7EFF3D37" w14:textId="098F3949"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A este carácter constitutivamente territorial se suma una segunda constatación. Contra una tradición racionalista que presupone linealidad en el ciclo de política pública, la sociología y las ciencias políticas han enfatizado que las políticas no operan como líneas de ensamblaje, sino como intervenciones complejas, opacas y atravesadas por relaciones de poder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editor":[{"dropping-particle":"","family":"Shore","given":"Cris","non-dropping-particle":"","parse-names":false,"suffix":""},{"dropping-particle":"","family":"Wright","given":"Susan","non-dropping-particle":"","parse-names":false,"suffix":""}],"id":"ITEM-1","issued":{"date-parts":[["2005"]]},"publisher":"Routledge","title":"Anthropology of Policy. Critical perspectives on governance and power","type":"book"},"uris":["http://www.mendeley.com/documents/?uuid=02824b5f-99b6-4ea0-bec8-d61d934917b7"]},{"id":"ITEM-2","itemData":{"author":[{"dropping-particle":"","family":"Urquieta","given":"María Antonieta","non-dropping-particle":"","parse-names":false,"suffix":""},{"dropping-particle":"","family":"Salinas","given":"Sofía","non-dropping-particle":"","parse-names":false,"suffix":""},{"dropping-particle":"","family":"Labraña","given":"Julio","non-dropping-particle":"","parse-names":false,"suffix":""}],"container-title":"Cuaderno de Trabajo Social","id":"ITEM-2","issue":"16","issued":{"date-parts":[["2021"]]},"page":"115-132","title":"La Improbabilidad De La Transformación Social Efectiva: Una Reflexión En Torno a Los Déficits De Política Pública En Chile","type":"article-journal","volume":"1"},"uris":["http://www.mendeley.com/documents/?uuid=263a89ea-ca01-42c9-9415-d91f19374021"]},{"id":"ITEM-3","itemData":{"DOI":"10.1177/0002716205276734","ISSN":"00027162","abstract":"As the rational choice model of \"policy\" proliferates in \"policy studies,\" the social sciences, modern governments, organizations, and everyday life, a number of anthropologists are beginning to develop a body of work in the anthropology of public policy that critiques the assumptions of \"policy\" as a legal-rational way of getting things done. While de-masking the framing of public policy questions, an anthropological approach attempts to uncover the constellations of actors, activities, and influences that shape policy decisions, their implementation, and their results. In a rapidly changing world, anthropologists' empirical and ethnographic methods can show how policies actively create new categories of individuals to be governed. They also suggest that the long-established frameworks of \"state\" and \"private,\" \"local\" or \"national\" and \"global,\" \"macro\" and \"micro,\" \"top down\" and \"bottom up,\" and \"centralized\" and \"decentralized\" not only fail to capture current dynamics in the world but actually obfuscate the understanding of many policy processes.","author":[{"dropping-particle":"","family":"Wedel","given":"Janine R.","non-dropping-particle":"","parse-names":false,"suffix":""},{"dropping-particle":"","family":"Shore","given":"Cris","non-dropping-particle":"","parse-names":false,"suffix":""},{"dropping-particle":"","family":"Feldman","given":"Gregory","non-dropping-particle":"","parse-names":false,"suffix":""},{"dropping-particle":"","family":"Lathrop","given":"Stacy","non-dropping-particle":"","parse-names":false,"suffix":""}],"container-title":"Annals of the American Academy of Political and Social Science","id":"ITEM-3","issued":{"date-parts":[["2005"]]},"page":"30-51","title":"Toward an anthropology of public policy","type":"article-journal","volume":"600"},"uris":["http://www.mendeley.com/documents/?uuid=aab75842-ddca-40af-b946-c943281dc457"]},{"id":"ITEM-4","itemData":{"author":[{"dropping-particle":"","family":"Zurbriggen","given":"Cristina","non-dropping-particle":"","parse-names":false,"suffix":""}],"container-title":"Revista de Ciencia Politica","id":"ITEM-4","issue":"1","issued":{"date-parts":[["2006"]]},"page":"67-83","title":"El institucionalismo centrado en los actores: Una perspectiva analítica en el estudio de las políticas públicas","type":"article-journal","volume":"26"},"uris":["http://www.mendeley.com/documents/?uuid=fc5d51d6-4ec7-4528-a5e8-f40ec5347ea4"]}],"mendeley":{"formattedCitation":"(Shore &amp; Wright, 2005; Urquieta et al., 2021; Wedel et al., 2005; Zurbriggen, 2006)","plainTextFormattedCitation":"(Shore &amp; Wright, 2005; Urquieta et al., 2021; Wedel et al., 2005; Zurbriggen, 2006)","previouslyFormattedCitation":"(Shore &amp; Wright, 2005; Urquieta et al., 2021; Wedel et al., 2005; Zurbriggen, 2006)"},"properties":{"noteIndex":0},"schema":"https://github.com/citation-style-language/schema/raw/master/csl-citation.json"}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(Shore &amp; Wright, 2005; Urquieta et al., 2021; Wedel et al., 2005; Zurbriggen, 2006)</w:t>
      </w:r>
      <w:r w:rsidR="00C91BC4">
        <w:rPr>
          <w:rFonts w:ascii="Times New Roman" w:hAnsi="Times New Roman" w:cs="Times New Roman"/>
          <w:lang w:val="es-CL"/>
        </w:rPr>
        <w:fldChar w:fldCharType="end"/>
      </w:r>
      <w:r w:rsidRPr="00C36520">
        <w:rPr>
          <w:rFonts w:ascii="Times New Roman" w:hAnsi="Times New Roman" w:cs="Times New Roman"/>
          <w:lang w:val="es-CL"/>
        </w:rPr>
        <w:t>.</w:t>
      </w:r>
    </w:p>
    <w:p w14:paraId="20DC5A13" w14:textId="222E4C2E"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En esa opacidad destaca un fenómeno específico: la ocurrencia simultánea y descoordinada de múltiples iniciativas estatales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{"citationItems":[{"id":"ITEM-1","itemData":{"DOI":"10.1016/j.respol.2011.02.005","ISSN":"00487333","abstract":"Recent years have seen the emergence, take-up and use of the term 'policy mix' by innovation policy makers and by policy analysts and scholars alike. Imported from economic policy debates, the term implies a focus on the interactions and interdependencies between different policies as they affect the extent to which intended policy outcomes are achieved. However the meaning of the term remains ambiguous. Nonetheless, we argue that the emergence of the 'policy mix' concept into common use in the field of innovation policy studies provides us with a window of opportunity to reconsider some basic and often hidden assumptions in order to better deal with a messy and complex, multi-level, multi-actor reality. We draw upon a range of literatures to re-conceptualise the basic building blocks of innovation policy studies in order to arrive at a useful definition of 'policy mix' tensions and interactions of different kinds across a series of dimensions. We suggest that this reconceptualisation has important implications for the future scope and focus of prescriptive and analytical innovation policy studies. © 2011 Elsevier B.V.","author":[{"dropping-particle":"","family":"Flanagan","given":"Kieron","non-dropping-particle":"","parse-names":false,"suffix":""},{"dropping-particle":"","family":"Uyarra","given":"Elvira","non-dropping-particle":"","parse-names":false,"suffix":""},{"dropping-particle":"","family":"Laranja","given":"Manuel","non-dropping-particle":"","parse-names":false,"suffix":""}],"container-title":"Research Policy","id":"ITEM-1","issue":"5","issued":{"date-parts":[["2011"]]},"page":"702-713","title":"Reconceptualising the 'policy mix' for innovation","type":"article-journal","volume":"40"},"uris":["http://www.mendeley.com/documents/?uuid=0b0bb19e-3172-459f-8e29-60a59ba16bc9"]}],"mendeley":{"formattedCitation":"(Flanagan et al., 2011)","plainTextFormattedCitation":"(Flanagan et al., 2011)","previouslyFormattedCitation":"(Flanagan et al., 2011)"},"properties":{"noteIndex":0},"schema":"https://github.com/citation-style-language/schema/raw/master/csl-citation.json"}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(Flanagan et al., 2011)</w:t>
      </w:r>
      <w:r w:rsidR="00C91BC4">
        <w:rPr>
          <w:rFonts w:ascii="Times New Roman" w:hAnsi="Times New Roman" w:cs="Times New Roman"/>
          <w:lang w:val="es-CL"/>
        </w:rPr>
        <w:fldChar w:fldCharType="end"/>
      </w:r>
      <w:r w:rsidRPr="00C36520">
        <w:rPr>
          <w:rFonts w:ascii="Times New Roman" w:hAnsi="Times New Roman" w:cs="Times New Roman"/>
          <w:lang w:val="es-CL"/>
        </w:rPr>
        <w:t xml:space="preserve">. Esta condición se ha discutido bajo el concepto de policy mix, proveniente de las ciencias económicas, que construye como objeto de análisis al conjunto de iniciativas de política pública que abordan una población, un territorio o una temática específica y que, en su operación conjunta, generan efectos emergentes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 xml:space="preserve">ADDIN CSL_CITATION {"citationItems":[{"id":"ITEM-1","itemData":{"DOI":"10.1016/j.spc.2025.09.003","ISSN":"2352-5509","author":[{"dropping-particle":"","family":"Rizos","given":"Vasileios","non-dropping-particle":"","parse-names":false,"suffix":""},{"dropping-particle":"","family":"Zambianchi","given":"Valeria","non-dropping-particle":"","parse-names":false,"suffix":""}],"container-title":"Sustainable Production and Consumption","id":"ITEM-1","issue":"March","issued":{"date-parts":[["2025"]]},"page":"52-63","publisher":"Elsevier Ltd","title":"Unpacking policy coherence : A network analysis of the EU policy mix for the circular economy </w:instrText>
      </w:r>
      <w:r w:rsidR="00C91BC4">
        <w:rPr>
          <w:rFonts w:ascii="Segoe UI Symbol" w:hAnsi="Segoe UI Symbol" w:cs="Segoe UI Symbol"/>
          <w:lang w:val="es-CL"/>
        </w:rPr>
        <w:instrText>☆</w:instrText>
      </w:r>
      <w:r w:rsidR="00C91BC4">
        <w:rPr>
          <w:rFonts w:ascii="Times New Roman" w:hAnsi="Times New Roman" w:cs="Times New Roman"/>
          <w:lang w:val="es-CL"/>
        </w:rPr>
        <w:instrText>","type":"article-journal","volume":"60"},"uris":["http://www.mendeley.com/documents/?uuid=f198a148-27c6-4b4c-bd16-028f2f4cfb59"]}],"mendeley":{"formattedCitation":"(Rizos &amp; Zambianchi, 2025)","plainTextFormattedCitation":"(Rizos &amp; Zambianchi, 2025)","previouslyFormattedCitation":"(Rizos &amp; Zambianchi, 2025)"},"properties":{"noteIndex":0},"schema":"https://github.com/citation-style-language/schema/raw/master/csl-citation.json"}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(Rizos &amp; Zambianchi, 2025)</w:t>
      </w:r>
      <w:r w:rsidR="00C91BC4">
        <w:rPr>
          <w:rFonts w:ascii="Times New Roman" w:hAnsi="Times New Roman" w:cs="Times New Roman"/>
          <w:lang w:val="es-CL"/>
        </w:rPr>
        <w:fldChar w:fldCharType="end"/>
      </w:r>
      <w:r w:rsidRPr="00C36520">
        <w:rPr>
          <w:rFonts w:ascii="Times New Roman" w:hAnsi="Times New Roman" w:cs="Times New Roman"/>
          <w:lang w:val="es-CL"/>
        </w:rPr>
        <w:t>.</w:t>
      </w:r>
    </w:p>
    <w:p w14:paraId="40783E61" w14:textId="40166296"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Adoptar esta unidad implica asumir al menos tres desafíos. El primero es que los “dominios” temáticos de política pública </w:t>
      </w:r>
      <w:r w:rsidR="00C91BC4">
        <w:rPr>
          <w:rFonts w:ascii="Times New Roman" w:hAnsi="Times New Roman" w:cs="Times New Roman"/>
          <w:lang w:val="es-CL"/>
        </w:rPr>
        <w:t xml:space="preserve">(ej. </w:t>
      </w:r>
      <w:r w:rsidRPr="00C36520">
        <w:rPr>
          <w:rFonts w:ascii="Times New Roman" w:hAnsi="Times New Roman" w:cs="Times New Roman"/>
          <w:lang w:val="es-CL"/>
        </w:rPr>
        <w:t>política agrícola, educativa, de género, científica,</w:t>
      </w:r>
      <w:r w:rsidR="00C91BC4">
        <w:rPr>
          <w:rFonts w:ascii="Times New Roman" w:hAnsi="Times New Roman" w:cs="Times New Roman"/>
          <w:lang w:val="es-CL"/>
        </w:rPr>
        <w:t xml:space="preserve"> o</w:t>
      </w:r>
      <w:r w:rsidRPr="00C36520">
        <w:rPr>
          <w:rFonts w:ascii="Times New Roman" w:hAnsi="Times New Roman" w:cs="Times New Roman"/>
          <w:lang w:val="es-CL"/>
        </w:rPr>
        <w:t xml:space="preserve"> cultural</w:t>
      </w:r>
      <w:r w:rsidR="00C91BC4">
        <w:rPr>
          <w:rFonts w:ascii="Times New Roman" w:hAnsi="Times New Roman" w:cs="Times New Roman"/>
          <w:lang w:val="es-CL"/>
        </w:rPr>
        <w:t>)</w:t>
      </w:r>
      <w:r w:rsidRPr="00C36520">
        <w:rPr>
          <w:rFonts w:ascii="Times New Roman" w:hAnsi="Times New Roman" w:cs="Times New Roman"/>
          <w:lang w:val="es-CL"/>
        </w:rPr>
        <w:t xml:space="preserve"> no son categorías naturales sino construcciones políticamente regidas </w:t>
      </w:r>
      <w:r w:rsidR="00C91BC4">
        <w:rPr>
          <w:rFonts w:ascii="Times New Roman" w:hAnsi="Times New Roman" w:cs="Times New Roman"/>
          <w:lang w:val="es-CL"/>
        </w:rPr>
        <w:fldChar w:fldCharType="begin" w:fldLock="1"/>
      </w:r>
      <w:r w:rsidR="00C91BC4">
        <w:rPr>
          <w:rFonts w:ascii="Times New Roman" w:hAnsi="Times New Roman" w:cs="Times New Roman"/>
          <w:lang w:val="es-CL"/>
        </w:rPr>
        <w:instrText>ADDIN CSL_CITATION {"citationItems":[{"id":"ITEM-1","itemData":{"DOI":"10.5354/0718-0527.2016.42795","ISSN":"07180527","abstract":"The study of public policy has been addressed mainly from technical and theoretical perspectives that paid special attention to the results and processes under which they are designed. This paper analyzes how the State constructs its social problems on the basis of semantic formulations that condense orientations and meanings originated in multiple social spheres. The approach is developed through the analysis of the Chilean case of housing policy. Results indicate that four periods can be identified, each representing substantive changes in the State construction of the housing problems: from dwelling place to house, from the semantics of deficit to the juridification of housing, from juridification to the economic semantics, and finally, to the semantics of social inclusion through housing. The methodological strategy bases on the revision of acts and laws, which condenses and legitimates decision-making processes that shape public policy.","author":[{"dropping-particle":"","family":"Azocar","given":"Gabriela","non-dropping-particle":"","parse-names":false,"suffix":""}],"container-title":"Revista Mad","id":"ITEM-1","issue":"35","issued":{"date-parts":[["2016"]]},"page":"15-37","title":"La construcción semántica de problemas sociales en la política pública. El caso de la política de vivienda en Chile","type":"article-journal","volume":"35"},"uris":["http://www.mendeley.com/documents/?uuid=71993efd-fe42-41a3-b802-91e1af72c262"]},{"id":"ITEM-2","itemData":{"DOI":"10.1111/j.1541-0072.2006.00178.x","author":[{"dropping-particle":"","family":"May","given":"Peter J","non-dropping-particle":"","parse-names":false,"suffix":""},{"dropping-particle":"","family":"Sapotichne","given":"Joshua","non-dropping-particle":"","parse-names":false,"suffix":""},{"dropping-particle":"","family":"Workman","given":"Samuel","non-dropping-particle":"","parse-names":false,"suffix":""}],"id":"ITEM-2","issue":"3","issued":{"date-parts":[["2006"]]},"page":"381-403","title":"Policy Coherence and Policy Domains","type":"article-journal","volume":"34"},"uris":["http://www.mendeley.com/documents/?uuid=01ca95be-953d-401f-8bc4-402dc7686e8d"]}],"mendeley":{"formattedCitation":"(Azocar, 2016; May et al., 2006)","plainTextFormattedCitation":"(Azocar, 2016; May et al., 2006)","previouslyFormattedCitation":"(Azocar, 2016; May et al., 2006)"},"properties":{"noteIndex":0},"schema":"https://github.com/citation-style-language/schema/raw/master/csl-citation.json"}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(Azocar, 2016; May et al., 2006)</w:t>
      </w:r>
      <w:r w:rsidR="00C91BC4">
        <w:rPr>
          <w:rFonts w:ascii="Times New Roman" w:hAnsi="Times New Roman" w:cs="Times New Roman"/>
          <w:lang w:val="es-CL"/>
        </w:rPr>
        <w:fldChar w:fldCharType="end"/>
      </w:r>
      <w:r w:rsidRPr="00C36520">
        <w:rPr>
          <w:rFonts w:ascii="Times New Roman" w:hAnsi="Times New Roman" w:cs="Times New Roman"/>
          <w:lang w:val="es-CL"/>
        </w:rPr>
        <w:t xml:space="preserve">, lo que obliga a examinar las interacciones y conflictos entre dominios </w:t>
      </w:r>
      <w:r w:rsidR="00C91BC4">
        <w:rPr>
          <w:rFonts w:ascii="Times New Roman" w:hAnsi="Times New Roman" w:cs="Times New Roman"/>
          <w:lang w:val="es-CL"/>
        </w:rPr>
        <w:fldChar w:fldCharType="begin" w:fldLock="1"/>
      </w:r>
      <w:r w:rsidR="00D33B90">
        <w:rPr>
          <w:rFonts w:ascii="Times New Roman" w:hAnsi="Times New Roman" w:cs="Times New Roman"/>
          <w:lang w:val="es-CL"/>
        </w:rPr>
        <w:instrText>ADDIN CSL_CITATION {"citationItems":[{"id":"ITEM-1","itemData":{"DOI":"10.1007/s10961-019-09767-4","ISBN":"0123456789","ISSN":"15737047","abstract":"The “policy mix” concept has gained popularity among science, technology and innovation policy communities over the past two decades in a context of growing policy complexity and need for policy evidence. Pressing societal challenges are also prompting governments to rethink policy making in order to better align public intervention across policy domains and leverage the transformative potential of system innovations. Governments faced multiple obstacles in implementing a policy mix approach in policy making and evaluation. Based on a comparative analysis of international STI policy repositories, a conceptual framework is proposed, as well as structuring principles and operational guidelines for mapping the composition of a policy mix, identifying interactions among components and translating the mapping into measurement. In that view, a range of new policy mix metrics is introduced. Finally, the discussion focuses on the need for moving towards a new data management paradigm and enlarging the measurement mix.","author":[{"dropping-particle":"","family":"Meissner","given":"Dirk","non-dropping-particle":"","parse-names":false,"suffix":""},{"dropping-particle":"","family":"Kergroach","given":"Sandrine","non-dropping-particle":"","parse-names":false,"suffix":""}],"container-title":"Journal of Technology Transfer","id":"ITEM-1","issue":"1","issued":{"date-parts":[["2021"]]},"page":"197-222","publisher":"Springer US","title":"Innovation policy mix: mapping and measurement","type":"article-journal","volume":"46"},"uris":["http://www.mendeley.com/documents/?uuid=9c8e3a31-9efb-49b9-a337-7a357ca4dcd2"]}],"mendeley":{"formattedCitation":"(Meissner &amp; Kergroach, 2021)","plainTextFormattedCitation":"(Meissner &amp; Kergroach, 2021)","previouslyFormattedCitation":"(Meissner &amp; Kergroach, 2021)"},"properties":{"noteIndex":0},"schema":"https://github.com/citation-style-language/schema/raw/master/csl-citation.json"}</w:instrText>
      </w:r>
      <w:r w:rsidR="00C91BC4">
        <w:rPr>
          <w:rFonts w:ascii="Times New Roman" w:hAnsi="Times New Roman" w:cs="Times New Roman"/>
          <w:lang w:val="es-CL"/>
        </w:rPr>
        <w:fldChar w:fldCharType="separate"/>
      </w:r>
      <w:r w:rsidR="00C91BC4" w:rsidRPr="00C91BC4">
        <w:rPr>
          <w:rFonts w:ascii="Times New Roman" w:hAnsi="Times New Roman" w:cs="Times New Roman"/>
          <w:noProof/>
          <w:lang w:val="es-CL"/>
        </w:rPr>
        <w:t>(Meissner &amp; Kergroach, 2021)</w:t>
      </w:r>
      <w:r w:rsidR="00C91BC4">
        <w:rPr>
          <w:rFonts w:ascii="Times New Roman" w:hAnsi="Times New Roman" w:cs="Times New Roman"/>
          <w:lang w:val="es-CL"/>
        </w:rPr>
        <w:fldChar w:fldCharType="end"/>
      </w:r>
      <w:r w:rsidRPr="00C36520">
        <w:rPr>
          <w:rFonts w:ascii="Times New Roman" w:hAnsi="Times New Roman" w:cs="Times New Roman"/>
          <w:lang w:val="es-CL"/>
        </w:rPr>
        <w:t xml:space="preserve">. El segundo es la interacción dentro de un mismo dominio, es decir, entre marcos amplios de política e instrumentos específicos, que pueden reforzarse o contradecirse </w:t>
      </w:r>
      <w:r w:rsidR="00D33B90">
        <w:rPr>
          <w:rFonts w:ascii="Times New Roman" w:hAnsi="Times New Roman" w:cs="Times New Roman"/>
          <w:lang w:val="es-CL"/>
        </w:rPr>
        <w:fldChar w:fldCharType="begin" w:fldLock="1"/>
      </w:r>
      <w:r w:rsidR="00D33B90">
        <w:rPr>
          <w:rFonts w:ascii="Times New Roman" w:hAnsi="Times New Roman" w:cs="Times New Roman"/>
          <w:lang w:val="es-CL"/>
        </w:rPr>
        <w:instrText xml:space="preserve">ADDIN CSL_CITATION {"citationItems":[{"id":"ITEM-1","itemData":{"author":[{"dropping-particle":"","family":"Menéndez","given":"María José","non-dropping-particle":"","parse-names":false,"suffix":""},{"dropping-particle":"","family":"Villarroel","given":"Katherine","non-dropping-particle":"","parse-names":false,"suffix":""}],"id":"ITEM-1","issued":{"date-parts":[["2023"]]},"publisher":"Consejo Nacional de Ciencia, Tecnología, Conocimiento e Innovación para el Desarrollo","title":"Revisión de Marcos de Políticas Públicas de Conocimiento e Innovación","type":"book"},"uris":["http://www.mendeley.com/documents/?uuid=35875417-7699-4f3f-8f05-910076927825"]},{"id":"ITEM-2","itemData":{"DOI":"10.1016/j.spc.2025.09.003","ISSN":"2352-5509","author":[{"dropping-particle":"","family":"Rizos","given":"Vasileios","non-dropping-particle":"","parse-names":false,"suffix":""},{"dropping-particle":"","family":"Zambianchi","given":"Valeria","non-dropping-particle":"","parse-names":false,"suffix":""}],"container-title":"Sustainable Production and Consumption","id":"ITEM-2","issue":"March","issued":{"date-parts":[["2025"]]},"page":"52-63","publisher":"Elsevier Ltd","title":"Unpacking policy coherence : A network analysis of the EU policy mix for the circular economy </w:instrText>
      </w:r>
      <w:r w:rsidR="00D33B90">
        <w:rPr>
          <w:rFonts w:ascii="Segoe UI Symbol" w:hAnsi="Segoe UI Symbol" w:cs="Segoe UI Symbol"/>
          <w:lang w:val="es-CL"/>
        </w:rPr>
        <w:instrText>☆</w:instrText>
      </w:r>
      <w:r w:rsidR="00D33B90">
        <w:rPr>
          <w:rFonts w:ascii="Times New Roman" w:hAnsi="Times New Roman" w:cs="Times New Roman"/>
          <w:lang w:val="es-CL"/>
        </w:rPr>
        <w:instrText>","type":"article-journal","volume":"60"},"uris":["http://www.mendeley.com/documents/?uuid=f198a148-27c6-4b4c-bd16-028f2f4cfb59"]}],"mendeley":{"formattedCitation":"(Menéndez &amp; Villarroel, 2023; Rizos &amp; Zambianchi, 2025)","plainTextFormattedCitation":"(Menéndez &amp; Villarroel, 2023; Rizos &amp; Zambianchi, 2025)","previouslyFormattedCitation":"(Menéndez &amp; Villarroel, 2023; Rizos &amp; Zambianchi, 2025)"},"properties":{"noteIndex":0},"schema":"https://github.com/citation-style-language/schema/raw/master/csl-citation.json"}</w:instrText>
      </w:r>
      <w:r w:rsidR="00D33B90">
        <w:rPr>
          <w:rFonts w:ascii="Times New Roman" w:hAnsi="Times New Roman" w:cs="Times New Roman"/>
          <w:lang w:val="es-CL"/>
        </w:rPr>
        <w:fldChar w:fldCharType="separate"/>
      </w:r>
      <w:r w:rsidR="00D33B90" w:rsidRPr="00D33B90">
        <w:rPr>
          <w:rFonts w:ascii="Times New Roman" w:hAnsi="Times New Roman" w:cs="Times New Roman"/>
          <w:noProof/>
          <w:lang w:val="es-CL"/>
        </w:rPr>
        <w:t>(Menéndez &amp; Villarroel, 2023; Rizos &amp; Zambianchi, 2025)</w:t>
      </w:r>
      <w:r w:rsidR="00D33B90">
        <w:rPr>
          <w:rFonts w:ascii="Times New Roman" w:hAnsi="Times New Roman" w:cs="Times New Roman"/>
          <w:lang w:val="es-CL"/>
        </w:rPr>
        <w:fldChar w:fldCharType="end"/>
      </w:r>
      <w:r w:rsidRPr="00C36520">
        <w:rPr>
          <w:rFonts w:ascii="Times New Roman" w:hAnsi="Times New Roman" w:cs="Times New Roman"/>
          <w:lang w:val="es-CL"/>
        </w:rPr>
        <w:t>. El tercero es el rol de las expectativas, explícitas o implícitas, de que las políticas públicas se beneficiarían de una coherencia que resulta, en rigor, improbable</w:t>
      </w:r>
      <w:r w:rsidR="00D33B90">
        <w:rPr>
          <w:rFonts w:ascii="Times New Roman" w:hAnsi="Times New Roman" w:cs="Times New Roman"/>
          <w:lang w:val="es-CL"/>
        </w:rPr>
        <w:t xml:space="preserve"> </w:t>
      </w:r>
      <w:r w:rsidR="00D33B90">
        <w:rPr>
          <w:rFonts w:ascii="Times New Roman" w:hAnsi="Times New Roman" w:cs="Times New Roman"/>
          <w:lang w:val="es-CL"/>
        </w:rPr>
        <w:fldChar w:fldCharType="begin" w:fldLock="1"/>
      </w:r>
      <w:r w:rsidR="009F5C98">
        <w:rPr>
          <w:rFonts w:ascii="Times New Roman" w:hAnsi="Times New Roman" w:cs="Times New Roman"/>
          <w:lang w:val="es-CL"/>
        </w:rPr>
        <w:instrText>ADDIN CSL_CITATION {"citationItems":[{"id":"ITEM-1","itemData":{"author":[{"dropping-particle":"","family":"Hay","given":"Colin","non-dropping-particle":"","parse-names":false,"suffix":""}],"container-title":"British Journal of Politics and International Relations","id":"ITEM-1","issue":"3","issued":{"date-parts":[["1999"]]},"page":"317-344","title":"Crisis and the structural transformation of the state: Interrogating the process","type":"article-journal","volume":"1"},"uris":["http://www.mendeley.com/documents/?uuid=77e02db1-bb3a-4c06-aab0-792652988d1a"]},{"id":"ITEM-2","itemData":{"author":[{"dropping-particle":"","family":"Luhmann","given":"Niklas","non-dropping-particle":"","parse-names":false,"suffix":""}],"container-title":"La sociedad de la sociedad","id":"ITEM-2","issued":{"date-parts":[["2007"]]},"publisher":"Herder-Universidad Iberoamericana","title":"Diferenciación funcional","type":"chapter"},"uris":["http://www.mendeley.com/documents/?uuid=395735f0-887c-443c-ac2b-37309584b532"]}],"mendeley":{"formattedCitation":"(Hay, 1999; Luhmann, 2007a)","plainTextFormattedCitation":"(Hay, 1999; Luhmann, 2007a)","previouslyFormattedCitation":"(Hay, 1999; Luhmann, 2007a)"},"properties":{"noteIndex":0},"schema":"https://github.com/citation-style-language/schema/raw/master/csl-citation.json"}</w:instrText>
      </w:r>
      <w:r w:rsidR="00D33B90">
        <w:rPr>
          <w:rFonts w:ascii="Times New Roman" w:hAnsi="Times New Roman" w:cs="Times New Roman"/>
          <w:lang w:val="es-CL"/>
        </w:rPr>
        <w:fldChar w:fldCharType="separate"/>
      </w:r>
      <w:r w:rsidR="00D33B90" w:rsidRPr="00D33B90">
        <w:rPr>
          <w:rFonts w:ascii="Times New Roman" w:hAnsi="Times New Roman" w:cs="Times New Roman"/>
          <w:noProof/>
          <w:lang w:val="es-CL"/>
        </w:rPr>
        <w:t>(Hay, 1999; Luhmann, 2007a)</w:t>
      </w:r>
      <w:r w:rsidR="00D33B90">
        <w:rPr>
          <w:rFonts w:ascii="Times New Roman" w:hAnsi="Times New Roman" w:cs="Times New Roman"/>
          <w:lang w:val="es-CL"/>
        </w:rPr>
        <w:fldChar w:fldCharType="end"/>
      </w:r>
      <w:r w:rsidRPr="00C36520">
        <w:rPr>
          <w:rFonts w:ascii="Times New Roman" w:hAnsi="Times New Roman" w:cs="Times New Roman"/>
          <w:lang w:val="es-CL"/>
        </w:rPr>
        <w:t xml:space="preserve">. </w:t>
      </w:r>
      <w:r w:rsidR="00D33B90">
        <w:rPr>
          <w:rFonts w:ascii="Times New Roman" w:hAnsi="Times New Roman" w:cs="Times New Roman"/>
          <w:lang w:val="es-CL"/>
        </w:rPr>
        <w:t>Así, nuestra</w:t>
      </w:r>
      <w:r w:rsidRPr="00C36520">
        <w:rPr>
          <w:rFonts w:ascii="Times New Roman" w:hAnsi="Times New Roman" w:cs="Times New Roman"/>
          <w:lang w:val="es-CL"/>
        </w:rPr>
        <w:t xml:space="preserve"> investigación no asume que la coherencia sea </w:t>
      </w:r>
      <w:proofErr w:type="gramStart"/>
      <w:r w:rsidRPr="00C36520">
        <w:rPr>
          <w:rFonts w:ascii="Times New Roman" w:hAnsi="Times New Roman" w:cs="Times New Roman"/>
          <w:lang w:val="es-CL"/>
        </w:rPr>
        <w:t>un valor a alcanzar</w:t>
      </w:r>
      <w:proofErr w:type="gramEnd"/>
      <w:r w:rsidRPr="00C36520">
        <w:rPr>
          <w:rFonts w:ascii="Times New Roman" w:hAnsi="Times New Roman" w:cs="Times New Roman"/>
          <w:lang w:val="es-CL"/>
        </w:rPr>
        <w:t xml:space="preserve"> ni que la incoherencia sea </w:t>
      </w:r>
      <w:r w:rsidR="00D33B90">
        <w:rPr>
          <w:rFonts w:ascii="Times New Roman" w:hAnsi="Times New Roman" w:cs="Times New Roman"/>
          <w:lang w:val="es-CL"/>
        </w:rPr>
        <w:t>un déficit. Comprendemos que</w:t>
      </w:r>
      <w:r w:rsidRPr="00C36520">
        <w:rPr>
          <w:rFonts w:ascii="Times New Roman" w:hAnsi="Times New Roman" w:cs="Times New Roman"/>
          <w:lang w:val="es-CL"/>
        </w:rPr>
        <w:t xml:space="preserve"> las interacciones sinérgicas, contradictorias o secuenciales</w:t>
      </w:r>
      <w:r w:rsidR="00D33B90">
        <w:rPr>
          <w:rFonts w:ascii="Times New Roman" w:hAnsi="Times New Roman" w:cs="Times New Roman"/>
          <w:lang w:val="es-CL"/>
        </w:rPr>
        <w:t xml:space="preserve"> en un contexto de dominios emergentes de política pública</w:t>
      </w:r>
      <w:r w:rsidRPr="00C36520">
        <w:rPr>
          <w:rFonts w:ascii="Times New Roman" w:hAnsi="Times New Roman" w:cs="Times New Roman"/>
          <w:lang w:val="es-CL"/>
        </w:rPr>
        <w:t xml:space="preserve"> son </w:t>
      </w:r>
      <w:proofErr w:type="gramStart"/>
      <w:r w:rsidRPr="00C36520">
        <w:rPr>
          <w:rFonts w:ascii="Times New Roman" w:hAnsi="Times New Roman" w:cs="Times New Roman"/>
          <w:lang w:val="es-CL"/>
        </w:rPr>
        <w:t>el fenómeno a describir</w:t>
      </w:r>
      <w:proofErr w:type="gramEnd"/>
      <w:r w:rsidRPr="00C36520">
        <w:rPr>
          <w:rFonts w:ascii="Times New Roman" w:hAnsi="Times New Roman" w:cs="Times New Roman"/>
          <w:lang w:val="es-CL"/>
        </w:rPr>
        <w:t>.</w:t>
      </w:r>
    </w:p>
    <w:p w14:paraId="5FFDE0E9" w14:textId="77777777"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Estas interacciones, siguiendo la literatura, ocurren en al menos tres planos que en el caso chileno son claramente identificables: una misma temática es objeto de múltiples programas simultáneos; los mismos actores sociales son destinatarios de diversos instrumentos; y los mismos territorios son escogidos como espacio de múltiples intervenciones. La superposición de estos tres planos es especialmente densa en el mundo universitario, donde una misma unidad académica puede, en un mismo año fiscal, ejecutar un proyecto de investigación de una agencia nacional, un fondo de creación artística de otro ministerio, un convenio de desempeño institucional, un fondo regional de cultura y una beca de posgrado, todos con reglas de rendición, temporalidades y criterios territoriales distintos.</w:t>
      </w:r>
    </w:p>
    <w:p w14:paraId="29AA2409" w14:textId="77777777" w:rsidR="00C36520" w:rsidRPr="009F5C98" w:rsidRDefault="00C36520" w:rsidP="00C36520">
      <w:pPr>
        <w:spacing w:line="240" w:lineRule="auto"/>
        <w:jc w:val="both"/>
        <w:rPr>
          <w:rFonts w:ascii="Times New Roman" w:hAnsi="Times New Roman" w:cs="Times New Roman"/>
          <w:b/>
          <w:bCs/>
          <w:lang w:val="es-CL"/>
        </w:rPr>
      </w:pPr>
      <w:r w:rsidRPr="009F5C98">
        <w:rPr>
          <w:rFonts w:ascii="Times New Roman" w:hAnsi="Times New Roman" w:cs="Times New Roman"/>
          <w:b/>
          <w:bCs/>
          <w:lang w:val="es-CL"/>
        </w:rPr>
        <w:t>La unidad analítica de los fondos concursables para ciencias, artes y cultura</w:t>
      </w:r>
    </w:p>
    <w:p w14:paraId="7F353B7E" w14:textId="30C22683"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lastRenderedPageBreak/>
        <w:t>Las políticas científicas (</w:t>
      </w:r>
      <w:proofErr w:type="spellStart"/>
      <w:r w:rsidRPr="009F5C98">
        <w:rPr>
          <w:rFonts w:ascii="Times New Roman" w:hAnsi="Times New Roman" w:cs="Times New Roman"/>
          <w:i/>
          <w:iCs/>
          <w:lang w:val="es-CL"/>
        </w:rPr>
        <w:t>science</w:t>
      </w:r>
      <w:proofErr w:type="spellEnd"/>
      <w:r w:rsidRPr="009F5C98">
        <w:rPr>
          <w:rFonts w:ascii="Times New Roman" w:hAnsi="Times New Roman" w:cs="Times New Roman"/>
          <w:i/>
          <w:iCs/>
          <w:lang w:val="es-CL"/>
        </w:rPr>
        <w:t xml:space="preserve"> policy</w:t>
      </w:r>
      <w:r w:rsidRPr="00C36520">
        <w:rPr>
          <w:rFonts w:ascii="Times New Roman" w:hAnsi="Times New Roman" w:cs="Times New Roman"/>
          <w:lang w:val="es-CL"/>
        </w:rPr>
        <w:t>) y las políticas artístico-culturales (</w:t>
      </w:r>
      <w:r w:rsidRPr="009F5C98">
        <w:rPr>
          <w:rFonts w:ascii="Times New Roman" w:hAnsi="Times New Roman" w:cs="Times New Roman"/>
          <w:i/>
          <w:iCs/>
          <w:lang w:val="es-CL"/>
        </w:rPr>
        <w:t>art policy, cultural policy</w:t>
      </w:r>
      <w:r w:rsidRPr="00C36520">
        <w:rPr>
          <w:rFonts w:ascii="Times New Roman" w:hAnsi="Times New Roman" w:cs="Times New Roman"/>
          <w:lang w:val="es-CL"/>
        </w:rPr>
        <w:t xml:space="preserve">) son dominios comparativamente recientes e incipientemente diferenciados. Aunque las ciencias y las artes comenzaron a emerger como esferas distinguibles en la modernidad temprana </w:t>
      </w:r>
      <w:r w:rsidR="009F5C98">
        <w:rPr>
          <w:rFonts w:ascii="Times New Roman" w:hAnsi="Times New Roman" w:cs="Times New Roman"/>
          <w:lang w:val="es-CL"/>
        </w:rPr>
        <w:fldChar w:fldCharType="begin" w:fldLock="1"/>
      </w:r>
      <w:r w:rsidR="009F5C98">
        <w:rPr>
          <w:rFonts w:ascii="Times New Roman" w:hAnsi="Times New Roman" w:cs="Times New Roman"/>
          <w:lang w:val="es-CL"/>
        </w:rPr>
        <w:instrText>ADDIN CSL_CITATION {"citationItems":[{"id":"ITEM-1","itemData":{"ISBN":"3518580655","author":[{"dropping-particle":"","family":"Luhmann","given":"Niklas","non-dropping-particle":"","parse-names":false,"suffix":""}],"id":"ITEM-1","issued":{"date-parts":[["1996"]]},"publisher":"Anthropos/Universidad Iberoamericana","title":"La Ciencia de la Sociedad","type":"book"},"uris":["http://www.mendeley.com/documents/?uuid=9c613428-646f-4bd8-a325-f85fb1e2810a"]},{"id":"ITEM-2","itemData":{"ISBN":"9685807116","author":[{"dropping-particle":"","family":"Luhmann","given":"Niklas","non-dropping-particle":"","parse-names":false,"suffix":""}],"id":"ITEM-2","issued":{"date-parts":[["2005"]]},"publisher":"Herder-Universidad Iberoamericana","title":"El arte de la sociedad","type":"book"},"uris":["http://www.mendeley.com/documents/?uuid=a7c5d1fc-8565-4716-9fef-ab773f36ea63"]}],"mendeley":{"formattedCitation":"(Luhmann, 1996, 2005)","plainTextFormattedCitation":"(Luhmann, 1996, 2005)","previouslyFormattedCitation":"(Luhmann, 1996, 2005)"},"properties":{"noteIndex":0},"schema":"https://github.com/citation-style-language/schema/raw/master/csl-citation.json"}</w:instrText>
      </w:r>
      <w:r w:rsidR="009F5C98">
        <w:rPr>
          <w:rFonts w:ascii="Times New Roman" w:hAnsi="Times New Roman" w:cs="Times New Roman"/>
          <w:lang w:val="es-CL"/>
        </w:rPr>
        <w:fldChar w:fldCharType="separate"/>
      </w:r>
      <w:r w:rsidR="009F5C98" w:rsidRPr="009F5C98">
        <w:rPr>
          <w:rFonts w:ascii="Times New Roman" w:hAnsi="Times New Roman" w:cs="Times New Roman"/>
          <w:noProof/>
          <w:lang w:val="es-CL"/>
        </w:rPr>
        <w:t>(Luhmann, 1996, 2005)</w:t>
      </w:r>
      <w:r w:rsidR="009F5C98">
        <w:rPr>
          <w:rFonts w:ascii="Times New Roman" w:hAnsi="Times New Roman" w:cs="Times New Roman"/>
          <w:lang w:val="es-CL"/>
        </w:rPr>
        <w:fldChar w:fldCharType="end"/>
      </w:r>
      <w:r w:rsidRPr="00C36520">
        <w:rPr>
          <w:rFonts w:ascii="Times New Roman" w:hAnsi="Times New Roman" w:cs="Times New Roman"/>
          <w:lang w:val="es-CL"/>
        </w:rPr>
        <w:t>, su construcción como objetos de decisión pública transcurrió durante el siglo XIX, cuando fueron acogidas directamente por los estados mediante la creación y mantención de instituciones especializadas</w:t>
      </w:r>
      <w:r w:rsidR="009F5C98">
        <w:rPr>
          <w:rFonts w:ascii="Times New Roman" w:hAnsi="Times New Roman" w:cs="Times New Roman"/>
          <w:lang w:val="es-CL"/>
        </w:rPr>
        <w:t>, tales como</w:t>
      </w:r>
      <w:r w:rsidRPr="00C36520">
        <w:rPr>
          <w:rFonts w:ascii="Times New Roman" w:hAnsi="Times New Roman" w:cs="Times New Roman"/>
          <w:lang w:val="es-CL"/>
        </w:rPr>
        <w:t xml:space="preserve"> museos, universidades, institutos</w:t>
      </w:r>
      <w:r w:rsidR="009F5C98">
        <w:rPr>
          <w:rFonts w:ascii="Times New Roman" w:hAnsi="Times New Roman" w:cs="Times New Roman"/>
          <w:lang w:val="es-CL"/>
        </w:rPr>
        <w:t xml:space="preserve"> o</w:t>
      </w:r>
      <w:r w:rsidRPr="00C36520">
        <w:rPr>
          <w:rFonts w:ascii="Times New Roman" w:hAnsi="Times New Roman" w:cs="Times New Roman"/>
          <w:lang w:val="es-CL"/>
        </w:rPr>
        <w:t xml:space="preserve"> centros culturales </w:t>
      </w:r>
      <w:r w:rsidR="009F5C98">
        <w:rPr>
          <w:rFonts w:ascii="Times New Roman" w:hAnsi="Times New Roman" w:cs="Times New Roman"/>
          <w:lang w:val="es-CL"/>
        </w:rPr>
        <w:fldChar w:fldCharType="begin" w:fldLock="1"/>
      </w:r>
      <w:r w:rsidR="009F5C98">
        <w:rPr>
          <w:rFonts w:ascii="Times New Roman" w:hAnsi="Times New Roman" w:cs="Times New Roman"/>
          <w:lang w:val="es-CL"/>
        </w:rPr>
        <w:instrText>ADDIN CSL_CITATION {"citationItems":[{"id":"ITEM-1","itemData":{"ISBN":"3323532325","author":[{"dropping-particle":"","family":"McClellan","given":"James E.","non-dropping-particle":"","parse-names":false,"suffix":""}],"id":"ITEM-1","issued":{"date-parts":[["1985"]]},"publisher":"Columbia University Press","title":"Science Reorganized: Scientific Societies in the Eighteenth Century","type":"book"},"uris":["http://www.mendeley.com/documents/?uuid=8aa2d389-ef7f-499e-8790-0f8efe66477c"]},{"id":"ITEM-2","itemData":{"author":[{"dropping-particle":"","family":"Shiner","given":"Larry","non-dropping-particle":"","parse-names":false,"suffix":""}],"id":"ITEM-2","issued":{"date-parts":[["2001"]]},"publisher":"The University of Chicago Press","title":"The Invention of Art: A Cultural History","type":"book"},"uris":["http://www.mendeley.com/documents/?uuid=b5ff1c90-0ec1-4218-9900-1074cc15b4ac"]}],"mendeley":{"formattedCitation":"(McClellan, 1985; Shiner, 2001)","plainTextFormattedCitation":"(McClellan, 1985; Shiner, 2001)","previouslyFormattedCitation":"(McClellan, 1985; Shiner, 2001)"},"properties":{"noteIndex":0},"schema":"https://github.com/citation-style-language/schema/raw/master/csl-citation.json"}</w:instrText>
      </w:r>
      <w:r w:rsidR="009F5C98">
        <w:rPr>
          <w:rFonts w:ascii="Times New Roman" w:hAnsi="Times New Roman" w:cs="Times New Roman"/>
          <w:lang w:val="es-CL"/>
        </w:rPr>
        <w:fldChar w:fldCharType="separate"/>
      </w:r>
      <w:r w:rsidR="009F5C98" w:rsidRPr="009F5C98">
        <w:rPr>
          <w:rFonts w:ascii="Times New Roman" w:hAnsi="Times New Roman" w:cs="Times New Roman"/>
          <w:noProof/>
          <w:lang w:val="es-CL"/>
        </w:rPr>
        <w:t>(McClellan, 1985; Shiner, 2001)</w:t>
      </w:r>
      <w:r w:rsidR="009F5C98">
        <w:rPr>
          <w:rFonts w:ascii="Times New Roman" w:hAnsi="Times New Roman" w:cs="Times New Roman"/>
          <w:lang w:val="es-CL"/>
        </w:rPr>
        <w:fldChar w:fldCharType="end"/>
      </w:r>
      <w:r w:rsidRPr="00C36520">
        <w:rPr>
          <w:rFonts w:ascii="Times New Roman" w:hAnsi="Times New Roman" w:cs="Times New Roman"/>
          <w:lang w:val="es-CL"/>
        </w:rPr>
        <w:t>.</w:t>
      </w:r>
    </w:p>
    <w:p w14:paraId="383842E4" w14:textId="651F253C"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Durante la Guerra Fría aparecieron las nociones vigentes hasta hoy de “política científica” y “política cultural” </w:t>
      </w:r>
      <w:r w:rsidR="009F5C98">
        <w:rPr>
          <w:rFonts w:ascii="Times New Roman" w:hAnsi="Times New Roman" w:cs="Times New Roman"/>
          <w:lang w:val="es-CL"/>
        </w:rPr>
        <w:fldChar w:fldCharType="begin" w:fldLock="1"/>
      </w:r>
      <w:r w:rsidR="009F5C98">
        <w:rPr>
          <w:rFonts w:ascii="Times New Roman" w:hAnsi="Times New Roman" w:cs="Times New Roman"/>
          <w:lang w:val="es-CL"/>
        </w:rPr>
        <w:instrText>ADDIN CSL_CITATION {"citationItems":[{"id":"ITEM-1","itemData":{"author":[{"dropping-particle":"","family":"Albornoz","given":"Mario","non-dropping-particle":"","parse-names":false,"suffix":""}],"container-title":"Revista Iberoamericana de Ciencia, Tecnología y sociedad","id":"ITEM-1","issued":{"date-parts":[["2001"]]},"title":"Política Científica y Tecnológica: Una visión desde América Latina","type":"article-journal","volume":"1"},"uris":["http://www.mendeley.com/documents/?uuid=451e26cb-47e8-41cc-83c8-d4a4b0c2ee96"]},{"id":"ITEM-2","itemData":{"DOI":"10.1080/10286632.2011.638984","author":[{"dropping-particle":"","family":"Moran","given":"Marie","non-dropping-particle":"","parse-names":false,"suffix":""}],"container-title":"International Journal of Cultural Policy","id":"ITEM-2","issued":{"date-parts":[["2012"]]},"page":"486-488","title":"The social impact of the arts: an intellectual history","type":"article-journal","volume":"18"},"uris":["http://www.mendeley.com/documents/?uuid=b914b113-0070-401a-b087-db6caa8fb0a3"]}],"mendeley":{"formattedCitation":"(Albornoz, 2001; Moran, 2012)","plainTextFormattedCitation":"(Albornoz, 2001; Moran, 2012)","previouslyFormattedCitation":"(Albornoz, 2001; Moran, 2012)"},"properties":{"noteIndex":0},"schema":"https://github.com/citation-style-language/schema/raw/master/csl-citation.json"}</w:instrText>
      </w:r>
      <w:r w:rsidR="009F5C98">
        <w:rPr>
          <w:rFonts w:ascii="Times New Roman" w:hAnsi="Times New Roman" w:cs="Times New Roman"/>
          <w:lang w:val="es-CL"/>
        </w:rPr>
        <w:fldChar w:fldCharType="separate"/>
      </w:r>
      <w:r w:rsidR="009F5C98" w:rsidRPr="009F5C98">
        <w:rPr>
          <w:rFonts w:ascii="Times New Roman" w:hAnsi="Times New Roman" w:cs="Times New Roman"/>
          <w:noProof/>
          <w:lang w:val="es-CL"/>
        </w:rPr>
        <w:t>(Albornoz, 2001; Moran, 2012)</w:t>
      </w:r>
      <w:r w:rsidR="009F5C98">
        <w:rPr>
          <w:rFonts w:ascii="Times New Roman" w:hAnsi="Times New Roman" w:cs="Times New Roman"/>
          <w:lang w:val="es-CL"/>
        </w:rPr>
        <w:fldChar w:fldCharType="end"/>
      </w:r>
      <w:r w:rsidRPr="00C36520">
        <w:rPr>
          <w:rFonts w:ascii="Times New Roman" w:hAnsi="Times New Roman" w:cs="Times New Roman"/>
          <w:lang w:val="es-CL"/>
        </w:rPr>
        <w:t xml:space="preserve">. Los primeros desplazamientos desde el financiamiento directo hacia modelos concursables espejaron globalmente a instituciones europeas y estadounidenses, como la </w:t>
      </w:r>
      <w:proofErr w:type="spellStart"/>
      <w:r w:rsidRPr="009F5C98">
        <w:rPr>
          <w:rFonts w:ascii="Times New Roman" w:hAnsi="Times New Roman" w:cs="Times New Roman"/>
          <w:i/>
          <w:iCs/>
          <w:lang w:val="es-CL"/>
        </w:rPr>
        <w:t>National</w:t>
      </w:r>
      <w:proofErr w:type="spellEnd"/>
      <w:r w:rsidRPr="009F5C98">
        <w:rPr>
          <w:rFonts w:ascii="Times New Roman" w:hAnsi="Times New Roman" w:cs="Times New Roman"/>
          <w:i/>
          <w:iCs/>
          <w:lang w:val="es-CL"/>
        </w:rPr>
        <w:t xml:space="preserve"> </w:t>
      </w:r>
      <w:proofErr w:type="spellStart"/>
      <w:r w:rsidRPr="009F5C98">
        <w:rPr>
          <w:rFonts w:ascii="Times New Roman" w:hAnsi="Times New Roman" w:cs="Times New Roman"/>
          <w:i/>
          <w:iCs/>
          <w:lang w:val="es-CL"/>
        </w:rPr>
        <w:t>Science</w:t>
      </w:r>
      <w:proofErr w:type="spellEnd"/>
      <w:r w:rsidRPr="009F5C98">
        <w:rPr>
          <w:rFonts w:ascii="Times New Roman" w:hAnsi="Times New Roman" w:cs="Times New Roman"/>
          <w:i/>
          <w:iCs/>
          <w:lang w:val="es-CL"/>
        </w:rPr>
        <w:t xml:space="preserve"> </w:t>
      </w:r>
      <w:proofErr w:type="spellStart"/>
      <w:r w:rsidRPr="009F5C98">
        <w:rPr>
          <w:rFonts w:ascii="Times New Roman" w:hAnsi="Times New Roman" w:cs="Times New Roman"/>
          <w:i/>
          <w:iCs/>
          <w:lang w:val="es-CL"/>
        </w:rPr>
        <w:t>Foundation</w:t>
      </w:r>
      <w:proofErr w:type="spellEnd"/>
      <w:r w:rsidR="009F5C98">
        <w:rPr>
          <w:rFonts w:ascii="Times New Roman" w:hAnsi="Times New Roman" w:cs="Times New Roman"/>
          <w:i/>
          <w:iCs/>
          <w:lang w:val="es-CL"/>
        </w:rPr>
        <w:t xml:space="preserve"> </w:t>
      </w:r>
      <w:r w:rsidR="009F5C98" w:rsidRPr="009F5C98">
        <w:rPr>
          <w:rFonts w:ascii="Times New Roman" w:hAnsi="Times New Roman" w:cs="Times New Roman"/>
          <w:lang w:val="es-CL"/>
        </w:rPr>
        <w:t>(EEUU)</w:t>
      </w:r>
      <w:r w:rsidRPr="00C36520">
        <w:rPr>
          <w:rFonts w:ascii="Times New Roman" w:hAnsi="Times New Roman" w:cs="Times New Roman"/>
          <w:lang w:val="es-CL"/>
        </w:rPr>
        <w:t xml:space="preserve">, el </w:t>
      </w:r>
      <w:proofErr w:type="spellStart"/>
      <w:r w:rsidRPr="009F5C98">
        <w:rPr>
          <w:rFonts w:ascii="Times New Roman" w:hAnsi="Times New Roman" w:cs="Times New Roman"/>
          <w:i/>
          <w:iCs/>
          <w:lang w:val="es-CL"/>
        </w:rPr>
        <w:t>National</w:t>
      </w:r>
      <w:proofErr w:type="spellEnd"/>
      <w:r w:rsidRPr="009F5C98">
        <w:rPr>
          <w:rFonts w:ascii="Times New Roman" w:hAnsi="Times New Roman" w:cs="Times New Roman"/>
          <w:i/>
          <w:iCs/>
          <w:lang w:val="es-CL"/>
        </w:rPr>
        <w:t xml:space="preserve"> </w:t>
      </w:r>
      <w:proofErr w:type="spellStart"/>
      <w:r w:rsidRPr="009F5C98">
        <w:rPr>
          <w:rFonts w:ascii="Times New Roman" w:hAnsi="Times New Roman" w:cs="Times New Roman"/>
          <w:i/>
          <w:iCs/>
          <w:lang w:val="es-CL"/>
        </w:rPr>
        <w:t>Endowment</w:t>
      </w:r>
      <w:proofErr w:type="spellEnd"/>
      <w:r w:rsidRPr="009F5C98">
        <w:rPr>
          <w:rFonts w:ascii="Times New Roman" w:hAnsi="Times New Roman" w:cs="Times New Roman"/>
          <w:i/>
          <w:iCs/>
          <w:lang w:val="es-CL"/>
        </w:rPr>
        <w:t xml:space="preserve"> </w:t>
      </w:r>
      <w:proofErr w:type="spellStart"/>
      <w:r w:rsidRPr="009F5C98">
        <w:rPr>
          <w:rFonts w:ascii="Times New Roman" w:hAnsi="Times New Roman" w:cs="Times New Roman"/>
          <w:i/>
          <w:iCs/>
          <w:lang w:val="es-CL"/>
        </w:rPr>
        <w:t>for</w:t>
      </w:r>
      <w:proofErr w:type="spellEnd"/>
      <w:r w:rsidRPr="009F5C98">
        <w:rPr>
          <w:rFonts w:ascii="Times New Roman" w:hAnsi="Times New Roman" w:cs="Times New Roman"/>
          <w:i/>
          <w:iCs/>
          <w:lang w:val="es-CL"/>
        </w:rPr>
        <w:t xml:space="preserve"> </w:t>
      </w:r>
      <w:proofErr w:type="spellStart"/>
      <w:r w:rsidRPr="009F5C98">
        <w:rPr>
          <w:rFonts w:ascii="Times New Roman" w:hAnsi="Times New Roman" w:cs="Times New Roman"/>
          <w:i/>
          <w:iCs/>
          <w:lang w:val="es-CL"/>
        </w:rPr>
        <w:t>the</w:t>
      </w:r>
      <w:proofErr w:type="spellEnd"/>
      <w:r w:rsidRPr="009F5C98">
        <w:rPr>
          <w:rFonts w:ascii="Times New Roman" w:hAnsi="Times New Roman" w:cs="Times New Roman"/>
          <w:i/>
          <w:iCs/>
          <w:lang w:val="es-CL"/>
        </w:rPr>
        <w:t xml:space="preserve"> Arts</w:t>
      </w:r>
      <w:r w:rsidRPr="00C36520">
        <w:rPr>
          <w:rFonts w:ascii="Times New Roman" w:hAnsi="Times New Roman" w:cs="Times New Roman"/>
          <w:lang w:val="es-CL"/>
        </w:rPr>
        <w:t xml:space="preserve"> </w:t>
      </w:r>
      <w:r w:rsidR="009F5C98">
        <w:rPr>
          <w:rFonts w:ascii="Times New Roman" w:hAnsi="Times New Roman" w:cs="Times New Roman"/>
          <w:lang w:val="es-CL"/>
        </w:rPr>
        <w:t xml:space="preserve">(EEUU) </w:t>
      </w:r>
      <w:r w:rsidRPr="00C36520">
        <w:rPr>
          <w:rFonts w:ascii="Times New Roman" w:hAnsi="Times New Roman" w:cs="Times New Roman"/>
          <w:lang w:val="es-CL"/>
        </w:rPr>
        <w:t xml:space="preserve">o el </w:t>
      </w:r>
      <w:r w:rsidRPr="009F5C98">
        <w:rPr>
          <w:rFonts w:ascii="Times New Roman" w:hAnsi="Times New Roman" w:cs="Times New Roman"/>
          <w:i/>
          <w:iCs/>
          <w:lang w:val="es-CL"/>
        </w:rPr>
        <w:t xml:space="preserve">Arts Council </w:t>
      </w:r>
      <w:proofErr w:type="spellStart"/>
      <w:r w:rsidRPr="009F5C98">
        <w:rPr>
          <w:rFonts w:ascii="Times New Roman" w:hAnsi="Times New Roman" w:cs="Times New Roman"/>
          <w:i/>
          <w:iCs/>
          <w:lang w:val="es-CL"/>
        </w:rPr>
        <w:t>of</w:t>
      </w:r>
      <w:proofErr w:type="spellEnd"/>
      <w:r w:rsidRPr="009F5C98">
        <w:rPr>
          <w:rFonts w:ascii="Times New Roman" w:hAnsi="Times New Roman" w:cs="Times New Roman"/>
          <w:i/>
          <w:iCs/>
          <w:lang w:val="es-CL"/>
        </w:rPr>
        <w:t xml:space="preserve"> Great Britain</w:t>
      </w:r>
      <w:r w:rsidRPr="00C36520">
        <w:rPr>
          <w:rFonts w:ascii="Times New Roman" w:hAnsi="Times New Roman" w:cs="Times New Roman"/>
          <w:lang w:val="es-CL"/>
        </w:rPr>
        <w:t xml:space="preserve"> </w:t>
      </w:r>
      <w:r w:rsidR="009F5C98">
        <w:rPr>
          <w:rFonts w:ascii="Times New Roman" w:hAnsi="Times New Roman" w:cs="Times New Roman"/>
          <w:lang w:val="es-CL"/>
        </w:rPr>
        <w:t xml:space="preserve"> </w:t>
      </w:r>
      <w:r w:rsidR="009F5C98">
        <w:rPr>
          <w:rFonts w:ascii="Times New Roman" w:hAnsi="Times New Roman" w:cs="Times New Roman"/>
          <w:lang w:val="es-CL"/>
        </w:rPr>
        <w:fldChar w:fldCharType="begin" w:fldLock="1"/>
      </w:r>
      <w:r w:rsidR="009F5C98">
        <w:rPr>
          <w:rFonts w:ascii="Times New Roman" w:hAnsi="Times New Roman" w:cs="Times New Roman"/>
          <w:lang w:val="es-CL"/>
        </w:rPr>
        <w:instrText>ADDIN CSL_CITATION {"citationItems":[{"id":"ITEM-1","itemData":{"author":[{"dropping-particle":"","family":"Albornoz","given":"Mario","non-dropping-particle":"","parse-names":false,"suffix":""}],"container-title":"Revista Iberoamericana de Ciencia, Tecnología y sociedad","id":"ITEM-1","issued":{"date-parts":[["2001"]]},"title":"Política Científica y Tecnológica: Una visión desde América Latina","type":"article-journal","volume":"1"},"uris":["http://www.mendeley.com/documents/?uuid=451e26cb-47e8-41cc-83c8-d4a4b0c2ee96"]},{"id":"ITEM-2","itemData":{"ISBN":"091540074X","editor":[{"dropping-particle":"","family":"Cummings","given":"Milton C. Jr.","non-dropping-particle":"","parse-names":false,"suffix":""},{"dropping-particle":"","family":"Davidson Schuster","given":"J. Mark","non-dropping-particle":"","parse-names":false,"suffix":""}],"id":"ITEM-2","issued":{"date-parts":[["1989"]]},"publisher":"ACA Books","title":"Who's To Pay for The Arts? The International Search for Models of Support","type":"book"},"uris":["http://www.mendeley.com/documents/?uuid=35a482db-8545-4f3a-ae42-cc6bf6f47b45"]}],"mendeley":{"formattedCitation":"(Albornoz, 2001; Cummings &amp; Davidson Schuster, 1989)","plainTextFormattedCitation":"(Albornoz, 2001; Cummings &amp; Davidson Schuster, 1989)","previouslyFormattedCitation":"(Albornoz, 2001; Cummings &amp; Davidson Schuster, 1989)"},"properties":{"noteIndex":0},"schema":"https://github.com/citation-style-language/schema/raw/master/csl-citation.json"}</w:instrText>
      </w:r>
      <w:r w:rsidR="009F5C98">
        <w:rPr>
          <w:rFonts w:ascii="Times New Roman" w:hAnsi="Times New Roman" w:cs="Times New Roman"/>
          <w:lang w:val="es-CL"/>
        </w:rPr>
        <w:fldChar w:fldCharType="separate"/>
      </w:r>
      <w:r w:rsidR="009F5C98" w:rsidRPr="009F5C98">
        <w:rPr>
          <w:rFonts w:ascii="Times New Roman" w:hAnsi="Times New Roman" w:cs="Times New Roman"/>
          <w:noProof/>
          <w:lang w:val="es-CL"/>
        </w:rPr>
        <w:t>(Albornoz, 2001; Cummings &amp; Davidson Schuster, 1989)</w:t>
      </w:r>
      <w:r w:rsidR="009F5C98">
        <w:rPr>
          <w:rFonts w:ascii="Times New Roman" w:hAnsi="Times New Roman" w:cs="Times New Roman"/>
          <w:lang w:val="es-CL"/>
        </w:rPr>
        <w:fldChar w:fldCharType="end"/>
      </w:r>
      <w:r w:rsidRPr="00C36520">
        <w:rPr>
          <w:rFonts w:ascii="Times New Roman" w:hAnsi="Times New Roman" w:cs="Times New Roman"/>
          <w:lang w:val="es-CL"/>
        </w:rPr>
        <w:t xml:space="preserve">. Las instituciones latinoamericanas del siglo XX </w:t>
      </w:r>
      <w:r w:rsidR="009F5C98">
        <w:rPr>
          <w:rFonts w:ascii="Times New Roman" w:hAnsi="Times New Roman" w:cs="Times New Roman"/>
          <w:lang w:val="es-CL"/>
        </w:rPr>
        <w:t>(</w:t>
      </w:r>
      <w:r w:rsidRPr="00C36520">
        <w:rPr>
          <w:rFonts w:ascii="Times New Roman" w:hAnsi="Times New Roman" w:cs="Times New Roman"/>
          <w:lang w:val="es-CL"/>
        </w:rPr>
        <w:t xml:space="preserve">el </w:t>
      </w:r>
      <w:proofErr w:type="spellStart"/>
      <w:r w:rsidRPr="00C36520">
        <w:rPr>
          <w:rFonts w:ascii="Times New Roman" w:hAnsi="Times New Roman" w:cs="Times New Roman"/>
          <w:lang w:val="es-CL"/>
        </w:rPr>
        <w:t>CNPq</w:t>
      </w:r>
      <w:proofErr w:type="spellEnd"/>
      <w:r w:rsidRPr="00C36520">
        <w:rPr>
          <w:rFonts w:ascii="Times New Roman" w:hAnsi="Times New Roman" w:cs="Times New Roman"/>
          <w:lang w:val="es-CL"/>
        </w:rPr>
        <w:t xml:space="preserve"> brasileño, el CONICET argentino</w:t>
      </w:r>
      <w:r w:rsidR="009F5C98">
        <w:rPr>
          <w:rFonts w:ascii="Times New Roman" w:hAnsi="Times New Roman" w:cs="Times New Roman"/>
          <w:lang w:val="es-CL"/>
        </w:rPr>
        <w:t>)</w:t>
      </w:r>
      <w:r w:rsidRPr="00C36520">
        <w:rPr>
          <w:rFonts w:ascii="Times New Roman" w:hAnsi="Times New Roman" w:cs="Times New Roman"/>
          <w:lang w:val="es-CL"/>
        </w:rPr>
        <w:t xml:space="preserve"> incorporaron componentes concursables bajo las presiones económicas </w:t>
      </w:r>
      <w:r w:rsidR="009F5C98">
        <w:rPr>
          <w:rFonts w:ascii="Times New Roman" w:hAnsi="Times New Roman" w:cs="Times New Roman"/>
          <w:lang w:val="es-CL"/>
        </w:rPr>
        <w:t>neo</w:t>
      </w:r>
      <w:r w:rsidRPr="00C36520">
        <w:rPr>
          <w:rFonts w:ascii="Times New Roman" w:hAnsi="Times New Roman" w:cs="Times New Roman"/>
          <w:lang w:val="es-CL"/>
        </w:rPr>
        <w:t>liberales de la segunda mitad del siglo</w:t>
      </w:r>
      <w:r w:rsidR="009F5C98">
        <w:rPr>
          <w:rFonts w:ascii="Times New Roman" w:hAnsi="Times New Roman" w:cs="Times New Roman"/>
          <w:lang w:val="es-CL"/>
        </w:rPr>
        <w:t xml:space="preserve"> </w:t>
      </w:r>
      <w:r w:rsidR="009F5C98">
        <w:rPr>
          <w:rFonts w:ascii="Times New Roman" w:hAnsi="Times New Roman" w:cs="Times New Roman"/>
          <w:lang w:val="es-CL"/>
        </w:rPr>
        <w:fldChar w:fldCharType="begin" w:fldLock="1"/>
      </w:r>
      <w:r w:rsidR="009F5C98">
        <w:rPr>
          <w:rFonts w:ascii="Times New Roman" w:hAnsi="Times New Roman" w:cs="Times New Roman"/>
          <w:lang w:val="es-CL"/>
        </w:rPr>
        <w:instrText>ADDIN CSL_CITATION {"citationItems":[{"id":"ITEM-1","itemData":{"author":[{"dropping-particle":"","family":"Albornoz","given":"Mario","non-dropping-particle":"","parse-names":false,"suffix":""}],"container-title":"Revista Iberoamericana de Ciencia, Tecnología y sociedad","id":"ITEM-1","issued":{"date-parts":[["2001"]]},"title":"Política Científica y Tecnológica: Una visión desde América Latina","type":"article-journal","volume":"1"},"uris":["http://www.mendeley.com/documents/?uuid=451e26cb-47e8-41cc-83c8-d4a4b0c2ee96"]}],"mendeley":{"formattedCitation":"(Albornoz, 2001)","plainTextFormattedCitation":"(Albornoz, 2001)","previouslyFormattedCitation":"(Albornoz, 2001)"},"properties":{"noteIndex":0},"schema":"https://github.com/citation-style-language/schema/raw/master/csl-citation.json"}</w:instrText>
      </w:r>
      <w:r w:rsidR="009F5C98">
        <w:rPr>
          <w:rFonts w:ascii="Times New Roman" w:hAnsi="Times New Roman" w:cs="Times New Roman"/>
          <w:lang w:val="es-CL"/>
        </w:rPr>
        <w:fldChar w:fldCharType="separate"/>
      </w:r>
      <w:r w:rsidR="009F5C98" w:rsidRPr="009F5C98">
        <w:rPr>
          <w:rFonts w:ascii="Times New Roman" w:hAnsi="Times New Roman" w:cs="Times New Roman"/>
          <w:noProof/>
          <w:lang w:val="es-CL"/>
        </w:rPr>
        <w:t>(Albornoz, 2001)</w:t>
      </w:r>
      <w:r w:rsidR="009F5C98">
        <w:rPr>
          <w:rFonts w:ascii="Times New Roman" w:hAnsi="Times New Roman" w:cs="Times New Roman"/>
          <w:lang w:val="es-CL"/>
        </w:rPr>
        <w:fldChar w:fldCharType="end"/>
      </w:r>
      <w:r w:rsidR="009F5C98">
        <w:rPr>
          <w:rFonts w:ascii="Times New Roman" w:hAnsi="Times New Roman" w:cs="Times New Roman"/>
          <w:lang w:val="es-CL"/>
        </w:rPr>
        <w:t>.</w:t>
      </w:r>
    </w:p>
    <w:p w14:paraId="616AF0E1" w14:textId="1D0462DB"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El argumento de esta investigación es que la separación entre ambos dominios, que la institucionalidad chilena reproduce con nitidez, es un producto histórico reciente que ha sido </w:t>
      </w:r>
      <w:proofErr w:type="spellStart"/>
      <w:r w:rsidRPr="00C36520">
        <w:rPr>
          <w:rFonts w:ascii="Times New Roman" w:hAnsi="Times New Roman" w:cs="Times New Roman"/>
          <w:lang w:val="es-CL"/>
        </w:rPr>
        <w:t>esencializado</w:t>
      </w:r>
      <w:proofErr w:type="spellEnd"/>
      <w:r w:rsidRPr="00C36520">
        <w:rPr>
          <w:rFonts w:ascii="Times New Roman" w:hAnsi="Times New Roman" w:cs="Times New Roman"/>
          <w:lang w:val="es-CL"/>
        </w:rPr>
        <w:t xml:space="preserve"> </w:t>
      </w:r>
      <w:r w:rsidR="009F5C98">
        <w:rPr>
          <w:rFonts w:ascii="Times New Roman" w:hAnsi="Times New Roman" w:cs="Times New Roman"/>
          <w:lang w:val="es-CL"/>
        </w:rPr>
        <w:fldChar w:fldCharType="begin" w:fldLock="1"/>
      </w:r>
      <w:r w:rsidR="00B0605B">
        <w:rPr>
          <w:rFonts w:ascii="Times New Roman" w:hAnsi="Times New Roman" w:cs="Times New Roman"/>
          <w:lang w:val="es-CL"/>
        </w:rPr>
        <w:instrText>ADDIN CSL_CITATION {"citationItems":[{"id":"ITEM-1","itemData":{"author":[{"dropping-particle":"","family":"Bouterse","given":"Jeroen","non-dropping-particle":"","parse-names":false,"suffix":""},{"dropping-particle":"","family":"Karstens","given":"Bart","non-dropping-particle":"","parse-names":false,"suffix":""}],"container-title":"Isis","id":"ITEM-1","issue":"2","issued":{"date-parts":[["2015"]]},"page":"341-352","title":"A Diversity of Divisions: Tracing the History of the Demarcation between the Sciences and the Humanities","type":"article-journal","volume":"106"},"uris":["http://www.mendeley.com/documents/?uuid=7abc7dd5-ea64-470b-8a7f-5a50bafe2f35"]}],"mendeley":{"formattedCitation":"(Bouterse &amp; Karstens, 2015)","plainTextFormattedCitation":"(Bouterse &amp; Karstens, 2015)","previouslyFormattedCitation":"(Bouterse &amp; Karstens, 2015)"},"properties":{"noteIndex":0},"schema":"https://github.com/citation-style-language/schema/raw/master/csl-citation.json"}</w:instrText>
      </w:r>
      <w:r w:rsidR="009F5C98">
        <w:rPr>
          <w:rFonts w:ascii="Times New Roman" w:hAnsi="Times New Roman" w:cs="Times New Roman"/>
          <w:lang w:val="es-CL"/>
        </w:rPr>
        <w:fldChar w:fldCharType="separate"/>
      </w:r>
      <w:r w:rsidR="009F5C98" w:rsidRPr="009F5C98">
        <w:rPr>
          <w:rFonts w:ascii="Times New Roman" w:hAnsi="Times New Roman" w:cs="Times New Roman"/>
          <w:noProof/>
          <w:lang w:val="es-CL"/>
        </w:rPr>
        <w:t>(Bouterse &amp; Karstens, 2015)</w:t>
      </w:r>
      <w:r w:rsidR="009F5C98">
        <w:rPr>
          <w:rFonts w:ascii="Times New Roman" w:hAnsi="Times New Roman" w:cs="Times New Roman"/>
          <w:lang w:val="es-CL"/>
        </w:rPr>
        <w:fldChar w:fldCharType="end"/>
      </w:r>
      <w:r w:rsidRPr="00C36520">
        <w:rPr>
          <w:rFonts w:ascii="Times New Roman" w:hAnsi="Times New Roman" w:cs="Times New Roman"/>
          <w:lang w:val="es-CL"/>
        </w:rPr>
        <w:t xml:space="preserve">. </w:t>
      </w:r>
      <w:r w:rsidR="009F5C98">
        <w:rPr>
          <w:rFonts w:ascii="Times New Roman" w:hAnsi="Times New Roman" w:cs="Times New Roman"/>
          <w:lang w:val="es-CL"/>
        </w:rPr>
        <w:t>Pese a esto, e</w:t>
      </w:r>
      <w:r w:rsidRPr="00C36520">
        <w:rPr>
          <w:rFonts w:ascii="Times New Roman" w:hAnsi="Times New Roman" w:cs="Times New Roman"/>
          <w:lang w:val="es-CL"/>
        </w:rPr>
        <w:t xml:space="preserve">xisten razones para tratarlos como un único </w:t>
      </w:r>
      <w:r w:rsidRPr="009F5C98">
        <w:rPr>
          <w:rFonts w:ascii="Times New Roman" w:hAnsi="Times New Roman" w:cs="Times New Roman"/>
          <w:i/>
          <w:iCs/>
          <w:lang w:val="es-CL"/>
        </w:rPr>
        <w:t>policy</w:t>
      </w:r>
      <w:r w:rsidRPr="00C36520">
        <w:rPr>
          <w:rFonts w:ascii="Times New Roman" w:hAnsi="Times New Roman" w:cs="Times New Roman"/>
          <w:lang w:val="es-CL"/>
        </w:rPr>
        <w:t xml:space="preserve"> </w:t>
      </w:r>
      <w:r w:rsidRPr="009F5C98">
        <w:rPr>
          <w:rFonts w:ascii="Times New Roman" w:hAnsi="Times New Roman" w:cs="Times New Roman"/>
          <w:i/>
          <w:iCs/>
          <w:lang w:val="es-CL"/>
        </w:rPr>
        <w:t>mix</w:t>
      </w:r>
      <w:r w:rsidRPr="00C36520">
        <w:rPr>
          <w:rFonts w:ascii="Times New Roman" w:hAnsi="Times New Roman" w:cs="Times New Roman"/>
          <w:lang w:val="es-CL"/>
        </w:rPr>
        <w:t>: los instrumentos tienen arquitecturas casi idénticas</w:t>
      </w:r>
      <w:r w:rsidR="009F5C98">
        <w:rPr>
          <w:rFonts w:ascii="Times New Roman" w:hAnsi="Times New Roman" w:cs="Times New Roman"/>
          <w:lang w:val="es-CL"/>
        </w:rPr>
        <w:t xml:space="preserve">, al incluir </w:t>
      </w:r>
      <w:r w:rsidRPr="00C36520">
        <w:rPr>
          <w:rFonts w:ascii="Times New Roman" w:hAnsi="Times New Roman" w:cs="Times New Roman"/>
          <w:lang w:val="es-CL"/>
        </w:rPr>
        <w:t>convocatoria</w:t>
      </w:r>
      <w:r w:rsidR="009F5C98">
        <w:rPr>
          <w:rFonts w:ascii="Times New Roman" w:hAnsi="Times New Roman" w:cs="Times New Roman"/>
          <w:lang w:val="es-CL"/>
        </w:rPr>
        <w:t>s</w:t>
      </w:r>
      <w:r w:rsidRPr="00C36520">
        <w:rPr>
          <w:rFonts w:ascii="Times New Roman" w:hAnsi="Times New Roman" w:cs="Times New Roman"/>
          <w:lang w:val="es-CL"/>
        </w:rPr>
        <w:t>, bases, formularios, comités de evaluación</w:t>
      </w:r>
      <w:r w:rsidR="009F5C98">
        <w:rPr>
          <w:rFonts w:ascii="Times New Roman" w:hAnsi="Times New Roman" w:cs="Times New Roman"/>
          <w:lang w:val="es-CL"/>
        </w:rPr>
        <w:t xml:space="preserve"> y </w:t>
      </w:r>
      <w:r w:rsidRPr="00C36520">
        <w:rPr>
          <w:rFonts w:ascii="Times New Roman" w:hAnsi="Times New Roman" w:cs="Times New Roman"/>
          <w:lang w:val="es-CL"/>
        </w:rPr>
        <w:t>rendición</w:t>
      </w:r>
      <w:r w:rsidR="009F5C98">
        <w:rPr>
          <w:rFonts w:ascii="Times New Roman" w:hAnsi="Times New Roman" w:cs="Times New Roman"/>
          <w:lang w:val="es-CL"/>
        </w:rPr>
        <w:t xml:space="preserve"> final</w:t>
      </w:r>
      <w:r w:rsidRPr="00C36520">
        <w:rPr>
          <w:rFonts w:ascii="Times New Roman" w:hAnsi="Times New Roman" w:cs="Times New Roman"/>
          <w:lang w:val="es-CL"/>
        </w:rPr>
        <w:t>; sus destinatarios se solapan de manera significativa, sobre todo en el mundo universitario; y ambos dominios comparten los mismos cuestionamientos públicos sobre pertinencia, eficacia y distribución territorial.</w:t>
      </w:r>
    </w:p>
    <w:p w14:paraId="5EA7CF96" w14:textId="77777777" w:rsidR="00C36520" w:rsidRPr="009F5C98" w:rsidRDefault="00C36520" w:rsidP="00C36520">
      <w:pPr>
        <w:spacing w:line="240" w:lineRule="auto"/>
        <w:jc w:val="both"/>
        <w:rPr>
          <w:rFonts w:ascii="Times New Roman" w:hAnsi="Times New Roman" w:cs="Times New Roman"/>
          <w:b/>
          <w:bCs/>
          <w:lang w:val="es-CL"/>
        </w:rPr>
      </w:pPr>
      <w:r w:rsidRPr="009F5C98">
        <w:rPr>
          <w:rFonts w:ascii="Times New Roman" w:hAnsi="Times New Roman" w:cs="Times New Roman"/>
          <w:b/>
          <w:bCs/>
          <w:lang w:val="es-CL"/>
        </w:rPr>
        <w:t>Las particularidades del caso chileno</w:t>
      </w:r>
    </w:p>
    <w:p w14:paraId="66D3A440" w14:textId="72E21BC8"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El financiamiento científico chileno se concursabilizó </w:t>
      </w:r>
      <w:r w:rsidR="00B0605B">
        <w:rPr>
          <w:rFonts w:ascii="Times New Roman" w:hAnsi="Times New Roman" w:cs="Times New Roman"/>
          <w:lang w:val="es-CL"/>
        </w:rPr>
        <w:t>durante la última dictadura. E</w:t>
      </w:r>
      <w:r w:rsidRPr="00C36520">
        <w:rPr>
          <w:rFonts w:ascii="Times New Roman" w:hAnsi="Times New Roman" w:cs="Times New Roman"/>
          <w:lang w:val="es-CL"/>
        </w:rPr>
        <w:t xml:space="preserve">n 1981, la Junta Militar creó el Fondo Nacional de Desarrollo Científico y Tecnológico (FONDECYT) como estrategia para financiar la actividad científica con recursos públicos </w:t>
      </w:r>
      <w:r w:rsidR="00B0605B">
        <w:rPr>
          <w:rFonts w:ascii="Times New Roman" w:hAnsi="Times New Roman" w:cs="Times New Roman"/>
          <w:lang w:val="es-CL"/>
        </w:rPr>
        <w:fldChar w:fldCharType="begin" w:fldLock="1"/>
      </w:r>
      <w:r w:rsidR="00B0605B">
        <w:rPr>
          <w:rFonts w:ascii="Times New Roman" w:hAnsi="Times New Roman" w:cs="Times New Roman"/>
          <w:lang w:val="es-CL"/>
        </w:rPr>
        <w:instrText>ADDIN CSL_CITATION {"citationItems":[{"id":"ITEM-1","itemData":{"author":[{"dropping-particle":"","family":"Boisier","given":"María Elena","non-dropping-particle":"","parse-names":false,"suffix":""},{"dropping-particle":"","family":"Cevallos","given":"Rodrigo A.","non-dropping-particle":"","parse-names":false,"suffix":""}],"container-title":"Revista Médica Clínica Las condes","id":"ITEM-1","issue":"1","issued":{"date-parts":[["2019"]]},"page":"19-28","title":"Instrumentos de fomento para la investigación en Chile: Historia reciente, estado actual y desafíos","type":"article-journal","volume":"30"},"uris":["http://www.mendeley.com/documents/?uuid=8f2f4c99-a535-41c2-b3b1-f228be09b5ee"]}],"mendeley":{"formattedCitation":"(Boisier &amp; Cevallos, 2019)","plainTextFormattedCitation":"(Boisier &amp; Cevallos, 2019)","previouslyFormattedCitation":"(Boisier &amp; Cevallos, 2019)"},"properties":{"noteIndex":0},"schema":"https://github.com/citation-style-language/schema/raw/master/csl-citation.json"}</w:instrText>
      </w:r>
      <w:r w:rsidR="00B0605B">
        <w:rPr>
          <w:rFonts w:ascii="Times New Roman" w:hAnsi="Times New Roman" w:cs="Times New Roman"/>
          <w:lang w:val="es-CL"/>
        </w:rPr>
        <w:fldChar w:fldCharType="separate"/>
      </w:r>
      <w:r w:rsidR="00B0605B" w:rsidRPr="00B0605B">
        <w:rPr>
          <w:rFonts w:ascii="Times New Roman" w:hAnsi="Times New Roman" w:cs="Times New Roman"/>
          <w:noProof/>
          <w:lang w:val="es-CL"/>
        </w:rPr>
        <w:t>(Boisier &amp; Cevallos, 2019)</w:t>
      </w:r>
      <w:r w:rsidR="00B0605B">
        <w:rPr>
          <w:rFonts w:ascii="Times New Roman" w:hAnsi="Times New Roman" w:cs="Times New Roman"/>
          <w:lang w:val="es-CL"/>
        </w:rPr>
        <w:fldChar w:fldCharType="end"/>
      </w:r>
      <w:r w:rsidRPr="00C36520">
        <w:rPr>
          <w:rFonts w:ascii="Times New Roman" w:hAnsi="Times New Roman" w:cs="Times New Roman"/>
          <w:lang w:val="es-CL"/>
        </w:rPr>
        <w:t xml:space="preserve">. Las actividades artísticas y culturales, en cambio, no contaron con apoyo estatal </w:t>
      </w:r>
      <w:r w:rsidR="00B0605B">
        <w:rPr>
          <w:rFonts w:ascii="Times New Roman" w:hAnsi="Times New Roman" w:cs="Times New Roman"/>
          <w:lang w:val="es-CL"/>
        </w:rPr>
        <w:t>hasta</w:t>
      </w:r>
      <w:r w:rsidRPr="00C36520">
        <w:rPr>
          <w:rFonts w:ascii="Times New Roman" w:hAnsi="Times New Roman" w:cs="Times New Roman"/>
          <w:lang w:val="es-CL"/>
        </w:rPr>
        <w:t xml:space="preserve"> después de la transición</w:t>
      </w:r>
      <w:r w:rsidR="00B0605B">
        <w:rPr>
          <w:rFonts w:ascii="Times New Roman" w:hAnsi="Times New Roman" w:cs="Times New Roman"/>
          <w:lang w:val="es-CL"/>
        </w:rPr>
        <w:t>. E</w:t>
      </w:r>
      <w:r w:rsidRPr="00C36520">
        <w:rPr>
          <w:rFonts w:ascii="Times New Roman" w:hAnsi="Times New Roman" w:cs="Times New Roman"/>
          <w:lang w:val="es-CL"/>
        </w:rPr>
        <w:t>n 1992, el naciente régimen democrático creó el Fondo Nacional de Desarrollo Cultural y las Artes (FONDART), con claros paralelismos respecto del instrumento creado en dictadura para la investigación científica</w:t>
      </w:r>
      <w:r w:rsidR="00B0605B">
        <w:rPr>
          <w:rFonts w:ascii="Times New Roman" w:hAnsi="Times New Roman" w:cs="Times New Roman"/>
          <w:lang w:val="es-CL"/>
        </w:rPr>
        <w:t xml:space="preserve"> </w:t>
      </w:r>
      <w:r w:rsidR="00B0605B">
        <w:rPr>
          <w:rFonts w:ascii="Times New Roman" w:hAnsi="Times New Roman" w:cs="Times New Roman"/>
          <w:lang w:val="es-CL"/>
        </w:rPr>
        <w:fldChar w:fldCharType="begin" w:fldLock="1"/>
      </w:r>
      <w:r w:rsidR="00B0605B">
        <w:rPr>
          <w:rFonts w:ascii="Times New Roman" w:hAnsi="Times New Roman" w:cs="Times New Roman"/>
          <w:lang w:val="es-CL"/>
        </w:rPr>
        <w:instrText>ADDIN CSL_CITATION {"citationItems":[{"id":"ITEM-1","itemData":{"author":[{"dropping-particle":"","family":"Soto Labbé","given":"María Paulina","non-dropping-particle":"","parse-names":false,"suffix":""}],"container-title":"Periférica","id":"ITEM-1","issued":{"date-parts":[["2011"]]},"page":"320-330","title":"FONDART: Balance político de un instrumento de financiamiento cultural del Chile 1990-2010","type":"article-journal","volume":"21"},"uris":["http://www.mendeley.com/documents/?uuid=c49bf7fc-c7c8-4229-a7b5-68558f879602"]}],"mendeley":{"formattedCitation":"(Soto Labbé, 2011)","plainTextFormattedCitation":"(Soto Labbé, 2011)","previouslyFormattedCitation":"(Soto Labbé, 2011)"},"properties":{"noteIndex":0},"schema":"https://github.com/citation-style-language/schema/raw/master/csl-citation.json"}</w:instrText>
      </w:r>
      <w:r w:rsidR="00B0605B">
        <w:rPr>
          <w:rFonts w:ascii="Times New Roman" w:hAnsi="Times New Roman" w:cs="Times New Roman"/>
          <w:lang w:val="es-CL"/>
        </w:rPr>
        <w:fldChar w:fldCharType="separate"/>
      </w:r>
      <w:r w:rsidR="00B0605B" w:rsidRPr="00B0605B">
        <w:rPr>
          <w:rFonts w:ascii="Times New Roman" w:hAnsi="Times New Roman" w:cs="Times New Roman"/>
          <w:noProof/>
          <w:lang w:val="es-CL"/>
        </w:rPr>
        <w:t>(Soto Labbé, 2011)</w:t>
      </w:r>
      <w:r w:rsidR="00B0605B">
        <w:rPr>
          <w:rFonts w:ascii="Times New Roman" w:hAnsi="Times New Roman" w:cs="Times New Roman"/>
          <w:lang w:val="es-CL"/>
        </w:rPr>
        <w:fldChar w:fldCharType="end"/>
      </w:r>
      <w:r w:rsidRPr="00C36520">
        <w:rPr>
          <w:rFonts w:ascii="Times New Roman" w:hAnsi="Times New Roman" w:cs="Times New Roman"/>
          <w:lang w:val="es-CL"/>
        </w:rPr>
        <w:t xml:space="preserve">. Esta asimetría de </w:t>
      </w:r>
      <w:proofErr w:type="gramStart"/>
      <w:r w:rsidRPr="00C36520">
        <w:rPr>
          <w:rFonts w:ascii="Times New Roman" w:hAnsi="Times New Roman" w:cs="Times New Roman"/>
          <w:lang w:val="es-CL"/>
        </w:rPr>
        <w:t>origen</w:t>
      </w:r>
      <w:proofErr w:type="gramEnd"/>
      <w:r w:rsidRPr="00C36520">
        <w:rPr>
          <w:rFonts w:ascii="Times New Roman" w:hAnsi="Times New Roman" w:cs="Times New Roman"/>
          <w:lang w:val="es-CL"/>
        </w:rPr>
        <w:t xml:space="preserve"> </w:t>
      </w:r>
      <w:r w:rsidR="00B0605B">
        <w:rPr>
          <w:rFonts w:ascii="Times New Roman" w:hAnsi="Times New Roman" w:cs="Times New Roman"/>
          <w:lang w:val="es-CL"/>
        </w:rPr>
        <w:t>pero con continuidad estructural</w:t>
      </w:r>
      <w:r w:rsidRPr="00C36520">
        <w:rPr>
          <w:rFonts w:ascii="Times New Roman" w:hAnsi="Times New Roman" w:cs="Times New Roman"/>
          <w:lang w:val="es-CL"/>
        </w:rPr>
        <w:t xml:space="preserve"> es una de las particularidades notables del caso.</w:t>
      </w:r>
    </w:p>
    <w:p w14:paraId="605127A1" w14:textId="5BED07F1"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Las transformaciones </w:t>
      </w:r>
      <w:proofErr w:type="spellStart"/>
      <w:r w:rsidRPr="00C36520">
        <w:rPr>
          <w:rFonts w:ascii="Times New Roman" w:hAnsi="Times New Roman" w:cs="Times New Roman"/>
          <w:lang w:val="es-CL"/>
        </w:rPr>
        <w:t>postdictatoriales</w:t>
      </w:r>
      <w:proofErr w:type="spellEnd"/>
      <w:r w:rsidRPr="00C36520">
        <w:rPr>
          <w:rFonts w:ascii="Times New Roman" w:hAnsi="Times New Roman" w:cs="Times New Roman"/>
          <w:lang w:val="es-CL"/>
        </w:rPr>
        <w:t xml:space="preserve"> avanzaron gradualmente hacia una proliferación organizacional al interior del Estado. La elección en 2010 del primer gobierno democrático de derecha desde 1990 marcó un punto de inflexión</w:t>
      </w:r>
      <w:r w:rsidR="00B0605B">
        <w:rPr>
          <w:rFonts w:ascii="Times New Roman" w:hAnsi="Times New Roman" w:cs="Times New Roman"/>
          <w:lang w:val="es-CL"/>
        </w:rPr>
        <w:t xml:space="preserve"> </w:t>
      </w:r>
      <w:r w:rsidR="00B0605B">
        <w:rPr>
          <w:rFonts w:ascii="Times New Roman" w:hAnsi="Times New Roman" w:cs="Times New Roman"/>
          <w:lang w:val="es-CL"/>
        </w:rPr>
        <w:fldChar w:fldCharType="begin" w:fldLock="1"/>
      </w:r>
      <w:r w:rsidR="00B0605B">
        <w:rPr>
          <w:rFonts w:ascii="Times New Roman" w:hAnsi="Times New Roman" w:cs="Times New Roman"/>
          <w:lang w:val="es-CL"/>
        </w:rPr>
        <w:instrText>ADDIN CSL_CITATION {"citationItems":[{"id":"ITEM-1","itemData":{"author":[{"dropping-particle":"","family":"Boisier","given":"María Elena","non-dropping-particle":"","parse-names":false,"suffix":""},{"dropping-particle":"","family":"Cevallos","given":"Rodrigo A.","non-dropping-particle":"","parse-names":false,"suffix":""}],"container-title":"Revista Médica Clínica Las condes","id":"ITEM-1","issue":"1","issued":{"date-parts":[["2019"]]},"page":"19-28","title":"Instrumentos de fomento para la investigación en Chile: Historia reciente, estado actual y desafíos","type":"article-journal","volume":"30"},"uris":["http://www.mendeley.com/documents/?uuid=8f2f4c99-a535-41c2-b3b1-f228be09b5ee"]},{"id":"ITEM-2","itemData":{"author":[{"dropping-particle":"","family":"Soto Labbé","given":"María Paulina","non-dropping-particle":"","parse-names":false,"suffix":""}],"container-title":"Periférica","id":"ITEM-2","issued":{"date-parts":[["2011"]]},"page":"320-330","title":"FONDART: Balance político de un instrumento de financiamiento cultural del Chile 1990-2010","type":"article-journal","volume":"21"},"uris":["http://www.mendeley.com/documents/?uuid=c49bf7fc-c7c8-4229-a7b5-68558f879602"]}],"mendeley":{"formattedCitation":"(Boisier &amp; Cevallos, 2019; Soto Labbé, 2011)","plainTextFormattedCitation":"(Boisier &amp; Cevallos, 2019; Soto Labbé, 2011)","previouslyFormattedCitation":"(Boisier &amp; Cevallos, 2019; Soto Labbé, 2011)"},"properties":{"noteIndex":0},"schema":"https://github.com/citation-style-language/schema/raw/master/csl-citation.json"}</w:instrText>
      </w:r>
      <w:r w:rsidR="00B0605B">
        <w:rPr>
          <w:rFonts w:ascii="Times New Roman" w:hAnsi="Times New Roman" w:cs="Times New Roman"/>
          <w:lang w:val="es-CL"/>
        </w:rPr>
        <w:fldChar w:fldCharType="separate"/>
      </w:r>
      <w:r w:rsidR="00B0605B" w:rsidRPr="00B0605B">
        <w:rPr>
          <w:rFonts w:ascii="Times New Roman" w:hAnsi="Times New Roman" w:cs="Times New Roman"/>
          <w:noProof/>
          <w:lang w:val="es-CL"/>
        </w:rPr>
        <w:t>(Boisier &amp; Cevallos, 2019; Soto Labbé, 2011)</w:t>
      </w:r>
      <w:r w:rsidR="00B0605B">
        <w:rPr>
          <w:rFonts w:ascii="Times New Roman" w:hAnsi="Times New Roman" w:cs="Times New Roman"/>
          <w:lang w:val="es-CL"/>
        </w:rPr>
        <w:fldChar w:fldCharType="end"/>
      </w:r>
      <w:r w:rsidRPr="00C36520">
        <w:rPr>
          <w:rFonts w:ascii="Times New Roman" w:hAnsi="Times New Roman" w:cs="Times New Roman"/>
          <w:lang w:val="es-CL"/>
        </w:rPr>
        <w:t xml:space="preserve">: esa administración vio emerger las discusiones públicas que culminarían en la creación del Ministerio de las Culturas, las Artes y el Patrimonio (MINCAP) en 2017 y del Ministerio de Ciencia, Tecnología, Conocimiento e Innovación (MINCTCI) en 2018 </w:t>
      </w:r>
      <w:r w:rsidR="00B0605B">
        <w:rPr>
          <w:rFonts w:ascii="Times New Roman" w:hAnsi="Times New Roman" w:cs="Times New Roman"/>
          <w:lang w:val="es-CL"/>
        </w:rPr>
        <w:fldChar w:fldCharType="begin" w:fldLock="1"/>
      </w:r>
      <w:r w:rsidR="00B0605B">
        <w:rPr>
          <w:rFonts w:ascii="Times New Roman" w:hAnsi="Times New Roman" w:cs="Times New Roman"/>
          <w:lang w:val="es-CL"/>
        </w:rPr>
        <w:instrText>ADDIN CSL_CITATION {"citationItems":[{"id":"ITEM-1","itemData":{"id":"ITEM-1","issued":{"date-parts":[["2017"]]},"title":"Ley N° 21.045","type":"bill"},"uris":["http://www.mendeley.com/documents/?uuid=1a9677ce-736b-3a24-b761-8b965b4eddb1"]},{"id":"ITEM-2","itemData":{"URL":"https://www.bcn.cl/leychile/navegar?idNorma=1121682","accessed":{"date-parts":[["2026","6","1"]]},"id":"ITEM-2","issued":{"date-parts":[["2018"]]},"title":"Ley N° 21.105","type":"webpage"},"uris":["http://www.mendeley.com/documents/?uuid=24d11a06-5771-3aad-b6e5-7f52cb7b337c"]}],"mendeley":{"formattedCitation":"(&lt;i&gt;Ley N° 21.045&lt;/i&gt;, 2017; &lt;i&gt;Ley N° 21.105&lt;/i&gt;, 2018)","plainTextFormattedCitation":"(Ley N° 21.045, 2017; Ley N° 21.105, 2018)","previouslyFormattedCitation":"(&lt;i&gt;Ley N° 21.045&lt;/i&gt;, 2017; &lt;i&gt;Ley N° 21.105&lt;/i&gt;, 2018)"},"properties":{"noteIndex":0},"schema":"https://github.com/citation-style-language/schema/raw/master/csl-citation.json"}</w:instrText>
      </w:r>
      <w:r w:rsidR="00B0605B">
        <w:rPr>
          <w:rFonts w:ascii="Times New Roman" w:hAnsi="Times New Roman" w:cs="Times New Roman"/>
          <w:lang w:val="es-CL"/>
        </w:rPr>
        <w:fldChar w:fldCharType="separate"/>
      </w:r>
      <w:r w:rsidR="00B0605B" w:rsidRPr="00B0605B">
        <w:rPr>
          <w:rFonts w:ascii="Times New Roman" w:hAnsi="Times New Roman" w:cs="Times New Roman"/>
          <w:noProof/>
          <w:lang w:val="es-CL"/>
        </w:rPr>
        <w:t>(</w:t>
      </w:r>
      <w:r w:rsidR="00B0605B" w:rsidRPr="00B0605B">
        <w:rPr>
          <w:rFonts w:ascii="Times New Roman" w:hAnsi="Times New Roman" w:cs="Times New Roman"/>
          <w:i/>
          <w:noProof/>
          <w:lang w:val="es-CL"/>
        </w:rPr>
        <w:t>Ley N° 21.045</w:t>
      </w:r>
      <w:r w:rsidR="00B0605B" w:rsidRPr="00B0605B">
        <w:rPr>
          <w:rFonts w:ascii="Times New Roman" w:hAnsi="Times New Roman" w:cs="Times New Roman"/>
          <w:noProof/>
          <w:lang w:val="es-CL"/>
        </w:rPr>
        <w:t xml:space="preserve">, 2017; </w:t>
      </w:r>
      <w:r w:rsidR="00B0605B" w:rsidRPr="00B0605B">
        <w:rPr>
          <w:rFonts w:ascii="Times New Roman" w:hAnsi="Times New Roman" w:cs="Times New Roman"/>
          <w:i/>
          <w:noProof/>
          <w:lang w:val="es-CL"/>
        </w:rPr>
        <w:t>Ley N° 21.105</w:t>
      </w:r>
      <w:r w:rsidR="00B0605B" w:rsidRPr="00B0605B">
        <w:rPr>
          <w:rFonts w:ascii="Times New Roman" w:hAnsi="Times New Roman" w:cs="Times New Roman"/>
          <w:noProof/>
          <w:lang w:val="es-CL"/>
        </w:rPr>
        <w:t>, 2018)</w:t>
      </w:r>
      <w:r w:rsidR="00B0605B">
        <w:rPr>
          <w:rFonts w:ascii="Times New Roman" w:hAnsi="Times New Roman" w:cs="Times New Roman"/>
          <w:lang w:val="es-CL"/>
        </w:rPr>
        <w:fldChar w:fldCharType="end"/>
      </w:r>
      <w:r w:rsidR="00B0605B">
        <w:rPr>
          <w:rFonts w:ascii="Times New Roman" w:hAnsi="Times New Roman" w:cs="Times New Roman"/>
          <w:lang w:val="es-CL"/>
        </w:rPr>
        <w:t>.</w:t>
      </w:r>
    </w:p>
    <w:p w14:paraId="246A3969" w14:textId="753437DD"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lastRenderedPageBreak/>
        <w:t>Los acercamientos sociológicos y antropológicos a las políticas públicas reconocen que este tipo de reformas exhibe rasgos comunes, especialmente asociados a la construcción sociocultural de una temática como problema público</w:t>
      </w:r>
      <w:r w:rsidR="00B0605B">
        <w:rPr>
          <w:rFonts w:ascii="Times New Roman" w:hAnsi="Times New Roman" w:cs="Times New Roman"/>
          <w:lang w:val="es-CL"/>
        </w:rPr>
        <w:t xml:space="preserve"> </w:t>
      </w:r>
      <w:r w:rsidR="00B0605B">
        <w:rPr>
          <w:rFonts w:ascii="Times New Roman" w:hAnsi="Times New Roman" w:cs="Times New Roman"/>
          <w:lang w:val="es-CL"/>
        </w:rPr>
        <w:fldChar w:fldCharType="begin" w:fldLock="1"/>
      </w:r>
      <w:r w:rsidR="00B0605B">
        <w:rPr>
          <w:rFonts w:ascii="Times New Roman" w:hAnsi="Times New Roman" w:cs="Times New Roman"/>
          <w:lang w:val="es-CL"/>
        </w:rPr>
        <w:instrText>ADDIN CSL_CITATION {"citationItems":[{"id":"ITEM-1","itemData":{"DOI":"10.1177/0002716205276734","ISSN":"00027162","abstract":"As the rational choice model of \"policy\" proliferates in \"policy studies,\" the social sciences, modern governments, organizations, and everyday life, a number of anthropologists are beginning to develop a body of work in the anthropology of public policy that critiques the assumptions of \"policy\" as a legal-rational way of getting things done. While de-masking the framing of public policy questions, an anthropological approach attempts to uncover the constellations of actors, activities, and influences that shape policy decisions, their implementation, and their results. In a rapidly changing world, anthropologists' empirical and ethnographic methods can show how policies actively create new categories of individuals to be governed. They also suggest that the long-established frameworks of \"state\" and \"private,\" \"local\" or \"national\" and \"global,\" \"macro\" and \"micro,\" \"top down\" and \"bottom up,\" and \"centralized\" and \"decentralized\" not only fail to capture current dynamics in the world but actually obfuscate the understanding of many policy processes.","author":[{"dropping-particle":"","family":"Wedel","given":"Janine R.","non-dropping-particle":"","parse-names":false,"suffix":""},{"dropping-particle":"","family":"Shore","given":"Cris","non-dropping-particle":"","parse-names":false,"suffix":""},{"dropping-particle":"","family":"Feldman","given":"Gregory","non-dropping-particle":"","parse-names":false,"suffix":""},{"dropping-particle":"","family":"Lathrop","given":"Stacy","non-dropping-particle":"","parse-names":false,"suffix":""}],"container-title":"Annals of the American Academy of Political and Social Science","id":"ITEM-1","issued":{"date-parts":[["2005"]]},"page":"30-51","title":"Toward an anthropology of public policy","type":"article-journal","volume":"600"},"uris":["http://www.mendeley.com/documents/?uuid=aab75842-ddca-40af-b946-c943281dc457"]}],"mendeley":{"formattedCitation":"(Wedel et al., 2005)","plainTextFormattedCitation":"(Wedel et al., 2005)","previouslyFormattedCitation":"(Wedel et al., 2005)"},"properties":{"noteIndex":0},"schema":"https://github.com/citation-style-language/schema/raw/master/csl-citation.json"}</w:instrText>
      </w:r>
      <w:r w:rsidR="00B0605B">
        <w:rPr>
          <w:rFonts w:ascii="Times New Roman" w:hAnsi="Times New Roman" w:cs="Times New Roman"/>
          <w:lang w:val="es-CL"/>
        </w:rPr>
        <w:fldChar w:fldCharType="separate"/>
      </w:r>
      <w:r w:rsidR="00B0605B" w:rsidRPr="00B0605B">
        <w:rPr>
          <w:rFonts w:ascii="Times New Roman" w:hAnsi="Times New Roman" w:cs="Times New Roman"/>
          <w:noProof/>
          <w:lang w:val="es-CL"/>
        </w:rPr>
        <w:t>(Wedel et al., 2005)</w:t>
      </w:r>
      <w:r w:rsidR="00B0605B">
        <w:rPr>
          <w:rFonts w:ascii="Times New Roman" w:hAnsi="Times New Roman" w:cs="Times New Roman"/>
          <w:lang w:val="es-CL"/>
        </w:rPr>
        <w:fldChar w:fldCharType="end"/>
      </w:r>
      <w:r w:rsidRPr="00C36520">
        <w:rPr>
          <w:rFonts w:ascii="Times New Roman" w:hAnsi="Times New Roman" w:cs="Times New Roman"/>
          <w:lang w:val="es-CL"/>
        </w:rPr>
        <w:t xml:space="preserve">, proceso en el cual los medios de comunicación de masas cumplen un rol clave de mediatización </w:t>
      </w:r>
      <w:r w:rsidR="00B0605B">
        <w:rPr>
          <w:rFonts w:ascii="Times New Roman" w:hAnsi="Times New Roman" w:cs="Times New Roman"/>
          <w:lang w:val="es-CL"/>
        </w:rPr>
        <w:fldChar w:fldCharType="begin" w:fldLock="1"/>
      </w:r>
      <w:r w:rsidR="00B0605B">
        <w:rPr>
          <w:rFonts w:ascii="Times New Roman" w:hAnsi="Times New Roman" w:cs="Times New Roman"/>
          <w:lang w:val="es-CL"/>
        </w:rPr>
        <w:instrText>ADDIN CSL_CITATION {"citationItems":[{"id":"ITEM-1","itemData":{"author":[{"dropping-particle":"","family":"Fleischmann","given":"Matías","non-dropping-particle":"","parse-names":false,"suffix":""}],"id":"ITEM-1","issued":{"date-parts":[["2024"]]},"publisher":"Tesis para optar al grado de Magíster en Análisis Sistémico Aplicado a la Sociedad. Universidad de Chile.","title":"Construcciones de lo público y formas de reciprocidad: El FONDECYT de Antropología en Chile (2013-2020)","type":"thesis"},"uris":["http://www.mendeley.com/documents/?uuid=99d668f3-1dfa-4e4f-8338-3764ec99bbc9"]},{"id":"ITEM-2","itemData":{"author":[{"dropping-particle":"","family":"Weingart","given":"Peter","non-dropping-particle":"","parse-names":false,"suffix":""}],"id":"ITEM-2","issued":{"date-parts":[["2005"]]},"publisher":"Velbrück Wissenschaft","title":"Die Wissenschaft der Öffentlichkeit. Essays zum Verhältnis von Wissenschaft, Medien und Öffentlichkeit","type":"article"},"uris":["http://www.mendeley.com/documents/?uuid=50c93c43-ba6d-4465-bd21-6306cae66681"]}],"mendeley":{"formattedCitation":"(Fleischmann, 2024; Weingart, 2005)","plainTextFormattedCitation":"(Fleischmann, 2024; Weingart, 2005)","previouslyFormattedCitation":"(Fleischmann, 2024; Weingart, 2005)"},"properties":{"noteIndex":0},"schema":"https://github.com/citation-style-language/schema/raw/master/csl-citation.json"}</w:instrText>
      </w:r>
      <w:r w:rsidR="00B0605B">
        <w:rPr>
          <w:rFonts w:ascii="Times New Roman" w:hAnsi="Times New Roman" w:cs="Times New Roman"/>
          <w:lang w:val="es-CL"/>
        </w:rPr>
        <w:fldChar w:fldCharType="separate"/>
      </w:r>
      <w:r w:rsidR="00B0605B" w:rsidRPr="00B0605B">
        <w:rPr>
          <w:rFonts w:ascii="Times New Roman" w:hAnsi="Times New Roman" w:cs="Times New Roman"/>
          <w:noProof/>
          <w:lang w:val="es-CL"/>
        </w:rPr>
        <w:t>(Fleischmann, 2024; Weingart, 2005)</w:t>
      </w:r>
      <w:r w:rsidR="00B0605B">
        <w:rPr>
          <w:rFonts w:ascii="Times New Roman" w:hAnsi="Times New Roman" w:cs="Times New Roman"/>
          <w:lang w:val="es-CL"/>
        </w:rPr>
        <w:fldChar w:fldCharType="end"/>
      </w:r>
      <w:r w:rsidRPr="00C36520">
        <w:rPr>
          <w:rFonts w:ascii="Times New Roman" w:hAnsi="Times New Roman" w:cs="Times New Roman"/>
          <w:lang w:val="es-CL"/>
        </w:rPr>
        <w:t>. Esta mediatización ha sido reconocida como uno de los factores que participan en la proliferación de instrumentos, condición de posibilidad de los policy mixes</w:t>
      </w:r>
      <w:r w:rsidR="00B0605B">
        <w:rPr>
          <w:rFonts w:ascii="Times New Roman" w:hAnsi="Times New Roman" w:cs="Times New Roman"/>
          <w:lang w:val="es-CL"/>
        </w:rPr>
        <w:t xml:space="preserve"> </w:t>
      </w:r>
      <w:r w:rsidR="00B0605B">
        <w:rPr>
          <w:rFonts w:ascii="Times New Roman" w:hAnsi="Times New Roman" w:cs="Times New Roman"/>
          <w:lang w:val="es-CL"/>
        </w:rPr>
        <w:fldChar w:fldCharType="begin" w:fldLock="1"/>
      </w:r>
      <w:r w:rsidR="00B77E5D">
        <w:rPr>
          <w:rFonts w:ascii="Times New Roman" w:hAnsi="Times New Roman" w:cs="Times New Roman"/>
          <w:lang w:val="es-CL"/>
        </w:rPr>
        <w:instrText>ADDIN CSL_CITATION {"citationItems":[{"id":"ITEM-1","itemData":{"DOI":"10.1111/j.1541-0072.2006.00178.x","author":[{"dropping-particle":"","family":"May","given":"Peter J","non-dropping-particle":"","parse-names":false,"suffix":""},{"dropping-particle":"","family":"Sapotichne","given":"Joshua","non-dropping-particle":"","parse-names":false,"suffix":""},{"dropping-particle":"","family":"Workman","given":"Samuel","non-dropping-particle":"","parse-names":false,"suffix":""}],"id":"ITEM-1","issue":"3","issued":{"date-parts":[["2006"]]},"page":"381-403","title":"Policy Coherence and Policy Domains","type":"article-journal","volume":"34"},"uris":["http://www.mendeley.com/documents/?uuid=01ca95be-953d-401f-8bc4-402dc7686e8d"]}],"mendeley":{"formattedCitation":"(May et al., 2006)","plainTextFormattedCitation":"(May et al., 2006)","previouslyFormattedCitation":"(May et al., 2006)"},"properties":{"noteIndex":0},"schema":"https://github.com/citation-style-language/schema/raw/master/csl-citation.json"}</w:instrText>
      </w:r>
      <w:r w:rsidR="00B0605B">
        <w:rPr>
          <w:rFonts w:ascii="Times New Roman" w:hAnsi="Times New Roman" w:cs="Times New Roman"/>
          <w:lang w:val="es-CL"/>
        </w:rPr>
        <w:fldChar w:fldCharType="separate"/>
      </w:r>
      <w:r w:rsidR="00B0605B" w:rsidRPr="00B0605B">
        <w:rPr>
          <w:rFonts w:ascii="Times New Roman" w:hAnsi="Times New Roman" w:cs="Times New Roman"/>
          <w:noProof/>
          <w:lang w:val="es-CL"/>
        </w:rPr>
        <w:t>(May et al., 2006)</w:t>
      </w:r>
      <w:r w:rsidR="00B0605B">
        <w:rPr>
          <w:rFonts w:ascii="Times New Roman" w:hAnsi="Times New Roman" w:cs="Times New Roman"/>
          <w:lang w:val="es-CL"/>
        </w:rPr>
        <w:fldChar w:fldCharType="end"/>
      </w:r>
      <w:r w:rsidRPr="00C36520">
        <w:rPr>
          <w:rFonts w:ascii="Times New Roman" w:hAnsi="Times New Roman" w:cs="Times New Roman"/>
          <w:lang w:val="es-CL"/>
        </w:rPr>
        <w:t xml:space="preserve">. En el caso chileno, las políticas científicas y culturales han estado marcadas por el rol de la prensa en amplificar movimientos sociopolíticos </w:t>
      </w:r>
      <w:r w:rsidR="00B0605B">
        <w:rPr>
          <w:rFonts w:ascii="Times New Roman" w:hAnsi="Times New Roman" w:cs="Times New Roman"/>
          <w:lang w:val="es-CL"/>
        </w:rPr>
        <w:t xml:space="preserve">(ej. </w:t>
      </w:r>
      <w:r w:rsidRPr="00C36520">
        <w:rPr>
          <w:rFonts w:ascii="Times New Roman" w:hAnsi="Times New Roman" w:cs="Times New Roman"/>
          <w:lang w:val="es-CL"/>
        </w:rPr>
        <w:t xml:space="preserve">las movilizaciones estudiantiles de 2011-2012, con epicentro </w:t>
      </w:r>
      <w:r w:rsidR="00B0605B">
        <w:rPr>
          <w:rFonts w:ascii="Times New Roman" w:hAnsi="Times New Roman" w:cs="Times New Roman"/>
          <w:lang w:val="es-CL"/>
        </w:rPr>
        <w:t>en las universidades)</w:t>
      </w:r>
      <w:r w:rsidRPr="00C36520">
        <w:rPr>
          <w:rFonts w:ascii="Times New Roman" w:hAnsi="Times New Roman" w:cs="Times New Roman"/>
          <w:lang w:val="es-CL"/>
        </w:rPr>
        <w:t xml:space="preserve">, las presiones de grupos de interés </w:t>
      </w:r>
      <w:r w:rsidR="00B0605B">
        <w:rPr>
          <w:rFonts w:ascii="Times New Roman" w:hAnsi="Times New Roman" w:cs="Times New Roman"/>
          <w:lang w:val="es-CL"/>
        </w:rPr>
        <w:t xml:space="preserve">(ej. </w:t>
      </w:r>
      <w:r w:rsidRPr="00C36520">
        <w:rPr>
          <w:rFonts w:ascii="Times New Roman" w:hAnsi="Times New Roman" w:cs="Times New Roman"/>
          <w:lang w:val="es-CL"/>
        </w:rPr>
        <w:t>los conglomerados universitarios en las reformas a la educación superior de 2018</w:t>
      </w:r>
      <w:r w:rsidR="00B0605B">
        <w:rPr>
          <w:rFonts w:ascii="Times New Roman" w:hAnsi="Times New Roman" w:cs="Times New Roman"/>
          <w:lang w:val="es-CL"/>
        </w:rPr>
        <w:t>)</w:t>
      </w:r>
      <w:r w:rsidRPr="00C36520">
        <w:rPr>
          <w:rFonts w:ascii="Times New Roman" w:hAnsi="Times New Roman" w:cs="Times New Roman"/>
          <w:lang w:val="es-CL"/>
        </w:rPr>
        <w:t>; las agrupaciones artísticas en la reforma que creó el MINCAP</w:t>
      </w:r>
      <w:r w:rsidR="00B0605B">
        <w:rPr>
          <w:rFonts w:ascii="Times New Roman" w:hAnsi="Times New Roman" w:cs="Times New Roman"/>
          <w:lang w:val="es-CL"/>
        </w:rPr>
        <w:t>,</w:t>
      </w:r>
      <w:r w:rsidRPr="00C36520">
        <w:rPr>
          <w:rFonts w:ascii="Times New Roman" w:hAnsi="Times New Roman" w:cs="Times New Roman"/>
          <w:lang w:val="es-CL"/>
        </w:rPr>
        <w:t xml:space="preserve"> y por expectativas sociales ante eventos disruptivos, como la pandemia por COVID-19 (Rahmer, 2022).</w:t>
      </w:r>
    </w:p>
    <w:p w14:paraId="1A293688" w14:textId="74E07B0D"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Los últimos años han estado atravesados por transformaciones políticas asociadas al gobierno progresista de Gabriel Boric (2022-2026) y al recientemente electo gobierno de derecha conservadora</w:t>
      </w:r>
      <w:r w:rsidR="00B77E5D">
        <w:rPr>
          <w:rFonts w:ascii="Times New Roman" w:hAnsi="Times New Roman" w:cs="Times New Roman"/>
          <w:lang w:val="es-CL"/>
        </w:rPr>
        <w:t xml:space="preserve"> de José Antonio Kast</w:t>
      </w:r>
      <w:r w:rsidRPr="00C36520">
        <w:rPr>
          <w:rFonts w:ascii="Times New Roman" w:hAnsi="Times New Roman" w:cs="Times New Roman"/>
          <w:lang w:val="es-CL"/>
        </w:rPr>
        <w:t xml:space="preserve"> (2026-actualidad). Algunas discusiones han involucrado la distribución regional de recursos provenientes del royalty a la minería del litio</w:t>
      </w:r>
      <w:r w:rsidR="00B77E5D">
        <w:rPr>
          <w:rFonts w:ascii="Times New Roman" w:hAnsi="Times New Roman" w:cs="Times New Roman"/>
          <w:lang w:val="es-CL"/>
        </w:rPr>
        <w:t xml:space="preserve"> </w:t>
      </w:r>
      <w:r w:rsidR="00B77E5D">
        <w:rPr>
          <w:rFonts w:ascii="Times New Roman" w:hAnsi="Times New Roman" w:cs="Times New Roman"/>
          <w:lang w:val="es-CL"/>
        </w:rPr>
        <w:fldChar w:fldCharType="begin" w:fldLock="1"/>
      </w:r>
      <w:r w:rsidR="00B77E5D">
        <w:rPr>
          <w:rFonts w:ascii="Times New Roman" w:hAnsi="Times New Roman" w:cs="Times New Roman"/>
          <w:lang w:val="es-CL"/>
        </w:rPr>
        <w:instrText>ADDIN CSL_CITATION {"citationItems":[{"id":"ITEM-1","itemData":{"URL":"https://www.bcn.cl/leychile/navegar?idNorma=1194982","accessed":{"date-parts":[["2026","7","9"]]},"id":"ITEM-1","issued":{"date-parts":[["2023"]]},"title":"Ley N° 21.591","type":"webpage"},"uris":["http://www.mendeley.com/documents/?uuid=992304b5-6804-3395-9ea5-498266230cca"]}],"mendeley":{"formattedCitation":"(&lt;i&gt;Ley N° 21.591&lt;/i&gt;, 2023)","plainTextFormattedCitation":"(Ley N° 21.591, 2023)","previouslyFormattedCitation":"(&lt;i&gt;Ley N° 21.591&lt;/i&gt;, 2023)"},"properties":{"noteIndex":0},"schema":"https://github.com/citation-style-language/schema/raw/master/csl-citation.json"}</w:instrText>
      </w:r>
      <w:r w:rsidR="00B77E5D">
        <w:rPr>
          <w:rFonts w:ascii="Times New Roman" w:hAnsi="Times New Roman" w:cs="Times New Roman"/>
          <w:lang w:val="es-CL"/>
        </w:rPr>
        <w:fldChar w:fldCharType="separate"/>
      </w:r>
      <w:r w:rsidR="00B77E5D" w:rsidRPr="00B77E5D">
        <w:rPr>
          <w:rFonts w:ascii="Times New Roman" w:hAnsi="Times New Roman" w:cs="Times New Roman"/>
          <w:noProof/>
          <w:lang w:val="es-CL"/>
        </w:rPr>
        <w:t>(</w:t>
      </w:r>
      <w:r w:rsidR="00B77E5D" w:rsidRPr="00B77E5D">
        <w:rPr>
          <w:rFonts w:ascii="Times New Roman" w:hAnsi="Times New Roman" w:cs="Times New Roman"/>
          <w:i/>
          <w:noProof/>
          <w:lang w:val="es-CL"/>
        </w:rPr>
        <w:t>Ley N° 21.591</w:t>
      </w:r>
      <w:r w:rsidR="00B77E5D" w:rsidRPr="00B77E5D">
        <w:rPr>
          <w:rFonts w:ascii="Times New Roman" w:hAnsi="Times New Roman" w:cs="Times New Roman"/>
          <w:noProof/>
          <w:lang w:val="es-CL"/>
        </w:rPr>
        <w:t>, 2023)</w:t>
      </w:r>
      <w:r w:rsidR="00B77E5D">
        <w:rPr>
          <w:rFonts w:ascii="Times New Roman" w:hAnsi="Times New Roman" w:cs="Times New Roman"/>
          <w:lang w:val="es-CL"/>
        </w:rPr>
        <w:fldChar w:fldCharType="end"/>
      </w:r>
      <w:r w:rsidRPr="00C36520">
        <w:rPr>
          <w:rFonts w:ascii="Times New Roman" w:hAnsi="Times New Roman" w:cs="Times New Roman"/>
          <w:lang w:val="es-CL"/>
        </w:rPr>
        <w:t>, los cuestionamientos al desarrollo sostenible como objetivo nacional</w:t>
      </w:r>
      <w:r w:rsidR="00B77E5D">
        <w:rPr>
          <w:rFonts w:ascii="Times New Roman" w:hAnsi="Times New Roman" w:cs="Times New Roman"/>
          <w:lang w:val="es-CL"/>
        </w:rPr>
        <w:t xml:space="preserve"> </w:t>
      </w:r>
      <w:r w:rsidR="00B77E5D">
        <w:rPr>
          <w:rFonts w:ascii="Times New Roman" w:hAnsi="Times New Roman" w:cs="Times New Roman"/>
          <w:lang w:val="es-CL"/>
        </w:rPr>
        <w:fldChar w:fldCharType="begin" w:fldLock="1"/>
      </w:r>
      <w:r w:rsidR="00B77E5D">
        <w:rPr>
          <w:rFonts w:ascii="Times New Roman" w:hAnsi="Times New Roman" w:cs="Times New Roman"/>
          <w:lang w:val="es-CL"/>
        </w:rPr>
        <w:instrText>ADDIN CSL_CITATION {"citationItems":[{"id":"ITEM-1","itemData":{"author":[{"dropping-particle":"","family":"Cossio López","given":"Héctor","non-dropping-particle":"","parse-names":false,"suffix":""}],"container-title":"El Mostrador","id":"ITEM-1","issued":{"date-parts":[["2026","5","16"]]},"title":"Ximena Lincolao bajo el microscopio: “No sabe de ciencias ni le interesa”","type":"article-newspaper"},"uris":["http://www.mendeley.com/documents/?uuid=417fe7d5-d3fb-30f0-96ac-56ebe0da512d"]}],"mendeley":{"formattedCitation":"(Cossio López, 2026)","plainTextFormattedCitation":"(Cossio López, 2026)","previouslyFormattedCitation":"(Cossio López, 2026)"},"properties":{"noteIndex":0},"schema":"https://github.com/citation-style-language/schema/raw/master/csl-citation.json"}</w:instrText>
      </w:r>
      <w:r w:rsidR="00B77E5D">
        <w:rPr>
          <w:rFonts w:ascii="Times New Roman" w:hAnsi="Times New Roman" w:cs="Times New Roman"/>
          <w:lang w:val="es-CL"/>
        </w:rPr>
        <w:fldChar w:fldCharType="separate"/>
      </w:r>
      <w:r w:rsidR="00B77E5D" w:rsidRPr="00B77E5D">
        <w:rPr>
          <w:rFonts w:ascii="Times New Roman" w:hAnsi="Times New Roman" w:cs="Times New Roman"/>
          <w:noProof/>
          <w:lang w:val="es-CL"/>
        </w:rPr>
        <w:t>(Cossio López, 2026)</w:t>
      </w:r>
      <w:r w:rsidR="00B77E5D">
        <w:rPr>
          <w:rFonts w:ascii="Times New Roman" w:hAnsi="Times New Roman" w:cs="Times New Roman"/>
          <w:lang w:val="es-CL"/>
        </w:rPr>
        <w:fldChar w:fldCharType="end"/>
      </w:r>
      <w:r w:rsidRPr="00C36520">
        <w:rPr>
          <w:rFonts w:ascii="Times New Roman" w:hAnsi="Times New Roman" w:cs="Times New Roman"/>
          <w:lang w:val="es-CL"/>
        </w:rPr>
        <w:t xml:space="preserve"> y una naciente crítica ideológica a la necesidad misma de la inversión pública en ciencias, artes y cultura</w:t>
      </w:r>
      <w:r w:rsidR="00B77E5D">
        <w:rPr>
          <w:rFonts w:ascii="Times New Roman" w:hAnsi="Times New Roman" w:cs="Times New Roman"/>
          <w:lang w:val="es-CL"/>
        </w:rPr>
        <w:t xml:space="preserve"> </w:t>
      </w:r>
      <w:r w:rsidR="00B77E5D">
        <w:rPr>
          <w:rFonts w:ascii="Times New Roman" w:hAnsi="Times New Roman" w:cs="Times New Roman"/>
          <w:lang w:val="es-CL"/>
        </w:rPr>
        <w:fldChar w:fldCharType="begin" w:fldLock="1"/>
      </w:r>
      <w:r w:rsidR="00B77E5D">
        <w:rPr>
          <w:rFonts w:ascii="Times New Roman" w:hAnsi="Times New Roman" w:cs="Times New Roman"/>
          <w:lang w:val="es-CL"/>
        </w:rPr>
        <w:instrText>ADDIN CSL_CITATION {"citationItems":[{"id":"ITEM-1","itemData":{"author":[{"dropping-particle":"","family":"Cisternas","given":"María Luisa","non-dropping-particle":"","parse-names":false,"suffix":""}],"container-title":"EMOL","id":"ITEM-1","issued":{"date-parts":[["2026","3","12"]]},"title":"\"Hay un gasto excesivo\": Ministros defienden recorte del 3% instruído por Hacienda y exploran fórmulas","type":"article-newspaper"},"uris":["http://www.mendeley.com/documents/?uuid=8efd1494-fa53-32ff-819c-ead3f7ef6c27"]}],"mendeley":{"formattedCitation":"(Cisternas, 2026)","plainTextFormattedCitation":"(Cisternas, 2026)","previouslyFormattedCitation":"(Cisternas, 2026)"},"properties":{"noteIndex":0},"schema":"https://github.com/citation-style-language/schema/raw/master/csl-citation.json"}</w:instrText>
      </w:r>
      <w:r w:rsidR="00B77E5D">
        <w:rPr>
          <w:rFonts w:ascii="Times New Roman" w:hAnsi="Times New Roman" w:cs="Times New Roman"/>
          <w:lang w:val="es-CL"/>
        </w:rPr>
        <w:fldChar w:fldCharType="separate"/>
      </w:r>
      <w:r w:rsidR="00B77E5D" w:rsidRPr="00B77E5D">
        <w:rPr>
          <w:rFonts w:ascii="Times New Roman" w:hAnsi="Times New Roman" w:cs="Times New Roman"/>
          <w:noProof/>
          <w:lang w:val="es-CL"/>
        </w:rPr>
        <w:t>(Cisternas, 2026)</w:t>
      </w:r>
      <w:r w:rsidR="00B77E5D">
        <w:rPr>
          <w:rFonts w:ascii="Times New Roman" w:hAnsi="Times New Roman" w:cs="Times New Roman"/>
          <w:lang w:val="es-CL"/>
        </w:rPr>
        <w:fldChar w:fldCharType="end"/>
      </w:r>
      <w:r w:rsidRPr="00C36520">
        <w:rPr>
          <w:rFonts w:ascii="Times New Roman" w:hAnsi="Times New Roman" w:cs="Times New Roman"/>
          <w:lang w:val="es-CL"/>
        </w:rPr>
        <w:t>, con atención específica a sus dimensiones territoriales</w:t>
      </w:r>
      <w:r w:rsidR="00B77E5D">
        <w:rPr>
          <w:rFonts w:ascii="Times New Roman" w:hAnsi="Times New Roman" w:cs="Times New Roman"/>
          <w:lang w:val="es-CL"/>
        </w:rPr>
        <w:t xml:space="preserve"> </w:t>
      </w:r>
      <w:r w:rsidR="00B77E5D">
        <w:rPr>
          <w:rFonts w:ascii="Times New Roman" w:hAnsi="Times New Roman" w:cs="Times New Roman"/>
          <w:lang w:val="es-CL"/>
        </w:rPr>
        <w:fldChar w:fldCharType="begin" w:fldLock="1"/>
      </w:r>
      <w:r w:rsidR="00B77E5D">
        <w:rPr>
          <w:rFonts w:ascii="Times New Roman" w:hAnsi="Times New Roman" w:cs="Times New Roman"/>
          <w:lang w:val="es-CL"/>
        </w:rPr>
        <w:instrText>ADDIN CSL_CITATION {"citationItems":[{"id":"ITEM-1","itemData":{"URL":"https://www.cienciaenchile.cl/mas-ciencia-para-chile-y-desde-las-regiones/","accessed":{"date-parts":[["2025","12","2"]]},"author":[{"dropping-particle":"","family":"Cuevas Vega","given":"Cristián","non-dropping-particle":"","parse-names":false,"suffix":""}],"container-title":"Ciencia en Chile","id":"ITEM-1","issued":{"date-parts":[["2025","11","25"]]},"title":"Más ciencia para Chile y desde las regiones","type":"webpage"},"uris":["http://www.mendeley.com/documents/?uuid=ee869085-5e3c-32a9-9c20-0ca186e3d220"]},{"id":"ITEM-2","itemData":{"author":[{"dropping-particle":"","family":"Rosales Cid","given":"Oscar","non-dropping-particle":"","parse-names":false,"suffix":""}],"container-title":"El Día","id":"ITEM-2","issued":{"date-parts":[["2026","7","6"]]},"title":"\"Queremos que Chile sea conocido por sus cielos y por una industria astronómica propia” | Diario el Día","type":"article-newspaper"},"uris":["http://www.mendeley.com/documents/?uuid=b46ef994-bb5d-3a83-b288-ce021a849e44"]}],"mendeley":{"formattedCitation":"(Cuevas Vega, 2025; Rosales Cid, 2026)","plainTextFormattedCitation":"(Cuevas Vega, 2025; Rosales Cid, 2026)","previouslyFormattedCitation":"(Cuevas Vega, 2025; Rosales Cid, 2026)"},"properties":{"noteIndex":0},"schema":"https://github.com/citation-style-language/schema/raw/master/csl-citation.json"}</w:instrText>
      </w:r>
      <w:r w:rsidR="00B77E5D">
        <w:rPr>
          <w:rFonts w:ascii="Times New Roman" w:hAnsi="Times New Roman" w:cs="Times New Roman"/>
          <w:lang w:val="es-CL"/>
        </w:rPr>
        <w:fldChar w:fldCharType="separate"/>
      </w:r>
      <w:r w:rsidR="00B77E5D" w:rsidRPr="00B77E5D">
        <w:rPr>
          <w:rFonts w:ascii="Times New Roman" w:hAnsi="Times New Roman" w:cs="Times New Roman"/>
          <w:noProof/>
          <w:lang w:val="es-CL"/>
        </w:rPr>
        <w:t>(Cuevas Vega, 2025; Rosales Cid, 2026)</w:t>
      </w:r>
      <w:r w:rsidR="00B77E5D">
        <w:rPr>
          <w:rFonts w:ascii="Times New Roman" w:hAnsi="Times New Roman" w:cs="Times New Roman"/>
          <w:lang w:val="es-CL"/>
        </w:rPr>
        <w:fldChar w:fldCharType="end"/>
      </w:r>
      <w:r w:rsidRPr="00C36520">
        <w:rPr>
          <w:rFonts w:ascii="Times New Roman" w:hAnsi="Times New Roman" w:cs="Times New Roman"/>
          <w:lang w:val="es-CL"/>
        </w:rPr>
        <w:t xml:space="preserve">. </w:t>
      </w:r>
    </w:p>
    <w:p w14:paraId="3A1DBA86" w14:textId="77777777" w:rsidR="00C36520" w:rsidRPr="00B77E5D" w:rsidRDefault="00C36520" w:rsidP="00C36520">
      <w:pPr>
        <w:spacing w:line="240" w:lineRule="auto"/>
        <w:jc w:val="both"/>
        <w:rPr>
          <w:rFonts w:ascii="Times New Roman" w:hAnsi="Times New Roman" w:cs="Times New Roman"/>
          <w:b/>
          <w:bCs/>
          <w:lang w:val="es-CL"/>
        </w:rPr>
      </w:pPr>
      <w:r w:rsidRPr="00B77E5D">
        <w:rPr>
          <w:rFonts w:ascii="Times New Roman" w:hAnsi="Times New Roman" w:cs="Times New Roman"/>
          <w:b/>
          <w:bCs/>
          <w:lang w:val="es-CL"/>
        </w:rPr>
        <w:t>Las universidades como punto de observación</w:t>
      </w:r>
    </w:p>
    <w:p w14:paraId="34E30B2B" w14:textId="6713D985" w:rsidR="00C36520" w:rsidRPr="00C36520" w:rsidRDefault="00B77E5D" w:rsidP="00C36520">
      <w:pPr>
        <w:spacing w:line="240" w:lineRule="auto"/>
        <w:jc w:val="both"/>
        <w:rPr>
          <w:rFonts w:ascii="Times New Roman" w:hAnsi="Times New Roman" w:cs="Times New Roman"/>
          <w:lang w:val="es-CL"/>
        </w:rPr>
      </w:pPr>
      <w:r>
        <w:rPr>
          <w:rFonts w:ascii="Times New Roman" w:hAnsi="Times New Roman" w:cs="Times New Roman"/>
          <w:lang w:val="es-CL"/>
        </w:rPr>
        <w:t>En este contexto, las universidades aparecen como un punto de observación privilegiado. En términos pragmáticos, destacan l</w:t>
      </w:r>
      <w:r w:rsidR="00C36520" w:rsidRPr="00C36520">
        <w:rPr>
          <w:rFonts w:ascii="Times New Roman" w:hAnsi="Times New Roman" w:cs="Times New Roman"/>
          <w:lang w:val="es-CL"/>
        </w:rPr>
        <w:t>as universidades chilenas</w:t>
      </w:r>
      <w:r>
        <w:rPr>
          <w:rFonts w:ascii="Times New Roman" w:hAnsi="Times New Roman" w:cs="Times New Roman"/>
          <w:lang w:val="es-CL"/>
        </w:rPr>
        <w:t xml:space="preserve"> pues</w:t>
      </w:r>
      <w:r w:rsidR="00C36520" w:rsidRPr="00C36520">
        <w:rPr>
          <w:rFonts w:ascii="Times New Roman" w:hAnsi="Times New Roman" w:cs="Times New Roman"/>
          <w:lang w:val="es-CL"/>
        </w:rPr>
        <w:t xml:space="preserve"> concentran la abrumadora mayoría de la producción científica del país</w:t>
      </w:r>
      <w:r>
        <w:rPr>
          <w:rFonts w:ascii="Times New Roman" w:hAnsi="Times New Roman" w:cs="Times New Roman"/>
          <w:lang w:val="es-CL"/>
        </w:rPr>
        <w:t xml:space="preserve">, </w:t>
      </w:r>
      <w:r w:rsidR="00C36520" w:rsidRPr="00C36520">
        <w:rPr>
          <w:rFonts w:ascii="Times New Roman" w:hAnsi="Times New Roman" w:cs="Times New Roman"/>
          <w:lang w:val="es-CL"/>
        </w:rPr>
        <w:t>del orden del 80% de los resultados de investigación</w:t>
      </w:r>
      <w:r>
        <w:rPr>
          <w:rFonts w:ascii="Times New Roman" w:hAnsi="Times New Roman" w:cs="Times New Roman"/>
          <w:lang w:val="es-CL"/>
        </w:rPr>
        <w:t>,</w:t>
      </w:r>
      <w:r w:rsidR="00C36520" w:rsidRPr="00C36520">
        <w:rPr>
          <w:rFonts w:ascii="Times New Roman" w:hAnsi="Times New Roman" w:cs="Times New Roman"/>
          <w:lang w:val="es-CL"/>
        </w:rPr>
        <w:t xml:space="preserve"> y son, en la mayoría de las regiones, la principal infraestructura cultural con capacidad de producción sostenida</w:t>
      </w:r>
      <w:r>
        <w:rPr>
          <w:rFonts w:ascii="Times New Roman" w:hAnsi="Times New Roman" w:cs="Times New Roman"/>
          <w:lang w:val="es-CL"/>
        </w:rPr>
        <w:t>. Albergan</w:t>
      </w:r>
      <w:r w:rsidR="00C36520" w:rsidRPr="00C36520">
        <w:rPr>
          <w:rFonts w:ascii="Times New Roman" w:hAnsi="Times New Roman" w:cs="Times New Roman"/>
          <w:lang w:val="es-CL"/>
        </w:rPr>
        <w:t xml:space="preserve"> teatros, salas de exposición, orquestas, coros, editoriales, archivos, museos, festivales y programas de extensión artística. En territorios donde el equipamiento cultural municipal o privado es escaso, la universidad regional es, en los hechos, </w:t>
      </w:r>
      <w:r>
        <w:rPr>
          <w:rFonts w:ascii="Times New Roman" w:hAnsi="Times New Roman" w:cs="Times New Roman"/>
          <w:lang w:val="es-CL"/>
        </w:rPr>
        <w:t>una ventana a la mantención de ecosistemas artístico-culturales</w:t>
      </w:r>
      <w:r w:rsidR="00C36520" w:rsidRPr="00C36520">
        <w:rPr>
          <w:rFonts w:ascii="Times New Roman" w:hAnsi="Times New Roman" w:cs="Times New Roman"/>
          <w:lang w:val="es-CL"/>
        </w:rPr>
        <w:t xml:space="preserve">. Esto significa que una porción sustantiva del </w:t>
      </w:r>
      <w:r w:rsidR="00C36520" w:rsidRPr="00B77E5D">
        <w:rPr>
          <w:rFonts w:ascii="Times New Roman" w:hAnsi="Times New Roman" w:cs="Times New Roman"/>
          <w:i/>
          <w:iCs/>
          <w:lang w:val="es-CL"/>
        </w:rPr>
        <w:t>policy</w:t>
      </w:r>
      <w:r w:rsidR="00C36520" w:rsidRPr="00C36520">
        <w:rPr>
          <w:rFonts w:ascii="Times New Roman" w:hAnsi="Times New Roman" w:cs="Times New Roman"/>
          <w:lang w:val="es-CL"/>
        </w:rPr>
        <w:t xml:space="preserve"> </w:t>
      </w:r>
      <w:r w:rsidR="00C36520" w:rsidRPr="00B77E5D">
        <w:rPr>
          <w:rFonts w:ascii="Times New Roman" w:hAnsi="Times New Roman" w:cs="Times New Roman"/>
          <w:i/>
          <w:iCs/>
          <w:lang w:val="es-CL"/>
        </w:rPr>
        <w:t>mix</w:t>
      </w:r>
      <w:r w:rsidR="00C36520" w:rsidRPr="00C36520">
        <w:rPr>
          <w:rFonts w:ascii="Times New Roman" w:hAnsi="Times New Roman" w:cs="Times New Roman"/>
          <w:lang w:val="es-CL"/>
        </w:rPr>
        <w:t xml:space="preserve"> de ciencias, artes y cultura aterriza en el mismo tipo de organización, aunque provenga de ministerios, agencias y niveles de gobierno distintos.</w:t>
      </w:r>
    </w:p>
    <w:p w14:paraId="05303EB3" w14:textId="3E9B0A14" w:rsidR="00C36520" w:rsidRPr="00C36520" w:rsidRDefault="00B77E5D" w:rsidP="00C36520">
      <w:pPr>
        <w:spacing w:line="240" w:lineRule="auto"/>
        <w:jc w:val="both"/>
        <w:rPr>
          <w:rFonts w:ascii="Times New Roman" w:hAnsi="Times New Roman" w:cs="Times New Roman"/>
          <w:lang w:val="es-CL"/>
        </w:rPr>
      </w:pPr>
      <w:r>
        <w:rPr>
          <w:rFonts w:ascii="Times New Roman" w:hAnsi="Times New Roman" w:cs="Times New Roman"/>
          <w:lang w:val="es-CL"/>
        </w:rPr>
        <w:t>En términos institucionales, l</w:t>
      </w:r>
      <w:r w:rsidR="00C36520" w:rsidRPr="00C36520">
        <w:rPr>
          <w:rFonts w:ascii="Times New Roman" w:hAnsi="Times New Roman" w:cs="Times New Roman"/>
          <w:lang w:val="es-CL"/>
        </w:rPr>
        <w:t>a universidad es el lugar donde la fragmentación del andamiaje estatal se vuelve visible como problema de gestión. Una misma casa de estudios postula a instrumentos de la Agencia Nacional de Investigación y Desarrollo, a fondos del MINCAP, a fondos regionales administrados por gobiernos regionales, a convenios con el Ministerio de Educación y a becas de posgrado, cada uno con su propia definición de qué cuenta como “territorial”, con su propia unidad de medida del mérito, con su propio calendario y con sus propias exigencias de contraparte. La coordinación</w:t>
      </w:r>
      <w:r>
        <w:rPr>
          <w:rFonts w:ascii="Times New Roman" w:hAnsi="Times New Roman" w:cs="Times New Roman"/>
          <w:lang w:val="es-CL"/>
        </w:rPr>
        <w:t xml:space="preserve"> </w:t>
      </w:r>
      <w:r w:rsidR="00C36520" w:rsidRPr="00C36520">
        <w:rPr>
          <w:rFonts w:ascii="Times New Roman" w:hAnsi="Times New Roman" w:cs="Times New Roman"/>
          <w:lang w:val="es-CL"/>
        </w:rPr>
        <w:t>entre estos instrumentos</w:t>
      </w:r>
      <w:r>
        <w:rPr>
          <w:rFonts w:ascii="Times New Roman" w:hAnsi="Times New Roman" w:cs="Times New Roman"/>
          <w:lang w:val="es-CL"/>
        </w:rPr>
        <w:t xml:space="preserve">, o la falta de ella, </w:t>
      </w:r>
      <w:r w:rsidR="00C36520" w:rsidRPr="00C36520">
        <w:rPr>
          <w:rFonts w:ascii="Times New Roman" w:hAnsi="Times New Roman" w:cs="Times New Roman"/>
          <w:lang w:val="es-CL"/>
        </w:rPr>
        <w:t>no se resuelve en el diseño de la política</w:t>
      </w:r>
      <w:r>
        <w:rPr>
          <w:rFonts w:ascii="Times New Roman" w:hAnsi="Times New Roman" w:cs="Times New Roman"/>
          <w:lang w:val="es-CL"/>
        </w:rPr>
        <w:t>, sino que se experimenta cotidianamente en las instituciones.</w:t>
      </w:r>
    </w:p>
    <w:p w14:paraId="26E216D8" w14:textId="5F0C9387" w:rsidR="00C36520" w:rsidRPr="00C36520" w:rsidRDefault="00B77E5D" w:rsidP="00C36520">
      <w:pPr>
        <w:spacing w:line="240" w:lineRule="auto"/>
        <w:jc w:val="both"/>
        <w:rPr>
          <w:rFonts w:ascii="Times New Roman" w:hAnsi="Times New Roman" w:cs="Times New Roman"/>
          <w:lang w:val="es-CL"/>
        </w:rPr>
      </w:pPr>
      <w:r>
        <w:rPr>
          <w:rFonts w:ascii="Times New Roman" w:hAnsi="Times New Roman" w:cs="Times New Roman"/>
          <w:lang w:val="es-CL"/>
        </w:rPr>
        <w:lastRenderedPageBreak/>
        <w:t>Finalmente, es relevante reconocer que l</w:t>
      </w:r>
      <w:r w:rsidR="00C36520" w:rsidRPr="00C36520">
        <w:rPr>
          <w:rFonts w:ascii="Times New Roman" w:hAnsi="Times New Roman" w:cs="Times New Roman"/>
          <w:lang w:val="es-CL"/>
        </w:rPr>
        <w:t xml:space="preserve">as universidades están distribuidas de manera espacialmente desigual y su posición en el espacio es, a la vez, un dato de la política y un producto de ella. Los criterios territoriales que los instrumentos incorporan operan directamente sobre esa distribución. </w:t>
      </w:r>
      <w:r>
        <w:rPr>
          <w:rFonts w:ascii="Times New Roman" w:hAnsi="Times New Roman" w:cs="Times New Roman"/>
          <w:lang w:val="es-CL"/>
        </w:rPr>
        <w:t xml:space="preserve">Por ejemplo, </w:t>
      </w:r>
      <w:r w:rsidR="00C36520" w:rsidRPr="00C36520">
        <w:rPr>
          <w:rFonts w:ascii="Times New Roman" w:hAnsi="Times New Roman" w:cs="Times New Roman"/>
          <w:lang w:val="es-CL"/>
        </w:rPr>
        <w:t>la</w:t>
      </w:r>
      <w:r>
        <w:rPr>
          <w:rFonts w:ascii="Times New Roman" w:hAnsi="Times New Roman" w:cs="Times New Roman"/>
          <w:lang w:val="es-CL"/>
        </w:rPr>
        <w:t xml:space="preserve"> reciente</w:t>
      </w:r>
      <w:r w:rsidR="00C36520" w:rsidRPr="00C36520">
        <w:rPr>
          <w:rFonts w:ascii="Times New Roman" w:hAnsi="Times New Roman" w:cs="Times New Roman"/>
          <w:lang w:val="es-CL"/>
        </w:rPr>
        <w:t xml:space="preserve"> definición de “Desafíos País” de la ANID incluye un eje de “Singularidades de Chile” que hace de la proximidad física a ecosistemas construidos como excepcionales </w:t>
      </w:r>
      <w:r>
        <w:rPr>
          <w:rFonts w:ascii="Times New Roman" w:hAnsi="Times New Roman" w:cs="Times New Roman"/>
          <w:lang w:val="es-CL"/>
        </w:rPr>
        <w:t>(</w:t>
      </w:r>
      <w:r w:rsidR="00C36520" w:rsidRPr="00C36520">
        <w:rPr>
          <w:rFonts w:ascii="Times New Roman" w:hAnsi="Times New Roman" w:cs="Times New Roman"/>
          <w:lang w:val="es-CL"/>
        </w:rPr>
        <w:t>el Desierto de Atacama, la Antártica, los ecosistemas esclerófilos</w:t>
      </w:r>
      <w:r>
        <w:rPr>
          <w:rFonts w:ascii="Times New Roman" w:hAnsi="Times New Roman" w:cs="Times New Roman"/>
          <w:lang w:val="es-CL"/>
        </w:rPr>
        <w:t>)</w:t>
      </w:r>
      <w:r w:rsidR="00C36520" w:rsidRPr="00C36520">
        <w:rPr>
          <w:rFonts w:ascii="Times New Roman" w:hAnsi="Times New Roman" w:cs="Times New Roman"/>
          <w:lang w:val="es-CL"/>
        </w:rPr>
        <w:t xml:space="preserve"> un criterio de orientación de recursos</w:t>
      </w:r>
      <w:r>
        <w:rPr>
          <w:rFonts w:ascii="Times New Roman" w:hAnsi="Times New Roman" w:cs="Times New Roman"/>
          <w:lang w:val="es-CL"/>
        </w:rPr>
        <w:t xml:space="preserve"> </w:t>
      </w:r>
      <w:r>
        <w:rPr>
          <w:rFonts w:ascii="Times New Roman" w:hAnsi="Times New Roman" w:cs="Times New Roman"/>
          <w:lang w:val="es-CL"/>
        </w:rPr>
        <w:fldChar w:fldCharType="begin" w:fldLock="1"/>
      </w:r>
      <w:r>
        <w:rPr>
          <w:rFonts w:ascii="Times New Roman" w:hAnsi="Times New Roman" w:cs="Times New Roman"/>
          <w:lang w:val="es-CL"/>
        </w:rPr>
        <w:instrText>ADDIN CSL_CITATION {"citationItems":[{"id":"ITEM-1","itemData":{"author":[{"dropping-particle":"","family":"Consejo Nacional de Ciencia Tecnología Conocimiento e Innovación para el Desarrollo","given":"","non-dropping-particle":"","parse-names":false,"suffix":""}],"id":"ITEM-1","issue":"28","issued":{"date-parts":[["2024"]]},"publisher-place":"Chile","title":"Oficio No 28//2024. Responde solicitud definición de desafíos País","type":"legislation"},"uris":["http://www.mendeley.com/documents/?uuid=201ff393-4805-45cc-bb96-e8d45d8821bc"]}],"mendeley":{"formattedCitation":"(Oficio No 28//2024. Responde solicitud definición de desafíos País, 2024)","plainTextFormattedCitation":"(Oficio No 28//2024. Responde solicitud definición de desafíos País, 2024)","previouslyFormattedCitation":"(Oficio No 28//2024. Responde solicitud definición de desafíos País, 2024)"},"properties":{"noteIndex":0},"schema":"https://github.com/citation-style-language/schema/raw/master/csl-citation.json"}</w:instrText>
      </w:r>
      <w:r>
        <w:rPr>
          <w:rFonts w:ascii="Times New Roman" w:hAnsi="Times New Roman" w:cs="Times New Roman"/>
          <w:lang w:val="es-CL"/>
        </w:rPr>
        <w:fldChar w:fldCharType="separate"/>
      </w:r>
      <w:r w:rsidRPr="00B77E5D">
        <w:rPr>
          <w:rFonts w:ascii="Times New Roman" w:hAnsi="Times New Roman" w:cs="Times New Roman"/>
          <w:noProof/>
          <w:lang w:val="es-CL"/>
        </w:rPr>
        <w:t>(Oficio No 28//2024. Responde solicitud definición de desafíos País, 2024)</w:t>
      </w:r>
      <w:r>
        <w:rPr>
          <w:rFonts w:ascii="Times New Roman" w:hAnsi="Times New Roman" w:cs="Times New Roman"/>
          <w:lang w:val="es-CL"/>
        </w:rPr>
        <w:fldChar w:fldCharType="end"/>
      </w:r>
      <w:r w:rsidR="00C36520" w:rsidRPr="00C36520">
        <w:rPr>
          <w:rFonts w:ascii="Times New Roman" w:hAnsi="Times New Roman" w:cs="Times New Roman"/>
          <w:lang w:val="es-CL"/>
        </w:rPr>
        <w:t xml:space="preserve">. Por otra parte, el Programa de Apoyo a Organizaciones Culturales Colaboradoras incorpora un criterio explícito de “Territorialidad” que resta puntaje a iniciativas domiciliadas en las zonas urbanas de Santiago, Gran Valparaíso y Gran Concepción </w:t>
      </w:r>
      <w:r>
        <w:rPr>
          <w:rFonts w:ascii="Times New Roman" w:hAnsi="Times New Roman" w:cs="Times New Roman"/>
          <w:lang w:val="es-CL"/>
        </w:rPr>
        <w:fldChar w:fldCharType="begin" w:fldLock="1"/>
      </w:r>
      <w:r>
        <w:rPr>
          <w:rFonts w:ascii="Times New Roman" w:hAnsi="Times New Roman" w:cs="Times New Roman"/>
          <w:lang w:val="es-CL"/>
        </w:rPr>
        <w:instrText>ADDIN CSL_CITATION {"citationItems":[{"id":"ITEM-1","itemData":{"author":[{"dropping-particle":"","family":"Ministerio de las Culturas las Artes y el Patrimonio","given":"","non-dropping-particle":"","parse-names":false,"suffix":""}],"id":"ITEM-1","issued":{"date-parts":[["2025"]]},"title":"Programa de Apoyo a Organizaciones Culturales Colaboradoras. Bases Concurso Público Ingreso 2026. Línea de Financiamiento para Planes de Gestión.","type":"report"},"uris":["http://www.mendeley.com/documents/?uuid=5520306e-b184-4a60-a486-c5c5c38a479d"]}],"mendeley":{"formattedCitation":"(Ministerio de las Culturas las Artes y el Patrimonio, 2025)","plainTextFormattedCitation":"(Ministerio de las Culturas las Artes y el Patrimonio, 2025)","previouslyFormattedCitation":"(Ministerio de las Culturas las Artes y el Patrimonio, 2025)"},"properties":{"noteIndex":0},"schema":"https://github.com/citation-style-language/schema/raw/master/csl-citation.json"}</w:instrText>
      </w:r>
      <w:r>
        <w:rPr>
          <w:rFonts w:ascii="Times New Roman" w:hAnsi="Times New Roman" w:cs="Times New Roman"/>
          <w:lang w:val="es-CL"/>
        </w:rPr>
        <w:fldChar w:fldCharType="separate"/>
      </w:r>
      <w:r w:rsidRPr="00B77E5D">
        <w:rPr>
          <w:rFonts w:ascii="Times New Roman" w:hAnsi="Times New Roman" w:cs="Times New Roman"/>
          <w:noProof/>
          <w:lang w:val="es-CL"/>
        </w:rPr>
        <w:t>(Ministerio de las Culturas las Artes y el Patrimonio, 2025)</w:t>
      </w:r>
      <w:r>
        <w:rPr>
          <w:rFonts w:ascii="Times New Roman" w:hAnsi="Times New Roman" w:cs="Times New Roman"/>
          <w:lang w:val="es-CL"/>
        </w:rPr>
        <w:fldChar w:fldCharType="end"/>
      </w:r>
      <w:r w:rsidR="00C36520" w:rsidRPr="00C36520">
        <w:rPr>
          <w:rFonts w:ascii="Times New Roman" w:hAnsi="Times New Roman" w:cs="Times New Roman"/>
          <w:lang w:val="es-CL"/>
        </w:rPr>
        <w:t xml:space="preserve">. Aquí, la política responde a la concentración de infraestructura cultural en zonas urbanas mediante una corrección espacial que penaliza el domicilio metropolitano. Ambos criterios son territoriales, pero movilizan concepciones distintas de lo que el territorio es y de lo que la política debe hacer con él: en un caso el territorio es </w:t>
      </w:r>
      <w:proofErr w:type="gramStart"/>
      <w:r w:rsidR="00C36520" w:rsidRPr="00C36520">
        <w:rPr>
          <w:rFonts w:ascii="Times New Roman" w:hAnsi="Times New Roman" w:cs="Times New Roman"/>
          <w:lang w:val="es-CL"/>
        </w:rPr>
        <w:t>una dotación singular a aprovechar</w:t>
      </w:r>
      <w:proofErr w:type="gramEnd"/>
      <w:r w:rsidR="00C36520" w:rsidRPr="00C36520">
        <w:rPr>
          <w:rFonts w:ascii="Times New Roman" w:hAnsi="Times New Roman" w:cs="Times New Roman"/>
          <w:lang w:val="es-CL"/>
        </w:rPr>
        <w:t>; en el otro, una desigualdad a compensar.</w:t>
      </w:r>
    </w:p>
    <w:p w14:paraId="4A9330B0" w14:textId="2B1512AB"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Una universidad </w:t>
      </w:r>
      <w:r w:rsidR="00D84605">
        <w:rPr>
          <w:rFonts w:ascii="Times New Roman" w:hAnsi="Times New Roman" w:cs="Times New Roman"/>
          <w:lang w:val="es-CL"/>
        </w:rPr>
        <w:t>no metropolitana</w:t>
      </w:r>
      <w:r w:rsidRPr="00C36520">
        <w:rPr>
          <w:rFonts w:ascii="Times New Roman" w:hAnsi="Times New Roman" w:cs="Times New Roman"/>
          <w:lang w:val="es-CL"/>
        </w:rPr>
        <w:t xml:space="preserve"> recibe simultáneamente ambas señales. Una universidad metropolitana con sede regional puede recibirlas de manera contradictoria según la unidad que postule. </w:t>
      </w:r>
      <w:r w:rsidR="00D84605">
        <w:rPr>
          <w:rFonts w:ascii="Times New Roman" w:hAnsi="Times New Roman" w:cs="Times New Roman"/>
          <w:lang w:val="es-CL"/>
        </w:rPr>
        <w:t>Es</w:t>
      </w:r>
      <w:r w:rsidRPr="00C36520">
        <w:rPr>
          <w:rFonts w:ascii="Times New Roman" w:hAnsi="Times New Roman" w:cs="Times New Roman"/>
          <w:lang w:val="es-CL"/>
        </w:rPr>
        <w:t>te tipo de tensión</w:t>
      </w:r>
      <w:r w:rsidR="00D84605">
        <w:rPr>
          <w:rFonts w:ascii="Times New Roman" w:hAnsi="Times New Roman" w:cs="Times New Roman"/>
          <w:lang w:val="es-CL"/>
        </w:rPr>
        <w:t xml:space="preserve">, </w:t>
      </w:r>
      <w:r w:rsidRPr="00C36520">
        <w:rPr>
          <w:rFonts w:ascii="Times New Roman" w:hAnsi="Times New Roman" w:cs="Times New Roman"/>
          <w:lang w:val="es-CL"/>
        </w:rPr>
        <w:t>invisible cuando se estudia un fondo a la vez,</w:t>
      </w:r>
      <w:r w:rsidR="00D84605">
        <w:rPr>
          <w:rFonts w:ascii="Times New Roman" w:hAnsi="Times New Roman" w:cs="Times New Roman"/>
          <w:lang w:val="es-CL"/>
        </w:rPr>
        <w:t xml:space="preserve"> </w:t>
      </w:r>
      <w:r w:rsidRPr="00C36520">
        <w:rPr>
          <w:rFonts w:ascii="Times New Roman" w:hAnsi="Times New Roman" w:cs="Times New Roman"/>
          <w:lang w:val="es-CL"/>
        </w:rPr>
        <w:t>justifica</w:t>
      </w:r>
      <w:r w:rsidR="00D84605">
        <w:rPr>
          <w:rFonts w:ascii="Times New Roman" w:hAnsi="Times New Roman" w:cs="Times New Roman"/>
          <w:lang w:val="es-CL"/>
        </w:rPr>
        <w:t>n</w:t>
      </w:r>
      <w:r w:rsidRPr="00C36520">
        <w:rPr>
          <w:rFonts w:ascii="Times New Roman" w:hAnsi="Times New Roman" w:cs="Times New Roman"/>
          <w:lang w:val="es-CL"/>
        </w:rPr>
        <w:t xml:space="preserve"> el enfoque de </w:t>
      </w:r>
      <w:r w:rsidRPr="00D84605">
        <w:rPr>
          <w:rFonts w:ascii="Times New Roman" w:hAnsi="Times New Roman" w:cs="Times New Roman"/>
          <w:i/>
          <w:iCs/>
          <w:lang w:val="es-CL"/>
        </w:rPr>
        <w:t>policy mix</w:t>
      </w:r>
      <w:r w:rsidRPr="00C36520">
        <w:rPr>
          <w:rFonts w:ascii="Times New Roman" w:hAnsi="Times New Roman" w:cs="Times New Roman"/>
          <w:lang w:val="es-CL"/>
        </w:rPr>
        <w:t xml:space="preserve"> y la </w:t>
      </w:r>
      <w:r w:rsidR="00D84605">
        <w:rPr>
          <w:rFonts w:ascii="Times New Roman" w:hAnsi="Times New Roman" w:cs="Times New Roman"/>
          <w:lang w:val="es-CL"/>
        </w:rPr>
        <w:t>consideración</w:t>
      </w:r>
      <w:r w:rsidRPr="00C36520">
        <w:rPr>
          <w:rFonts w:ascii="Times New Roman" w:hAnsi="Times New Roman" w:cs="Times New Roman"/>
          <w:lang w:val="es-CL"/>
        </w:rPr>
        <w:t xml:space="preserve"> de las universidades como punto de observación privilegiado.</w:t>
      </w:r>
    </w:p>
    <w:p w14:paraId="0BBFB013" w14:textId="58A70815" w:rsidR="00C36520" w:rsidRPr="00C36520" w:rsidRDefault="00D84605" w:rsidP="00C36520">
      <w:pPr>
        <w:spacing w:line="240" w:lineRule="auto"/>
        <w:jc w:val="both"/>
        <w:rPr>
          <w:rFonts w:ascii="Times New Roman" w:hAnsi="Times New Roman" w:cs="Times New Roman"/>
          <w:lang w:val="es-CL"/>
        </w:rPr>
      </w:pPr>
      <w:r>
        <w:rPr>
          <w:rFonts w:ascii="Times New Roman" w:hAnsi="Times New Roman" w:cs="Times New Roman"/>
          <w:lang w:val="es-CL"/>
        </w:rPr>
        <w:t>Queremos aquí presentar un alcance, pues l</w:t>
      </w:r>
      <w:r w:rsidR="00C36520" w:rsidRPr="00C36520">
        <w:rPr>
          <w:rFonts w:ascii="Times New Roman" w:hAnsi="Times New Roman" w:cs="Times New Roman"/>
          <w:lang w:val="es-CL"/>
        </w:rPr>
        <w:t xml:space="preserve">as universidades operan aquí como escenario de observación y como </w:t>
      </w:r>
      <w:r w:rsidR="00E77871">
        <w:rPr>
          <w:rFonts w:ascii="Times New Roman" w:hAnsi="Times New Roman" w:cs="Times New Roman"/>
          <w:lang w:val="es-CL"/>
        </w:rPr>
        <w:t>espacio donde gran parte de los actores destinatarios se sitúa. Sin embargo, no comprenderemos a las universidades como únicos actores relevantes, sino como un punto clave en contexto. Así, como abordaremos más adelante, las universidades serán consideradas junto a actores no universitarios destinatarios/as de fondos concursables.</w:t>
      </w:r>
    </w:p>
    <w:p w14:paraId="53D27E1A" w14:textId="6238DC52" w:rsidR="00C36520" w:rsidRPr="00D84605" w:rsidRDefault="00E77871" w:rsidP="00C36520">
      <w:pPr>
        <w:spacing w:line="240" w:lineRule="auto"/>
        <w:jc w:val="both"/>
        <w:rPr>
          <w:rFonts w:ascii="Times New Roman" w:hAnsi="Times New Roman" w:cs="Times New Roman"/>
          <w:b/>
          <w:bCs/>
          <w:lang w:val="es-CL"/>
        </w:rPr>
      </w:pPr>
      <w:r>
        <w:rPr>
          <w:rFonts w:ascii="Times New Roman" w:hAnsi="Times New Roman" w:cs="Times New Roman"/>
          <w:b/>
          <w:bCs/>
          <w:lang w:val="es-CL"/>
        </w:rPr>
        <w:t>E</w:t>
      </w:r>
      <w:r w:rsidR="00C36520" w:rsidRPr="00D84605">
        <w:rPr>
          <w:rFonts w:ascii="Times New Roman" w:hAnsi="Times New Roman" w:cs="Times New Roman"/>
          <w:b/>
          <w:bCs/>
          <w:lang w:val="es-CL"/>
        </w:rPr>
        <w:t>l territorio como distinción</w:t>
      </w:r>
      <w:r>
        <w:rPr>
          <w:rFonts w:ascii="Times New Roman" w:hAnsi="Times New Roman" w:cs="Times New Roman"/>
          <w:b/>
          <w:bCs/>
          <w:lang w:val="es-CL"/>
        </w:rPr>
        <w:t xml:space="preserve"> simbólica</w:t>
      </w:r>
      <w:r w:rsidR="00C36520" w:rsidRPr="00D84605">
        <w:rPr>
          <w:rFonts w:ascii="Times New Roman" w:hAnsi="Times New Roman" w:cs="Times New Roman"/>
          <w:b/>
          <w:bCs/>
          <w:lang w:val="es-CL"/>
        </w:rPr>
        <w:t>, no como superficie</w:t>
      </w:r>
    </w:p>
    <w:p w14:paraId="4D3C83EF" w14:textId="0E9F7F9C" w:rsidR="00C36520" w:rsidRPr="00C36520" w:rsidRDefault="00E77871" w:rsidP="00C36520">
      <w:pPr>
        <w:spacing w:line="240" w:lineRule="auto"/>
        <w:jc w:val="both"/>
        <w:rPr>
          <w:rFonts w:ascii="Times New Roman" w:hAnsi="Times New Roman" w:cs="Times New Roman"/>
          <w:lang w:val="es-CL"/>
        </w:rPr>
      </w:pPr>
      <w:r>
        <w:rPr>
          <w:rFonts w:ascii="Times New Roman" w:hAnsi="Times New Roman" w:cs="Times New Roman"/>
          <w:lang w:val="es-CL"/>
        </w:rPr>
        <w:t xml:space="preserve">Junto a apoyarse en las literaturas sobre </w:t>
      </w:r>
      <w:r>
        <w:rPr>
          <w:rFonts w:ascii="Times New Roman" w:hAnsi="Times New Roman" w:cs="Times New Roman"/>
          <w:i/>
          <w:iCs/>
          <w:lang w:val="es-CL"/>
        </w:rPr>
        <w:t>policy</w:t>
      </w:r>
      <w:r w:rsidR="00C36520" w:rsidRPr="00E77871">
        <w:rPr>
          <w:rFonts w:ascii="Times New Roman" w:hAnsi="Times New Roman" w:cs="Times New Roman"/>
          <w:i/>
          <w:iCs/>
          <w:lang w:val="es-CL"/>
        </w:rPr>
        <w:t xml:space="preserve"> mixes</w:t>
      </w:r>
      <w:r w:rsidR="00C36520" w:rsidRPr="00C36520">
        <w:rPr>
          <w:rFonts w:ascii="Times New Roman" w:hAnsi="Times New Roman" w:cs="Times New Roman"/>
          <w:lang w:val="es-CL"/>
        </w:rPr>
        <w:t xml:space="preserve"> y geografía de las políticas públicas, la investigación se posiciona epistemológicamente en una perspectiva sistémico-constructivista, que conviene explicitar brevemente por sus consecuencias metodológicas.</w:t>
      </w:r>
    </w:p>
    <w:p w14:paraId="259E5585" w14:textId="4A0D9C80"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Desde esta matriz, derivada de la Teoría de Sistemas Sociales</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{"citationItems":[{"id":"ITEM-1","itemData":{"ISBN":"9781626239777","author":[{"dropping-particle":"","family":"Luhmann","given":"Niklas","non-dropping-particle":"","parse-names":false,"suffix":""}],"id":"ITEM-1","issued":{"date-parts":[["2007"]]},"publisher":"Herder-Universidad Iberoamericana","publisher-place":"Ciudad de México","title":"La sociedad de la sociedad","type":"book"},"uris":["http://www.mendeley.com/documents/?uuid=af366d01-0d19-4c13-8356-03325fdac6b0"]}],"mendeley":{"formattedCitation":"(Luhmann, 2007b)","plainTextFormattedCitation":"(Luhmann, 2007b)","previouslyFormattedCitation":"(Luhmann, 2007b)"},"properties":{"noteIndex":0},"schema":"https://github.com/citation-style-language/schema/raw/master/csl-citation.json"}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(Luhmann, 2007b)</w:t>
      </w:r>
      <w:r w:rsidR="00E77871">
        <w:rPr>
          <w:rFonts w:ascii="Times New Roman" w:hAnsi="Times New Roman" w:cs="Times New Roman"/>
          <w:lang w:val="es-CL"/>
        </w:rPr>
        <w:fldChar w:fldCharType="end"/>
      </w:r>
      <w:r w:rsidRPr="00C36520">
        <w:rPr>
          <w:rFonts w:ascii="Times New Roman" w:hAnsi="Times New Roman" w:cs="Times New Roman"/>
          <w:lang w:val="es-CL"/>
        </w:rPr>
        <w:t xml:space="preserve"> y de sus lecturas latinoamericanas más atentas a la contingencia y a la radicalidad epistemológica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author":[{"dropping-particle":"","family":"Alvear","given":"Rafael","non-dropping-particle":"","parse-names":false,"suffix":""},{"dropping-particle":"","family":"Haker","given":"Christoph","non-dropping-particle":"","parse-names":false,"suffix":""}],"container-title":"Revista Mad","id":"ITEM-1","issued":{"date-parts":[["2020"]]},"page":"1-9","title":"Teoría de sistemas crítica y teoría crítica de sistemas sociales: alegato por una distinción necesaria","type":"article-journal","volume":"42"},"uris":["http://www.mendeley.com/documents/?uuid=1024ffdd-1ee2-4bd6-8b00-fedb229dd388"]},{"id":"ITEM-2","itemData":{"abstract":"Resumen: En este documento se busca presentar crítica y sintéticamente la caracterización de las nociones de \" ciencia \" y \" conocimiento \" en la teoría de los sistemas sociales autopoiéticos de Niklas Luhmann. Para ello comenzamos proponiendo una síntesis del marco general de su obra y las principales nociones involucradas en la conceptualización de los sistemas sociales: sistema, operación, observación y comunicación. En segundo lugar, se caracteriza a la ciencia como un sistema social funcionalmente diferenciado de la sociedad moderna y cómo en este marco se presenta a la comunicación como observación, así como se caracteriza a las nociones de verdad, cognición y conocimiento. En tercer lugar, a partir del análisis propuesto por Luhmann sobre tales conceptos, caracterizamos su sociología de la ciencia, haciendo foco en la centralidad de la relación teoría de la sociedad -teoría constructivista del conocimiento. Abstract: This paper seeks to present, in a synthetic and critical way, a characterization of the notions of \"science\" and \"knowledge\" within Niklas Luhmann's theory of autopoietic social systems. In order to do so, we begin by proposing a synthesis of the general framework of his work and the main concepts involved in the conceptualization of social systems: system operation, observation and communication. Second, we characterizes science as a social system functionally differentiated modern society, and how communication can operate as an observation, and what this implies for the notions of truth, cognition and knowledge. Third, we characterize Luhmann's sociology of science, focusing on the close relation between theories of society -constructivist theory of knowledge.","author":[{"dropping-particle":"","family":"Becerra","given":"Gastón","non-dropping-particle":"","parse-names":false,"suffix":""}],"container-title":"Sociología y tecnociencia","id":"ITEM-2","issue":"2014","issued":{"date-parts":[["2014"]]},"page":"16-39","title":"Ciencia y conocimiento en la Teoría De Los Sistemas Sociales De Niklas Luhmann","type":"article-journal","volume":"4"},"uris":["http://www.mendeley.com/documents/?uuid=ec79bfe5-31c3-448c-8432-d7f1d09dd069"]},{"id":"ITEM-3","itemData":{"DOI":"10.4067/s0718-65682014120000012","abstract":"Introducción 1 El propósito del presente trabajo es desarrollar un concepto de 'cultura' de acuerdo a los planteamientos de la teoría de sistemas sociales 1. En este contexto, se han desarrollado previamente algunas perspectivas teóricas (cf. cuales sin embargo no han problematizado el lugar de la cultura en la diferenciación de la sociedad. Es decir, se ha tratado de explicar el fenómeno cultural sin especificar sus límites dentro de la sociedad y aquello que lo distingue. En este sentido, la teoría de la cultura no ha logrado traspasar con éxito diversos problemas conceptuales de las primeras definiciones de los antropólogos sociales y culturales y por su parte dentro de la sociología persiste un cisma difícilmente reconciliable entre lo 'social' y lo 'cultural'. Si bien es cierto que cuando se intenta integrar la cultura en una teoría de la sociedad se suelen argüir ciertas objeciones en torno los problemas de definición del concepto de cultura, especialmente su amplitud excesiva (Eagleton, 2001; Luhmann, 1995a; Mascareño, 2007a), estas mismas objeciones Cultura y diferenciación de la sociedad: La cultura en la sociedad moderna Polis, 39 | 2014 1","author":[{"dropping-particle":"","family":"Cadenas","given":"Hugo","non-dropping-particle":"","parse-names":false,"suffix":""}],"container-title":"Polis (Santiago)","id":"ITEM-3","issue":"39","issued":{"date-parts":[["2014"]]},"page":"249-274","title":"Cultura y diferenciación de la sociedad: La cultura en la sociedad moderna","type":"article-journal","volume":"13"},"uris":["http://www.mendeley.com/documents/?uuid=ba56d14d-6bdd-4931-b96a-8996c7afeeb4"]},{"id":"ITEM-4","itemData":{"DOI":"10.5354/0719-0527.2019.54831","abstract":"En base a una revisión de textos de Luhmann y de propuestas de algunos autores sistémicos sobre cultura, este artículo intenta, primero, comprender sistémica-mente los fenómenos comúnmente descritos o expli-cados mediante el concepto de cultura. Sin utilizar cul-tura sino conceptos propios de la teoría de sistemas sociales el texto ofrece una comprensión de las dimen-siones tanto operativas como funcionales involucradas en la generación de dichos fenómenos. En segundo lugar, a partir del análisis anterior y en base a la noción de valores propios resultantes de la operación recursiva de la comunicación, el artículo propone un modelo de observación destinado a facilitar la investigación empíri-ca sistémica.","author":[{"dropping-particle":"","family":"Dockendorff","given":"Cecilia","non-dropping-particle":"","parse-names":false,"suffix":""}],"container-title":"Revista Mad","id":"ITEM-4","issue":"40","issued":{"date-parts":[["2019"]]},"page":"14","title":"Valores propios, recursividad y dimensión histórico-contextual de la comunicación: el fundamento operativo del fenómeno llamado cultura","type":"article-journal"},"uris":["http://www.mendeley.com/documents/?uuid=a943366c-4816-4941-88ae-82c65192a7ef"]},{"id":"ITEM-5","itemData":{"author":[{"dropping-particle":"","family":"Urquiza","given":"Anahí","non-dropping-particle":"","parse-names":false,"suffix":""},{"dropping-particle":"","family":"Cadenas","given":"Hugo","non-dropping-particle":"","parse-names":false,"suffix":""}],"container-title":"L’Ordinaire des Amériques","id":"ITEM-5","issued":{"date-parts":[["2015"]]},"title":"Sistemas socio-ecológicos: elementos teóricos y conceptuales para la discusión en torno a vulnerabilidad hídrica","type":"article-journal","volume":"218"},"uris":["http://www.mendeley.com/documents/?uuid=22f2dcbb-0836-4292-8629-f3eef8165d01"]}],"mendeley":{"formattedCitation":"(Alvear &amp; Haker, 2020; Becerra, 2014; Cadenas, 2014; Dockendorff, 2019; Urquiza &amp; Cadenas, 2015)","plainTextFormattedCitation":"(Alvear &amp; Haker, 2020; Becerra, 2014; Cadenas, 2014; Dockendorff, 2019; Urquiza &amp; Cadenas, 2015)","previouslyFormattedCitation":"(Alvear &amp; Haker, 2020; Becerra, 2014; Cadenas, 2014; Dockendorff, 2019; Urquiza &amp; Cadenas, 2015)"},"properties":{"noteIndex":0},"schema":"https://github.com/citation-style-language/schema/raw/master/csl-citation.json"}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(Alvear &amp; Haker, 2020; Becerra, 2014; Cadenas, 2014; Dockendorff, 2019; Urquiza &amp; Cadenas, 2015)</w:t>
      </w:r>
      <w:r w:rsidR="00E77871">
        <w:rPr>
          <w:rFonts w:ascii="Times New Roman" w:hAnsi="Times New Roman" w:cs="Times New Roman"/>
          <w:lang w:val="es-CL"/>
        </w:rPr>
        <w:fldChar w:fldCharType="end"/>
      </w:r>
      <w:r w:rsidR="00E77871">
        <w:rPr>
          <w:rFonts w:ascii="Times New Roman" w:hAnsi="Times New Roman" w:cs="Times New Roman"/>
          <w:lang w:val="es-CL"/>
        </w:rPr>
        <w:t>,</w:t>
      </w:r>
      <w:r w:rsidRPr="00C36520">
        <w:rPr>
          <w:rFonts w:ascii="Times New Roman" w:hAnsi="Times New Roman" w:cs="Times New Roman"/>
          <w:lang w:val="es-CL"/>
        </w:rPr>
        <w:t xml:space="preserve"> el territorio no se concibe como una superficie preexistente que las políticas simplemente encuentran, sino como una distinción “aquí/allá” aplicada por observadores situados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ISBN":"9783658391393","author":[{"dropping-particle":"","family":"Kühne","given":"Olaf","non-dropping-particle":"","parse-names":false,"suffix":""},{"dropping-particle":"","family":"Berr","given":"Karsten","non-dropping-particle":"","parse-names":false,"suffix":""}],"id":"ITEM-1","issued":{"date-parts":[["2022"]]},"publisher":"Springer","title":"Science, Space, Society. An Overview of the Social Production of Knowledge","type":"book"},"uris":["http://www.mendeley.com/documents/?uuid=020f81ce-ba2c-4082-a308-ad3fc59a61d4"]},{"id":"ITEM-2","itemData":{"DOI":"10.5354/0718-0527.2017.47279","ISSN":"07180527","abstract":"The article characterize 'territory' as a medium and discuss its analytical advantages to observe sociospatial complexity. First, we present a conceptual outline for distinction medium/form to analyse social phenomena (I). Then we characterize territory as a medium for the construction of forms, and show the ways in which observers build expectations about what they observe when territory is thematized in communication (II). As conclusion, we discuss the relevance of territory for future researches on social inclusion and exclusion (III).","author":[{"dropping-particle":"","family":"Urquieta","given":"María Antonieta","non-dropping-particle":"","parse-names":false,"suffix":""},{"dropping-particle":"","family":"Mariñez","given":"César","non-dropping-particle":"","parse-names":false,"suffix":""},{"dropping-particle":"","family":"Jorquera","given":"Catalina","non-dropping-particle":"","parse-names":false,"suffix":""}],"container-title":"Revista Mad","id":"ITEM-2","issue":"37","issued":{"date-parts":[["2017"]]},"page":"143-166","title":"Territorio como medium: Discusión sobre rendimientos analíticos para las observaciones de la complejidad socioespacial","type":"article-journal","volume":"37"},"uris":["http://www.mendeley.com/documents/?uuid=2d2932a7-c813-4475-9021-b2d9d6f911d3"]}],"mendeley":{"formattedCitation":"(Kühne &amp; Berr, 2022; Urquieta et al., 2017)","plainTextFormattedCitation":"(Kühne &amp; Berr, 2022; Urquieta et al., 2017)","previouslyFormattedCitation":"(Kühne &amp; Berr, 2022; Urquieta et al., 2017)"},"properties":{"noteIndex":0},"schema":"https://github.com/citation-style-language/schema/raw/master/csl-citation.json"}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(Kühne &amp; Berr, 2022; Urquieta et al., 2017)</w:t>
      </w:r>
      <w:r w:rsidR="00E77871">
        <w:rPr>
          <w:rFonts w:ascii="Times New Roman" w:hAnsi="Times New Roman" w:cs="Times New Roman"/>
          <w:lang w:val="es-CL"/>
        </w:rPr>
        <w:fldChar w:fldCharType="end"/>
      </w:r>
      <w:r w:rsidRPr="00C36520">
        <w:rPr>
          <w:rFonts w:ascii="Times New Roman" w:hAnsi="Times New Roman" w:cs="Times New Roman"/>
          <w:lang w:val="es-CL"/>
        </w:rPr>
        <w:t>. El espacio, en este marco, funciona como un medio de sentido desde el cual pueden actualizarse múltiples formas de observar el mundo</w:t>
      </w:r>
      <w:r w:rsidR="00E77871">
        <w:rPr>
          <w:rFonts w:ascii="Times New Roman" w:hAnsi="Times New Roman" w:cs="Times New Roman"/>
          <w:lang w:val="es-CL"/>
        </w:rPr>
        <w:t xml:space="preserve">, donde </w:t>
      </w:r>
      <w:r w:rsidRPr="00C36520">
        <w:rPr>
          <w:rFonts w:ascii="Times New Roman" w:hAnsi="Times New Roman" w:cs="Times New Roman"/>
          <w:lang w:val="es-CL"/>
        </w:rPr>
        <w:t>territorio es una de esas formas posibles</w:t>
      </w:r>
      <w:r w:rsidR="00E77871">
        <w:rPr>
          <w:rFonts w:ascii="Times New Roman" w:hAnsi="Times New Roman" w:cs="Times New Roman"/>
          <w:lang w:val="es-CL"/>
        </w:rPr>
        <w:t xml:space="preserve">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{"citationItems":[{"id":"ITEM-1","itemData":{"author":[{"dropping-particle":"","family":"Amigo Jorquera","given":"Catalina","non-dropping-particle":"","parse-names":false,"suffix":""}],"id":"ITEM-1","issued":{"date-parts":[["2025"]]},"publisher":"Tesis para optar al grado de Doctora en Territorio, Espacio y Sociedad. Universidad de Chile.","title":"Cuando la razón no alcanza. Desafíos de interfaz ciencia-política para la gestión local de la adaptación a riesgos climáticos","type":"thesis"},"uris":["http://www.mendeley.com/documents/?uuid=38e517a8-7098-4e7f-aec1-8f4046cb352e"]},{"id":"ITEM-2","itemData":{"author":[{"dropping-particle":"","family":"Varela","given":"Juan Carlos","non-dropping-particle":"","parse-names":false,"suffix":""},{"dropping-particle":"","family":"Orellana","given":"Paz","non-dropping-particle":"","parse-names":false,"suffix":""},{"dropping-particle":"","family":"Oñate","given":"María José","non-dropping-particle":"","parse-names":false,"suffix":""}],"id":"ITEM-2","issued":{"date-parts":[["2025"]]},"publisher":"Vicerrectoría de Investigación y Desarrollo de la Universidad de Chile, y Núcleo de Investigación en Interdisciplina y Transdisciplina para la Educación Superior (NITES)","title":"Gobernanza de las transiciones territoriales: Propuesta conceptual-metodológica","type":"book"},"uris":["http://www.mendeley.com/documents/?uuid=343a6886-352d-4350-b579-31c81c6beb17"]}],"mendeley":{"formattedCitation":"(Amigo Jorquera, 2025; Varela et al., 2025)","plainTextFormattedCitation":"(Amigo Jorquera, 2025; Varela et al., 2025)","previouslyFormattedCitation":"(Amigo Jorquera, 2025; Varela et al., 2025)"},"properties":{"noteIndex":0},"schema":"https://github.com/citation-style-language/schema/raw/master/csl-citation.json"}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 xml:space="preserve">(Amigo </w:t>
      </w:r>
      <w:r w:rsidR="00E77871" w:rsidRPr="00E77871">
        <w:rPr>
          <w:rFonts w:ascii="Times New Roman" w:hAnsi="Times New Roman" w:cs="Times New Roman"/>
          <w:noProof/>
          <w:lang w:val="es-CL"/>
        </w:rPr>
        <w:lastRenderedPageBreak/>
        <w:t>Jorquera, 2025; Varela et al., 2025)</w:t>
      </w:r>
      <w:r w:rsidR="00E77871">
        <w:rPr>
          <w:rFonts w:ascii="Times New Roman" w:hAnsi="Times New Roman" w:cs="Times New Roman"/>
          <w:lang w:val="es-CL"/>
        </w:rPr>
        <w:fldChar w:fldCharType="end"/>
      </w:r>
      <w:r w:rsidR="00E77871">
        <w:rPr>
          <w:rFonts w:ascii="Times New Roman" w:hAnsi="Times New Roman" w:cs="Times New Roman"/>
          <w:lang w:val="es-CL"/>
        </w:rPr>
        <w:t xml:space="preserve">. </w:t>
      </w:r>
      <w:r w:rsidRPr="00C36520">
        <w:rPr>
          <w:rFonts w:ascii="Times New Roman" w:hAnsi="Times New Roman" w:cs="Times New Roman"/>
          <w:lang w:val="es-CL"/>
        </w:rPr>
        <w:t xml:space="preserve">Distintos observadores </w:t>
      </w:r>
      <w:r w:rsidR="00E77871">
        <w:rPr>
          <w:rFonts w:ascii="Times New Roman" w:hAnsi="Times New Roman" w:cs="Times New Roman"/>
          <w:lang w:val="es-CL"/>
        </w:rPr>
        <w:t>pueden, entonces, construir</w:t>
      </w:r>
      <w:r w:rsidRPr="00C36520">
        <w:rPr>
          <w:rFonts w:ascii="Times New Roman" w:hAnsi="Times New Roman" w:cs="Times New Roman"/>
          <w:lang w:val="es-CL"/>
        </w:rPr>
        <w:t xml:space="preserve"> distintas proximidades y lejanías, distintos “aquí” y distintos “allá”.</w:t>
      </w:r>
    </w:p>
    <w:p w14:paraId="4643A629" w14:textId="48CCDAFD"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Esta decisión teórica tiene una consecuencia </w:t>
      </w:r>
      <w:r w:rsidR="00E77871">
        <w:rPr>
          <w:rFonts w:ascii="Times New Roman" w:hAnsi="Times New Roman" w:cs="Times New Roman"/>
          <w:lang w:val="es-CL"/>
        </w:rPr>
        <w:t xml:space="preserve">metodológica, pues </w:t>
      </w:r>
      <w:r w:rsidRPr="00C36520">
        <w:rPr>
          <w:rFonts w:ascii="Times New Roman" w:hAnsi="Times New Roman" w:cs="Times New Roman"/>
          <w:lang w:val="es-CL"/>
        </w:rPr>
        <w:t>el objeto de la investigación no es el territorio “real” sobre el que caen fondos, sino las semánticas territoriales que los instrumentos, las agencias, la prensa y los propios destinatarios movilizan. Se trata, por tanto, de una observación de segundo orden: observar cómo otros observadores observan territorialmente. La política, la ciencia, el arte y los medios de masas pueden comprenderse como lógicas comunicativas autónomas,</w:t>
      </w:r>
      <w:r w:rsidR="00E77871">
        <w:rPr>
          <w:rFonts w:ascii="Times New Roman" w:hAnsi="Times New Roman" w:cs="Times New Roman"/>
          <w:lang w:val="es-CL"/>
        </w:rPr>
        <w:t xml:space="preserve"> que pueden construir observaciones territoriales a partir de </w:t>
      </w:r>
      <w:r w:rsidRPr="00C36520">
        <w:rPr>
          <w:rFonts w:ascii="Times New Roman" w:hAnsi="Times New Roman" w:cs="Times New Roman"/>
          <w:lang w:val="es-CL"/>
        </w:rPr>
        <w:t>códigos y expectativas propias</w:t>
      </w:r>
      <w:r w:rsidR="00E77871">
        <w:rPr>
          <w:rFonts w:ascii="Times New Roman" w:hAnsi="Times New Roman" w:cs="Times New Roman"/>
          <w:lang w:val="es-CL"/>
        </w:rPr>
        <w:t>, respectivamente el</w:t>
      </w:r>
      <w:r w:rsidRPr="00C36520">
        <w:rPr>
          <w:rFonts w:ascii="Times New Roman" w:hAnsi="Times New Roman" w:cs="Times New Roman"/>
          <w:lang w:val="es-CL"/>
        </w:rPr>
        <w:t xml:space="preserve"> poder, la verdad, lo interesante</w:t>
      </w:r>
      <w:r w:rsidR="00E77871">
        <w:rPr>
          <w:rFonts w:ascii="Times New Roman" w:hAnsi="Times New Roman" w:cs="Times New Roman"/>
          <w:lang w:val="es-CL"/>
        </w:rPr>
        <w:t xml:space="preserve"> y</w:t>
      </w:r>
      <w:r w:rsidRPr="00C36520">
        <w:rPr>
          <w:rFonts w:ascii="Times New Roman" w:hAnsi="Times New Roman" w:cs="Times New Roman"/>
          <w:lang w:val="es-CL"/>
        </w:rPr>
        <w:t xml:space="preserve"> la novedad</w:t>
      </w:r>
      <w:r w:rsidR="00E77871">
        <w:rPr>
          <w:rFonts w:ascii="Times New Roman" w:hAnsi="Times New Roman" w:cs="Times New Roman"/>
          <w:lang w:val="es-CL"/>
        </w:rPr>
        <w:t xml:space="preserve">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author":[{"dropping-particle":"","family":"Corsi","given":"Giancarlo","non-dropping-particle":"","parse-names":false,"suffix":""},{"dropping-particle":"","family":"Esposito","given":"Elena","non-dropping-particle":"","parse-names":false,"suffix":""},{"dropping-particle":"","family":"Baraldi","given":"Claudio","non-dropping-particle":"","parse-names":false,"suffix":""}],"id":"ITEM-1","issued":{"date-parts":[["1996"]]},"publisher":"Universidad Iberoamericana - ITESO - Anthopos","title":"Glosario sobre la teoría social de Niklas Luhmann","type":"book"},"uris":["http://www.mendeley.com/documents/?uuid=8458b59e-4140-4a92-825b-c68b358b4861"]},{"id":"ITEM-2","itemData":{"author":[{"dropping-particle":"","family":"Luhmann","given":"Niklas","non-dropping-particle":"","parse-names":false,"suffix":""}],"id":"ITEM-2","issued":{"date-parts":[["2000"]]},"publisher":"Universidad Iberoamericana","title":"La realidad de los medios de masas","type":"book"},"uris":["http://www.mendeley.com/documents/?uuid=664afb40-74a4-49d9-b3aa-b596e14f63df"]},{"id":"ITEM-3","itemData":{"DOI":"10.5354/0718-0527.2011.13529","ISSN":"0718-0527","abstract":"The theory of functional differentiation can be regarded as one of the oldest concepts in the field of the theory of society. Nevertheless, in sociology there is not complete agreement about basic theoretical figures and diagnoses amongst those who use the concept. This contribution uses several criticisms of Niklas Luhmann's theory of society as an opportunity to make clear the lines of theoretical conflict, to comment on this discourse from a systems theoretical point of view, and to line out some adjustments and supplementation with regard to some theoretical problems. In particular the contribution deals with the question of the unity of society, with the question of selective differentiation of functional subsystems, and with an integration of the problem of social inequality into a systems theoretical theory of society.","author":[{"dropping-particle":"","family":"Nassehi","given":"Armin","non-dropping-particle":"","parse-names":false,"suffix":""}],"container-title":"Revista MAD","id":"ITEM-3","issue":"24","issued":{"date-parts":[["2011"]]},"page":"1-29","title":"La teoría de la diferenciación funcional en el horizonte de sus críticas","type":"article-journal","volume":"0"},"uris":["http://www.mendeley.com/documents/?uuid=4d1d934a-ba8b-4dd9-8b3d-7c21472b8db9"]}],"mendeley":{"formattedCitation":"(Corsi et al., 1996; Luhmann, 2000; Nassehi, 2011)","plainTextFormattedCitation":"(Corsi et al., 1996; Luhmann, 2000; Nassehi, 2011)","previouslyFormattedCitation":"(Corsi et al., 1996; Luhmann, 2000; Nassehi, 2011)"},"properties":{"noteIndex":0},"schema":"https://github.com/citation-style-language/schema/raw/master/csl-citation.json"}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(Corsi et al., 1996; Luhmann, 2000; Nassehi, 2011)</w:t>
      </w:r>
      <w:r w:rsidR="00E77871">
        <w:rPr>
          <w:rFonts w:ascii="Times New Roman" w:hAnsi="Times New Roman" w:cs="Times New Roman"/>
          <w:lang w:val="es-CL"/>
        </w:rPr>
        <w:fldChar w:fldCharType="end"/>
      </w:r>
      <w:r w:rsidR="00E77871">
        <w:rPr>
          <w:rFonts w:ascii="Times New Roman" w:hAnsi="Times New Roman" w:cs="Times New Roman"/>
          <w:lang w:val="es-CL"/>
        </w:rPr>
        <w:t>.</w:t>
      </w:r>
      <w:r w:rsidRPr="00C36520">
        <w:rPr>
          <w:rFonts w:ascii="Times New Roman" w:hAnsi="Times New Roman" w:cs="Times New Roman"/>
          <w:lang w:val="es-CL"/>
        </w:rPr>
        <w:t xml:space="preserve"> Las personas y las organizaciones</w:t>
      </w:r>
      <w:r w:rsidR="00E77871">
        <w:rPr>
          <w:rFonts w:ascii="Times New Roman" w:hAnsi="Times New Roman" w:cs="Times New Roman"/>
          <w:lang w:val="es-CL"/>
        </w:rPr>
        <w:t xml:space="preserve">, como </w:t>
      </w:r>
      <w:r w:rsidRPr="00C36520">
        <w:rPr>
          <w:rFonts w:ascii="Times New Roman" w:hAnsi="Times New Roman" w:cs="Times New Roman"/>
          <w:lang w:val="es-CL"/>
        </w:rPr>
        <w:t>una universidad, por ejemplo</w:t>
      </w:r>
      <w:r w:rsidR="00E77871">
        <w:rPr>
          <w:rFonts w:ascii="Times New Roman" w:hAnsi="Times New Roman" w:cs="Times New Roman"/>
          <w:lang w:val="es-CL"/>
        </w:rPr>
        <w:t>,</w:t>
      </w:r>
      <w:r w:rsidRPr="00C36520">
        <w:rPr>
          <w:rFonts w:ascii="Times New Roman" w:hAnsi="Times New Roman" w:cs="Times New Roman"/>
          <w:lang w:val="es-CL"/>
        </w:rPr>
        <w:t xml:space="preserve"> no “pertenecen” a un sistema: transitan entre lógicas según el contexto, comunicando a ratos con expectativas científicas, a ratos con expectativas políticas, artísticas o mediáticas</w:t>
      </w:r>
      <w:r w:rsidR="00E77871">
        <w:rPr>
          <w:rFonts w:ascii="Times New Roman" w:hAnsi="Times New Roman" w:cs="Times New Roman"/>
          <w:lang w:val="es-CL"/>
        </w:rPr>
        <w:t xml:space="preserve">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{"citationItems":[{"id":"ITEM-1","itemData":{"DOI":"10.17583/HSE.2020.4565","ISSN":"20143567","abstract":"Over the last few decades, education has acquired a fairly robust social identity worldwide and participation in higher education has also become increasingly common. Building upon Luhmann’s theory of society, we analyze in this paper the expansion of higher education in Chile, specifically looking at the transformations of this system and the interactions between this system and its social environment. We include statistics to clarify the extent of the changes and the costs of increasing inclusion. We also focus on historical changes in the ways the expansion (or contraction) of higher education in Chile is legitimized. Altogether, our analysis show not just how the Chilean system of higher education adapts to its social environment, but also how both individuals and other function systems currently adapt to this system and how it is organized. We end with a brief reflection on the ways in which education may or may not constitute an important social difference and a discussion of the relevance of our findings for analyses of the evolution of other countries’ education systems.","author":[{"dropping-particle":"","family":"Labraña","given":"Julio","non-dropping-particle":"","parse-names":false,"suffix":""},{"dropping-particle":"","family":"Vanderstraeten","given":"Raf","non-dropping-particle":"","parse-names":false,"suffix":""}],"container-title":"HSE Social and Education History","id":"ITEM-1","issue":"3","issued":{"date-parts":[["2020"]]},"page":"252-277","title":"Functional Differentiation and University Expansion in Chile","type":"article-journal","volume":"9"},"uris":["http://www.mendeley.com/documents/?uuid=c91109ca-5035-439c-839a-85a96cf5ddd5"]}],"mendeley":{"formattedCitation":"(Labraña &amp; Vanderstraeten, 2020)","plainTextFormattedCitation":"(Labraña &amp; Vanderstraeten, 2020)","previouslyFormattedCitation":"(Labraña &amp; Vanderstraeten, 2020)"},"properties":{"noteIndex":0},"schema":"https://github.com/citation-style-language/schema/raw/master/csl-citation.json"}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(Labraña &amp; Vanderstraeten, 2020)</w:t>
      </w:r>
      <w:r w:rsidR="00E77871">
        <w:rPr>
          <w:rFonts w:ascii="Times New Roman" w:hAnsi="Times New Roman" w:cs="Times New Roman"/>
          <w:lang w:val="es-CL"/>
        </w:rPr>
        <w:fldChar w:fldCharType="end"/>
      </w:r>
      <w:r w:rsidRPr="00C36520">
        <w:rPr>
          <w:rFonts w:ascii="Times New Roman" w:hAnsi="Times New Roman" w:cs="Times New Roman"/>
          <w:lang w:val="es-CL"/>
        </w:rPr>
        <w:t>. Esta plasticidad explica por qué una misma institución universitaria puede describir su territorio de un modo en una postulación a un fondo científico, de otro en una postulación a un fondo cultural y de otro más en una declaración a la prensa.</w:t>
      </w:r>
    </w:p>
    <w:p w14:paraId="2C4A3A61" w14:textId="7D162ED1"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Complementariamente, la investigación recupera la noción de sistema territorial</w:t>
      </w:r>
      <w:r w:rsidR="00E77871">
        <w:rPr>
          <w:rFonts w:ascii="Times New Roman" w:hAnsi="Times New Roman" w:cs="Times New Roman"/>
          <w:lang w:val="es-CL"/>
        </w:rPr>
        <w:t xml:space="preserve">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{"citationItems":[{"id":"ITEM-1","itemData":{"author":[{"dropping-particle":"","family":"Amigo Jorquera","given":"Catalina","non-dropping-particle":"","parse-names":false,"suffix":""}],"id":"ITEM-1","issued":{"date-parts":[["2025"]]},"publisher":"Tesis para optar al grado de Doctora en Territorio, Espacio y Sociedad. Universidad de Chile.","title":"Cuando la razón no alcanza. Desafíos de interfaz ciencia-política para la gestión local de la adaptación a riesgos climáticos","type":"thesis"},"uris":["http://www.mendeley.com/documents/?uuid=38e517a8-7098-4e7f-aec1-8f4046cb352e"]},{"id":"ITEM-2","itemData":{"author":[{"dropping-particle":"","family":"Guerrero Gatica","given":"Matías","non-dropping-particle":"","parse-names":false,"suffix":""}],"id":"ITEM-2","issued":{"date-parts":[["2025"]]},"publisher":"Tesis para optar al grado de Doctor en Territorio, Espacio y Sociedad. Universidad de Chile.","title":"Prácticas territoriales y memoria socioecológica en su relación territorial con la conservación. El caso del bosque y matorral esclerófico y ecosistemas adyacentes de Chile Central.","type":"thesis"},"uris":["http://www.mendeley.com/documents/?uuid=2cf0ee11-53a5-4095-90ce-203fa41b9dfd"]},{"id":"ITEM-3","itemData":{"author":[{"dropping-particle":"","family":"Varela","given":"Juan Carlos","non-dropping-particle":"","parse-names":false,"suffix":""},{"dropping-particle":"","family":"Orellana","given":"Paz","non-dropping-particle":"","parse-names":false,"suffix":""},{"dropping-particle":"","family":"Oñate","given":"María José","non-dropping-particle":"","parse-names":false,"suffix":""}],"id":"ITEM-3","issued":{"date-parts":[["2025"]]},"publisher":"Vicerrectoría de Investigación y Desarrollo de la Universidad de Chile, y Núcleo de Investigación en Interdisciplina y Transdisciplina para la Educación Superior (NITES)","title":"Gobernanza de las transiciones territoriales: Propuesta conceptual-metodológica","type":"book"},"uris":["http://www.mendeley.com/documents/?uuid=343a6886-352d-4350-b579-31c81c6beb17"]}],"mendeley":{"formattedCitation":"(Amigo Jorquera, 2025; Guerrero Gatica, 2025; Varela et al., 2025)","plainTextFormattedCitation":"(Amigo Jorquera, 2025; Guerrero Gatica, 2025; Varela et al., 2025)","previouslyFormattedCitation":"(Amigo Jorquera, 2025; Guerrero Gatica, 2025; Varela et al., 2025)"},"properties":{"noteIndex":0},"schema":"https://github.com/citation-style-language/schema/raw/master/csl-citation.json"}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(Amigo Jorquera, 2025; Guerrero Gatica, 2025; Varela et al., 2025)</w:t>
      </w:r>
      <w:r w:rsidR="00E77871">
        <w:rPr>
          <w:rFonts w:ascii="Times New Roman" w:hAnsi="Times New Roman" w:cs="Times New Roman"/>
          <w:lang w:val="es-CL"/>
        </w:rPr>
        <w:fldChar w:fldCharType="end"/>
      </w:r>
      <w:r w:rsidRPr="00C36520">
        <w:rPr>
          <w:rFonts w:ascii="Times New Roman" w:hAnsi="Times New Roman" w:cs="Times New Roman"/>
          <w:lang w:val="es-CL"/>
        </w:rPr>
        <w:t xml:space="preserve">, construida en el diálogo entre las perspectivas sistémicas y los estudios de sistemas socioecológicos y sociotécnicos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{"citationItems":[{"id":"ITEM-1","itemData":{"DOI":"10.2307/annurev.ecolsys.35.021103.30000021","ISBN":"1543-592X","ISSN":"1543-592X","PMID":"20550552","abstract":"Large-scale transitions between alternative states in ecosystems are known as regime shifts. Once described as healthy and dominated by various marine predators, the Black Sea ecosystem by the late 20th century had experienced anthropogenic impacts such as heavy fishing, cultural eutrophication, and invasions by alien species. We studied changes related to these \"natural experiments\" to reveal the mechanisms of regime shifts. Two major shifts were detected, the first related to a depletion of marine predators and the second to an outburst of the alien comb jelly Mnemiopsis leidyi; both shifts were triggered by intense fishing resulting in system-wide trophic cascades. The complex nature of ecosystem responses to human activities calls for more elaborate approaches than currently provided by traditional environmental and fisheries management. This implies challenging existing practices and implementing explanatory models of ecosystem interactions that can better reconcile conservation and ecosystem management ideals.","author":[{"dropping-particle":"","family":"Folke","given":"Carl","non-dropping-particle":"","parse-names":false,"suffix":""},{"dropping-particle":"","family":"Carpenter","given":"S. R.","non-dropping-particle":"","parse-names":false,"suffix":""},{"dropping-particle":"","family":"Walker","given":"Brian","non-dropping-particle":"","parse-names":false,"suffix":""},{"dropping-particle":"","family":"Scheffer","given":"Marten","non-dropping-particle":"","parse-names":false,"suffix":""},{"dropping-particle":"","family":"Elmqvist","given":"Thomas","non-dropping-particle":"","parse-names":false,"suffix":""},{"dropping-particle":"","family":"Gunderson","given":"Lance","non-dropping-particle":"","parse-names":false,"suffix":""},{"dropping-particle":"","family":"Holling","given":"C. S.","non-dropping-particle":"","parse-names":false,"suffix":""}],"container-title":"Annual Review of Ecology, Evolution, and Systematics","id":"ITEM-1","issue":"2004","issued":{"date-parts":[["2004"]]},"page":"557–581","title":"Regime Shifts, Resilience, and Biodiversity in Ecosystem Management","type":"article-journal","volume":"35"},"uris":["http://www.mendeley.com/documents/?uuid=5e1de41a-1f83-4aa0-bc41-fed5a5083a34"]},{"id":"ITEM-2","itemData":{"DOI":"10.1016/j.respol.2004.01.015","ISBN":"3140244460","ISSN":"00487333","abstract":"In the last decade 'sectoral systems of innovation' have emerged as a new approach in innovation studies. This article makes four contributions to the approach by addressing some open issues. The first contribution is to explicitly incorporate the user side in the analysis. Hence, the unit of analysis is widened from sectoral systems of innovation to socio-technical systems. The second contribution is to suggest an analytical distinction between systems, actors involved in them, and the institutions which guide actor's perceptions and activities. Thirdly, the article opens up the black box of institutions, making them an integral part of the analysis. Institutions should not just be used to explain inertia and stability. They can also be used to conceptualise the dynamic interplay between actors and structures. The fourth contribution is to address issues of change from one system to another. The article provides a coherent conceptual multi-level perspective, using insights from sociology, institutional theory and innovation studies. The perspective is particularly useful to analyse long-term dynamics, shifts from one socio-technical system to another and the co-evolution of technology and society. © 2004 Elsevier B.V. All rights reserved.","author":[{"dropping-particle":"","family":"Geels","given":"Frank W.","non-dropping-particle":"","parse-names":false,"suffix":""}],"container-title":"Research Policy","id":"ITEM-2","issue":"6-7","issued":{"date-parts":[["2004"]]},"page":"897-920","title":"From sectoral systems of innovation to socio-technical systems: Insights about dynamics and change from sociology and institutional theory","type":"article-journal","volume":"33"},"uris":["http://www.mendeley.com/documents/?uuid=8e85bfb1-e662-4851-9b41-1671907c54bf"]},{"id":"ITEM-3","itemData":{"author":[{"dropping-particle":"","family":"Holling","given":"C. S.","non-dropping-particle":"","parse-names":false,"suffix":""}],"container-title":"Ecosystems","id":"ITEM-3","issued":{"date-parts":[["2001"]]},"page":"390-405","title":"Understanding the Complexity of Economic, Ecological, and Social Systems","type":"article-journal","volume":"4"},"uris":["http://www.mendeley.com/documents/?uuid=bf4d0968-c241-469f-ba9f-42a256b0fc90"]},{"id":"ITEM-4","itemData":{"author":[{"dropping-particle":"","family":"Urquiza","given":"Anahí","non-dropping-particle":"","parse-names":false,"suffix":""}],"id":"ITEM-4","issued":{"date-parts":[["2018"]]},"title":"Coordinación en sistemas socioecológicos : desafíos en el contexto del cambio climático","type":"article-journal"},"uris":["http://www.mendeley.com/documents/?uuid=f1ca82a6-957d-4efb-bf6b-6d136f6e1f6c"]}],"mendeley":{"formattedCitation":"(Folke et al., 2004; Geels, 2004; Holling, 2001; Urquiza, 2018)","plainTextFormattedCitation":"(Folke et al., 2004; Geels, 2004; Holling, 2001; Urquiza, 2018)","previouslyFormattedCitation":"(Folke et al., 2004; Geels, 2004; Holling, 2001; Urquiza, 2018)"},"properties":{"noteIndex":0},"schema":"https://github.com/citation-style-language/schema/raw/master/csl-citation.json"}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(Folke et al., 2004; Geels, 2004; Holling, 2001; Urquiza, 2018)</w:t>
      </w:r>
      <w:r w:rsidR="00E77871">
        <w:rPr>
          <w:rFonts w:ascii="Times New Roman" w:hAnsi="Times New Roman" w:cs="Times New Roman"/>
          <w:lang w:val="es-CL"/>
        </w:rPr>
        <w:fldChar w:fldCharType="end"/>
      </w:r>
      <w:r w:rsidRPr="00C36520">
        <w:rPr>
          <w:rFonts w:ascii="Times New Roman" w:hAnsi="Times New Roman" w:cs="Times New Roman"/>
          <w:lang w:val="es-CL"/>
        </w:rPr>
        <w:t>. Esta noción permite considerar que las dinámicas físicas, ecológicas e infraestructurales</w:t>
      </w:r>
      <w:r w:rsidR="00E77871">
        <w:rPr>
          <w:rFonts w:ascii="Times New Roman" w:hAnsi="Times New Roman" w:cs="Times New Roman"/>
          <w:lang w:val="es-CL"/>
        </w:rPr>
        <w:t xml:space="preserve">, tales como </w:t>
      </w:r>
      <w:r w:rsidRPr="00C36520">
        <w:rPr>
          <w:rFonts w:ascii="Times New Roman" w:hAnsi="Times New Roman" w:cs="Times New Roman"/>
          <w:lang w:val="es-CL"/>
        </w:rPr>
        <w:t>la proximidad a un ecosistema singular, la concentración de infraestructura cultural en tres conurbaciones</w:t>
      </w:r>
      <w:r w:rsidR="00E77871">
        <w:rPr>
          <w:rFonts w:ascii="Times New Roman" w:hAnsi="Times New Roman" w:cs="Times New Roman"/>
          <w:lang w:val="es-CL"/>
        </w:rPr>
        <w:t xml:space="preserve"> o</w:t>
      </w:r>
      <w:r w:rsidRPr="00C36520">
        <w:rPr>
          <w:rFonts w:ascii="Times New Roman" w:hAnsi="Times New Roman" w:cs="Times New Roman"/>
          <w:lang w:val="es-CL"/>
        </w:rPr>
        <w:t xml:space="preserve"> la distribución del equipamiento científico</w:t>
      </w:r>
      <w:r w:rsidR="00E77871">
        <w:rPr>
          <w:rFonts w:ascii="Times New Roman" w:hAnsi="Times New Roman" w:cs="Times New Roman"/>
          <w:lang w:val="es-CL"/>
        </w:rPr>
        <w:t>,</w:t>
      </w:r>
      <w:r w:rsidRPr="00C36520">
        <w:rPr>
          <w:rFonts w:ascii="Times New Roman" w:hAnsi="Times New Roman" w:cs="Times New Roman"/>
          <w:lang w:val="es-CL"/>
        </w:rPr>
        <w:t xml:space="preserve"> </w:t>
      </w:r>
      <w:r w:rsidR="00E77871">
        <w:rPr>
          <w:rFonts w:ascii="Times New Roman" w:hAnsi="Times New Roman" w:cs="Times New Roman"/>
          <w:lang w:val="es-CL"/>
        </w:rPr>
        <w:t>afectan</w:t>
      </w:r>
      <w:r w:rsidRPr="00C36520">
        <w:rPr>
          <w:rFonts w:ascii="Times New Roman" w:hAnsi="Times New Roman" w:cs="Times New Roman"/>
          <w:lang w:val="es-CL"/>
        </w:rPr>
        <w:t xml:space="preserve"> y condicionan la operación de los </w:t>
      </w:r>
      <w:r w:rsidRPr="00E77871">
        <w:rPr>
          <w:rFonts w:ascii="Times New Roman" w:hAnsi="Times New Roman" w:cs="Times New Roman"/>
          <w:i/>
          <w:iCs/>
          <w:lang w:val="es-CL"/>
        </w:rPr>
        <w:t>policy mixes</w:t>
      </w:r>
      <w:r w:rsidRPr="00C36520">
        <w:rPr>
          <w:rFonts w:ascii="Times New Roman" w:hAnsi="Times New Roman" w:cs="Times New Roman"/>
          <w:lang w:val="es-CL"/>
        </w:rPr>
        <w:t xml:space="preserve"> sin determinarla. Los dos ejemplos de criterios territoriales antes mencionados son, precisamente, casos de esa irritación.</w:t>
      </w:r>
    </w:p>
    <w:p w14:paraId="36AE59A8" w14:textId="14DDB5E3"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Finalmente, el confinamiento territorial del Estado</w:t>
      </w:r>
      <w:r w:rsidR="00E77871">
        <w:rPr>
          <w:rFonts w:ascii="Times New Roman" w:hAnsi="Times New Roman" w:cs="Times New Roman"/>
          <w:lang w:val="es-CL"/>
        </w:rPr>
        <w:t xml:space="preserve">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author":[{"dropping-particle":"","family":"Corsi","given":"Giancarlo","non-dropping-particle":"","parse-names":false,"suffix":""},{"dropping-particle":"","family":"Esposito","given":"Elena","non-dropping-particle":"","parse-names":false,"suffix":""},{"dropping-particle":"","family":"Baraldi","given":"Claudio","non-dropping-particle":"","parse-names":false,"suffix":""}],"id":"ITEM-1","issued":{"date-parts":[["1996"]]},"publisher":"Universidad Iberoamericana - ITESO - Anthopos","title":"Glosario sobre la teoría social de Niklas Luhmann","type":"book"},"uris":["http://www.mendeley.com/documents/?uuid=8458b59e-4140-4a92-825b-c68b358b4861"]}],"mendeley":{"formattedCitation":"(Corsi et al., 1996)","plainTextFormattedCitation":"(Corsi et al., 1996)","previouslyFormattedCitation":"(Corsi et al., 1996)"},"properties":{"noteIndex":0},"schema":"https://github.com/citation-style-language/schema/raw/master/csl-citation.json"}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(Corsi et al., 1996)</w:t>
      </w:r>
      <w:r w:rsidR="00E77871">
        <w:rPr>
          <w:rFonts w:ascii="Times New Roman" w:hAnsi="Times New Roman" w:cs="Times New Roman"/>
          <w:lang w:val="es-CL"/>
        </w:rPr>
        <w:fldChar w:fldCharType="end"/>
      </w:r>
      <w:r w:rsidRPr="00C36520">
        <w:rPr>
          <w:rFonts w:ascii="Times New Roman" w:hAnsi="Times New Roman" w:cs="Times New Roman"/>
          <w:lang w:val="es-CL"/>
        </w:rPr>
        <w:t xml:space="preserve"> ofrece el criterio de delimitación del caso</w:t>
      </w:r>
      <w:r w:rsidR="00E77871">
        <w:rPr>
          <w:rFonts w:ascii="Times New Roman" w:hAnsi="Times New Roman" w:cs="Times New Roman"/>
          <w:lang w:val="es-CL"/>
        </w:rPr>
        <w:t>. D</w:t>
      </w:r>
      <w:r w:rsidRPr="00C36520">
        <w:rPr>
          <w:rFonts w:ascii="Times New Roman" w:hAnsi="Times New Roman" w:cs="Times New Roman"/>
          <w:lang w:val="es-CL"/>
        </w:rPr>
        <w:t>ado que los instrumentos estudiados son articulados por el Estado chileno, el análisis se acota a las fronteras nacionales. Esto permite evitar el obstáculo epistemológico de naturalizar fronteras subnacionales</w:t>
      </w:r>
      <w:r w:rsidR="00E77871">
        <w:rPr>
          <w:rFonts w:ascii="Times New Roman" w:hAnsi="Times New Roman" w:cs="Times New Roman"/>
          <w:lang w:val="es-CL"/>
        </w:rPr>
        <w:t xml:space="preserve"> (ej. </w:t>
      </w:r>
      <w:r w:rsidRPr="00C36520">
        <w:rPr>
          <w:rFonts w:ascii="Times New Roman" w:hAnsi="Times New Roman" w:cs="Times New Roman"/>
          <w:lang w:val="es-CL"/>
        </w:rPr>
        <w:t>regiones, provincias</w:t>
      </w:r>
      <w:r w:rsidR="00E77871">
        <w:rPr>
          <w:rFonts w:ascii="Times New Roman" w:hAnsi="Times New Roman" w:cs="Times New Roman"/>
          <w:lang w:val="es-CL"/>
        </w:rPr>
        <w:t xml:space="preserve"> o </w:t>
      </w:r>
      <w:r w:rsidRPr="00C36520">
        <w:rPr>
          <w:rFonts w:ascii="Times New Roman" w:hAnsi="Times New Roman" w:cs="Times New Roman"/>
          <w:lang w:val="es-CL"/>
        </w:rPr>
        <w:t>macrozonas</w:t>
      </w:r>
      <w:r w:rsidR="00E77871">
        <w:rPr>
          <w:rFonts w:ascii="Times New Roman" w:hAnsi="Times New Roman" w:cs="Times New Roman"/>
          <w:lang w:val="es-CL"/>
        </w:rPr>
        <w:t>)</w:t>
      </w:r>
      <w:r w:rsidRPr="00C36520">
        <w:rPr>
          <w:rFonts w:ascii="Times New Roman" w:hAnsi="Times New Roman" w:cs="Times New Roman"/>
          <w:lang w:val="es-CL"/>
        </w:rPr>
        <w:t xml:space="preserve"> cuando lo que se busca observar es justamente cómo esas fronteras son construidas por los propios instrumentos.</w:t>
      </w:r>
    </w:p>
    <w:p w14:paraId="59B24145" w14:textId="77777777" w:rsidR="00C36520" w:rsidRPr="00E77871" w:rsidRDefault="00C36520" w:rsidP="00C36520">
      <w:pPr>
        <w:spacing w:line="240" w:lineRule="auto"/>
        <w:jc w:val="both"/>
        <w:rPr>
          <w:rFonts w:ascii="Times New Roman" w:hAnsi="Times New Roman" w:cs="Times New Roman"/>
          <w:b/>
          <w:bCs/>
          <w:lang w:val="es-CL"/>
        </w:rPr>
      </w:pPr>
      <w:r w:rsidRPr="00E77871">
        <w:rPr>
          <w:rFonts w:ascii="Times New Roman" w:hAnsi="Times New Roman" w:cs="Times New Roman"/>
          <w:b/>
          <w:bCs/>
          <w:lang w:val="es-CL"/>
        </w:rPr>
        <w:t>Estrategia metodológica</w:t>
      </w:r>
    </w:p>
    <w:p w14:paraId="267ED999" w14:textId="3B6BEDE6"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La investigación adopta un enfoque mixto con diseño multimétodos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{"citationItems":[{"id":"ITEM-1","itemData":{"DOI":"10.5209/POSO.23474","ISSN":"1130-8001","abstract":"En este artículo se muestra que no hay inherentes realidades cuantitativas o cualitativas sino que tales características dependen del sujeto observador. Todo depende de los cuentos con los que poder hacer cuentas. Descansando las cuentos en las necesidades del que cuenta. Por tanto, si se quiere dar cuenta de la realidad sociocultural que preocupa y ocupa al conjunto de la ciudadanía, así como formular las pro- puestas con las que atenderlas, se han de aplicar metodologías con las que propiciar que todos los cuentos —no sólo los de investigador— cuenten. Convirtiéndose, de esta manera, las aplicación de metodologías participativas conversacionales no sólo en una demanda ética sino en un requerimiento científico","author":[{"dropping-particle":"","family":"Montañés Serrano","given":"Manuel","non-dropping-particle":"","parse-names":false,"suffix":""}],"container-title":"Política y sociedad","id":"ITEM-1","issue":"1","issued":{"date-parts":[["2007"]]},"page":"13-29","title":"Más allá del debate cuantitativo/cualitativo: la necesidad de aplicar metodologías participativas conversacionales","type":"article-journal","volume":"44"},"uris":["http://www.mendeley.com/documents/?uuid=55ecd080-2baa-4451-9f61-1fae3a44a72c"]}],"mendeley":{"formattedCitation":"(Montañés Serrano, 2007)","plainTextFormattedCitation":"(Montañés Serrano, 2007)","previouslyFormattedCitation":"(Montañés Serrano, 2007)"},"properties":{"noteIndex":0},"schema":"https://github.com/citation-style-language/schema/raw/master/csl-citation.json"}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(Montañés Serrano, 2007)</w:t>
      </w:r>
      <w:r w:rsidR="00E77871">
        <w:rPr>
          <w:rFonts w:ascii="Times New Roman" w:hAnsi="Times New Roman" w:cs="Times New Roman"/>
          <w:lang w:val="es-CL"/>
        </w:rPr>
        <w:fldChar w:fldCharType="end"/>
      </w:r>
      <w:r w:rsidRPr="00C36520">
        <w:rPr>
          <w:rFonts w:ascii="Times New Roman" w:hAnsi="Times New Roman" w:cs="Times New Roman"/>
          <w:lang w:val="es-CL"/>
        </w:rPr>
        <w:t>, coherente con la necesidad de producir múltiples observaciones del fenómeno desde distintos puntos de vista</w:t>
      </w:r>
      <w:r w:rsidR="00E77871">
        <w:rPr>
          <w:rFonts w:ascii="Times New Roman" w:hAnsi="Times New Roman" w:cs="Times New Roman"/>
          <w:lang w:val="es-CL"/>
        </w:rPr>
        <w:t xml:space="preserve">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{"citationItems":[{"id":"ITEM-1","itemData":{"author":[{"dropping-particle":"","family":"Arnold Cathalifaud","given":"Marcelo","non-dropping-particle":"","parse-names":false,"suffix":""}],"container-title":"Cinta de Moebio. Revista de Epistemología de Ciencias Sociales","id":"ITEM-1","issued":{"date-parts":[["1998"]]},"page":"31-39","title":"Recursos para la investigación sistémico/constructivista","type":"article-journal","volume":"3"},"uris":["http://www.mendeley.com/documents/?uuid=ce9c7cc1-704d-4f43-8b71-1fc1c1c15408"]}],"mendeley":{"formattedCitation":"(Arnold Cathalifaud, 1998)","plainTextFormattedCitation":"(Arnold Cathalifaud, 1998)","previouslyFormattedCitation":"(Arnold Cathalifaud, 1998)"},"properties":{"noteIndex":0},"schema":"https://github.com/citation-style-language/schema/raw/master/csl-citation.json"}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(Arnold Cathalifaud, 1998)</w:t>
      </w:r>
      <w:r w:rsidR="00E77871">
        <w:rPr>
          <w:rFonts w:ascii="Times New Roman" w:hAnsi="Times New Roman" w:cs="Times New Roman"/>
          <w:lang w:val="es-CL"/>
        </w:rPr>
        <w:fldChar w:fldCharType="end"/>
      </w:r>
      <w:r w:rsidRPr="00C36520">
        <w:rPr>
          <w:rFonts w:ascii="Times New Roman" w:hAnsi="Times New Roman" w:cs="Times New Roman"/>
          <w:lang w:val="es-CL"/>
        </w:rPr>
        <w:t>. Se organiza en dos etapas.</w:t>
      </w:r>
    </w:p>
    <w:p w14:paraId="6B6E7AC7" w14:textId="56FDB8FA" w:rsidR="00C36520" w:rsidRPr="00C36520" w:rsidRDefault="00C36520" w:rsidP="00C36520">
      <w:pPr>
        <w:spacing w:line="240" w:lineRule="auto"/>
        <w:jc w:val="both"/>
        <w:rPr>
          <w:rFonts w:ascii="Times New Roman" w:hAnsi="Times New Roman" w:cs="Times New Roman"/>
          <w:lang w:val="es-CL"/>
        </w:rPr>
      </w:pPr>
      <w:r w:rsidRPr="00E77871">
        <w:rPr>
          <w:rFonts w:ascii="Times New Roman" w:hAnsi="Times New Roman" w:cs="Times New Roman"/>
          <w:b/>
          <w:bCs/>
          <w:lang w:val="es-CL"/>
        </w:rPr>
        <w:t>Etapa 1A. Descripción de la evolución de los policy mixes (OE1)</w:t>
      </w:r>
      <w:r w:rsidRPr="00C36520">
        <w:rPr>
          <w:rFonts w:ascii="Times New Roman" w:hAnsi="Times New Roman" w:cs="Times New Roman"/>
          <w:lang w:val="es-CL"/>
        </w:rPr>
        <w:t xml:space="preserve">. Se analizarán documentos institucionales asociados al diseño, la operación y la autoevaluación de los instrumentos concursables, complementados con las leyes de presupuesto del periodo. El corpus se compone de las evaluaciones de política pública desarrolladas por la Dirección de Presupuestos (DIPRES) del Ministerio de Hacienda, tanto ex ante como durante la ejecución, y de documentos oficiales obtenidos mediante solicitudes de transparencia: </w:t>
      </w:r>
      <w:r w:rsidRPr="00C36520">
        <w:rPr>
          <w:rFonts w:ascii="Times New Roman" w:hAnsi="Times New Roman" w:cs="Times New Roman"/>
          <w:lang w:val="es-CL"/>
        </w:rPr>
        <w:lastRenderedPageBreak/>
        <w:t>bases concursales, formularios de postulación y formatos de currículum vitae. Sobre este corpus se aplicará un análisis cualitativo de contenido temático</w:t>
      </w:r>
      <w:r w:rsidR="00E77871">
        <w:rPr>
          <w:rFonts w:ascii="Times New Roman" w:hAnsi="Times New Roman" w:cs="Times New Roman"/>
          <w:lang w:val="es-CL"/>
        </w:rPr>
        <w:t xml:space="preserve">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{"citationItems":[{"id":"ITEM-1","itemData":{"DOI":"10.5027/psicoperspectivas-vol2-issue1-fulltext-3","abstract":"Resumen. Las técnicas de análisis cualitativo tienen cada vez más importancia en el ámbito de las ciencias sociales. A partir de su integración orgánica con el proceder general de la investigación naturalista, se convierten en parte de las herramientas más recurridas al momento de explicar fenómenos sociales complejos. Sin embargo, la dificultad para comprender y utilizar independientemente el análisis cualitativo de datos de la matriz disciplinaria que la sostiene, demanda a quienes investigan tener profundos conocimientos no sólo respecto de su uso, sino también de sus múltiples y a veces divergentes fundamentos epistemológicos y teórico-estratégicos. En este artículo se presenta una técnica de análisis, el análisis de contenido en su vertiente cualitativa, que pretende ser una propuesta analítica intermedia menos sujeta a los supuestos naturalistas de investigación, en virtud de la extendida apli-cación que de ella se ha hecho tanto en el ámbito cuantitativo como cualitativo. En la introducción se expone una breve síntesis del aporte de este tipo de análisis, las diferentes definiciones que se han brindado de esta técnica y las pretensiones en su enfoque, tal como se concibe en este trabajo posteriormente se hace un repaso de los principales pasos de ejecución-integrando el procedimiento propio del análisis de contenido y otros métodos analíticos cualitativos que ayudan a precisarlo y enriquecerlo-; también se aborda su grado de validez y confiabilidad y comentarios finales aclaratorios de algunos aspectos tratados a lo largo de este trabajo.","author":[{"dropping-particle":"","family":"Cáceres","given":"Pablo","non-dropping-particle":"","parse-names":false,"suffix":""}],"container-title":"Psicoperspectivas","id":"ITEM-1","issue":"1","issued":{"date-parts":[["2003"]]},"page":"53-82","title":"Análisis de contenido: una alternativa metodológica alcanzable","type":"article-journal","volume":"2"},"uris":["http://www.mendeley.com/documents/?uuid=878eea6c-adae-44df-8b39-382c8e38121d"]},{"id":"ITEM-2","itemData":{"ISBN":"9789561912571","author":[{"dropping-particle":"","family":"Cottet","given":"Pablo","non-dropping-particle":"","parse-names":false,"suffix":""},{"dropping-particle":"","family":"López","given":"Lorena","non-dropping-particle":"","parse-names":false,"suffix":""},{"dropping-particle":"","family":"Osorio Parraguez","given":"Paulina","non-dropping-particle":"","parse-names":false,"suffix":""},{"dropping-particle":"","family":"Astorga","given":"Marcelo","non-dropping-particle":"","parse-names":false,"suffix":""},{"dropping-particle":"","family":"Ferreiro","given":"José Manuel","non-dropping-particle":"","parse-names":false,"suffix":""},{"dropping-particle":"","family":"Galaz","given":"Caterine","non-dropping-particle":"","parse-names":false,"suffix":""},{"dropping-particle":"","family":"Álvarez","given":"Catalina","non-dropping-particle":"","parse-names":false,"suffix":""},{"dropping-particle":"","family":"Hernández","given":"Natalia","non-dropping-particle":"","parse-names":false,"suffix":""}],"editor":[{"dropping-particle":"","family":"Duarte Quapper","given":"Klaudio","non-dropping-particle":"","parse-names":false,"suffix":""}],"id":"ITEM-2","issued":{"date-parts":[["2022"]]},"publisher":"Social Ediciones","title":"Separar para constuir. Análisis cualitativo de información","type":"book"},"uris":["http://www.mendeley.com/documents/?uuid=b3125dd1-2133-4837-9ebd-dc9bfede1d7b"]}],"mendeley":{"formattedCitation":"(Cáceres, 2003; Cottet et al., 2022)","plainTextFormattedCitation":"(Cáceres, 2003; Cottet et al., 2022)","previouslyFormattedCitation":"(Cáceres, 2003; Cottet et al., 2022)"},"properties":{"noteIndex":0},"schema":"https://github.com/citation-style-language/schema/raw/master/csl-citation.json"}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(Cáceres, 2003; Cottet et al., 2022)</w:t>
      </w:r>
      <w:r w:rsidR="00E77871">
        <w:rPr>
          <w:rFonts w:ascii="Times New Roman" w:hAnsi="Times New Roman" w:cs="Times New Roman"/>
          <w:lang w:val="es-CL"/>
        </w:rPr>
        <w:fldChar w:fldCharType="end"/>
      </w:r>
      <w:r w:rsidRPr="00C36520">
        <w:rPr>
          <w:rFonts w:ascii="Times New Roman" w:hAnsi="Times New Roman" w:cs="Times New Roman"/>
          <w:lang w:val="es-CL"/>
        </w:rPr>
        <w:t>, orientado a identificar de manera sistemática y reglada los componentes de cada policy mix, así como las complementariedades, contradicciones y secuencialidades entre instrumentos, tanto en sentido vertical</w:t>
      </w:r>
      <w:r w:rsidR="00E77871">
        <w:rPr>
          <w:rFonts w:ascii="Times New Roman" w:hAnsi="Times New Roman" w:cs="Times New Roman"/>
          <w:lang w:val="es-CL"/>
        </w:rPr>
        <w:t xml:space="preserve">, </w:t>
      </w:r>
      <w:r w:rsidRPr="00C36520">
        <w:rPr>
          <w:rFonts w:ascii="Times New Roman" w:hAnsi="Times New Roman" w:cs="Times New Roman"/>
          <w:lang w:val="es-CL"/>
        </w:rPr>
        <w:t>dentro de un mismo dominio</w:t>
      </w:r>
      <w:r w:rsidR="00E77871">
        <w:rPr>
          <w:rFonts w:ascii="Times New Roman" w:hAnsi="Times New Roman" w:cs="Times New Roman"/>
          <w:lang w:val="es-CL"/>
        </w:rPr>
        <w:t>,</w:t>
      </w:r>
      <w:r w:rsidRPr="00C36520">
        <w:rPr>
          <w:rFonts w:ascii="Times New Roman" w:hAnsi="Times New Roman" w:cs="Times New Roman"/>
          <w:lang w:val="es-CL"/>
        </w:rPr>
        <w:t xml:space="preserve"> como horizontal</w:t>
      </w:r>
      <w:r w:rsidR="00E77871">
        <w:rPr>
          <w:rFonts w:ascii="Times New Roman" w:hAnsi="Times New Roman" w:cs="Times New Roman"/>
          <w:lang w:val="es-CL"/>
        </w:rPr>
        <w:t xml:space="preserve">, es decir, </w:t>
      </w:r>
      <w:r w:rsidRPr="00C36520">
        <w:rPr>
          <w:rFonts w:ascii="Times New Roman" w:hAnsi="Times New Roman" w:cs="Times New Roman"/>
          <w:lang w:val="es-CL"/>
        </w:rPr>
        <w:t>entre dominios</w:t>
      </w:r>
      <w:r w:rsidR="00E77871">
        <w:rPr>
          <w:rFonts w:ascii="Times New Roman" w:hAnsi="Times New Roman" w:cs="Times New Roman"/>
          <w:lang w:val="es-CL"/>
        </w:rPr>
        <w:t xml:space="preserve">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{"citationItems":[{"id":"ITEM-1","itemData":{"DOI":"10.1016/j.respol.2011.02.005","ISSN":"00487333","abstract":"Recent years have seen the emergence, take-up and use of the term 'policy mix' by innovation policy makers and by policy analysts and scholars alike. Imported from economic policy debates, the term implies a focus on the interactions and interdependencies between different policies as they affect the extent to which intended policy outcomes are achieved. However the meaning of the term remains ambiguous. Nonetheless, we argue that the emergence of the 'policy mix' concept into common use in the field of innovation policy studies provides us with a window of opportunity to reconsider some basic and often hidden assumptions in order to better deal with a messy and complex, multi-level, multi-actor reality. We draw upon a range of literatures to re-conceptualise the basic building blocks of innovation policy studies in order to arrive at a useful definition of 'policy mix' tensions and interactions of different kinds across a series of dimensions. We suggest that this reconceptualisation has important implications for the future scope and focus of prescriptive and analytical innovation policy studies. © 2011 Elsevier B.V.","author":[{"dropping-particle":"","family":"Flanagan","given":"Kieron","non-dropping-particle":"","parse-names":false,"suffix":""},{"dropping-particle":"","family":"Uyarra","given":"Elvira","non-dropping-particle":"","parse-names":false,"suffix":""},{"dropping-particle":"","family":"Laranja","given":"Manuel","non-dropping-particle":"","parse-names":false,"suffix":""}],"container-title":"Research Policy","id":"ITEM-1","issue":"5","issued":{"date-parts":[["2011"]]},"page":"702-713","title":"Reconceptualising the 'policy mix' for innovation","type":"article-journal","volume":"40"},"uris":["http://www.mendeley.com/documents/?uuid=0b0bb19e-3172-459f-8e29-60a59ba16bc9"]},{"id":"ITEM-2","itemData":{"DOI":"10.1007/s10961-019-09767-4","ISBN":"0123456789","ISSN":"15737047","abstract":"The “policy mix” concept has gained popularity among science, technology and innovation policy communities over the past two decades in a context of growing policy complexity and need for policy evidence. Pressing societal challenges are also prompting governments to rethink policy making in order to better align public intervention across policy domains and leverage the transformative potential of system innovations. Governments faced multiple obstacles in implementing a policy mix approach in policy making and evaluation. Based on a comparative analysis of international STI policy repositories, a conceptual framework is proposed, as well as structuring principles and operational guidelines for mapping the composition of a policy mix, identifying interactions among components and translating the mapping into measurement. In that view, a range of new policy mix metrics is introduced. Finally, the discussion focuses on the need for moving towards a new data management paradigm and enlarging the measurement mix.","author":[{"dropping-particle":"","family":"Meissner","given":"Dirk","non-dropping-particle":"","parse-names":false,"suffix":""},{"dropping-particle":"","family":"Kergroach","given":"Sandrine","non-dropping-particle":"","parse-names":false,"suffix":""}],"container-title":"Journal of Technology Transfer","id":"ITEM-2","issue":"1","issued":{"date-parts":[["2021"]]},"page":"197-222","publisher":"Springer US","title":"Innovation policy mix: mapping and measurement","type":"article-journal","volume":"46"},"uris":["http://www.mendeley.com/documents/?uuid=9c8e3a31-9efb-49b9-a337-7a357ca4dcd2"]}],"mendeley":{"formattedCitation":"(Flanagan et al., 2011; Meissner &amp; Kergroach, 2021)","plainTextFormattedCitation":"(Flanagan et al., 2011; Meissner &amp; Kergroach, 2021)","previouslyFormattedCitation":"(Flanagan et al., 2011; Meissner &amp; Kergroach, 2021)"},"properties":{"noteIndex":0},"schema":"https://github.com/citation-style-language/schema/raw/master/csl-citation.json"}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(Flanagan et al., 2011; Meissner &amp; Kergroach, 2021)</w:t>
      </w:r>
      <w:r w:rsidR="00E77871">
        <w:rPr>
          <w:rFonts w:ascii="Times New Roman" w:hAnsi="Times New Roman" w:cs="Times New Roman"/>
          <w:lang w:val="es-CL"/>
        </w:rPr>
        <w:fldChar w:fldCharType="end"/>
      </w:r>
      <w:r w:rsidRPr="00C36520">
        <w:rPr>
          <w:rFonts w:ascii="Times New Roman" w:hAnsi="Times New Roman" w:cs="Times New Roman"/>
          <w:lang w:val="es-CL"/>
        </w:rPr>
        <w:t>. Paralelamente, las leyes de presupuesto se procesarán mediante análisis estadístico descriptivo, para reconstruir la evolución de las asignaciones de recursos.</w:t>
      </w:r>
    </w:p>
    <w:p w14:paraId="403D60D7" w14:textId="742DD170" w:rsidR="00C36520" w:rsidRPr="00C36520" w:rsidRDefault="00C36520" w:rsidP="00C36520">
      <w:pPr>
        <w:spacing w:line="240" w:lineRule="auto"/>
        <w:jc w:val="both"/>
        <w:rPr>
          <w:rFonts w:ascii="Times New Roman" w:hAnsi="Times New Roman" w:cs="Times New Roman"/>
          <w:lang w:val="es-CL"/>
        </w:rPr>
      </w:pPr>
      <w:r w:rsidRPr="00E77871">
        <w:rPr>
          <w:rFonts w:ascii="Times New Roman" w:hAnsi="Times New Roman" w:cs="Times New Roman"/>
          <w:b/>
          <w:bCs/>
          <w:lang w:val="es-CL"/>
        </w:rPr>
        <w:t>Etapa 1B. Caracterización de las perspectivas de actores clave (OE2).</w:t>
      </w:r>
      <w:r w:rsidRPr="00C36520">
        <w:rPr>
          <w:rFonts w:ascii="Times New Roman" w:hAnsi="Times New Roman" w:cs="Times New Roman"/>
          <w:lang w:val="es-CL"/>
        </w:rPr>
        <w:t xml:space="preserve"> Se desarrollará un análisis de clases latentes (ACL) sobre bases de datos de receptores y receptoras de fondos, provenientes de la ANID, el MINCTCI y el MINCAP, incluyendo tanto datos públicos como aquellos solicitados por transparencia. El ACL permite construir clases de actores bajo el supuesto de que el comportamiento de variables categóricas conocidas —haber adjudicado o no un fondo, la región de residencia, la institución de adscripción, el género o la disciplina— puede atribuirse probabilísticamente a variables latentes, es decir, a una probabilidad de pertenencia a clústeres no observables directamente</w:t>
      </w:r>
      <w:r w:rsidR="00E77871">
        <w:rPr>
          <w:rFonts w:ascii="Times New Roman" w:hAnsi="Times New Roman" w:cs="Times New Roman"/>
          <w:lang w:val="es-CL"/>
        </w:rPr>
        <w:t xml:space="preserve"> </w:t>
      </w:r>
      <w:r w:rsidR="00E77871">
        <w:rPr>
          <w:rFonts w:ascii="Times New Roman" w:hAnsi="Times New Roman" w:cs="Times New Roman"/>
          <w:lang w:val="es-CL"/>
        </w:rPr>
        <w:fldChar w:fldCharType="begin" w:fldLock="1"/>
      </w:r>
      <w:r w:rsidR="00E77871">
        <w:rPr>
          <w:rFonts w:ascii="Times New Roman" w:hAnsi="Times New Roman" w:cs="Times New Roman"/>
          <w:lang w:val="es-CL"/>
        </w:rPr>
        <w:instrText>ADDIN CSL_CITATION {"citationItems":[{"id":"ITEM-1","itemData":{"DOI":"10.1097/CCM.0000000000004710","ISBN":"0000000000","ISSN":"15300293","PMID":"33165028","abstract":"Latent class analysis is a probabilistic modeling algorithm that allows clustering of data and statistical inference. There has been a recent upsurge in the application of latent class analysis in the fields of critical care, respiratory medicine, and beyond. In this review, we present a brief overview of the principles behind latent class analysis. Furthermore, in a stepwise manner, we outline the key processes necessary to perform latent class analysis including some of the challenges and pitfalls faced at each of these steps. The review provides a one-stop shop for investigators seeking to apply latent class analysis to their data.","author":[{"dropping-particle":"","family":"Sinha","given":"Pratik","non-dropping-particle":"","parse-names":false,"suffix":""},{"dropping-particle":"","family":"Calfee","given":"Carolyn S.","non-dropping-particle":"","parse-names":false,"suffix":""},{"dropping-particle":"","family":"Delucchi","given":"Kevin L.","non-dropping-particle":"","parse-names":false,"suffix":""}],"container-title":"Critical Care Medicine","id":"ITEM-1","issue":"1","issued":{"date-parts":[["2021"]]},"page":"E63-E79","title":"Practitioner's Guide to Latent Class Analysis: Methodological Considerations and Common Pitfalls","type":"article-journal","volume":"49"},"uris":["http://www.mendeley.com/documents/?uuid=8590c3bb-86d6-461c-a79b-480bd6fc225a"]}],"mendeley":{"formattedCitation":"(Sinha et al., 2021)","plainTextFormattedCitation":"(Sinha et al., 2021)","previouslyFormattedCitation":"(Sinha et al., 2021)"},"properties":{"noteIndex":0},"schema":"https://github.com/citation-style-language/schema/raw/master/csl-citation.json"}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(Sinha et al., 2021)</w:t>
      </w:r>
      <w:r w:rsidR="00E77871">
        <w:rPr>
          <w:rFonts w:ascii="Times New Roman" w:hAnsi="Times New Roman" w:cs="Times New Roman"/>
          <w:lang w:val="es-CL"/>
        </w:rPr>
        <w:fldChar w:fldCharType="end"/>
      </w:r>
      <w:r w:rsidRPr="00C36520">
        <w:rPr>
          <w:rFonts w:ascii="Times New Roman" w:hAnsi="Times New Roman" w:cs="Times New Roman"/>
          <w:lang w:val="es-CL"/>
        </w:rPr>
        <w:t>. La inclusión de la adscripción institucional y la región permite anticipar que buena parte de las clases resultantes estará estructurada por la posición de las universidades en el sistema.</w:t>
      </w:r>
    </w:p>
    <w:p w14:paraId="0DB8DE8B" w14:textId="5E718E24"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En un segundo momento, con los destinatarios clasificados en clases latentes, se desarrollarán entre cuatro y ocho talleres participativos de </w:t>
      </w:r>
      <w:proofErr w:type="spellStart"/>
      <w:r w:rsidRPr="00E77871">
        <w:rPr>
          <w:rFonts w:ascii="Times New Roman" w:hAnsi="Times New Roman" w:cs="Times New Roman"/>
          <w:i/>
          <w:iCs/>
          <w:lang w:val="es-CL"/>
        </w:rPr>
        <w:t>card</w:t>
      </w:r>
      <w:proofErr w:type="spellEnd"/>
      <w:r w:rsidRPr="00E77871">
        <w:rPr>
          <w:rFonts w:ascii="Times New Roman" w:hAnsi="Times New Roman" w:cs="Times New Roman"/>
          <w:i/>
          <w:iCs/>
          <w:lang w:val="es-CL"/>
        </w:rPr>
        <w:t xml:space="preserve"> </w:t>
      </w:r>
      <w:proofErr w:type="spellStart"/>
      <w:r w:rsidRPr="00E77871">
        <w:rPr>
          <w:rFonts w:ascii="Times New Roman" w:hAnsi="Times New Roman" w:cs="Times New Roman"/>
          <w:i/>
          <w:iCs/>
          <w:lang w:val="es-CL"/>
        </w:rPr>
        <w:t>sorting</w:t>
      </w:r>
      <w:proofErr w:type="spellEnd"/>
      <w:r w:rsidRPr="00C36520">
        <w:rPr>
          <w:rFonts w:ascii="Times New Roman" w:hAnsi="Times New Roman" w:cs="Times New Roman"/>
          <w:lang w:val="es-CL"/>
        </w:rPr>
        <w:t>, técnica de</w:t>
      </w:r>
      <w:r w:rsidR="00E77871">
        <w:rPr>
          <w:rFonts w:ascii="Times New Roman" w:hAnsi="Times New Roman" w:cs="Times New Roman"/>
          <w:lang w:val="es-CL"/>
        </w:rPr>
        <w:t xml:space="preserve"> </w:t>
      </w:r>
      <w:r w:rsidRPr="00C36520">
        <w:rPr>
          <w:rFonts w:ascii="Times New Roman" w:hAnsi="Times New Roman" w:cs="Times New Roman"/>
          <w:lang w:val="es-CL"/>
        </w:rPr>
        <w:t>elicitación proveniente de</w:t>
      </w:r>
      <w:r w:rsidR="00E77871">
        <w:rPr>
          <w:rFonts w:ascii="Times New Roman" w:hAnsi="Times New Roman" w:cs="Times New Roman"/>
          <w:lang w:val="es-CL"/>
        </w:rPr>
        <w:t xml:space="preserve"> la disciplina del</w:t>
      </w:r>
      <w:r w:rsidRPr="00C36520">
        <w:rPr>
          <w:rFonts w:ascii="Times New Roman" w:hAnsi="Times New Roman" w:cs="Times New Roman"/>
          <w:lang w:val="es-CL"/>
        </w:rPr>
        <w:t xml:space="preserve"> diseño que solicita a los participantes agrupar y jerarquizar tarjetas para explicitar sus propias categorías y criterios de organización del fenómeno </w:t>
      </w:r>
      <w:r w:rsidR="00E77871">
        <w:rPr>
          <w:rFonts w:ascii="Times New Roman" w:hAnsi="Times New Roman" w:cs="Times New Roman"/>
          <w:lang w:val="es-CL"/>
        </w:rPr>
        <w:fldChar w:fldCharType="begin" w:fldLock="1"/>
      </w:r>
      <w:r w:rsidR="009250EB">
        <w:rPr>
          <w:rFonts w:ascii="Times New Roman" w:hAnsi="Times New Roman" w:cs="Times New Roman"/>
          <w:lang w:val="es-CL"/>
        </w:rPr>
        <w:instrText>ADDIN CSL_CITATION {"citationItems":[{"id":"ITEM-1","itemData":{"ISBN":"9781933820071","PMID":"15574742","abstract":"Card sorting is an effective, easy-to-use method for understanding how people think about content and categories. It helps you create information that is easy to find and understand. In \"Card Sorting: Designing Usable Categories,\" Donna Spencer shows you how to plan and run a card sort, analyze the results, and apply the outcomes to your projects. TESTIMONIALS \"This is a wonderful book on a much-needed topic. While card sorting is a basic tool of the trade, it's previously received short-shrift in any practical publication. Donna's done an amazing job explaining (in easy-to-understand terms) what every designer, architect, and researcher should know about the ins-and-outs of card sorting. (You might need to buy two copies, because I guarantee someone will borrow your first copy and never return it.)\".\" Jared M. Spool, CEO and Founding Principal, User Interface Engineering","author":[{"dropping-particle":"","family":"Spencer","given":"Donna","non-dropping-particle":"","parse-names":false,"suffix":""}],"id":"ITEM-1","issued":{"date-parts":[["2009"]]},"number-of-pages":"260","publisher":"Rosenfeld","title":"Card Sorting. Designing Usable Categories","type":"book"},"uris":["http://www.mendeley.com/documents/?uuid=43564edd-ad14-4c5b-a124-e2065173aaf7"]}],"mendeley":{"formattedCitation":"(Spencer, 2009)","plainTextFormattedCitation":"(Spencer, 2009)","previouslyFormattedCitation":"(Spencer, 2009)"},"properties":{"noteIndex":0},"schema":"https://github.com/citation-style-language/schema/raw/master/csl-citation.json"}</w:instrText>
      </w:r>
      <w:r w:rsidR="00E77871">
        <w:rPr>
          <w:rFonts w:ascii="Times New Roman" w:hAnsi="Times New Roman" w:cs="Times New Roman"/>
          <w:lang w:val="es-CL"/>
        </w:rPr>
        <w:fldChar w:fldCharType="separate"/>
      </w:r>
      <w:r w:rsidR="00E77871" w:rsidRPr="00E77871">
        <w:rPr>
          <w:rFonts w:ascii="Times New Roman" w:hAnsi="Times New Roman" w:cs="Times New Roman"/>
          <w:noProof/>
          <w:lang w:val="es-CL"/>
        </w:rPr>
        <w:t>(Spencer, 2009)</w:t>
      </w:r>
      <w:r w:rsidR="00E77871">
        <w:rPr>
          <w:rFonts w:ascii="Times New Roman" w:hAnsi="Times New Roman" w:cs="Times New Roman"/>
          <w:lang w:val="es-CL"/>
        </w:rPr>
        <w:fldChar w:fldCharType="end"/>
      </w:r>
      <w:r w:rsidRPr="00C36520">
        <w:rPr>
          <w:rFonts w:ascii="Times New Roman" w:hAnsi="Times New Roman" w:cs="Times New Roman"/>
          <w:lang w:val="es-CL"/>
        </w:rPr>
        <w:t xml:space="preserve">, en este caso, los componentes del policy mix 2025-2027. El número de talleres se definirá según la cantidad de clases construidas. El material producido se examinará mediante análisis cualitativo de contenido </w:t>
      </w:r>
      <w:r w:rsidR="009250EB">
        <w:rPr>
          <w:rFonts w:ascii="Times New Roman" w:hAnsi="Times New Roman" w:cs="Times New Roman"/>
          <w:lang w:val="es-CL"/>
        </w:rPr>
        <w:fldChar w:fldCharType="begin" w:fldLock="1"/>
      </w:r>
      <w:r w:rsidR="009250EB">
        <w:rPr>
          <w:rFonts w:ascii="Times New Roman" w:hAnsi="Times New Roman" w:cs="Times New Roman"/>
          <w:lang w:val="es-CL"/>
        </w:rPr>
        <w:instrText>ADDIN CSL_CITATION {"citationItems":[{"id":"ITEM-1","itemData":{"author":[{"dropping-particle":"","family":"Fincher","given":"Sally","non-dropping-particle":"","parse-names":false,"suffix":""},{"dropping-particle":"","family":"Tenenberg","given":"Josh","non-dropping-particle":"","parse-names":false,"suffix":""}],"container-title":"Expert Systems","id":"ITEM-1","issue":"3","issued":{"date-parts":[["2005"]]},"page":"89-93","title":"Making sense of card sorting data","type":"article-journal","volume":"22"},"uris":["http://www.mendeley.com/documents/?uuid=1db5c78b-0067-424b-ac56-a63f5230cd36"]}],"mendeley":{"formattedCitation":"(Fincher &amp; Tenenberg, 2005)","plainTextFormattedCitation":"(Fincher &amp; Tenenberg, 2005)","previouslyFormattedCitation":"(Fincher &amp; Tenenberg, 2005)"},"properties":{"noteIndex":0},"schema":"https://github.com/citation-style-language/schema/raw/master/csl-citation.json"}</w:instrText>
      </w:r>
      <w:r w:rsidR="009250EB">
        <w:rPr>
          <w:rFonts w:ascii="Times New Roman" w:hAnsi="Times New Roman" w:cs="Times New Roman"/>
          <w:lang w:val="es-CL"/>
        </w:rPr>
        <w:fldChar w:fldCharType="separate"/>
      </w:r>
      <w:r w:rsidR="009250EB" w:rsidRPr="009250EB">
        <w:rPr>
          <w:rFonts w:ascii="Times New Roman" w:hAnsi="Times New Roman" w:cs="Times New Roman"/>
          <w:noProof/>
          <w:lang w:val="es-CL"/>
        </w:rPr>
        <w:t>(Fincher &amp; Tenenberg, 2005)</w:t>
      </w:r>
      <w:r w:rsidR="009250EB">
        <w:rPr>
          <w:rFonts w:ascii="Times New Roman" w:hAnsi="Times New Roman" w:cs="Times New Roman"/>
          <w:lang w:val="es-CL"/>
        </w:rPr>
        <w:fldChar w:fldCharType="end"/>
      </w:r>
      <w:r w:rsidR="009250EB">
        <w:rPr>
          <w:rFonts w:ascii="Times New Roman" w:hAnsi="Times New Roman" w:cs="Times New Roman"/>
          <w:lang w:val="es-CL"/>
        </w:rPr>
        <w:t>.</w:t>
      </w:r>
    </w:p>
    <w:p w14:paraId="083E2416" w14:textId="35E820FB" w:rsidR="00C36520" w:rsidRPr="00C36520" w:rsidRDefault="00C36520" w:rsidP="00C36520">
      <w:pPr>
        <w:spacing w:line="240" w:lineRule="auto"/>
        <w:jc w:val="both"/>
        <w:rPr>
          <w:rFonts w:ascii="Times New Roman" w:hAnsi="Times New Roman" w:cs="Times New Roman"/>
          <w:lang w:val="es-CL"/>
        </w:rPr>
      </w:pPr>
      <w:r w:rsidRPr="009250EB">
        <w:rPr>
          <w:rFonts w:ascii="Times New Roman" w:hAnsi="Times New Roman" w:cs="Times New Roman"/>
          <w:b/>
          <w:bCs/>
          <w:lang w:val="es-CL"/>
        </w:rPr>
        <w:t>Etapa 2A. Caracterización de semánticas territoriales (OE3).</w:t>
      </w:r>
      <w:r w:rsidRPr="00C36520">
        <w:rPr>
          <w:rFonts w:ascii="Times New Roman" w:hAnsi="Times New Roman" w:cs="Times New Roman"/>
          <w:lang w:val="es-CL"/>
        </w:rPr>
        <w:t xml:space="preserve"> Se aplicará un análisis de discurso sobre los materiales producidos en las etapas previas, orientado a caracterizar las semánticas espacio-territoriales movilizadas explícita e implícitamente por los instrumentos y por los actores destinatarios. Coherentemente con el marco constructivista, el análisis de discurso se entiende como una vía para rastrear las distinciones espaciales condensadas en el sentido de las comunicaciones, atendiendo a los diálogos y tensiones entre semánticas </w:t>
      </w:r>
      <w:r w:rsidR="009250EB">
        <w:rPr>
          <w:rFonts w:ascii="Times New Roman" w:hAnsi="Times New Roman" w:cs="Times New Roman"/>
          <w:lang w:val="es-CL"/>
        </w:rPr>
        <w:fldChar w:fldCharType="begin" w:fldLock="1"/>
      </w:r>
      <w:r w:rsidR="009250EB">
        <w:rPr>
          <w:rFonts w:ascii="Times New Roman" w:hAnsi="Times New Roman" w:cs="Times New Roman"/>
          <w:lang w:val="es-CL"/>
        </w:rPr>
        <w:instrText>ADDIN CSL_CITATION {"citationItems":[{"id":"ITEM-1","itemData":{"DOI":"10.1017/CBO9781107415324.004","ISBN":"9788578110796","ISSN":"1098-6596","PMID":"25246403","editor":[{"dropping-particle":"","family":"Canales Cerón","given":"Manuel","non-dropping-particle":"","parse-names":false,"suffix":""}],"id":"ITEM-1","issued":{"date-parts":[["2006"]]},"publisher":"LOM Ediciones","publisher-place":"Santiago","title":"Metodologías de investigación social. Introducción a los oficios","type":"book"},"uris":["http://www.mendeley.com/documents/?uuid=095addfd-c576-4c15-8cf9-de8649c8796e"]},{"id":"ITEM-2","itemData":{"ISBN":"9789561912571","author":[{"dropping-particle":"","family":"Cottet","given":"Pablo","non-dropping-particle":"","parse-names":false,"suffix":""},{"dropping-particle":"","family":"López","given":"Lorena","non-dropping-particle":"","parse-names":false,"suffix":""},{"dropping-particle":"","family":"Osorio Parraguez","given":"Paulina","non-dropping-particle":"","parse-names":false,"suffix":""},{"dropping-particle":"","family":"Astorga","given":"Marcelo","non-dropping-particle":"","parse-names":false,"suffix":""},{"dropping-particle":"","family":"Ferreiro","given":"José Manuel","non-dropping-particle":"","parse-names":false,"suffix":""},{"dropping-particle":"","family":"Galaz","given":"Caterine","non-dropping-particle":"","parse-names":false,"suffix":""},{"dropping-particle":"","family":"Álvarez","given":"Catalina","non-dropping-particle":"","parse-names":false,"suffix":""},{"dropping-particle":"","family":"Hernández","given":"Natalia","non-dropping-particle":"","parse-names":false,"suffix":""}],"editor":[{"dropping-particle":"","family":"Duarte Quapper","given":"Klaudio","non-dropping-particle":"","parse-names":false,"suffix":""}],"id":"ITEM-2","issued":{"date-parts":[["2022"]]},"publisher":"Social Ediciones","title":"Separar para constuir. Análisis cualitativo de información","type":"book"},"uris":["http://www.mendeley.com/documents/?uuid=b3125dd1-2133-4837-9ebd-dc9bfede1d7b"]}],"mendeley":{"formattedCitation":"(Canales Cerón, 2006; Cottet et al., 2022)","plainTextFormattedCitation":"(Canales Cerón, 2006; Cottet et al., 2022)","previouslyFormattedCitation":"(Canales Cerón, 2006; Cottet et al., 2022)"},"properties":{"noteIndex":0},"schema":"https://github.com/citation-style-language/schema/raw/master/csl-citation.json"}</w:instrText>
      </w:r>
      <w:r w:rsidR="009250EB">
        <w:rPr>
          <w:rFonts w:ascii="Times New Roman" w:hAnsi="Times New Roman" w:cs="Times New Roman"/>
          <w:lang w:val="es-CL"/>
        </w:rPr>
        <w:fldChar w:fldCharType="separate"/>
      </w:r>
      <w:r w:rsidR="009250EB" w:rsidRPr="009250EB">
        <w:rPr>
          <w:rFonts w:ascii="Times New Roman" w:hAnsi="Times New Roman" w:cs="Times New Roman"/>
          <w:noProof/>
          <w:lang w:val="es-CL"/>
        </w:rPr>
        <w:t>(Canales Cerón, 2006; Cottet et al., 2022)</w:t>
      </w:r>
      <w:r w:rsidR="009250EB">
        <w:rPr>
          <w:rFonts w:ascii="Times New Roman" w:hAnsi="Times New Roman" w:cs="Times New Roman"/>
          <w:lang w:val="es-CL"/>
        </w:rPr>
        <w:fldChar w:fldCharType="end"/>
      </w:r>
      <w:r w:rsidRPr="00C36520">
        <w:rPr>
          <w:rFonts w:ascii="Times New Roman" w:hAnsi="Times New Roman" w:cs="Times New Roman"/>
          <w:lang w:val="es-CL"/>
        </w:rPr>
        <w:t>.</w:t>
      </w:r>
    </w:p>
    <w:p w14:paraId="52FB0C33" w14:textId="6DFB152B" w:rsidR="00C36520" w:rsidRPr="00C36520" w:rsidRDefault="00C36520" w:rsidP="00C36520">
      <w:pPr>
        <w:spacing w:line="240" w:lineRule="auto"/>
        <w:jc w:val="both"/>
        <w:rPr>
          <w:rFonts w:ascii="Times New Roman" w:hAnsi="Times New Roman" w:cs="Times New Roman"/>
          <w:lang w:val="es-CL"/>
        </w:rPr>
      </w:pPr>
      <w:r w:rsidRPr="009250EB">
        <w:rPr>
          <w:rFonts w:ascii="Times New Roman" w:hAnsi="Times New Roman" w:cs="Times New Roman"/>
          <w:b/>
          <w:bCs/>
          <w:lang w:val="es-CL"/>
        </w:rPr>
        <w:t>Etapa 2B. Caracterización de las representaciones en prensa (OE4).</w:t>
      </w:r>
      <w:r w:rsidRPr="00C36520">
        <w:rPr>
          <w:rFonts w:ascii="Times New Roman" w:hAnsi="Times New Roman" w:cs="Times New Roman"/>
          <w:lang w:val="es-CL"/>
        </w:rPr>
        <w:t xml:space="preserve"> Se construirá un corpus de prensa digital mediante técnicas de extracción automatizada </w:t>
      </w:r>
      <w:r w:rsidR="009250EB">
        <w:rPr>
          <w:rFonts w:ascii="Times New Roman" w:hAnsi="Times New Roman" w:cs="Times New Roman"/>
          <w:lang w:val="es-CL"/>
        </w:rPr>
        <w:fldChar w:fldCharType="begin" w:fldLock="1"/>
      </w:r>
      <w:r w:rsidR="009250EB">
        <w:rPr>
          <w:rFonts w:ascii="Times New Roman" w:hAnsi="Times New Roman" w:cs="Times New Roman"/>
          <w:lang w:val="es-CL"/>
        </w:rPr>
        <w:instrText>ADDIN CSL_CITATION {"citationItems":[{"id":"ITEM-1","itemData":{"DOI":"10.15849/ijasca.211128.11","ISSN":"20748523","abstract":"Web scraping or web crawling refers to the procedure of automatic extraction of data from websites using software. It is a process that is particularly important in fields such as Business Intelligence in the modern age. Web scrapping is a technology that allow us to extract structured data from text such as HTML. Web scrapping is extremely useful in situations where data isn’t provided in machine readable format such as JSON or XML. The use of web scrapping to gather data allows us to gather prices in near real time from retail store sites and provide further details, web scrapping can also be used to gather intelligence of illicit businesses such as drug marketplaces in the darknet to provide law enforcement and researchers valuable data such as drug prices and varieties that would be unavailable with conventional methods. It has been found that using a web scraping program would yield data that is far more thorough, accurate, and consistent than manual entry. Based on the result it has been concluded that Web scraping is a highly useful tool in the information age, and an essential one in the modern fields. Multiple technologies are required to implement web scrapping properly such as spidering and pattern matching which are discussed. This paper is looking into what web scraping is, how it works, web scraping stages, technologies, how it relates to Business Intelligence, artificial intelligence, data science, big data, cyber securityو how it can be done with the Python language, some of the main benefits of web scraping, and what the future of web scraping may look like, and a special degree of emphasis is placed on highlighting the ethical and legal issues.","author":[{"dropping-particle":"","family":"Khder","given":"Moaiad Ahmad","non-dropping-particle":"","parse-names":false,"suffix":""}],"container-title":"International Journal of Advances in Soft Computing and its Applications","id":"ITEM-1","issue":"3","issued":{"date-parts":[["2021"]]},"page":"144-168","title":"Web scraping or web crawling: State of art, techniques, approaches and application","type":"article-journal","volume":"13"},"prefix":"web scraping, ","uris":["http://www.mendeley.com/documents/?uuid=ef91f439-7303-4adb-8c10-212cd4938602"]},{"id":"ITEM-2","itemData":{"abstract":"The World Wide Web contains all kinds of information of different origins; some of those are social, financial, security and academic. Most people access information through internet for educational purposes. Information on the web is available in different formats and through different access interfaces. Therefore, indexing or semantic processing of the data through websites could be cumbersome. Web Scraping is the technique which aims to address this issue. Web scraping is used to transform unstructured data on the web into structured data that can be stored and analysed in a central local database or spreadsheet. There are various web scraping techniques including Traditional copy-and-paste, Text grapping and regular expression matching,","author":[{"dropping-particle":"","family":"Sirisuriya","given":"SCM de S","non-dropping-particle":"","parse-names":false,"suffix":""}],"container-title":"Proceedings of 8th International Research Conference","id":"ITEM-2","issue":"November","issued":{"date-parts":[["2015"]]},"page":"135-140","title":"A Comparative Study on Web Scraping","type":"article-journal"},"uris":["http://www.mendeley.com/documents/?uuid=593cfbf0-1547-475f-b471-7f13897f15a8"]}],"mendeley":{"formattedCitation":"(web scraping, Khder, 2021; Sirisuriya, 2015)","plainTextFormattedCitation":"(web scraping, Khder, 2021; Sirisuriya, 2015)","previouslyFormattedCitation":"(web scraping, Khder, 2021; Sirisuriya, 2015)"},"properties":{"noteIndex":0},"schema":"https://github.com/citation-style-language/schema/raw/master/csl-citation.json"}</w:instrText>
      </w:r>
      <w:r w:rsidR="009250EB">
        <w:rPr>
          <w:rFonts w:ascii="Times New Roman" w:hAnsi="Times New Roman" w:cs="Times New Roman"/>
          <w:lang w:val="es-CL"/>
        </w:rPr>
        <w:fldChar w:fldCharType="separate"/>
      </w:r>
      <w:r w:rsidR="009250EB" w:rsidRPr="009250EB">
        <w:rPr>
          <w:rFonts w:ascii="Times New Roman" w:hAnsi="Times New Roman" w:cs="Times New Roman"/>
          <w:noProof/>
          <w:lang w:val="es-CL"/>
        </w:rPr>
        <w:t>(web scraping, Khder, 2021; Sirisuriya, 2015)</w:t>
      </w:r>
      <w:r w:rsidR="009250EB">
        <w:rPr>
          <w:rFonts w:ascii="Times New Roman" w:hAnsi="Times New Roman" w:cs="Times New Roman"/>
          <w:lang w:val="es-CL"/>
        </w:rPr>
        <w:fldChar w:fldCharType="end"/>
      </w:r>
      <w:r w:rsidRPr="00C36520">
        <w:rPr>
          <w:rFonts w:ascii="Times New Roman" w:hAnsi="Times New Roman" w:cs="Times New Roman"/>
          <w:lang w:val="es-CL"/>
        </w:rPr>
        <w:t xml:space="preserve">, reuniendo notas referidas al involucramiento de las ciencias, las artes y la cultura financiadas con recursos públicos en procesos y transformaciones territoriales. Esta selección se apoya en la premisa de que la prensa constituye una lógica comunicativa relevante para la evolución de las políticas públicas </w:t>
      </w:r>
      <w:r w:rsidR="009250EB">
        <w:rPr>
          <w:rFonts w:ascii="Times New Roman" w:hAnsi="Times New Roman" w:cs="Times New Roman"/>
          <w:lang w:val="es-CL"/>
        </w:rPr>
        <w:fldChar w:fldCharType="begin" w:fldLock="1"/>
      </w:r>
      <w:r w:rsidR="009250EB">
        <w:rPr>
          <w:rFonts w:ascii="Times New Roman" w:hAnsi="Times New Roman" w:cs="Times New Roman"/>
          <w:lang w:val="es-CL"/>
        </w:rPr>
        <w:instrText>ADDIN CSL_CITATION {"citationItems":[{"id":"ITEM-1","itemData":{"author":[{"dropping-particle":"","family":"Luhmann","given":"Niklas","non-dropping-particle":"","parse-names":false,"suffix":""}],"id":"ITEM-1","issued":{"date-parts":[["2000"]]},"publisher":"Universidad Iberoamericana","title":"La realidad de los medios de masas","type":"book"},"uris":["http://www.mendeley.com/documents/?uuid=664afb40-74a4-49d9-b3aa-b596e14f63df"]},{"id":"ITEM-2","itemData":{"author":[{"dropping-particle":"","family":"Shore","given":"Cris","non-dropping-particle":"","parse-names":false,"suffix":""},{"dropping-particle":"","family":"Wright","given":"Susan","non-dropping-particle":"","parse-names":false,"suffix":""}],"container-title":"Anthropology of Policy: Critical perspectives on governance and power","id":"ITEM-2","issued":{"date-parts":[["1997"]]},"page":"3-39","publisher":"Routledge","title":"Policy: A new field for anthropology","type":"chapter"},"uris":["http://www.mendeley.com/documents/?uuid=96d32f2f-bfd8-435f-a5c3-13ab9423c653"]}],"mendeley":{"formattedCitation":"(Luhmann, 2000; Shore &amp; Wright, 1997)","plainTextFormattedCitation":"(Luhmann, 2000; Shore &amp; Wright, 1997)","previouslyFormattedCitation":"(Luhmann, 2000; Shore &amp; Wright, 1997)"},"properties":{"noteIndex":0},"schema":"https://github.com/citation-style-language/schema/raw/master/csl-citation.json"}</w:instrText>
      </w:r>
      <w:r w:rsidR="009250EB">
        <w:rPr>
          <w:rFonts w:ascii="Times New Roman" w:hAnsi="Times New Roman" w:cs="Times New Roman"/>
          <w:lang w:val="es-CL"/>
        </w:rPr>
        <w:fldChar w:fldCharType="separate"/>
      </w:r>
      <w:r w:rsidR="009250EB" w:rsidRPr="009250EB">
        <w:rPr>
          <w:rFonts w:ascii="Times New Roman" w:hAnsi="Times New Roman" w:cs="Times New Roman"/>
          <w:noProof/>
          <w:lang w:val="es-CL"/>
        </w:rPr>
        <w:t>(Luhmann, 2000; Shore &amp; Wright, 1997)</w:t>
      </w:r>
      <w:r w:rsidR="009250EB">
        <w:rPr>
          <w:rFonts w:ascii="Times New Roman" w:hAnsi="Times New Roman" w:cs="Times New Roman"/>
          <w:lang w:val="es-CL"/>
        </w:rPr>
        <w:fldChar w:fldCharType="end"/>
      </w:r>
      <w:r w:rsidRPr="00C36520">
        <w:rPr>
          <w:rFonts w:ascii="Times New Roman" w:hAnsi="Times New Roman" w:cs="Times New Roman"/>
          <w:lang w:val="es-CL"/>
        </w:rPr>
        <w:t xml:space="preserve">, orientada a producir autoobservaciones de la sociedad distintas de las que producen ejecutores y destinatarios. El corpus se someterá a </w:t>
      </w:r>
      <w:r w:rsidRPr="00C36520">
        <w:rPr>
          <w:rFonts w:ascii="Times New Roman" w:hAnsi="Times New Roman" w:cs="Times New Roman"/>
          <w:lang w:val="es-CL"/>
        </w:rPr>
        <w:lastRenderedPageBreak/>
        <w:t>análisis de contenido temático y análisis de discurso, a partir de las semánticas identificadas en el objetivo anterior.</w:t>
      </w:r>
    </w:p>
    <w:p w14:paraId="040FE0D0" w14:textId="77777777" w:rsidR="00C36520" w:rsidRPr="009250EB" w:rsidRDefault="00C36520" w:rsidP="00C36520">
      <w:pPr>
        <w:spacing w:line="240" w:lineRule="auto"/>
        <w:jc w:val="both"/>
        <w:rPr>
          <w:rFonts w:ascii="Times New Roman" w:hAnsi="Times New Roman" w:cs="Times New Roman"/>
          <w:b/>
          <w:bCs/>
          <w:lang w:val="es-CL"/>
        </w:rPr>
      </w:pPr>
      <w:r w:rsidRPr="009250EB">
        <w:rPr>
          <w:rFonts w:ascii="Times New Roman" w:hAnsi="Times New Roman" w:cs="Times New Roman"/>
          <w:b/>
          <w:bCs/>
          <w:lang w:val="es-CL"/>
        </w:rPr>
        <w:t>Alcances, limitaciones e implicancias éticas</w:t>
      </w:r>
    </w:p>
    <w:p w14:paraId="70304EB2" w14:textId="7F2FF65B"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La investigación reconoce limitaciones teórico-epistemológicas, técnicas y espaciotemporales. La primera deriva de la radicalidad del marco adoptado: la perspectiva constructivista rechaza la comprensión de la sociedad y de las políticas públicas como objetos materiales con existencia independiente del observador, lo que enriquece el análisis de las </w:t>
      </w:r>
      <w:proofErr w:type="gramStart"/>
      <w:r w:rsidRPr="00C36520">
        <w:rPr>
          <w:rFonts w:ascii="Times New Roman" w:hAnsi="Times New Roman" w:cs="Times New Roman"/>
          <w:lang w:val="es-CL"/>
        </w:rPr>
        <w:t>semánticas</w:t>
      </w:r>
      <w:proofErr w:type="gramEnd"/>
      <w:r w:rsidRPr="00C36520">
        <w:rPr>
          <w:rFonts w:ascii="Times New Roman" w:hAnsi="Times New Roman" w:cs="Times New Roman"/>
          <w:lang w:val="es-CL"/>
        </w:rPr>
        <w:t xml:space="preserve"> pero limita las afirmaciones de tipo causal o evaluativo que la investigación puede sostener. La segunda es técnica</w:t>
      </w:r>
      <w:r w:rsidR="009250EB">
        <w:rPr>
          <w:rFonts w:ascii="Times New Roman" w:hAnsi="Times New Roman" w:cs="Times New Roman"/>
          <w:lang w:val="es-CL"/>
        </w:rPr>
        <w:t>. L</w:t>
      </w:r>
      <w:r w:rsidRPr="00C36520">
        <w:rPr>
          <w:rFonts w:ascii="Times New Roman" w:hAnsi="Times New Roman" w:cs="Times New Roman"/>
          <w:lang w:val="es-CL"/>
        </w:rPr>
        <w:t xml:space="preserve">a necesidad de observar los </w:t>
      </w:r>
      <w:r w:rsidRPr="009250EB">
        <w:rPr>
          <w:rFonts w:ascii="Times New Roman" w:hAnsi="Times New Roman" w:cs="Times New Roman"/>
          <w:i/>
          <w:iCs/>
          <w:lang w:val="es-CL"/>
        </w:rPr>
        <w:t xml:space="preserve">policy mixes </w:t>
      </w:r>
      <w:r w:rsidRPr="00C36520">
        <w:rPr>
          <w:rFonts w:ascii="Times New Roman" w:hAnsi="Times New Roman" w:cs="Times New Roman"/>
          <w:lang w:val="es-CL"/>
        </w:rPr>
        <w:t>como fenómenos integrados exige técnicas cuantitativas y de análisis de archivo, lo que obliga a restringir el componente cualitativo a talleres de elicitación con algunos actores clave, dejando abierta la profundización etnográfica para investigaciones posteriores. La tercera es espaciotemporal</w:t>
      </w:r>
      <w:r w:rsidR="009250EB">
        <w:rPr>
          <w:rFonts w:ascii="Times New Roman" w:hAnsi="Times New Roman" w:cs="Times New Roman"/>
          <w:lang w:val="es-CL"/>
        </w:rPr>
        <w:t>, pues</w:t>
      </w:r>
      <w:r w:rsidRPr="00C36520">
        <w:rPr>
          <w:rFonts w:ascii="Times New Roman" w:hAnsi="Times New Roman" w:cs="Times New Roman"/>
          <w:lang w:val="es-CL"/>
        </w:rPr>
        <w:t xml:space="preserve"> el recorte 2010-2027 excluye una indagación histórica sobre la emergencia de la concursabilidad entre 1981 y 2010, y el recorte al Estado chileno excluye el financiamiento internacional y privado, ambos factores de peso en la configuración universitaria del país.</w:t>
      </w:r>
    </w:p>
    <w:p w14:paraId="0847F947" w14:textId="402A51EB" w:rsidR="00C36520" w:rsidRP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 xml:space="preserve">Adicionalmente, la investigación se desarrolla en un contexto de transformación acelerada. El gobierno electo para el periodo 2026-2030 ha impulsado discusiones significativas en ambos campos, especialmente en lo relativo a una reorientación de las políticas hacia rendimientos económicos </w:t>
      </w:r>
      <w:r w:rsidR="009250EB">
        <w:rPr>
          <w:rFonts w:ascii="Times New Roman" w:hAnsi="Times New Roman" w:cs="Times New Roman"/>
          <w:lang w:val="es-CL"/>
        </w:rPr>
        <w:fldChar w:fldCharType="begin" w:fldLock="1"/>
      </w:r>
      <w:r w:rsidR="009250EB">
        <w:rPr>
          <w:rFonts w:ascii="Times New Roman" w:hAnsi="Times New Roman" w:cs="Times New Roman"/>
          <w:lang w:val="es-CL"/>
        </w:rPr>
        <w:instrText>ADDIN CSL_CITATION {"citationItems":[{"id":"ITEM-1","itemData":{"author":[{"dropping-particle":"","family":"Cossio López","given":"Héctor","non-dropping-particle":"","parse-names":false,"suffix":""}],"container-title":"El Mostrador","id":"ITEM-1","issued":{"date-parts":[["2026","5","16"]]},"title":"Ximena Lincolao bajo el microscopio: “No sabe de ciencias ni le interesa”","type":"article-newspaper"},"uris":["http://www.mendeley.com/documents/?uuid=417fe7d5-d3fb-30f0-96ac-56ebe0da512d"]}],"mendeley":{"formattedCitation":"(Cossio López, 2026)","plainTextFormattedCitation":"(Cossio López, 2026)","previouslyFormattedCitation":"(Cossio López, 2026)"},"properties":{"noteIndex":0},"schema":"https://github.com/citation-style-language/schema/raw/master/csl-citation.json"}</w:instrText>
      </w:r>
      <w:r w:rsidR="009250EB">
        <w:rPr>
          <w:rFonts w:ascii="Times New Roman" w:hAnsi="Times New Roman" w:cs="Times New Roman"/>
          <w:lang w:val="es-CL"/>
        </w:rPr>
        <w:fldChar w:fldCharType="separate"/>
      </w:r>
      <w:r w:rsidR="009250EB" w:rsidRPr="009250EB">
        <w:rPr>
          <w:rFonts w:ascii="Times New Roman" w:hAnsi="Times New Roman" w:cs="Times New Roman"/>
          <w:noProof/>
          <w:lang w:val="es-CL"/>
        </w:rPr>
        <w:t>(Cossio López, 2026)</w:t>
      </w:r>
      <w:r w:rsidR="009250EB">
        <w:rPr>
          <w:rFonts w:ascii="Times New Roman" w:hAnsi="Times New Roman" w:cs="Times New Roman"/>
          <w:lang w:val="es-CL"/>
        </w:rPr>
        <w:fldChar w:fldCharType="end"/>
      </w:r>
      <w:r w:rsidRPr="00C36520">
        <w:rPr>
          <w:rFonts w:ascii="Times New Roman" w:hAnsi="Times New Roman" w:cs="Times New Roman"/>
          <w:lang w:val="es-CL"/>
        </w:rPr>
        <w:t xml:space="preserve"> y a un eventual retorno de las instituciones hoy albergadas en el MINCTCI y el MINCAP a la administración del Ministerio de Educación </w:t>
      </w:r>
      <w:r w:rsidR="009250EB">
        <w:rPr>
          <w:rFonts w:ascii="Times New Roman" w:hAnsi="Times New Roman" w:cs="Times New Roman"/>
          <w:lang w:val="es-CL"/>
        </w:rPr>
        <w:fldChar w:fldCharType="begin" w:fldLock="1"/>
      </w:r>
      <w:r w:rsidR="009250EB">
        <w:rPr>
          <w:rFonts w:ascii="Times New Roman" w:hAnsi="Times New Roman" w:cs="Times New Roman"/>
          <w:lang w:val="es-CL"/>
        </w:rPr>
        <w:instrText>ADDIN CSL_CITATION {"citationItems":[{"id":"ITEM-1","itemData":{"author":[{"dropping-particle":"","family":"Cisternas","given":"María Luisa","non-dropping-particle":"","parse-names":false,"suffix":""}],"container-title":"EMOL","id":"ITEM-1","issued":{"date-parts":[["2026","3","12"]]},"title":"\"Hay un gasto excesivo\": Ministros defienden recorte del 3% instruído por Hacienda y exploran fórmulas","type":"article-newspaper"},"uris":["http://www.mendeley.com/documents/?uuid=8efd1494-fa53-32ff-819c-ead3f7ef6c27"]}],"mendeley":{"formattedCitation":"(Cisternas, 2026)","plainTextFormattedCitation":"(Cisternas, 2026)","previouslyFormattedCitation":"(Cisternas, 2026)"},"properties":{"noteIndex":0},"schema":"https://github.com/citation-style-language/schema/raw/master/csl-citation.json"}</w:instrText>
      </w:r>
      <w:r w:rsidR="009250EB">
        <w:rPr>
          <w:rFonts w:ascii="Times New Roman" w:hAnsi="Times New Roman" w:cs="Times New Roman"/>
          <w:lang w:val="es-CL"/>
        </w:rPr>
        <w:fldChar w:fldCharType="separate"/>
      </w:r>
      <w:r w:rsidR="009250EB" w:rsidRPr="009250EB">
        <w:rPr>
          <w:rFonts w:ascii="Times New Roman" w:hAnsi="Times New Roman" w:cs="Times New Roman"/>
          <w:noProof/>
          <w:lang w:val="es-CL"/>
        </w:rPr>
        <w:t>(Cisternas, 2026)</w:t>
      </w:r>
      <w:r w:rsidR="009250EB">
        <w:rPr>
          <w:rFonts w:ascii="Times New Roman" w:hAnsi="Times New Roman" w:cs="Times New Roman"/>
          <w:lang w:val="es-CL"/>
        </w:rPr>
        <w:fldChar w:fldCharType="end"/>
      </w:r>
      <w:r w:rsidRPr="00C36520">
        <w:rPr>
          <w:rFonts w:ascii="Times New Roman" w:hAnsi="Times New Roman" w:cs="Times New Roman"/>
          <w:lang w:val="es-CL"/>
        </w:rPr>
        <w:t>. Dado su carácter emergente, estas transformaciones no podrán incluirse en el análisis empírico, aunque se prevé que los resultados dialogarán provechosamente con el escenario político de 2028-2029.</w:t>
      </w:r>
    </w:p>
    <w:p w14:paraId="4EEB09DF" w14:textId="4E5CD50C" w:rsidR="00C36520" w:rsidRDefault="00C36520" w:rsidP="00C36520">
      <w:pPr>
        <w:spacing w:line="240" w:lineRule="auto"/>
        <w:jc w:val="both"/>
        <w:rPr>
          <w:rFonts w:ascii="Times New Roman" w:hAnsi="Times New Roman" w:cs="Times New Roman"/>
          <w:lang w:val="es-CL"/>
        </w:rPr>
      </w:pPr>
      <w:r w:rsidRPr="00C36520">
        <w:rPr>
          <w:rFonts w:ascii="Times New Roman" w:hAnsi="Times New Roman" w:cs="Times New Roman"/>
          <w:lang w:val="es-CL"/>
        </w:rPr>
        <w:t>En términos éticos, se reconocen dos implicancias. La primera es la posición autorreferencial de quien investiga: esta investigación está financiada por fondos públicos concursables y su autor ha participado como postulante y adjudicatario tanto en el campo científico como en el artístico-cultural, además de desempeñarse en el mundo universitario. Este conocimiento experiencial es un recurso, pero exige explicitar sus límites y evitar proyectar la experiencia propia</w:t>
      </w:r>
      <w:r w:rsidR="009250EB">
        <w:rPr>
          <w:rFonts w:ascii="Times New Roman" w:hAnsi="Times New Roman" w:cs="Times New Roman"/>
          <w:lang w:val="es-CL"/>
        </w:rPr>
        <w:t xml:space="preserve">, </w:t>
      </w:r>
      <w:r w:rsidRPr="00C36520">
        <w:rPr>
          <w:rFonts w:ascii="Times New Roman" w:hAnsi="Times New Roman" w:cs="Times New Roman"/>
          <w:lang w:val="es-CL"/>
        </w:rPr>
        <w:t>circunscrita a un conjunto acotado de disciplinas e instrumento</w:t>
      </w:r>
      <w:r w:rsidR="009250EB">
        <w:rPr>
          <w:rFonts w:ascii="Times New Roman" w:hAnsi="Times New Roman" w:cs="Times New Roman"/>
          <w:lang w:val="es-CL"/>
        </w:rPr>
        <w:t>s,</w:t>
      </w:r>
      <w:r w:rsidRPr="00C36520">
        <w:rPr>
          <w:rFonts w:ascii="Times New Roman" w:hAnsi="Times New Roman" w:cs="Times New Roman"/>
          <w:lang w:val="es-CL"/>
        </w:rPr>
        <w:t xml:space="preserve"> sobre hallazgos empíricos referidos a otras. La segunda es el contexto de cuestionamiento público a los instrumentos estudiados, que obliga a resguardar con particular cuidado los principios de confidencialidad, anonimato y no afectación de quienes participen del estudio </w:t>
      </w:r>
      <w:r w:rsidR="009250EB">
        <w:rPr>
          <w:rFonts w:ascii="Times New Roman" w:hAnsi="Times New Roman" w:cs="Times New Roman"/>
          <w:lang w:val="es-CL"/>
        </w:rPr>
        <w:fldChar w:fldCharType="begin" w:fldLock="1"/>
      </w:r>
      <w:r w:rsidR="009250EB">
        <w:rPr>
          <w:rFonts w:ascii="Times New Roman" w:hAnsi="Times New Roman" w:cs="Times New Roman"/>
          <w:lang w:val="es-CL"/>
        </w:rPr>
        <w:instrText>ADDIN CSL_CITATION {"citationItems":[{"id":"ITEM-1","itemData":{"author":[{"dropping-particle":"","family":"Agencia Nacional de Investigación y Desarrollo","given":"","non-dropping-particle":"","parse-names":false,"suffix":""}],"id":"ITEM-1","issued":{"date-parts":[["2021"]]},"publisher":"Ministerio de Ciencia, Tecnología, Conocimiento e Innovación","title":"Lineamientos para la evaluación ética de la investigación en ciencias sociales y humanidades","type":"article"},"uris":["http://www.mendeley.com/documents/?uuid=5d9a8c3e-5c04-44cb-b0df-29db5879cf8c"]}],"mendeley":{"formattedCitation":"(Agencia Nacional de Investigación y Desarrollo, 2021)","plainTextFormattedCitation":"(Agencia Nacional de Investigación y Desarrollo, 2021)"},"properties":{"noteIndex":0},"schema":"https://github.com/citation-style-language/schema/raw/master/csl-citation.json"}</w:instrText>
      </w:r>
      <w:r w:rsidR="009250EB">
        <w:rPr>
          <w:rFonts w:ascii="Times New Roman" w:hAnsi="Times New Roman" w:cs="Times New Roman"/>
          <w:lang w:val="es-CL"/>
        </w:rPr>
        <w:fldChar w:fldCharType="separate"/>
      </w:r>
      <w:r w:rsidR="009250EB" w:rsidRPr="009250EB">
        <w:rPr>
          <w:rFonts w:ascii="Times New Roman" w:hAnsi="Times New Roman" w:cs="Times New Roman"/>
          <w:noProof/>
          <w:lang w:val="es-CL"/>
        </w:rPr>
        <w:t>(Agencia Nacional de Investigación y Desarrollo, 2021)</w:t>
      </w:r>
      <w:r w:rsidR="009250EB">
        <w:rPr>
          <w:rFonts w:ascii="Times New Roman" w:hAnsi="Times New Roman" w:cs="Times New Roman"/>
          <w:lang w:val="es-CL"/>
        </w:rPr>
        <w:fldChar w:fldCharType="end"/>
      </w:r>
      <w:r w:rsidRPr="00C36520">
        <w:rPr>
          <w:rFonts w:ascii="Times New Roman" w:hAnsi="Times New Roman" w:cs="Times New Roman"/>
          <w:lang w:val="es-CL"/>
        </w:rPr>
        <w:t>, y a cautelar los modos y contenidos de la comunicación pública de los resultados, susceptibles de interpretación selectiva por actores políticos, mediáticos y académicos.</w:t>
      </w:r>
    </w:p>
    <w:p w14:paraId="12CE0BCB" w14:textId="56ECA10B" w:rsidR="005F3B2E" w:rsidRPr="00B552A3" w:rsidRDefault="005F3B2E" w:rsidP="00C36520">
      <w:pPr>
        <w:spacing w:line="240" w:lineRule="auto"/>
        <w:rPr>
          <w:rFonts w:ascii="Times New Roman" w:hAnsi="Times New Roman" w:cs="Times New Roman"/>
          <w:b/>
          <w:bCs/>
          <w:lang w:val="es-CL"/>
        </w:rPr>
      </w:pPr>
      <w:r w:rsidRPr="00B552A3">
        <w:rPr>
          <w:rFonts w:ascii="Times New Roman" w:hAnsi="Times New Roman" w:cs="Times New Roman"/>
          <w:b/>
          <w:bCs/>
          <w:lang w:val="es-CL"/>
        </w:rPr>
        <w:t>Conclusiones</w:t>
      </w:r>
    </w:p>
    <w:p w14:paraId="07CA3A16" w14:textId="4C01FB7B" w:rsidR="00C36520" w:rsidRPr="00C36520" w:rsidRDefault="00C36520" w:rsidP="00C36520">
      <w:pPr>
        <w:jc w:val="both"/>
        <w:rPr>
          <w:rFonts w:ascii="Times New Roman" w:hAnsi="Times New Roman" w:cs="Times New Roman"/>
          <w:lang w:val="es-CL"/>
        </w:rPr>
      </w:pPr>
      <w:r w:rsidRPr="00C36520">
        <w:rPr>
          <w:rFonts w:ascii="Times New Roman" w:hAnsi="Times New Roman" w:cs="Times New Roman"/>
          <w:lang w:val="es-CL"/>
        </w:rPr>
        <w:t>Esta ponencia ha argumentado que el financiamiento público concursable a las ciencias, las artes y la cultura en Chile puede leerse como un fenómeno territorial y combinatorio, y no como una colección de instrumentos individuales evaluables por separado.</w:t>
      </w:r>
    </w:p>
    <w:p w14:paraId="742315BC" w14:textId="6B5EFEE0" w:rsidR="00C36520" w:rsidRPr="00C36520" w:rsidRDefault="009250EB" w:rsidP="00C36520">
      <w:pPr>
        <w:jc w:val="both"/>
        <w:rPr>
          <w:rFonts w:ascii="Times New Roman" w:hAnsi="Times New Roman" w:cs="Times New Roman"/>
          <w:lang w:val="es-CL"/>
        </w:rPr>
      </w:pPr>
      <w:r>
        <w:rPr>
          <w:rFonts w:ascii="Times New Roman" w:hAnsi="Times New Roman" w:cs="Times New Roman"/>
          <w:lang w:val="es-CL"/>
        </w:rPr>
        <w:lastRenderedPageBreak/>
        <w:t xml:space="preserve">Aplicamos tres desplazamientos. Movemos la atención de los instrumentos aislados hacia los efectos combinados, sinergias, contradicciones y secuencialidades entre instrumentos. Este desplazamiento reconoce un escenario donde decenas de fondos, administrados por diversas instituciones, intervienen una misma temática, </w:t>
      </w:r>
      <w:proofErr w:type="gramStart"/>
      <w:r>
        <w:rPr>
          <w:rFonts w:ascii="Times New Roman" w:hAnsi="Times New Roman" w:cs="Times New Roman"/>
          <w:lang w:val="es-CL"/>
        </w:rPr>
        <w:t>mismos actores y mismos territorios</w:t>
      </w:r>
      <w:proofErr w:type="gramEnd"/>
      <w:r>
        <w:rPr>
          <w:rFonts w:ascii="Times New Roman" w:hAnsi="Times New Roman" w:cs="Times New Roman"/>
          <w:lang w:val="es-CL"/>
        </w:rPr>
        <w:t>. En segundo lugar, reemplazamos una comprensión del territorio como superficie por un entendimiento del territorio como distinción simbólica. Los instrumentos, entonces, no sólo se distribuyen en el espacio, sino que movilizan concepciones de qué constituye o no un territorio. Finalmente, hacemos confluir los campos de discusión de la política científica y la política artístico-cultural en una única unidad analítica. Dada su reciente separación, podemos recuperar sus similitudes y cruzar aprendizajes y experiencias.</w:t>
      </w:r>
    </w:p>
    <w:p w14:paraId="0105D2E6" w14:textId="4B3E0DA5" w:rsidR="00C36520" w:rsidRPr="00C36520" w:rsidRDefault="00C36520" w:rsidP="00C36520">
      <w:pPr>
        <w:jc w:val="both"/>
        <w:rPr>
          <w:rFonts w:ascii="Times New Roman" w:hAnsi="Times New Roman" w:cs="Times New Roman"/>
          <w:lang w:val="es-CL"/>
        </w:rPr>
      </w:pPr>
      <w:r w:rsidRPr="00C36520">
        <w:rPr>
          <w:rFonts w:ascii="Times New Roman" w:hAnsi="Times New Roman" w:cs="Times New Roman"/>
          <w:lang w:val="es-CL"/>
        </w:rPr>
        <w:t xml:space="preserve">Las universidades constituyen el punto de observación donde estos tres desplazamientos se vuelven simultáneamente visibles. Concentran la producción científica del país y son, en buena parte de las regiones, </w:t>
      </w:r>
      <w:r w:rsidR="009250EB">
        <w:rPr>
          <w:rFonts w:ascii="Times New Roman" w:hAnsi="Times New Roman" w:cs="Times New Roman"/>
          <w:lang w:val="es-CL"/>
        </w:rPr>
        <w:t xml:space="preserve">relevantes </w:t>
      </w:r>
      <w:r w:rsidRPr="00C36520">
        <w:rPr>
          <w:rFonts w:ascii="Times New Roman" w:hAnsi="Times New Roman" w:cs="Times New Roman"/>
          <w:lang w:val="es-CL"/>
        </w:rPr>
        <w:t>infraestructura</w:t>
      </w:r>
      <w:r w:rsidR="009250EB">
        <w:rPr>
          <w:rFonts w:ascii="Times New Roman" w:hAnsi="Times New Roman" w:cs="Times New Roman"/>
          <w:lang w:val="es-CL"/>
        </w:rPr>
        <w:t>s</w:t>
      </w:r>
      <w:r w:rsidRPr="00C36520">
        <w:rPr>
          <w:rFonts w:ascii="Times New Roman" w:hAnsi="Times New Roman" w:cs="Times New Roman"/>
          <w:lang w:val="es-CL"/>
        </w:rPr>
        <w:t xml:space="preserve"> de producción artística. Reciben recursos de al menos una decena de instituciones públicas, con criterios territoriales heterogéneos y no coordinados. Y son, por su distribución espacial desigual, tanto destinatarias como productoras de la geografía que las políticas dicen intervenir. Observar el </w:t>
      </w:r>
      <w:r w:rsidRPr="009250EB">
        <w:rPr>
          <w:rFonts w:ascii="Times New Roman" w:hAnsi="Times New Roman" w:cs="Times New Roman"/>
          <w:i/>
          <w:iCs/>
          <w:lang w:val="es-CL"/>
        </w:rPr>
        <w:t>policy mix</w:t>
      </w:r>
      <w:r w:rsidRPr="00C36520">
        <w:rPr>
          <w:rFonts w:ascii="Times New Roman" w:hAnsi="Times New Roman" w:cs="Times New Roman"/>
          <w:lang w:val="es-CL"/>
        </w:rPr>
        <w:t xml:space="preserve"> desde las universidades </w:t>
      </w:r>
      <w:r w:rsidR="009250EB">
        <w:rPr>
          <w:rFonts w:ascii="Times New Roman" w:hAnsi="Times New Roman" w:cs="Times New Roman"/>
          <w:lang w:val="es-CL"/>
        </w:rPr>
        <w:t xml:space="preserve">nos permite observar </w:t>
      </w:r>
      <w:r w:rsidRPr="00C36520">
        <w:rPr>
          <w:rFonts w:ascii="Times New Roman" w:hAnsi="Times New Roman" w:cs="Times New Roman"/>
          <w:lang w:val="es-CL"/>
        </w:rPr>
        <w:t xml:space="preserve">sus efectos emergentes </w:t>
      </w:r>
      <w:r w:rsidR="009250EB">
        <w:rPr>
          <w:rFonts w:ascii="Times New Roman" w:hAnsi="Times New Roman" w:cs="Times New Roman"/>
          <w:lang w:val="es-CL"/>
        </w:rPr>
        <w:t xml:space="preserve">donde </w:t>
      </w:r>
      <w:r w:rsidRPr="00C36520">
        <w:rPr>
          <w:rFonts w:ascii="Times New Roman" w:hAnsi="Times New Roman" w:cs="Times New Roman"/>
          <w:lang w:val="es-CL"/>
        </w:rPr>
        <w:t>se experimentan de forma más densa y cotidiana.</w:t>
      </w:r>
    </w:p>
    <w:p w14:paraId="544B704F" w14:textId="27049D68" w:rsidR="00B552A3" w:rsidRDefault="00C36520" w:rsidP="00C36520">
      <w:pPr>
        <w:jc w:val="both"/>
        <w:rPr>
          <w:rFonts w:ascii="Times New Roman" w:hAnsi="Times New Roman" w:cs="Times New Roman"/>
          <w:lang w:val="es-CL"/>
        </w:rPr>
      </w:pPr>
      <w:r w:rsidRPr="00C36520">
        <w:rPr>
          <w:rFonts w:ascii="Times New Roman" w:hAnsi="Times New Roman" w:cs="Times New Roman"/>
          <w:lang w:val="es-CL"/>
        </w:rPr>
        <w:t>La investigación en curso espera contribuir en cuatro planos. En lo teórico, ofreciendo una relectura de las nociones de espacio y territorio en clave simbólica y sistémica, que dialogue con la geografía, la sociología, la economía y las ciencias políticas. En lo metodológico, articulando análisis documental, estadística descriptiva, análisis de clases latentes, talleres de elicitación y análisis de discurso en un diseño capaz de procesar la complejidad de las políticas en su ocurrencia territorial. En lo empírico, produciendo conocimiento hasta ahora inexistente sobre el funcionamiento conjunto de los fondos para ciencias, artes y cultura en Chile. Y en lo sociopolítico, aportando evidencia a una discusión pública que hoy transcurre, en buena medida, sin ella</w:t>
      </w:r>
      <w:r w:rsidR="009250EB">
        <w:rPr>
          <w:rFonts w:ascii="Times New Roman" w:hAnsi="Times New Roman" w:cs="Times New Roman"/>
          <w:lang w:val="es-CL"/>
        </w:rPr>
        <w:t>. E</w:t>
      </w:r>
      <w:r w:rsidRPr="00C36520">
        <w:rPr>
          <w:rFonts w:ascii="Times New Roman" w:hAnsi="Times New Roman" w:cs="Times New Roman"/>
          <w:lang w:val="es-CL"/>
        </w:rPr>
        <w:t>n un escenario de cuestionamiento ideológico a la inversión pública en ciencia y cultura, describir con precisión cómo opera realmente el andamiaje de fondos es una condición mínima para discutir su perfeccionamiento. Se aspira, en definitiva, a ofrecer a los actores científicos, artísticos y políticos</w:t>
      </w:r>
      <w:r w:rsidR="009250EB">
        <w:rPr>
          <w:rFonts w:ascii="Times New Roman" w:hAnsi="Times New Roman" w:cs="Times New Roman"/>
          <w:lang w:val="es-CL"/>
        </w:rPr>
        <w:t xml:space="preserve">, </w:t>
      </w:r>
      <w:r w:rsidRPr="00C36520">
        <w:rPr>
          <w:rFonts w:ascii="Times New Roman" w:hAnsi="Times New Roman" w:cs="Times New Roman"/>
          <w:lang w:val="es-CL"/>
        </w:rPr>
        <w:t>y muy particularmente a las comunidades universitarias</w:t>
      </w:r>
      <w:r w:rsidR="009250EB">
        <w:rPr>
          <w:rFonts w:ascii="Times New Roman" w:hAnsi="Times New Roman" w:cs="Times New Roman"/>
          <w:lang w:val="es-CL"/>
        </w:rPr>
        <w:t xml:space="preserve">, </w:t>
      </w:r>
      <w:r w:rsidRPr="00C36520">
        <w:rPr>
          <w:rFonts w:ascii="Times New Roman" w:hAnsi="Times New Roman" w:cs="Times New Roman"/>
          <w:lang w:val="es-CL"/>
        </w:rPr>
        <w:t>un mapa que les permita comprender su propia posición en los sistemas de financiamiento que condicionan su quehacer.</w:t>
      </w:r>
      <w:r w:rsidR="00B552A3">
        <w:rPr>
          <w:rFonts w:ascii="Times New Roman" w:hAnsi="Times New Roman" w:cs="Times New Roman"/>
          <w:lang w:val="es-CL"/>
        </w:rPr>
        <w:br w:type="page"/>
      </w:r>
    </w:p>
    <w:p w14:paraId="39B57161" w14:textId="5597F7B6" w:rsidR="005F3B2E" w:rsidRPr="00B552A3" w:rsidRDefault="005F3B2E" w:rsidP="007B5B5F">
      <w:pPr>
        <w:spacing w:line="240" w:lineRule="auto"/>
        <w:rPr>
          <w:rFonts w:ascii="Times New Roman" w:hAnsi="Times New Roman" w:cs="Times New Roman"/>
          <w:b/>
          <w:bCs/>
          <w:lang w:val="es-CL"/>
        </w:rPr>
      </w:pPr>
      <w:r w:rsidRPr="00B552A3">
        <w:rPr>
          <w:rFonts w:ascii="Times New Roman" w:hAnsi="Times New Roman" w:cs="Times New Roman"/>
          <w:b/>
          <w:bCs/>
          <w:lang w:val="es-CL"/>
        </w:rPr>
        <w:lastRenderedPageBreak/>
        <w:t>Referencias Bibliográficas (APA 7)</w:t>
      </w:r>
    </w:p>
    <w:p w14:paraId="0E140603" w14:textId="22211D78" w:rsidR="009250EB" w:rsidRPr="009250EB" w:rsidRDefault="00B552A3" w:rsidP="009250EB">
      <w:pPr>
        <w:widowControl w:val="0"/>
        <w:autoSpaceDE w:val="0"/>
        <w:autoSpaceDN w:val="0"/>
        <w:adjustRightInd w:val="0"/>
        <w:spacing w:line="240" w:lineRule="auto"/>
        <w:ind w:left="480" w:hanging="480"/>
        <w:rPr>
          <w:rFonts w:ascii="Times New Roman" w:hAnsi="Times New Roman" w:cs="Times New Roman"/>
          <w:noProof/>
          <w:kern w:val="0"/>
        </w:rPr>
      </w:pPr>
      <w:r>
        <w:rPr>
          <w:rFonts w:ascii="Times New Roman" w:hAnsi="Times New Roman" w:cs="Times New Roman"/>
          <w:lang w:val="es-CL"/>
        </w:rPr>
        <w:fldChar w:fldCharType="begin" w:fldLock="1"/>
      </w:r>
      <w:r>
        <w:rPr>
          <w:rFonts w:ascii="Times New Roman" w:hAnsi="Times New Roman" w:cs="Times New Roman"/>
          <w:lang w:val="es-CL"/>
        </w:rPr>
        <w:instrText xml:space="preserve">ADDIN Mendeley Bibliography CSL_BIBLIOGRAPHY </w:instrText>
      </w:r>
      <w:r>
        <w:rPr>
          <w:rFonts w:ascii="Times New Roman" w:hAnsi="Times New Roman" w:cs="Times New Roman"/>
          <w:lang w:val="es-CL"/>
        </w:rPr>
        <w:fldChar w:fldCharType="separate"/>
      </w:r>
      <w:r w:rsidR="009250EB" w:rsidRPr="009250EB">
        <w:rPr>
          <w:rFonts w:ascii="Times New Roman" w:hAnsi="Times New Roman" w:cs="Times New Roman"/>
          <w:noProof/>
          <w:kern w:val="0"/>
        </w:rPr>
        <w:t xml:space="preserve">Agencia Nacional de Investigación y Desarrollo. (2021). </w:t>
      </w:r>
      <w:r w:rsidR="009250EB" w:rsidRPr="009250EB">
        <w:rPr>
          <w:rFonts w:ascii="Times New Roman" w:hAnsi="Times New Roman" w:cs="Times New Roman"/>
          <w:i/>
          <w:iCs/>
          <w:noProof/>
          <w:kern w:val="0"/>
        </w:rPr>
        <w:t>Lineamientos para la evaluación ética de la investigación en ciencias sociales y humanidades</w:t>
      </w:r>
      <w:r w:rsidR="009250EB" w:rsidRPr="009250EB">
        <w:rPr>
          <w:rFonts w:ascii="Times New Roman" w:hAnsi="Times New Roman" w:cs="Times New Roman"/>
          <w:noProof/>
          <w:kern w:val="0"/>
        </w:rPr>
        <w:t>. Ministerio de Ciencia, Tecnología, Conocimiento e Innovación.</w:t>
      </w:r>
    </w:p>
    <w:p w14:paraId="31374821"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Albornoz, M. (2001). Política Científica y Tecnológica: Una visión desde América Latina. </w:t>
      </w:r>
      <w:r w:rsidRPr="009250EB">
        <w:rPr>
          <w:rFonts w:ascii="Times New Roman" w:hAnsi="Times New Roman" w:cs="Times New Roman"/>
          <w:i/>
          <w:iCs/>
          <w:noProof/>
          <w:kern w:val="0"/>
        </w:rPr>
        <w:t>Revista Iberoamericana de Ciencia, Tecnología y sociedad</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1</w:t>
      </w:r>
      <w:r w:rsidRPr="009250EB">
        <w:rPr>
          <w:rFonts w:ascii="Times New Roman" w:hAnsi="Times New Roman" w:cs="Times New Roman"/>
          <w:noProof/>
          <w:kern w:val="0"/>
        </w:rPr>
        <w:t>.</w:t>
      </w:r>
    </w:p>
    <w:p w14:paraId="30D6E5D1"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Alvear, R., &amp; Haker, C. (2020). Teoría de sistemas crítica y teoría crítica de sistemas sociales: alegato por una distinción necesaria. </w:t>
      </w:r>
      <w:r w:rsidRPr="009250EB">
        <w:rPr>
          <w:rFonts w:ascii="Times New Roman" w:hAnsi="Times New Roman" w:cs="Times New Roman"/>
          <w:i/>
          <w:iCs/>
          <w:noProof/>
          <w:kern w:val="0"/>
        </w:rPr>
        <w:t>Revista Mad</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42</w:t>
      </w:r>
      <w:r w:rsidRPr="009250EB">
        <w:rPr>
          <w:rFonts w:ascii="Times New Roman" w:hAnsi="Times New Roman" w:cs="Times New Roman"/>
          <w:noProof/>
          <w:kern w:val="0"/>
        </w:rPr>
        <w:t>, 1–9.</w:t>
      </w:r>
    </w:p>
    <w:p w14:paraId="3F3B55DF"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Amigo Jorquera, C. (2025). </w:t>
      </w:r>
      <w:r w:rsidRPr="009250EB">
        <w:rPr>
          <w:rFonts w:ascii="Times New Roman" w:hAnsi="Times New Roman" w:cs="Times New Roman"/>
          <w:i/>
          <w:iCs/>
          <w:noProof/>
          <w:kern w:val="0"/>
        </w:rPr>
        <w:t>Cuando la razón no alcanza. Desafíos de interfaz ciencia-política para la gestión local de la adaptación a riesgos climáticos</w:t>
      </w:r>
      <w:r w:rsidRPr="009250EB">
        <w:rPr>
          <w:rFonts w:ascii="Times New Roman" w:hAnsi="Times New Roman" w:cs="Times New Roman"/>
          <w:noProof/>
          <w:kern w:val="0"/>
        </w:rPr>
        <w:t>. Tesis para optar al grado de Doctora en Territorio, Espacio y Sociedad. Universidad de Chile.</w:t>
      </w:r>
    </w:p>
    <w:p w14:paraId="625A28C5"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Antoine, C. (2015). Más allá de la acción cultural del estado: Apuntes para una evolución de las políticas culturales en Chile. </w:t>
      </w:r>
      <w:r w:rsidRPr="009250EB">
        <w:rPr>
          <w:rFonts w:ascii="Times New Roman" w:hAnsi="Times New Roman" w:cs="Times New Roman"/>
          <w:i/>
          <w:iCs/>
          <w:noProof/>
          <w:kern w:val="0"/>
        </w:rPr>
        <w:t>Atenea</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511</w:t>
      </w:r>
      <w:r w:rsidRPr="009250EB">
        <w:rPr>
          <w:rFonts w:ascii="Times New Roman" w:hAnsi="Times New Roman" w:cs="Times New Roman"/>
          <w:noProof/>
          <w:kern w:val="0"/>
        </w:rPr>
        <w:t>, 147–174. https://doi.org/10.4067/s0718-04622015000100008</w:t>
      </w:r>
    </w:p>
    <w:p w14:paraId="37DB08D3"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Arias Yurisch, K., &amp; Gálvez Gómez, C. (2010). </w:t>
      </w:r>
      <w:r w:rsidRPr="009250EB">
        <w:rPr>
          <w:rFonts w:ascii="Times New Roman" w:hAnsi="Times New Roman" w:cs="Times New Roman"/>
          <w:i/>
          <w:iCs/>
          <w:noProof/>
          <w:kern w:val="0"/>
        </w:rPr>
        <w:t>Política pública cultural en Chile: Revisión de las intervenciones del estado en el campo cultural en el siglo XX</w:t>
      </w:r>
      <w:r w:rsidRPr="009250EB">
        <w:rPr>
          <w:rFonts w:ascii="Times New Roman" w:hAnsi="Times New Roman" w:cs="Times New Roman"/>
          <w:noProof/>
          <w:kern w:val="0"/>
        </w:rPr>
        <w:t>. Tesis para optar al grado de Magíster en Gestión Cultural. Universidad de Chile.</w:t>
      </w:r>
    </w:p>
    <w:p w14:paraId="68EE58C6"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Arnold Cathalifaud, M. (1998). Recursos para la investigación sistémico/constructivista. </w:t>
      </w:r>
      <w:r w:rsidRPr="009250EB">
        <w:rPr>
          <w:rFonts w:ascii="Times New Roman" w:hAnsi="Times New Roman" w:cs="Times New Roman"/>
          <w:i/>
          <w:iCs/>
          <w:noProof/>
          <w:kern w:val="0"/>
        </w:rPr>
        <w:t>Cinta de Moebio. Revista de Epistemología de Ciencias Sociales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3</w:t>
      </w:r>
      <w:r w:rsidRPr="009250EB">
        <w:rPr>
          <w:rFonts w:ascii="Times New Roman" w:hAnsi="Times New Roman" w:cs="Times New Roman"/>
          <w:noProof/>
          <w:kern w:val="0"/>
        </w:rPr>
        <w:t>, 31–39.</w:t>
      </w:r>
    </w:p>
    <w:p w14:paraId="1AD080C5"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Austin, E. K. (2018). Bringing Back Place: Exploring the Conceptions of Space, Time, and Place for Environmental Policy. </w:t>
      </w:r>
      <w:r w:rsidRPr="009250EB">
        <w:rPr>
          <w:rFonts w:ascii="Times New Roman" w:hAnsi="Times New Roman" w:cs="Times New Roman"/>
          <w:i/>
          <w:iCs/>
          <w:noProof/>
          <w:kern w:val="0"/>
        </w:rPr>
        <w:t>Administrative Theory &amp; Praxis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0</w:t>
      </w:r>
      <w:r w:rsidRPr="009250EB">
        <w:rPr>
          <w:rFonts w:ascii="Times New Roman" w:hAnsi="Times New Roman" w:cs="Times New Roman"/>
          <w:noProof/>
          <w:kern w:val="0"/>
        </w:rPr>
        <w:t>(0), 1–16. https://doi.org/10.1080/10841806.2018.1485446</w:t>
      </w:r>
    </w:p>
    <w:p w14:paraId="4BE8BB11"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Azocar, G. (2016). La construcción semántica de problemas sociales en la política pública. El caso de la política de vivienda en Chile. </w:t>
      </w:r>
      <w:r w:rsidRPr="009250EB">
        <w:rPr>
          <w:rFonts w:ascii="Times New Roman" w:hAnsi="Times New Roman" w:cs="Times New Roman"/>
          <w:i/>
          <w:iCs/>
          <w:noProof/>
          <w:kern w:val="0"/>
        </w:rPr>
        <w:t>Revista Mad</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35</w:t>
      </w:r>
      <w:r w:rsidRPr="009250EB">
        <w:rPr>
          <w:rFonts w:ascii="Times New Roman" w:hAnsi="Times New Roman" w:cs="Times New Roman"/>
          <w:noProof/>
          <w:kern w:val="0"/>
        </w:rPr>
        <w:t>(35), 15–37. https://doi.org/10.5354/0718-0527.2016.42795</w:t>
      </w:r>
    </w:p>
    <w:p w14:paraId="3A5D492D"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Becerra, G. (2014). Ciencia y conocimiento en la Teoría De Los Sistemas Sociales De Niklas Luhmann. </w:t>
      </w:r>
      <w:r w:rsidRPr="009250EB">
        <w:rPr>
          <w:rFonts w:ascii="Times New Roman" w:hAnsi="Times New Roman" w:cs="Times New Roman"/>
          <w:i/>
          <w:iCs/>
          <w:noProof/>
          <w:kern w:val="0"/>
        </w:rPr>
        <w:t>Sociología y tecnociencia</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4</w:t>
      </w:r>
      <w:r w:rsidRPr="009250EB">
        <w:rPr>
          <w:rFonts w:ascii="Times New Roman" w:hAnsi="Times New Roman" w:cs="Times New Roman"/>
          <w:noProof/>
          <w:kern w:val="0"/>
        </w:rPr>
        <w:t>(2014), 16–39.</w:t>
      </w:r>
    </w:p>
    <w:p w14:paraId="27CD208F"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Boisier, M. E., &amp; Cevallos, R. A. (2019). Instrumentos de fomento para la investigación en Chile: Historia reciente, estado actual y desafíos. </w:t>
      </w:r>
      <w:r w:rsidRPr="009250EB">
        <w:rPr>
          <w:rFonts w:ascii="Times New Roman" w:hAnsi="Times New Roman" w:cs="Times New Roman"/>
          <w:i/>
          <w:iCs/>
          <w:noProof/>
          <w:kern w:val="0"/>
        </w:rPr>
        <w:t>Revista Médica Clínica Las condes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30</w:t>
      </w:r>
      <w:r w:rsidRPr="009250EB">
        <w:rPr>
          <w:rFonts w:ascii="Times New Roman" w:hAnsi="Times New Roman" w:cs="Times New Roman"/>
          <w:noProof/>
          <w:kern w:val="0"/>
        </w:rPr>
        <w:t>(1), 19–28.</w:t>
      </w:r>
    </w:p>
    <w:p w14:paraId="0366E64B"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Bouterse, J., &amp; Karstens, B. (2015). A Diversity of Divisions: Tracing the History of the Demarcation between the Sciences and the Humanities. </w:t>
      </w:r>
      <w:r w:rsidRPr="009250EB">
        <w:rPr>
          <w:rFonts w:ascii="Times New Roman" w:hAnsi="Times New Roman" w:cs="Times New Roman"/>
          <w:i/>
          <w:iCs/>
          <w:noProof/>
          <w:kern w:val="0"/>
        </w:rPr>
        <w:t>Isis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106</w:t>
      </w:r>
      <w:r w:rsidRPr="009250EB">
        <w:rPr>
          <w:rFonts w:ascii="Times New Roman" w:hAnsi="Times New Roman" w:cs="Times New Roman"/>
          <w:noProof/>
          <w:kern w:val="0"/>
        </w:rPr>
        <w:t>(2), 341–352.</w:t>
      </w:r>
    </w:p>
    <w:p w14:paraId="1D9D84A5"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Cáceres, P. (2003). Análisis de contenido: una alternativa metodológica alcanzable. </w:t>
      </w:r>
      <w:r w:rsidRPr="009250EB">
        <w:rPr>
          <w:rFonts w:ascii="Times New Roman" w:hAnsi="Times New Roman" w:cs="Times New Roman"/>
          <w:i/>
          <w:iCs/>
          <w:noProof/>
          <w:kern w:val="0"/>
        </w:rPr>
        <w:t>Psicoperspectivas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2</w:t>
      </w:r>
      <w:r w:rsidRPr="009250EB">
        <w:rPr>
          <w:rFonts w:ascii="Times New Roman" w:hAnsi="Times New Roman" w:cs="Times New Roman"/>
          <w:noProof/>
          <w:kern w:val="0"/>
        </w:rPr>
        <w:t>(1), 53–82. https://doi.org/10.5027/psicoperspectivas-vol2-issue1-fulltext-3</w:t>
      </w:r>
    </w:p>
    <w:p w14:paraId="3EF666AA"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Cadenas, H. (2014). Cultura y diferenciación de la sociedad: La cultura en la sociedad moderna. </w:t>
      </w:r>
      <w:r w:rsidRPr="009250EB">
        <w:rPr>
          <w:rFonts w:ascii="Times New Roman" w:hAnsi="Times New Roman" w:cs="Times New Roman"/>
          <w:i/>
          <w:iCs/>
          <w:noProof/>
          <w:kern w:val="0"/>
        </w:rPr>
        <w:t>Polis (Santiago)</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13</w:t>
      </w:r>
      <w:r w:rsidRPr="009250EB">
        <w:rPr>
          <w:rFonts w:ascii="Times New Roman" w:hAnsi="Times New Roman" w:cs="Times New Roman"/>
          <w:noProof/>
          <w:kern w:val="0"/>
        </w:rPr>
        <w:t>(39), 249–274. https://doi.org/10.4067/s0718-</w:t>
      </w:r>
      <w:r w:rsidRPr="009250EB">
        <w:rPr>
          <w:rFonts w:ascii="Times New Roman" w:hAnsi="Times New Roman" w:cs="Times New Roman"/>
          <w:noProof/>
          <w:kern w:val="0"/>
        </w:rPr>
        <w:lastRenderedPageBreak/>
        <w:t>65682014120000012</w:t>
      </w:r>
    </w:p>
    <w:p w14:paraId="0DCD4E7E"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Canales Cerón, M. (Ed.). (2006). </w:t>
      </w:r>
      <w:r w:rsidRPr="009250EB">
        <w:rPr>
          <w:rFonts w:ascii="Times New Roman" w:hAnsi="Times New Roman" w:cs="Times New Roman"/>
          <w:i/>
          <w:iCs/>
          <w:noProof/>
          <w:kern w:val="0"/>
        </w:rPr>
        <w:t>Metodologías de investigación social. Introducción a los oficios</w:t>
      </w:r>
      <w:r w:rsidRPr="009250EB">
        <w:rPr>
          <w:rFonts w:ascii="Times New Roman" w:hAnsi="Times New Roman" w:cs="Times New Roman"/>
          <w:noProof/>
          <w:kern w:val="0"/>
        </w:rPr>
        <w:t>. LOM Ediciones. https://doi.org/10.1017/CBO9781107415324.004</w:t>
      </w:r>
    </w:p>
    <w:p w14:paraId="1848FD3C"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Cancino Salas, R., Ortega Caro, C., &amp; Bustos Velásquez, F. (2005). Giros socio-territoriales en políticas de ciencia y tecnología en Chile. </w:t>
      </w:r>
      <w:r w:rsidRPr="009250EB">
        <w:rPr>
          <w:rFonts w:ascii="Times New Roman" w:hAnsi="Times New Roman" w:cs="Times New Roman"/>
          <w:i/>
          <w:iCs/>
          <w:noProof/>
          <w:kern w:val="0"/>
        </w:rPr>
        <w:t>Revista Mexicana de Sociología</w:t>
      </w:r>
      <w:r w:rsidRPr="009250EB">
        <w:rPr>
          <w:rFonts w:ascii="Times New Roman" w:hAnsi="Times New Roman" w:cs="Times New Roman"/>
          <w:noProof/>
          <w:kern w:val="0"/>
        </w:rPr>
        <w:t>, 135–173.</w:t>
      </w:r>
    </w:p>
    <w:p w14:paraId="4327A8E2"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Cisternas, M. L. (2026, marzo 12). “Hay un gasto excesivo”: Ministros defienden recorte del 3% instruído por Hacienda y exploran fórmulas. </w:t>
      </w:r>
      <w:r w:rsidRPr="009250EB">
        <w:rPr>
          <w:rFonts w:ascii="Times New Roman" w:hAnsi="Times New Roman" w:cs="Times New Roman"/>
          <w:i/>
          <w:iCs/>
          <w:noProof/>
          <w:kern w:val="0"/>
        </w:rPr>
        <w:t>EMOL</w:t>
      </w:r>
      <w:r w:rsidRPr="009250EB">
        <w:rPr>
          <w:rFonts w:ascii="Times New Roman" w:hAnsi="Times New Roman" w:cs="Times New Roman"/>
          <w:noProof/>
          <w:kern w:val="0"/>
        </w:rPr>
        <w:t>. https://www.emol.com/noticias/Nacional/2026/03/12/1194140/ministros-recorte.html</w:t>
      </w:r>
    </w:p>
    <w:p w14:paraId="6386C7E2"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Oficio No 28//2024. Responde solicitud definición de desafíos País, (2024).</w:t>
      </w:r>
    </w:p>
    <w:p w14:paraId="44AF0484"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Corsi, G., Esposito, E., &amp; Baraldi, C. (1996). </w:t>
      </w:r>
      <w:r w:rsidRPr="009250EB">
        <w:rPr>
          <w:rFonts w:ascii="Times New Roman" w:hAnsi="Times New Roman" w:cs="Times New Roman"/>
          <w:i/>
          <w:iCs/>
          <w:noProof/>
          <w:kern w:val="0"/>
        </w:rPr>
        <w:t>Glosario sobre la teoría social de Niklas Luhmann</w:t>
      </w:r>
      <w:r w:rsidRPr="009250EB">
        <w:rPr>
          <w:rFonts w:ascii="Times New Roman" w:hAnsi="Times New Roman" w:cs="Times New Roman"/>
          <w:noProof/>
          <w:kern w:val="0"/>
        </w:rPr>
        <w:t>. Universidad Iberoamericana - ITESO - Anthopos.</w:t>
      </w:r>
    </w:p>
    <w:p w14:paraId="094D0683"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Cossio López, H. (2026, mayo 16). Ximena Lincolao bajo el microscopio: “No sabe de ciencias ni le interesa”. </w:t>
      </w:r>
      <w:r w:rsidRPr="009250EB">
        <w:rPr>
          <w:rFonts w:ascii="Times New Roman" w:hAnsi="Times New Roman" w:cs="Times New Roman"/>
          <w:i/>
          <w:iCs/>
          <w:noProof/>
          <w:kern w:val="0"/>
        </w:rPr>
        <w:t>El Mostrador</w:t>
      </w:r>
      <w:r w:rsidRPr="009250EB">
        <w:rPr>
          <w:rFonts w:ascii="Times New Roman" w:hAnsi="Times New Roman" w:cs="Times New Roman"/>
          <w:noProof/>
          <w:kern w:val="0"/>
        </w:rPr>
        <w:t>. https://www.elmostrador.cl/noticias/pais/2026/05/16/ximena-lincolao-bajo-el-microscopio-no-sabe-de-ciencias-ni-le-interesa/</w:t>
      </w:r>
    </w:p>
    <w:p w14:paraId="6AFF78CC"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Cottet, P., López, L., Osorio Parraguez, P., Astorga, M., Ferreiro, J. M., Galaz, C., Álvarez, C., &amp; Hernández, N. (2022). </w:t>
      </w:r>
      <w:r w:rsidRPr="009250EB">
        <w:rPr>
          <w:rFonts w:ascii="Times New Roman" w:hAnsi="Times New Roman" w:cs="Times New Roman"/>
          <w:i/>
          <w:iCs/>
          <w:noProof/>
          <w:kern w:val="0"/>
        </w:rPr>
        <w:t>Separar para constuir. Análisis cualitativo de información</w:t>
      </w:r>
      <w:r w:rsidRPr="009250EB">
        <w:rPr>
          <w:rFonts w:ascii="Times New Roman" w:hAnsi="Times New Roman" w:cs="Times New Roman"/>
          <w:noProof/>
          <w:kern w:val="0"/>
        </w:rPr>
        <w:t xml:space="preserve"> (K. Duarte Quapper (Ed.)). Social Ediciones.</w:t>
      </w:r>
    </w:p>
    <w:p w14:paraId="65CA2690"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Cuevas Vega, C. (2025, noviembre 25). </w:t>
      </w:r>
      <w:r w:rsidRPr="009250EB">
        <w:rPr>
          <w:rFonts w:ascii="Times New Roman" w:hAnsi="Times New Roman" w:cs="Times New Roman"/>
          <w:i/>
          <w:iCs/>
          <w:noProof/>
          <w:kern w:val="0"/>
        </w:rPr>
        <w:t>Más ciencia para Chile y desde las regiones</w:t>
      </w:r>
      <w:r w:rsidRPr="009250EB">
        <w:rPr>
          <w:rFonts w:ascii="Times New Roman" w:hAnsi="Times New Roman" w:cs="Times New Roman"/>
          <w:noProof/>
          <w:kern w:val="0"/>
        </w:rPr>
        <w:t>. Ciencia en Chile. https://www.cienciaenchile.cl/mas-ciencia-para-chile-y-desde-las-regiones/</w:t>
      </w:r>
    </w:p>
    <w:p w14:paraId="17365747"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Cummings, M. C. J., &amp; Davidson Schuster, J. M. (Eds.). (1989). </w:t>
      </w:r>
      <w:r w:rsidRPr="009250EB">
        <w:rPr>
          <w:rFonts w:ascii="Times New Roman" w:hAnsi="Times New Roman" w:cs="Times New Roman"/>
          <w:i/>
          <w:iCs/>
          <w:noProof/>
          <w:kern w:val="0"/>
        </w:rPr>
        <w:t>Who’s To Pay for The Arts? The International Search for Models of Support</w:t>
      </w:r>
      <w:r w:rsidRPr="009250EB">
        <w:rPr>
          <w:rFonts w:ascii="Times New Roman" w:hAnsi="Times New Roman" w:cs="Times New Roman"/>
          <w:noProof/>
          <w:kern w:val="0"/>
        </w:rPr>
        <w:t>. ACA Books.</w:t>
      </w:r>
    </w:p>
    <w:p w14:paraId="1ABF0707"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Dockendorff, C. (2019). Valores propios, recursividad y dimensión histórico-contextual de la comunicación: el fundamento operativo del fenómeno llamado cultura. </w:t>
      </w:r>
      <w:r w:rsidRPr="009250EB">
        <w:rPr>
          <w:rFonts w:ascii="Times New Roman" w:hAnsi="Times New Roman" w:cs="Times New Roman"/>
          <w:i/>
          <w:iCs/>
          <w:noProof/>
          <w:kern w:val="0"/>
        </w:rPr>
        <w:t>Revista Mad</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40</w:t>
      </w:r>
      <w:r w:rsidRPr="009250EB">
        <w:rPr>
          <w:rFonts w:ascii="Times New Roman" w:hAnsi="Times New Roman" w:cs="Times New Roman"/>
          <w:noProof/>
          <w:kern w:val="0"/>
        </w:rPr>
        <w:t>, 14. https://doi.org/10.5354/0719-0527.2019.54831</w:t>
      </w:r>
    </w:p>
    <w:p w14:paraId="2D7D4EEB"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Fincher, S., &amp; Tenenberg, J. (2005). Making sense of card sorting data. </w:t>
      </w:r>
      <w:r w:rsidRPr="009250EB">
        <w:rPr>
          <w:rFonts w:ascii="Times New Roman" w:hAnsi="Times New Roman" w:cs="Times New Roman"/>
          <w:i/>
          <w:iCs/>
          <w:noProof/>
          <w:kern w:val="0"/>
        </w:rPr>
        <w:t>Expert Systems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22</w:t>
      </w:r>
      <w:r w:rsidRPr="009250EB">
        <w:rPr>
          <w:rFonts w:ascii="Times New Roman" w:hAnsi="Times New Roman" w:cs="Times New Roman"/>
          <w:noProof/>
          <w:kern w:val="0"/>
        </w:rPr>
        <w:t>(3), 89–93. http://ir.kdu.ac.lk/bitstream/handle/345/1051/com-059.pdf?sequence=1&amp;isAllowed=y</w:t>
      </w:r>
    </w:p>
    <w:p w14:paraId="3B4949C4"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Flanagan, K., Uyarra, E., &amp; Laranja, M. (2011). Reconceptualising the “policy mix” for innovation. </w:t>
      </w:r>
      <w:r w:rsidRPr="009250EB">
        <w:rPr>
          <w:rFonts w:ascii="Times New Roman" w:hAnsi="Times New Roman" w:cs="Times New Roman"/>
          <w:i/>
          <w:iCs/>
          <w:noProof/>
          <w:kern w:val="0"/>
        </w:rPr>
        <w:t>Research Policy</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40</w:t>
      </w:r>
      <w:r w:rsidRPr="009250EB">
        <w:rPr>
          <w:rFonts w:ascii="Times New Roman" w:hAnsi="Times New Roman" w:cs="Times New Roman"/>
          <w:noProof/>
          <w:kern w:val="0"/>
        </w:rPr>
        <w:t>(5), 702–713. https://doi.org/10.1016/j.respol.2011.02.005</w:t>
      </w:r>
    </w:p>
    <w:p w14:paraId="059FA71E"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Fleischmann, M. (2024). </w:t>
      </w:r>
      <w:r w:rsidRPr="009250EB">
        <w:rPr>
          <w:rFonts w:ascii="Times New Roman" w:hAnsi="Times New Roman" w:cs="Times New Roman"/>
          <w:i/>
          <w:iCs/>
          <w:noProof/>
          <w:kern w:val="0"/>
        </w:rPr>
        <w:t>Construcciones de lo público y formas de reciprocidad: El FONDECYT de Antropología en Chile (2013-2020)</w:t>
      </w:r>
      <w:r w:rsidRPr="009250EB">
        <w:rPr>
          <w:rFonts w:ascii="Times New Roman" w:hAnsi="Times New Roman" w:cs="Times New Roman"/>
          <w:noProof/>
          <w:kern w:val="0"/>
        </w:rPr>
        <w:t>. Tesis para optar al grado de Magíster en Análisis Sistémico Aplicado a la Sociedad. Universidad de Chile.</w:t>
      </w:r>
    </w:p>
    <w:p w14:paraId="58DAE53E"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lastRenderedPageBreak/>
        <w:t xml:space="preserve">Folke, C., Carpenter, S. R., Walker, B., Scheffer, M., Elmqvist, T., Gunderson, L., &amp; Holling, C. S. (2004). Regime Shifts, Resilience, and Biodiversity in Ecosystem Management. </w:t>
      </w:r>
      <w:r w:rsidRPr="009250EB">
        <w:rPr>
          <w:rFonts w:ascii="Times New Roman" w:hAnsi="Times New Roman" w:cs="Times New Roman"/>
          <w:i/>
          <w:iCs/>
          <w:noProof/>
          <w:kern w:val="0"/>
        </w:rPr>
        <w:t>Annual Review of Ecology, Evolution, and Systematics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35</w:t>
      </w:r>
      <w:r w:rsidRPr="009250EB">
        <w:rPr>
          <w:rFonts w:ascii="Times New Roman" w:hAnsi="Times New Roman" w:cs="Times New Roman"/>
          <w:noProof/>
          <w:kern w:val="0"/>
        </w:rPr>
        <w:t>(2004), 557–581. https://doi.org/10.2307/annurev.ecolsys.35.021103.30000021</w:t>
      </w:r>
    </w:p>
    <w:p w14:paraId="60994FF7"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Geels, F. W. (2004). From sectoral systems of innovation to socio-technical systems: Insights about dynamics and change from sociology and institutional theory. </w:t>
      </w:r>
      <w:r w:rsidRPr="009250EB">
        <w:rPr>
          <w:rFonts w:ascii="Times New Roman" w:hAnsi="Times New Roman" w:cs="Times New Roman"/>
          <w:i/>
          <w:iCs/>
          <w:noProof/>
          <w:kern w:val="0"/>
        </w:rPr>
        <w:t>Research Policy</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33</w:t>
      </w:r>
      <w:r w:rsidRPr="009250EB">
        <w:rPr>
          <w:rFonts w:ascii="Times New Roman" w:hAnsi="Times New Roman" w:cs="Times New Roman"/>
          <w:noProof/>
          <w:kern w:val="0"/>
        </w:rPr>
        <w:t>(6–7), 897–920. https://doi.org/10.1016/j.respol.2004.01.015</w:t>
      </w:r>
    </w:p>
    <w:p w14:paraId="749DABC4"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Guerrero Gatica, M. (2025). </w:t>
      </w:r>
      <w:r w:rsidRPr="009250EB">
        <w:rPr>
          <w:rFonts w:ascii="Times New Roman" w:hAnsi="Times New Roman" w:cs="Times New Roman"/>
          <w:i/>
          <w:iCs/>
          <w:noProof/>
          <w:kern w:val="0"/>
        </w:rPr>
        <w:t>Prácticas territoriales y memoria socioecológica en su relación territorial con la conservación. El caso del bosque y matorral esclerófico y ecosistemas adyacentes de Chile Central.</w:t>
      </w:r>
      <w:r w:rsidRPr="009250EB">
        <w:rPr>
          <w:rFonts w:ascii="Times New Roman" w:hAnsi="Times New Roman" w:cs="Times New Roman"/>
          <w:noProof/>
          <w:kern w:val="0"/>
        </w:rPr>
        <w:t xml:space="preserve"> Tesis para optar al grado de Doctor en Territorio, Espacio y Sociedad. Universidad de Chile.</w:t>
      </w:r>
    </w:p>
    <w:p w14:paraId="5FD373C4"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Hart, A., &amp; Connolly, J. (2021). Commonwealth place-based policies for addressing geographically concentrated disadvantage: A typology and critical analysis. </w:t>
      </w:r>
      <w:r w:rsidRPr="009250EB">
        <w:rPr>
          <w:rFonts w:ascii="Times New Roman" w:hAnsi="Times New Roman" w:cs="Times New Roman"/>
          <w:i/>
          <w:iCs/>
          <w:noProof/>
          <w:kern w:val="0"/>
        </w:rPr>
        <w:t>Australian Journal of Public Administration</w:t>
      </w:r>
      <w:r w:rsidRPr="009250EB">
        <w:rPr>
          <w:rFonts w:ascii="Times New Roman" w:hAnsi="Times New Roman" w:cs="Times New Roman"/>
          <w:noProof/>
          <w:kern w:val="0"/>
        </w:rPr>
        <w:t>, 1–18. https://doi.org/10.1111/1467-8500.12498</w:t>
      </w:r>
    </w:p>
    <w:p w14:paraId="4E0CFFE4"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Hay, C. (1999). Crisis and the structural transformation of the state: Interrogating the process. </w:t>
      </w:r>
      <w:r w:rsidRPr="009250EB">
        <w:rPr>
          <w:rFonts w:ascii="Times New Roman" w:hAnsi="Times New Roman" w:cs="Times New Roman"/>
          <w:i/>
          <w:iCs/>
          <w:noProof/>
          <w:kern w:val="0"/>
        </w:rPr>
        <w:t>British Journal of Politics and International Relations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1</w:t>
      </w:r>
      <w:r w:rsidRPr="009250EB">
        <w:rPr>
          <w:rFonts w:ascii="Times New Roman" w:hAnsi="Times New Roman" w:cs="Times New Roman"/>
          <w:noProof/>
          <w:kern w:val="0"/>
        </w:rPr>
        <w:t>(3), 317–344.</w:t>
      </w:r>
    </w:p>
    <w:p w14:paraId="63C1B7ED"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Healey, P. (2004). The Treatment of Space and Place in the New Strategic Spatial Planning in Europe. </w:t>
      </w:r>
      <w:r w:rsidRPr="009250EB">
        <w:rPr>
          <w:rFonts w:ascii="Times New Roman" w:hAnsi="Times New Roman" w:cs="Times New Roman"/>
          <w:i/>
          <w:iCs/>
          <w:noProof/>
          <w:kern w:val="0"/>
        </w:rPr>
        <w:t>International Journal of Urban and Regional Research</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28</w:t>
      </w:r>
      <w:r w:rsidRPr="009250EB">
        <w:rPr>
          <w:rFonts w:ascii="Times New Roman" w:hAnsi="Times New Roman" w:cs="Times New Roman"/>
          <w:noProof/>
          <w:kern w:val="0"/>
        </w:rPr>
        <w:t>(1), 45–67.</w:t>
      </w:r>
    </w:p>
    <w:p w14:paraId="19B9E0BB"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Holling, C. S. (2001). Understanding the Complexity of Economic, Ecological, and Social Systems. </w:t>
      </w:r>
      <w:r w:rsidRPr="009250EB">
        <w:rPr>
          <w:rFonts w:ascii="Times New Roman" w:hAnsi="Times New Roman" w:cs="Times New Roman"/>
          <w:i/>
          <w:iCs/>
          <w:noProof/>
          <w:kern w:val="0"/>
        </w:rPr>
        <w:t>Ecosystems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4</w:t>
      </w:r>
      <w:r w:rsidRPr="009250EB">
        <w:rPr>
          <w:rFonts w:ascii="Times New Roman" w:hAnsi="Times New Roman" w:cs="Times New Roman"/>
          <w:noProof/>
          <w:kern w:val="0"/>
        </w:rPr>
        <w:t>, 390–405.</w:t>
      </w:r>
    </w:p>
    <w:p w14:paraId="0AEF336A"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Khder, M. A. (2021). Web scraping or web crawling: State of art, techniques, approaches and application. </w:t>
      </w:r>
      <w:r w:rsidRPr="009250EB">
        <w:rPr>
          <w:rFonts w:ascii="Times New Roman" w:hAnsi="Times New Roman" w:cs="Times New Roman"/>
          <w:i/>
          <w:iCs/>
          <w:noProof/>
          <w:kern w:val="0"/>
        </w:rPr>
        <w:t>International Journal of Advances in Soft Computing and its Applications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13</w:t>
      </w:r>
      <w:r w:rsidRPr="009250EB">
        <w:rPr>
          <w:rFonts w:ascii="Times New Roman" w:hAnsi="Times New Roman" w:cs="Times New Roman"/>
          <w:noProof/>
          <w:kern w:val="0"/>
        </w:rPr>
        <w:t>(3), 144–168. https://doi.org/10.15849/ijasca.211128.11</w:t>
      </w:r>
    </w:p>
    <w:p w14:paraId="159415F1"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Knorr Cetina, K. (2005). </w:t>
      </w:r>
      <w:r w:rsidRPr="009250EB">
        <w:rPr>
          <w:rFonts w:ascii="Times New Roman" w:hAnsi="Times New Roman" w:cs="Times New Roman"/>
          <w:i/>
          <w:iCs/>
          <w:noProof/>
          <w:kern w:val="0"/>
        </w:rPr>
        <w:t>La fabricación del conocimiento. Un ensayo sobre el caracter constructivista y contextual de la ciencia</w:t>
      </w:r>
      <w:r w:rsidRPr="009250EB">
        <w:rPr>
          <w:rFonts w:ascii="Times New Roman" w:hAnsi="Times New Roman" w:cs="Times New Roman"/>
          <w:noProof/>
          <w:kern w:val="0"/>
        </w:rPr>
        <w:t>. Universidad Nacional de Quilmes Editorial.</w:t>
      </w:r>
    </w:p>
    <w:p w14:paraId="6D1A8D5F"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Kramsch, O. T. (2011). Negotiating the “Spatial Turn” in European Cross-Border Governance : Notes on a Research Agenda. </w:t>
      </w:r>
      <w:r w:rsidRPr="009250EB">
        <w:rPr>
          <w:rFonts w:ascii="Times New Roman" w:hAnsi="Times New Roman" w:cs="Times New Roman"/>
          <w:i/>
          <w:iCs/>
          <w:noProof/>
          <w:kern w:val="0"/>
        </w:rPr>
        <w:t>Geopolítica(s)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2</w:t>
      </w:r>
      <w:r w:rsidRPr="009250EB">
        <w:rPr>
          <w:rFonts w:ascii="Times New Roman" w:hAnsi="Times New Roman" w:cs="Times New Roman"/>
          <w:noProof/>
          <w:kern w:val="0"/>
        </w:rPr>
        <w:t>(2), 185–207.</w:t>
      </w:r>
    </w:p>
    <w:p w14:paraId="2EAE7903"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Kreimer, P. (2005). Estudio preliminar. El conocimiento se fabrica. ¿Cuándo? ¿Dónde? ¿Cómo? En </w:t>
      </w:r>
      <w:r w:rsidRPr="009250EB">
        <w:rPr>
          <w:rFonts w:ascii="Times New Roman" w:hAnsi="Times New Roman" w:cs="Times New Roman"/>
          <w:i/>
          <w:iCs/>
          <w:noProof/>
          <w:kern w:val="0"/>
        </w:rPr>
        <w:t>La fabricación del conocimiento. Un ensayo sobre el carácter constructivista y contextual de la ciencia</w:t>
      </w:r>
      <w:r w:rsidRPr="009250EB">
        <w:rPr>
          <w:rFonts w:ascii="Times New Roman" w:hAnsi="Times New Roman" w:cs="Times New Roman"/>
          <w:noProof/>
          <w:kern w:val="0"/>
        </w:rPr>
        <w:t>. Universidad Nacional de Quilmes Editorial.</w:t>
      </w:r>
    </w:p>
    <w:p w14:paraId="76653989"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Kühne, O., &amp; Berr, K. (2022). </w:t>
      </w:r>
      <w:r w:rsidRPr="009250EB">
        <w:rPr>
          <w:rFonts w:ascii="Times New Roman" w:hAnsi="Times New Roman" w:cs="Times New Roman"/>
          <w:i/>
          <w:iCs/>
          <w:noProof/>
          <w:kern w:val="0"/>
        </w:rPr>
        <w:t>Science, Space, Society. An Overview of the Social Production of Knowledge</w:t>
      </w:r>
      <w:r w:rsidRPr="009250EB">
        <w:rPr>
          <w:rFonts w:ascii="Times New Roman" w:hAnsi="Times New Roman" w:cs="Times New Roman"/>
          <w:noProof/>
          <w:kern w:val="0"/>
        </w:rPr>
        <w:t>. Springer.</w:t>
      </w:r>
    </w:p>
    <w:p w14:paraId="245D279F"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Labraña, J., &amp; Vanderstraeten, R. (2020). Functional Differentiation and University Expansion in Chile. </w:t>
      </w:r>
      <w:r w:rsidRPr="009250EB">
        <w:rPr>
          <w:rFonts w:ascii="Times New Roman" w:hAnsi="Times New Roman" w:cs="Times New Roman"/>
          <w:i/>
          <w:iCs/>
          <w:noProof/>
          <w:kern w:val="0"/>
        </w:rPr>
        <w:t>HSE Social and Education History</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9</w:t>
      </w:r>
      <w:r w:rsidRPr="009250EB">
        <w:rPr>
          <w:rFonts w:ascii="Times New Roman" w:hAnsi="Times New Roman" w:cs="Times New Roman"/>
          <w:noProof/>
          <w:kern w:val="0"/>
        </w:rPr>
        <w:t xml:space="preserve">(3), 252–277. </w:t>
      </w:r>
      <w:r w:rsidRPr="009250EB">
        <w:rPr>
          <w:rFonts w:ascii="Times New Roman" w:hAnsi="Times New Roman" w:cs="Times New Roman"/>
          <w:noProof/>
          <w:kern w:val="0"/>
        </w:rPr>
        <w:lastRenderedPageBreak/>
        <w:t>https://doi.org/10.17583/HSE.2020.4565</w:t>
      </w:r>
    </w:p>
    <w:p w14:paraId="24C5B323"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Latour, B. (1983). Give Me a Laboratory and I will Raise the World. En K. Knorr Cetina &amp; M. Mulkay (Eds.), </w:t>
      </w:r>
      <w:r w:rsidRPr="009250EB">
        <w:rPr>
          <w:rFonts w:ascii="Times New Roman" w:hAnsi="Times New Roman" w:cs="Times New Roman"/>
          <w:i/>
          <w:iCs/>
          <w:noProof/>
          <w:kern w:val="0"/>
        </w:rPr>
        <w:t>Science Observed: Perspectives on the Social Study of Science</w:t>
      </w:r>
      <w:r w:rsidRPr="009250EB">
        <w:rPr>
          <w:rFonts w:ascii="Times New Roman" w:hAnsi="Times New Roman" w:cs="Times New Roman"/>
          <w:noProof/>
          <w:kern w:val="0"/>
        </w:rPr>
        <w:t xml:space="preserve"> (pp. 141–170). Sage.</w:t>
      </w:r>
    </w:p>
    <w:p w14:paraId="4F761E48"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Lefebvre, H. (2013). </w:t>
      </w:r>
      <w:r w:rsidRPr="009250EB">
        <w:rPr>
          <w:rFonts w:ascii="Times New Roman" w:hAnsi="Times New Roman" w:cs="Times New Roman"/>
          <w:i/>
          <w:iCs/>
          <w:noProof/>
          <w:kern w:val="0"/>
        </w:rPr>
        <w:t>La producción del espacio</w:t>
      </w:r>
      <w:r w:rsidRPr="009250EB">
        <w:rPr>
          <w:rFonts w:ascii="Times New Roman" w:hAnsi="Times New Roman" w:cs="Times New Roman"/>
          <w:noProof/>
          <w:kern w:val="0"/>
        </w:rPr>
        <w:t>. Capitán Swing.</w:t>
      </w:r>
    </w:p>
    <w:p w14:paraId="01747E76"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i/>
          <w:iCs/>
          <w:noProof/>
          <w:kern w:val="0"/>
        </w:rPr>
        <w:t>Ley N° 21.045</w:t>
      </w:r>
      <w:r w:rsidRPr="009250EB">
        <w:rPr>
          <w:rFonts w:ascii="Times New Roman" w:hAnsi="Times New Roman" w:cs="Times New Roman"/>
          <w:noProof/>
          <w:kern w:val="0"/>
        </w:rPr>
        <w:t>, (2017). https://www.bcn.cl/leychile/navegar?idNorma=1110097</w:t>
      </w:r>
    </w:p>
    <w:p w14:paraId="6D242139"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i/>
          <w:iCs/>
          <w:noProof/>
          <w:kern w:val="0"/>
        </w:rPr>
        <w:t>Ley N° 21.105</w:t>
      </w:r>
      <w:r w:rsidRPr="009250EB">
        <w:rPr>
          <w:rFonts w:ascii="Times New Roman" w:hAnsi="Times New Roman" w:cs="Times New Roman"/>
          <w:noProof/>
          <w:kern w:val="0"/>
        </w:rPr>
        <w:t>. (2018). https://www.bcn.cl/leychile/navegar?idNorma=1121682</w:t>
      </w:r>
    </w:p>
    <w:p w14:paraId="1E1B75EE"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i/>
          <w:iCs/>
          <w:noProof/>
          <w:kern w:val="0"/>
        </w:rPr>
        <w:t>Ley N° 21.591</w:t>
      </w:r>
      <w:r w:rsidRPr="009250EB">
        <w:rPr>
          <w:rFonts w:ascii="Times New Roman" w:hAnsi="Times New Roman" w:cs="Times New Roman"/>
          <w:noProof/>
          <w:kern w:val="0"/>
        </w:rPr>
        <w:t>. (2023). https://www.bcn.cl/leychile/navegar?idNorma=1194982</w:t>
      </w:r>
    </w:p>
    <w:p w14:paraId="1E87F1F9"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Luhmann, N. (1996). </w:t>
      </w:r>
      <w:r w:rsidRPr="009250EB">
        <w:rPr>
          <w:rFonts w:ascii="Times New Roman" w:hAnsi="Times New Roman" w:cs="Times New Roman"/>
          <w:i/>
          <w:iCs/>
          <w:noProof/>
          <w:kern w:val="0"/>
        </w:rPr>
        <w:t>La Ciencia de la Sociedad</w:t>
      </w:r>
      <w:r w:rsidRPr="009250EB">
        <w:rPr>
          <w:rFonts w:ascii="Times New Roman" w:hAnsi="Times New Roman" w:cs="Times New Roman"/>
          <w:noProof/>
          <w:kern w:val="0"/>
        </w:rPr>
        <w:t>. Anthropos/Universidad Iberoamericana.</w:t>
      </w:r>
    </w:p>
    <w:p w14:paraId="605A8E02"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Luhmann, N. (2000). </w:t>
      </w:r>
      <w:r w:rsidRPr="009250EB">
        <w:rPr>
          <w:rFonts w:ascii="Times New Roman" w:hAnsi="Times New Roman" w:cs="Times New Roman"/>
          <w:i/>
          <w:iCs/>
          <w:noProof/>
          <w:kern w:val="0"/>
        </w:rPr>
        <w:t>La realidad de los medios de masas</w:t>
      </w:r>
      <w:r w:rsidRPr="009250EB">
        <w:rPr>
          <w:rFonts w:ascii="Times New Roman" w:hAnsi="Times New Roman" w:cs="Times New Roman"/>
          <w:noProof/>
          <w:kern w:val="0"/>
        </w:rPr>
        <w:t>. Universidad Iberoamericana.</w:t>
      </w:r>
    </w:p>
    <w:p w14:paraId="0D06D78B"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Luhmann, N. (2005). </w:t>
      </w:r>
      <w:r w:rsidRPr="009250EB">
        <w:rPr>
          <w:rFonts w:ascii="Times New Roman" w:hAnsi="Times New Roman" w:cs="Times New Roman"/>
          <w:i/>
          <w:iCs/>
          <w:noProof/>
          <w:kern w:val="0"/>
        </w:rPr>
        <w:t>El arte de la sociedad</w:t>
      </w:r>
      <w:r w:rsidRPr="009250EB">
        <w:rPr>
          <w:rFonts w:ascii="Times New Roman" w:hAnsi="Times New Roman" w:cs="Times New Roman"/>
          <w:noProof/>
          <w:kern w:val="0"/>
        </w:rPr>
        <w:t>. Herder-Universidad Iberoamericana.</w:t>
      </w:r>
    </w:p>
    <w:p w14:paraId="5A87A9CA"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Luhmann, N. (2007a). Diferenciación funcional. En </w:t>
      </w:r>
      <w:r w:rsidRPr="009250EB">
        <w:rPr>
          <w:rFonts w:ascii="Times New Roman" w:hAnsi="Times New Roman" w:cs="Times New Roman"/>
          <w:i/>
          <w:iCs/>
          <w:noProof/>
          <w:kern w:val="0"/>
        </w:rPr>
        <w:t>La sociedad de la sociedad</w:t>
      </w:r>
      <w:r w:rsidRPr="009250EB">
        <w:rPr>
          <w:rFonts w:ascii="Times New Roman" w:hAnsi="Times New Roman" w:cs="Times New Roman"/>
          <w:noProof/>
          <w:kern w:val="0"/>
        </w:rPr>
        <w:t>. Herder-Universidad Iberoamericana.</w:t>
      </w:r>
    </w:p>
    <w:p w14:paraId="2189905D"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Luhmann, N. (2007b). </w:t>
      </w:r>
      <w:r w:rsidRPr="009250EB">
        <w:rPr>
          <w:rFonts w:ascii="Times New Roman" w:hAnsi="Times New Roman" w:cs="Times New Roman"/>
          <w:i/>
          <w:iCs/>
          <w:noProof/>
          <w:kern w:val="0"/>
        </w:rPr>
        <w:t>La sociedad de la sociedad</w:t>
      </w:r>
      <w:r w:rsidRPr="009250EB">
        <w:rPr>
          <w:rFonts w:ascii="Times New Roman" w:hAnsi="Times New Roman" w:cs="Times New Roman"/>
          <w:noProof/>
          <w:kern w:val="0"/>
        </w:rPr>
        <w:t>. Herder-Universidad Iberoamericana.</w:t>
      </w:r>
    </w:p>
    <w:p w14:paraId="3573FB6E"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MacLennan, B. (2021). </w:t>
      </w:r>
      <w:r w:rsidRPr="009250EB">
        <w:rPr>
          <w:rFonts w:ascii="Times New Roman" w:hAnsi="Times New Roman" w:cs="Times New Roman"/>
          <w:i/>
          <w:iCs/>
          <w:noProof/>
          <w:kern w:val="0"/>
        </w:rPr>
        <w:t>Putting Policy in Its Place: Policy Enactment and Engagement Through a Multiscalar Policy-Shed Framework</w:t>
      </w:r>
      <w:r w:rsidRPr="009250EB">
        <w:rPr>
          <w:rFonts w:ascii="Times New Roman" w:hAnsi="Times New Roman" w:cs="Times New Roman"/>
          <w:noProof/>
          <w:kern w:val="0"/>
        </w:rPr>
        <w:t>. Graduate Theses, Dissertations and Problem Reports. 8230. West Virginia University.</w:t>
      </w:r>
    </w:p>
    <w:p w14:paraId="3D8174EA"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May, P. J., Sapotichne, J., &amp; Workman, S. (2006). </w:t>
      </w:r>
      <w:r w:rsidRPr="009250EB">
        <w:rPr>
          <w:rFonts w:ascii="Times New Roman" w:hAnsi="Times New Roman" w:cs="Times New Roman"/>
          <w:i/>
          <w:iCs/>
          <w:noProof/>
          <w:kern w:val="0"/>
        </w:rPr>
        <w:t>Policy Coherence and Policy Domains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34</w:t>
      </w:r>
      <w:r w:rsidRPr="009250EB">
        <w:rPr>
          <w:rFonts w:ascii="Times New Roman" w:hAnsi="Times New Roman" w:cs="Times New Roman"/>
          <w:noProof/>
          <w:kern w:val="0"/>
        </w:rPr>
        <w:t>(3), 381–403. https://doi.org/10.1111/j.1541-0072.2006.00178.x</w:t>
      </w:r>
    </w:p>
    <w:p w14:paraId="2A6F1990"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McClellan, J. E. (1985). </w:t>
      </w:r>
      <w:r w:rsidRPr="009250EB">
        <w:rPr>
          <w:rFonts w:ascii="Times New Roman" w:hAnsi="Times New Roman" w:cs="Times New Roman"/>
          <w:i/>
          <w:iCs/>
          <w:noProof/>
          <w:kern w:val="0"/>
        </w:rPr>
        <w:t>Science Reorganized: Scientific Societies in the Eighteenth Century</w:t>
      </w:r>
      <w:r w:rsidRPr="009250EB">
        <w:rPr>
          <w:rFonts w:ascii="Times New Roman" w:hAnsi="Times New Roman" w:cs="Times New Roman"/>
          <w:noProof/>
          <w:kern w:val="0"/>
        </w:rPr>
        <w:t>. Columbia University Press.</w:t>
      </w:r>
    </w:p>
    <w:p w14:paraId="03347A04"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Meissner, D., &amp; Kergroach, S. (2021). Innovation policy mix: mapping and measurement. </w:t>
      </w:r>
      <w:r w:rsidRPr="009250EB">
        <w:rPr>
          <w:rFonts w:ascii="Times New Roman" w:hAnsi="Times New Roman" w:cs="Times New Roman"/>
          <w:i/>
          <w:iCs/>
          <w:noProof/>
          <w:kern w:val="0"/>
        </w:rPr>
        <w:t>Journal of Technology Transfer</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46</w:t>
      </w:r>
      <w:r w:rsidRPr="009250EB">
        <w:rPr>
          <w:rFonts w:ascii="Times New Roman" w:hAnsi="Times New Roman" w:cs="Times New Roman"/>
          <w:noProof/>
          <w:kern w:val="0"/>
        </w:rPr>
        <w:t>(1), 197–222. https://doi.org/10.1007/s10961-019-09767-4</w:t>
      </w:r>
    </w:p>
    <w:p w14:paraId="0F39909F"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Menéndez, M. J., &amp; Villarroel, K. (2023). </w:t>
      </w:r>
      <w:r w:rsidRPr="009250EB">
        <w:rPr>
          <w:rFonts w:ascii="Times New Roman" w:hAnsi="Times New Roman" w:cs="Times New Roman"/>
          <w:i/>
          <w:iCs/>
          <w:noProof/>
          <w:kern w:val="0"/>
        </w:rPr>
        <w:t>Revisión de Marcos de Políticas Públicas de Conocimiento e Innovación</w:t>
      </w:r>
      <w:r w:rsidRPr="009250EB">
        <w:rPr>
          <w:rFonts w:ascii="Times New Roman" w:hAnsi="Times New Roman" w:cs="Times New Roman"/>
          <w:noProof/>
          <w:kern w:val="0"/>
        </w:rPr>
        <w:t>. Consejo Nacional de Ciencia, Tecnología, Conocimiento e Innovación para el Desarrollo.</w:t>
      </w:r>
    </w:p>
    <w:p w14:paraId="2E6DDAD6"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Merton England, J. (1982). </w:t>
      </w:r>
      <w:r w:rsidRPr="009250EB">
        <w:rPr>
          <w:rFonts w:ascii="Times New Roman" w:hAnsi="Times New Roman" w:cs="Times New Roman"/>
          <w:i/>
          <w:iCs/>
          <w:noProof/>
          <w:kern w:val="0"/>
        </w:rPr>
        <w:t>A Patron for Pure Science. The National Science Foundation’s Formative Years, 1945-57</w:t>
      </w:r>
      <w:r w:rsidRPr="009250EB">
        <w:rPr>
          <w:rFonts w:ascii="Times New Roman" w:hAnsi="Times New Roman" w:cs="Times New Roman"/>
          <w:noProof/>
          <w:kern w:val="0"/>
        </w:rPr>
        <w:t>. National Science Foundation.</w:t>
      </w:r>
    </w:p>
    <w:p w14:paraId="477121A1"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Ministerio de las Culturas las Artes y el Patrimonio. (2025). </w:t>
      </w:r>
      <w:r w:rsidRPr="009250EB">
        <w:rPr>
          <w:rFonts w:ascii="Times New Roman" w:hAnsi="Times New Roman" w:cs="Times New Roman"/>
          <w:i/>
          <w:iCs/>
          <w:noProof/>
          <w:kern w:val="0"/>
        </w:rPr>
        <w:t>Programa de Apoyo a Organizaciones Culturales Colaboradoras. Bases Concurso Público Ingreso 2026. Línea de Financiamiento para Planes de Gestión.</w:t>
      </w:r>
    </w:p>
    <w:p w14:paraId="5A23E7D1"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Montañés Serrano, M. (2007). Más allá del debate cuantitativo/cualitativo: la necesidad de aplicar metodologías participativas conversacionales. </w:t>
      </w:r>
      <w:r w:rsidRPr="009250EB">
        <w:rPr>
          <w:rFonts w:ascii="Times New Roman" w:hAnsi="Times New Roman" w:cs="Times New Roman"/>
          <w:i/>
          <w:iCs/>
          <w:noProof/>
          <w:kern w:val="0"/>
        </w:rPr>
        <w:t>Política y sociedad</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44</w:t>
      </w:r>
      <w:r w:rsidRPr="009250EB">
        <w:rPr>
          <w:rFonts w:ascii="Times New Roman" w:hAnsi="Times New Roman" w:cs="Times New Roman"/>
          <w:noProof/>
          <w:kern w:val="0"/>
        </w:rPr>
        <w:t xml:space="preserve">(1), </w:t>
      </w:r>
      <w:r w:rsidRPr="009250EB">
        <w:rPr>
          <w:rFonts w:ascii="Times New Roman" w:hAnsi="Times New Roman" w:cs="Times New Roman"/>
          <w:noProof/>
          <w:kern w:val="0"/>
        </w:rPr>
        <w:lastRenderedPageBreak/>
        <w:t>13–29. https://doi.org/10.5209/POSO.23474</w:t>
      </w:r>
    </w:p>
    <w:p w14:paraId="2E811DF6"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Moran, M. (2012). The social impact of the arts: an intellectual history. </w:t>
      </w:r>
      <w:r w:rsidRPr="009250EB">
        <w:rPr>
          <w:rFonts w:ascii="Times New Roman" w:hAnsi="Times New Roman" w:cs="Times New Roman"/>
          <w:i/>
          <w:iCs/>
          <w:noProof/>
          <w:kern w:val="0"/>
        </w:rPr>
        <w:t>International Journal of Cultural Policy</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18</w:t>
      </w:r>
      <w:r w:rsidRPr="009250EB">
        <w:rPr>
          <w:rFonts w:ascii="Times New Roman" w:hAnsi="Times New Roman" w:cs="Times New Roman"/>
          <w:noProof/>
          <w:kern w:val="0"/>
        </w:rPr>
        <w:t>, 486–488. https://doi.org/10.1080/10286632.2011.638984</w:t>
      </w:r>
    </w:p>
    <w:p w14:paraId="2A672276"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Nassehi, A. (2011). La teoría de la diferenciación funcional en el horizonte de sus críticas. </w:t>
      </w:r>
      <w:r w:rsidRPr="009250EB">
        <w:rPr>
          <w:rFonts w:ascii="Times New Roman" w:hAnsi="Times New Roman" w:cs="Times New Roman"/>
          <w:i/>
          <w:iCs/>
          <w:noProof/>
          <w:kern w:val="0"/>
        </w:rPr>
        <w:t>Revista MAD</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0</w:t>
      </w:r>
      <w:r w:rsidRPr="009250EB">
        <w:rPr>
          <w:rFonts w:ascii="Times New Roman" w:hAnsi="Times New Roman" w:cs="Times New Roman"/>
          <w:noProof/>
          <w:kern w:val="0"/>
        </w:rPr>
        <w:t>(24), 1–29. https://doi.org/10.5354/0718-0527.2011.13529</w:t>
      </w:r>
    </w:p>
    <w:p w14:paraId="51A1D644"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Núñez González, A., Aliste Almuna, E., &amp; Bello Maldonado, A. (2014). Patagonia-Aysén en la construcción del imaginario geográfico de la nación. </w:t>
      </w:r>
      <w:r w:rsidRPr="009250EB">
        <w:rPr>
          <w:rFonts w:ascii="Times New Roman" w:hAnsi="Times New Roman" w:cs="Times New Roman"/>
          <w:i/>
          <w:iCs/>
          <w:noProof/>
          <w:kern w:val="0"/>
        </w:rPr>
        <w:t>Iztapalapa. Revista de ciencias sociales y humanidades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75</w:t>
      </w:r>
      <w:r w:rsidRPr="009250EB">
        <w:rPr>
          <w:rFonts w:ascii="Times New Roman" w:hAnsi="Times New Roman" w:cs="Times New Roman"/>
          <w:noProof/>
          <w:kern w:val="0"/>
        </w:rPr>
        <w:t>, 165–188.</w:t>
      </w:r>
    </w:p>
    <w:p w14:paraId="48A5E0E5"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OECD. (2025). </w:t>
      </w:r>
      <w:r w:rsidRPr="009250EB">
        <w:rPr>
          <w:rFonts w:ascii="Times New Roman" w:hAnsi="Times New Roman" w:cs="Times New Roman"/>
          <w:i/>
          <w:iCs/>
          <w:noProof/>
          <w:kern w:val="0"/>
        </w:rPr>
        <w:t>Place‑Based Policies for the Future</w:t>
      </w:r>
      <w:r w:rsidRPr="009250EB">
        <w:rPr>
          <w:rFonts w:ascii="Times New Roman" w:hAnsi="Times New Roman" w:cs="Times New Roman"/>
          <w:noProof/>
          <w:kern w:val="0"/>
        </w:rPr>
        <w:t xml:space="preserve"> (OECD Regional Development Studies). OECD Publishing.</w:t>
      </w:r>
    </w:p>
    <w:p w14:paraId="1EB18424"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i/>
          <w:iCs/>
          <w:noProof/>
          <w:kern w:val="0"/>
        </w:rPr>
        <w:t>Portal Único de Fondos Concursables</w:t>
      </w:r>
      <w:r w:rsidRPr="009250EB">
        <w:rPr>
          <w:rFonts w:ascii="Times New Roman" w:hAnsi="Times New Roman" w:cs="Times New Roman"/>
          <w:noProof/>
          <w:kern w:val="0"/>
        </w:rPr>
        <w:t>. (s. f.). Recuperado 1 de junio de 2026, de https://fondos.gob.cl/</w:t>
      </w:r>
    </w:p>
    <w:p w14:paraId="1B270F7B"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Prince, R. (2012). Policy transfer, consultants and the geographies of governance. </w:t>
      </w:r>
      <w:r w:rsidRPr="009250EB">
        <w:rPr>
          <w:rFonts w:ascii="Times New Roman" w:hAnsi="Times New Roman" w:cs="Times New Roman"/>
          <w:i/>
          <w:iCs/>
          <w:noProof/>
          <w:kern w:val="0"/>
        </w:rPr>
        <w:t>Progress in Human Geography</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36</w:t>
      </w:r>
      <w:r w:rsidRPr="009250EB">
        <w:rPr>
          <w:rFonts w:ascii="Times New Roman" w:hAnsi="Times New Roman" w:cs="Times New Roman"/>
          <w:noProof/>
          <w:kern w:val="0"/>
        </w:rPr>
        <w:t>(2), 188–203. https://doi.org/10.1177/0309132511417659</w:t>
      </w:r>
    </w:p>
    <w:p w14:paraId="44899037"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Prince, R. (2020). The geography of policy-making: mobile policy, territory and state space. En S. Moisio, N. Koch, A. E. G. Jonas, C. Lizotte, &amp; J. Luukkonen (Eds.), </w:t>
      </w:r>
      <w:r w:rsidRPr="009250EB">
        <w:rPr>
          <w:rFonts w:ascii="Times New Roman" w:hAnsi="Times New Roman" w:cs="Times New Roman"/>
          <w:i/>
          <w:iCs/>
          <w:noProof/>
          <w:kern w:val="0"/>
        </w:rPr>
        <w:t>Handbook on the Changing Geographies of the State. New Spaces of Geopolitics</w:t>
      </w:r>
      <w:r w:rsidRPr="009250EB">
        <w:rPr>
          <w:rFonts w:ascii="Times New Roman" w:hAnsi="Times New Roman" w:cs="Times New Roman"/>
          <w:noProof/>
          <w:kern w:val="0"/>
        </w:rPr>
        <w:t xml:space="preserve"> (pp. 173–184). Edward Elgar Publishing.</w:t>
      </w:r>
    </w:p>
    <w:p w14:paraId="6C6E6019"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Richardson, T., &amp; Jensen, O. B. (2003). Linking Discourse and Space: Towards a Cultural Sociology of Space in Analysing Spatial Policy Discourses. </w:t>
      </w:r>
      <w:r w:rsidRPr="009250EB">
        <w:rPr>
          <w:rFonts w:ascii="Times New Roman" w:hAnsi="Times New Roman" w:cs="Times New Roman"/>
          <w:i/>
          <w:iCs/>
          <w:noProof/>
          <w:kern w:val="0"/>
        </w:rPr>
        <w:t>Urban Studies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40</w:t>
      </w:r>
      <w:r w:rsidRPr="009250EB">
        <w:rPr>
          <w:rFonts w:ascii="Times New Roman" w:hAnsi="Times New Roman" w:cs="Times New Roman"/>
          <w:noProof/>
          <w:kern w:val="0"/>
        </w:rPr>
        <w:t>(1), 7–22. https://doi.org/10.1080/0042098032000035491</w:t>
      </w:r>
    </w:p>
    <w:p w14:paraId="6169A248"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Rizos, V., &amp; Zambianchi, V. (2025). Unpacking policy coherence : A network analysis of the EU policy mix for the circular economy </w:t>
      </w:r>
      <w:r w:rsidRPr="009250EB">
        <w:rPr>
          <w:rFonts w:ascii="Segoe UI Symbol" w:hAnsi="Segoe UI Symbol" w:cs="Segoe UI Symbol"/>
          <w:noProof/>
          <w:kern w:val="0"/>
        </w:rPr>
        <w:t>☆</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Sustainable Production and Consumption</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60</w:t>
      </w:r>
      <w:r w:rsidRPr="009250EB">
        <w:rPr>
          <w:rFonts w:ascii="Times New Roman" w:hAnsi="Times New Roman" w:cs="Times New Roman"/>
          <w:noProof/>
          <w:kern w:val="0"/>
        </w:rPr>
        <w:t>(March), 52–63. https://doi.org/10.1016/j.spc.2025.09.003</w:t>
      </w:r>
    </w:p>
    <w:p w14:paraId="2C838018"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Rosales Cid, O. (2026, julio 6). "Queremos que Chile sea conocido por sus cielos y por una industria astronómica propia” | Diario el Día. </w:t>
      </w:r>
      <w:r w:rsidRPr="009250EB">
        <w:rPr>
          <w:rFonts w:ascii="Times New Roman" w:hAnsi="Times New Roman" w:cs="Times New Roman"/>
          <w:i/>
          <w:iCs/>
          <w:noProof/>
          <w:kern w:val="0"/>
        </w:rPr>
        <w:t>El Día</w:t>
      </w:r>
      <w:r w:rsidRPr="009250EB">
        <w:rPr>
          <w:rFonts w:ascii="Times New Roman" w:hAnsi="Times New Roman" w:cs="Times New Roman"/>
          <w:noProof/>
          <w:kern w:val="0"/>
        </w:rPr>
        <w:t>. https://www.diarioeldia.cl/noticias/2026/07/06/143887-queremos-que-chile-sea-conocido-por-sus-cielos-y-por-una-industria-astronomica-propia</w:t>
      </w:r>
    </w:p>
    <w:p w14:paraId="4BD5EDB0"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Santos, M., &amp; Becker, B. K. (Eds.). (2006). </w:t>
      </w:r>
      <w:r w:rsidRPr="009250EB">
        <w:rPr>
          <w:rFonts w:ascii="Times New Roman" w:hAnsi="Times New Roman" w:cs="Times New Roman"/>
          <w:i/>
          <w:iCs/>
          <w:noProof/>
          <w:kern w:val="0"/>
        </w:rPr>
        <w:t>Território, territórios. Ensaios sobre o ordenamento territorial</w:t>
      </w:r>
      <w:r w:rsidRPr="009250EB">
        <w:rPr>
          <w:rFonts w:ascii="Times New Roman" w:hAnsi="Times New Roman" w:cs="Times New Roman"/>
          <w:noProof/>
          <w:kern w:val="0"/>
        </w:rPr>
        <w:t>. Lamparina Editora.</w:t>
      </w:r>
    </w:p>
    <w:p w14:paraId="690C5206"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Shiner, L. (2001). </w:t>
      </w:r>
      <w:r w:rsidRPr="009250EB">
        <w:rPr>
          <w:rFonts w:ascii="Times New Roman" w:hAnsi="Times New Roman" w:cs="Times New Roman"/>
          <w:i/>
          <w:iCs/>
          <w:noProof/>
          <w:kern w:val="0"/>
        </w:rPr>
        <w:t>The Invention of Art: A Cultural History</w:t>
      </w:r>
      <w:r w:rsidRPr="009250EB">
        <w:rPr>
          <w:rFonts w:ascii="Times New Roman" w:hAnsi="Times New Roman" w:cs="Times New Roman"/>
          <w:noProof/>
          <w:kern w:val="0"/>
        </w:rPr>
        <w:t>. The University of Chicago Press.</w:t>
      </w:r>
    </w:p>
    <w:p w14:paraId="18B3AF43"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Shore, C., &amp; Wright, S. (1997). Policy: A new field for anthropology. En </w:t>
      </w:r>
      <w:r w:rsidRPr="009250EB">
        <w:rPr>
          <w:rFonts w:ascii="Times New Roman" w:hAnsi="Times New Roman" w:cs="Times New Roman"/>
          <w:i/>
          <w:iCs/>
          <w:noProof/>
          <w:kern w:val="0"/>
        </w:rPr>
        <w:t>Anthropology of Policy: Critical perspectives on governance and power</w:t>
      </w:r>
      <w:r w:rsidRPr="009250EB">
        <w:rPr>
          <w:rFonts w:ascii="Times New Roman" w:hAnsi="Times New Roman" w:cs="Times New Roman"/>
          <w:noProof/>
          <w:kern w:val="0"/>
        </w:rPr>
        <w:t xml:space="preserve"> (pp. 3–39). Routledge.</w:t>
      </w:r>
    </w:p>
    <w:p w14:paraId="40575337"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Shore, C., &amp; Wright, S. (Eds.). (2005). </w:t>
      </w:r>
      <w:r w:rsidRPr="009250EB">
        <w:rPr>
          <w:rFonts w:ascii="Times New Roman" w:hAnsi="Times New Roman" w:cs="Times New Roman"/>
          <w:i/>
          <w:iCs/>
          <w:noProof/>
          <w:kern w:val="0"/>
        </w:rPr>
        <w:t xml:space="preserve">Anthropology of Policy. Critical perspectives on </w:t>
      </w:r>
      <w:r w:rsidRPr="009250EB">
        <w:rPr>
          <w:rFonts w:ascii="Times New Roman" w:hAnsi="Times New Roman" w:cs="Times New Roman"/>
          <w:i/>
          <w:iCs/>
          <w:noProof/>
          <w:kern w:val="0"/>
        </w:rPr>
        <w:lastRenderedPageBreak/>
        <w:t>governance and power</w:t>
      </w:r>
      <w:r w:rsidRPr="009250EB">
        <w:rPr>
          <w:rFonts w:ascii="Times New Roman" w:hAnsi="Times New Roman" w:cs="Times New Roman"/>
          <w:noProof/>
          <w:kern w:val="0"/>
        </w:rPr>
        <w:t>. Routledge.</w:t>
      </w:r>
    </w:p>
    <w:p w14:paraId="71202F75"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Sinha, P., Calfee, C. S., &amp; Delucchi, K. L. (2021). Practitioner’s Guide to Latent Class Analysis: Methodological Considerations and Common Pitfalls. </w:t>
      </w:r>
      <w:r w:rsidRPr="009250EB">
        <w:rPr>
          <w:rFonts w:ascii="Times New Roman" w:hAnsi="Times New Roman" w:cs="Times New Roman"/>
          <w:i/>
          <w:iCs/>
          <w:noProof/>
          <w:kern w:val="0"/>
        </w:rPr>
        <w:t>Critical Care Medicine</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49</w:t>
      </w:r>
      <w:r w:rsidRPr="009250EB">
        <w:rPr>
          <w:rFonts w:ascii="Times New Roman" w:hAnsi="Times New Roman" w:cs="Times New Roman"/>
          <w:noProof/>
          <w:kern w:val="0"/>
        </w:rPr>
        <w:t>(1), E63–E79. https://doi.org/10.1097/CCM.0000000000004710</w:t>
      </w:r>
    </w:p>
    <w:p w14:paraId="7AC98A78"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Sirisuriya, S. de S. (2015). A Comparative Study on Web Scraping. </w:t>
      </w:r>
      <w:r w:rsidRPr="009250EB">
        <w:rPr>
          <w:rFonts w:ascii="Times New Roman" w:hAnsi="Times New Roman" w:cs="Times New Roman"/>
          <w:i/>
          <w:iCs/>
          <w:noProof/>
          <w:kern w:val="0"/>
        </w:rPr>
        <w:t>Proceedings of 8th International Research Conference</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November</w:t>
      </w:r>
      <w:r w:rsidRPr="009250EB">
        <w:rPr>
          <w:rFonts w:ascii="Times New Roman" w:hAnsi="Times New Roman" w:cs="Times New Roman"/>
          <w:noProof/>
          <w:kern w:val="0"/>
        </w:rPr>
        <w:t>, 135–140. http://ir.kdu.ac.lk/bitstream/handle/345/1051/com-059.pdf?sequence=1&amp;isAllowed=y</w:t>
      </w:r>
    </w:p>
    <w:p w14:paraId="20D21E3F"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Soto Labbé, M. P. (2011). FONDART: Balance político de un instrumento de financiamiento cultural del Chile 1990-2010. </w:t>
      </w:r>
      <w:r w:rsidRPr="009250EB">
        <w:rPr>
          <w:rFonts w:ascii="Times New Roman" w:hAnsi="Times New Roman" w:cs="Times New Roman"/>
          <w:i/>
          <w:iCs/>
          <w:noProof/>
          <w:kern w:val="0"/>
        </w:rPr>
        <w:t>Periférica</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21</w:t>
      </w:r>
      <w:r w:rsidRPr="009250EB">
        <w:rPr>
          <w:rFonts w:ascii="Times New Roman" w:hAnsi="Times New Roman" w:cs="Times New Roman"/>
          <w:noProof/>
          <w:kern w:val="0"/>
        </w:rPr>
        <w:t>, 320–330.</w:t>
      </w:r>
    </w:p>
    <w:p w14:paraId="37DF2C15"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Spencer, D. (2009). </w:t>
      </w:r>
      <w:r w:rsidRPr="009250EB">
        <w:rPr>
          <w:rFonts w:ascii="Times New Roman" w:hAnsi="Times New Roman" w:cs="Times New Roman"/>
          <w:i/>
          <w:iCs/>
          <w:noProof/>
          <w:kern w:val="0"/>
        </w:rPr>
        <w:t>Card Sorting. Designing Usable Categories</w:t>
      </w:r>
      <w:r w:rsidRPr="009250EB">
        <w:rPr>
          <w:rFonts w:ascii="Times New Roman" w:hAnsi="Times New Roman" w:cs="Times New Roman"/>
          <w:noProof/>
          <w:kern w:val="0"/>
        </w:rPr>
        <w:t>. Rosenfeld.</w:t>
      </w:r>
    </w:p>
    <w:p w14:paraId="07AAE944"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Spencer Zamora, M. P. (2013). </w:t>
      </w:r>
      <w:r w:rsidRPr="009250EB">
        <w:rPr>
          <w:rFonts w:ascii="Times New Roman" w:hAnsi="Times New Roman" w:cs="Times New Roman"/>
          <w:i/>
          <w:iCs/>
          <w:noProof/>
          <w:kern w:val="0"/>
        </w:rPr>
        <w:t>Análisis comparativo entre FONDART Regional y FNDR 2% Cultura de la Región Metropolitana para los años 2010, 2011 y 2012</w:t>
      </w:r>
      <w:r w:rsidRPr="009250EB">
        <w:rPr>
          <w:rFonts w:ascii="Times New Roman" w:hAnsi="Times New Roman" w:cs="Times New Roman"/>
          <w:noProof/>
          <w:kern w:val="0"/>
        </w:rPr>
        <w:t>. Tesis para optar al grado de Magíster en Gestión Cultural. Universidad de Chile.</w:t>
      </w:r>
    </w:p>
    <w:p w14:paraId="42C37BB1"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Swyngedouw, E. A. (1992). Territorial Organization and the Space/Technology Nexus. </w:t>
      </w:r>
      <w:r w:rsidRPr="009250EB">
        <w:rPr>
          <w:rFonts w:ascii="Times New Roman" w:hAnsi="Times New Roman" w:cs="Times New Roman"/>
          <w:i/>
          <w:iCs/>
          <w:noProof/>
          <w:kern w:val="0"/>
        </w:rPr>
        <w:t>Transactions of the Institute of British Geographers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17</w:t>
      </w:r>
      <w:r w:rsidRPr="009250EB">
        <w:rPr>
          <w:rFonts w:ascii="Times New Roman" w:hAnsi="Times New Roman" w:cs="Times New Roman"/>
          <w:noProof/>
          <w:kern w:val="0"/>
        </w:rPr>
        <w:t>(4), 417–433.</w:t>
      </w:r>
    </w:p>
    <w:p w14:paraId="606D12A9"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Urquieta Álvarez, M. A. (2019). Territorios de exclusiòn. Observando dinàmicas de inclusiòn/exclusiòn en sistemas territoriales complejos del Gran Santiago. </w:t>
      </w:r>
      <w:r w:rsidRPr="009250EB">
        <w:rPr>
          <w:rFonts w:ascii="Times New Roman" w:hAnsi="Times New Roman" w:cs="Times New Roman"/>
          <w:i/>
          <w:iCs/>
          <w:noProof/>
          <w:kern w:val="0"/>
        </w:rPr>
        <w:t>TS Cuadernos de Trabajo Social</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18</w:t>
      </w:r>
      <w:r w:rsidRPr="009250EB">
        <w:rPr>
          <w:rFonts w:ascii="Times New Roman" w:hAnsi="Times New Roman" w:cs="Times New Roman"/>
          <w:noProof/>
          <w:kern w:val="0"/>
        </w:rPr>
        <w:t>, 42–70.</w:t>
      </w:r>
    </w:p>
    <w:p w14:paraId="5371C3AC"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Urquieta, M. A., Mariñez, C., &amp; Jorquera, C. (2017). Territorio como medium: Discusión sobre rendimientos analíticos para las observaciones de la complejidad socioespacial. </w:t>
      </w:r>
      <w:r w:rsidRPr="009250EB">
        <w:rPr>
          <w:rFonts w:ascii="Times New Roman" w:hAnsi="Times New Roman" w:cs="Times New Roman"/>
          <w:i/>
          <w:iCs/>
          <w:noProof/>
          <w:kern w:val="0"/>
        </w:rPr>
        <w:t>Revista Mad</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37</w:t>
      </w:r>
      <w:r w:rsidRPr="009250EB">
        <w:rPr>
          <w:rFonts w:ascii="Times New Roman" w:hAnsi="Times New Roman" w:cs="Times New Roman"/>
          <w:noProof/>
          <w:kern w:val="0"/>
        </w:rPr>
        <w:t>(37), 143–166. https://doi.org/10.5354/0718-0527.2017.47279</w:t>
      </w:r>
    </w:p>
    <w:p w14:paraId="4E6C7500"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Urquieta, M. A., Salinas, S., &amp; Labraña, J. (2021). La Improbabilidad De La Transformación Social Efectiva: Una Reflexión En Torno a Los Déficits De Política Pública En Chile. </w:t>
      </w:r>
      <w:r w:rsidRPr="009250EB">
        <w:rPr>
          <w:rFonts w:ascii="Times New Roman" w:hAnsi="Times New Roman" w:cs="Times New Roman"/>
          <w:i/>
          <w:iCs/>
          <w:noProof/>
          <w:kern w:val="0"/>
        </w:rPr>
        <w:t>Cuaderno de Trabajo Social</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1</w:t>
      </w:r>
      <w:r w:rsidRPr="009250EB">
        <w:rPr>
          <w:rFonts w:ascii="Times New Roman" w:hAnsi="Times New Roman" w:cs="Times New Roman"/>
          <w:noProof/>
          <w:kern w:val="0"/>
        </w:rPr>
        <w:t>(16), 115–132. https://orcid.org/0000-0002-2212-056X</w:t>
      </w:r>
    </w:p>
    <w:p w14:paraId="31D160D6"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Urquiza, A. (2018). </w:t>
      </w:r>
      <w:r w:rsidRPr="009250EB">
        <w:rPr>
          <w:rFonts w:ascii="Times New Roman" w:hAnsi="Times New Roman" w:cs="Times New Roman"/>
          <w:i/>
          <w:iCs/>
          <w:noProof/>
          <w:kern w:val="0"/>
        </w:rPr>
        <w:t>Coordinación en sistemas socioecológicos : desafíos en el contexto del cambio climático</w:t>
      </w:r>
      <w:r w:rsidRPr="009250EB">
        <w:rPr>
          <w:rFonts w:ascii="Times New Roman" w:hAnsi="Times New Roman" w:cs="Times New Roman"/>
          <w:noProof/>
          <w:kern w:val="0"/>
        </w:rPr>
        <w:t>.</w:t>
      </w:r>
    </w:p>
    <w:p w14:paraId="487CB16E"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Urquiza, A., &amp; Cadenas, H. (2015). Sistemas socio-ecológicos: elementos teóricos y conceptuales para la discusión en torno a vulnerabilidad hídrica. </w:t>
      </w:r>
      <w:r w:rsidRPr="009250EB">
        <w:rPr>
          <w:rFonts w:ascii="Times New Roman" w:hAnsi="Times New Roman" w:cs="Times New Roman"/>
          <w:i/>
          <w:iCs/>
          <w:noProof/>
          <w:kern w:val="0"/>
        </w:rPr>
        <w:t>L’Ordinaire des Amériques</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218</w:t>
      </w:r>
      <w:r w:rsidRPr="009250EB">
        <w:rPr>
          <w:rFonts w:ascii="Times New Roman" w:hAnsi="Times New Roman" w:cs="Times New Roman"/>
          <w:noProof/>
          <w:kern w:val="0"/>
        </w:rPr>
        <w:t>.</w:t>
      </w:r>
    </w:p>
    <w:p w14:paraId="72AFB1EF"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Varela, J. C., Orellana, P., &amp; Oñate, M. J. (2025). </w:t>
      </w:r>
      <w:r w:rsidRPr="009250EB">
        <w:rPr>
          <w:rFonts w:ascii="Times New Roman" w:hAnsi="Times New Roman" w:cs="Times New Roman"/>
          <w:i/>
          <w:iCs/>
          <w:noProof/>
          <w:kern w:val="0"/>
        </w:rPr>
        <w:t>Gobernanza de las transiciones territoriales: Propuesta conceptual-metodológica</w:t>
      </w:r>
      <w:r w:rsidRPr="009250EB">
        <w:rPr>
          <w:rFonts w:ascii="Times New Roman" w:hAnsi="Times New Roman" w:cs="Times New Roman"/>
          <w:noProof/>
          <w:kern w:val="0"/>
        </w:rPr>
        <w:t>. Vicerrectoría de Investigación y Desarrollo de la Universidad de Chile, y Núcleo de Investigación en Interdisciplina y Transdisciplina para la Educación Superior (NITES).</w:t>
      </w:r>
    </w:p>
    <w:p w14:paraId="594A0A05"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Wedel, J. R., Shore, C., Feldman, G., &amp; Lathrop, S. (2005). Toward an anthropology of public policy. </w:t>
      </w:r>
      <w:r w:rsidRPr="009250EB">
        <w:rPr>
          <w:rFonts w:ascii="Times New Roman" w:hAnsi="Times New Roman" w:cs="Times New Roman"/>
          <w:i/>
          <w:iCs/>
          <w:noProof/>
          <w:kern w:val="0"/>
        </w:rPr>
        <w:t>Annals of the American Academy of Political and Social Science</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lastRenderedPageBreak/>
        <w:t>600</w:t>
      </w:r>
      <w:r w:rsidRPr="009250EB">
        <w:rPr>
          <w:rFonts w:ascii="Times New Roman" w:hAnsi="Times New Roman" w:cs="Times New Roman"/>
          <w:noProof/>
          <w:kern w:val="0"/>
        </w:rPr>
        <w:t>, 30–51. https://doi.org/10.1177/0002716205276734</w:t>
      </w:r>
    </w:p>
    <w:p w14:paraId="086F46C0"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kern w:val="0"/>
        </w:rPr>
      </w:pPr>
      <w:r w:rsidRPr="009250EB">
        <w:rPr>
          <w:rFonts w:ascii="Times New Roman" w:hAnsi="Times New Roman" w:cs="Times New Roman"/>
          <w:noProof/>
          <w:kern w:val="0"/>
        </w:rPr>
        <w:t xml:space="preserve">Weingart, P. (2005). </w:t>
      </w:r>
      <w:r w:rsidRPr="009250EB">
        <w:rPr>
          <w:rFonts w:ascii="Times New Roman" w:hAnsi="Times New Roman" w:cs="Times New Roman"/>
          <w:i/>
          <w:iCs/>
          <w:noProof/>
          <w:kern w:val="0"/>
        </w:rPr>
        <w:t>Die Wissenschaft der Öffentlichkeit. Essays zum Verhältnis von Wissenschaft, Medien und Öffentlichkeit</w:t>
      </w:r>
      <w:r w:rsidRPr="009250EB">
        <w:rPr>
          <w:rFonts w:ascii="Times New Roman" w:hAnsi="Times New Roman" w:cs="Times New Roman"/>
          <w:noProof/>
          <w:kern w:val="0"/>
        </w:rPr>
        <w:t>. Velbrück Wissenschaft.</w:t>
      </w:r>
    </w:p>
    <w:p w14:paraId="2FF9DA90" w14:textId="77777777" w:rsidR="009250EB" w:rsidRPr="009250EB" w:rsidRDefault="009250EB" w:rsidP="009250EB">
      <w:pPr>
        <w:widowControl w:val="0"/>
        <w:autoSpaceDE w:val="0"/>
        <w:autoSpaceDN w:val="0"/>
        <w:adjustRightInd w:val="0"/>
        <w:spacing w:line="240" w:lineRule="auto"/>
        <w:ind w:left="480" w:hanging="480"/>
        <w:rPr>
          <w:rFonts w:ascii="Times New Roman" w:hAnsi="Times New Roman" w:cs="Times New Roman"/>
          <w:noProof/>
        </w:rPr>
      </w:pPr>
      <w:r w:rsidRPr="009250EB">
        <w:rPr>
          <w:rFonts w:ascii="Times New Roman" w:hAnsi="Times New Roman" w:cs="Times New Roman"/>
          <w:noProof/>
          <w:kern w:val="0"/>
        </w:rPr>
        <w:t xml:space="preserve">Zurbriggen, C. (2006). El institucionalismo centrado en los actores: Una perspectiva analítica en el estudio de las políticas públicas. </w:t>
      </w:r>
      <w:r w:rsidRPr="009250EB">
        <w:rPr>
          <w:rFonts w:ascii="Times New Roman" w:hAnsi="Times New Roman" w:cs="Times New Roman"/>
          <w:i/>
          <w:iCs/>
          <w:noProof/>
          <w:kern w:val="0"/>
        </w:rPr>
        <w:t>Revista de Ciencia Politica</w:t>
      </w:r>
      <w:r w:rsidRPr="009250EB">
        <w:rPr>
          <w:rFonts w:ascii="Times New Roman" w:hAnsi="Times New Roman" w:cs="Times New Roman"/>
          <w:noProof/>
          <w:kern w:val="0"/>
        </w:rPr>
        <w:t xml:space="preserve">, </w:t>
      </w:r>
      <w:r w:rsidRPr="009250EB">
        <w:rPr>
          <w:rFonts w:ascii="Times New Roman" w:hAnsi="Times New Roman" w:cs="Times New Roman"/>
          <w:i/>
          <w:iCs/>
          <w:noProof/>
          <w:kern w:val="0"/>
        </w:rPr>
        <w:t>26</w:t>
      </w:r>
      <w:r w:rsidRPr="009250EB">
        <w:rPr>
          <w:rFonts w:ascii="Times New Roman" w:hAnsi="Times New Roman" w:cs="Times New Roman"/>
          <w:noProof/>
          <w:kern w:val="0"/>
        </w:rPr>
        <w:t>(1), 67–83.</w:t>
      </w:r>
    </w:p>
    <w:p w14:paraId="4CA48592" w14:textId="38EF5BAB" w:rsidR="00B552A3" w:rsidRPr="00B552A3" w:rsidRDefault="00B552A3" w:rsidP="00B552A3">
      <w:pPr>
        <w:spacing w:line="240" w:lineRule="auto"/>
        <w:jc w:val="both"/>
        <w:rPr>
          <w:rFonts w:ascii="Times New Roman" w:hAnsi="Times New Roman" w:cs="Times New Roman"/>
          <w:lang w:val="es-CL"/>
        </w:rPr>
      </w:pPr>
      <w:r>
        <w:rPr>
          <w:rFonts w:ascii="Times New Roman" w:hAnsi="Times New Roman" w:cs="Times New Roman"/>
          <w:lang w:val="es-CL"/>
        </w:rPr>
        <w:fldChar w:fldCharType="end"/>
      </w:r>
    </w:p>
    <w:p w14:paraId="7E83515B" w14:textId="555ED529" w:rsidR="001923DC" w:rsidRPr="00B552A3" w:rsidRDefault="001923DC" w:rsidP="007B5B5F">
      <w:pPr>
        <w:spacing w:line="240" w:lineRule="auto"/>
        <w:jc w:val="center"/>
        <w:rPr>
          <w:rFonts w:ascii="Times New Roman" w:hAnsi="Times New Roman" w:cs="Times New Roman"/>
          <w:lang w:val="es-CL"/>
        </w:rPr>
      </w:pPr>
    </w:p>
    <w:sectPr w:rsidR="001923DC" w:rsidRPr="00B552A3"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9860" w14:textId="77777777" w:rsidR="005A2A6F" w:rsidRPr="00BA642E" w:rsidRDefault="005A2A6F" w:rsidP="00C802F5">
      <w:pPr>
        <w:spacing w:after="0" w:line="240" w:lineRule="auto"/>
      </w:pPr>
      <w:r w:rsidRPr="00BA642E">
        <w:separator/>
      </w:r>
    </w:p>
  </w:endnote>
  <w:endnote w:type="continuationSeparator" w:id="0">
    <w:p w14:paraId="169295F1" w14:textId="77777777" w:rsidR="005A2A6F" w:rsidRPr="00BA642E" w:rsidRDefault="005A2A6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Footer"/>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5CDBE" w14:textId="77777777" w:rsidR="005A2A6F" w:rsidRPr="00BA642E" w:rsidRDefault="005A2A6F" w:rsidP="00C802F5">
      <w:pPr>
        <w:spacing w:after="0" w:line="240" w:lineRule="auto"/>
      </w:pPr>
      <w:r w:rsidRPr="00BA642E">
        <w:separator/>
      </w:r>
    </w:p>
  </w:footnote>
  <w:footnote w:type="continuationSeparator" w:id="0">
    <w:p w14:paraId="004E71C0" w14:textId="77777777" w:rsidR="005A2A6F" w:rsidRPr="00BA642E" w:rsidRDefault="005A2A6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Header"/>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873A9"/>
    <w:rsid w:val="001923DC"/>
    <w:rsid w:val="002327C3"/>
    <w:rsid w:val="00312392"/>
    <w:rsid w:val="004040C0"/>
    <w:rsid w:val="00437E9C"/>
    <w:rsid w:val="004F1080"/>
    <w:rsid w:val="00550766"/>
    <w:rsid w:val="005A2A6F"/>
    <w:rsid w:val="005F3B2E"/>
    <w:rsid w:val="00701F64"/>
    <w:rsid w:val="007B5B5F"/>
    <w:rsid w:val="007D233B"/>
    <w:rsid w:val="0085070B"/>
    <w:rsid w:val="009250EB"/>
    <w:rsid w:val="009F5C98"/>
    <w:rsid w:val="00A17247"/>
    <w:rsid w:val="00A17D35"/>
    <w:rsid w:val="00B0605B"/>
    <w:rsid w:val="00B552A3"/>
    <w:rsid w:val="00B77E5D"/>
    <w:rsid w:val="00BA642E"/>
    <w:rsid w:val="00BC236F"/>
    <w:rsid w:val="00C36520"/>
    <w:rsid w:val="00C802F5"/>
    <w:rsid w:val="00C91BC4"/>
    <w:rsid w:val="00C96B2C"/>
    <w:rsid w:val="00CC04C1"/>
    <w:rsid w:val="00D33B90"/>
    <w:rsid w:val="00D843EC"/>
    <w:rsid w:val="00D84605"/>
    <w:rsid w:val="00E77871"/>
    <w:rsid w:val="00F7245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link w:val="Heading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3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23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23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23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23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3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3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3DC"/>
    <w:rPr>
      <w:rFonts w:eastAsiaTheme="majorEastAsia" w:cstheme="majorBidi"/>
      <w:color w:val="272727" w:themeColor="text1" w:themeTint="D8"/>
    </w:rPr>
  </w:style>
  <w:style w:type="paragraph" w:styleId="Title">
    <w:name w:val="Title"/>
    <w:basedOn w:val="Normal"/>
    <w:next w:val="Normal"/>
    <w:link w:val="Title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3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3DC"/>
    <w:pPr>
      <w:spacing w:before="160"/>
      <w:jc w:val="center"/>
    </w:pPr>
    <w:rPr>
      <w:i/>
      <w:iCs/>
      <w:color w:val="404040" w:themeColor="text1" w:themeTint="BF"/>
    </w:rPr>
  </w:style>
  <w:style w:type="character" w:customStyle="1" w:styleId="QuoteChar">
    <w:name w:val="Quote Char"/>
    <w:basedOn w:val="DefaultParagraphFont"/>
    <w:link w:val="Quote"/>
    <w:uiPriority w:val="29"/>
    <w:rsid w:val="001923DC"/>
    <w:rPr>
      <w:i/>
      <w:iCs/>
      <w:color w:val="404040" w:themeColor="text1" w:themeTint="BF"/>
    </w:rPr>
  </w:style>
  <w:style w:type="paragraph" w:styleId="ListParagraph">
    <w:name w:val="List Paragraph"/>
    <w:basedOn w:val="Normal"/>
    <w:uiPriority w:val="34"/>
    <w:qFormat/>
    <w:rsid w:val="001923DC"/>
    <w:pPr>
      <w:ind w:left="720"/>
      <w:contextualSpacing/>
    </w:pPr>
  </w:style>
  <w:style w:type="character" w:styleId="IntenseEmphasis">
    <w:name w:val="Intense Emphasis"/>
    <w:basedOn w:val="DefaultParagraphFont"/>
    <w:uiPriority w:val="21"/>
    <w:qFormat/>
    <w:rsid w:val="001923DC"/>
    <w:rPr>
      <w:i/>
      <w:iCs/>
      <w:color w:val="2F5496" w:themeColor="accent1" w:themeShade="BF"/>
    </w:rPr>
  </w:style>
  <w:style w:type="paragraph" w:styleId="IntenseQuote">
    <w:name w:val="Intense Quote"/>
    <w:basedOn w:val="Normal"/>
    <w:next w:val="Normal"/>
    <w:link w:val="IntenseQuote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3DC"/>
    <w:rPr>
      <w:i/>
      <w:iCs/>
      <w:color w:val="2F5496" w:themeColor="accent1" w:themeShade="BF"/>
    </w:rPr>
  </w:style>
  <w:style w:type="character" w:styleId="IntenseReference">
    <w:name w:val="Intense Reference"/>
    <w:basedOn w:val="DefaultParagraphFont"/>
    <w:uiPriority w:val="32"/>
    <w:qFormat/>
    <w:rsid w:val="001923DC"/>
    <w:rPr>
      <w:b/>
      <w:bCs/>
      <w:smallCaps/>
      <w:color w:val="2F5496" w:themeColor="accent1" w:themeShade="BF"/>
      <w:spacing w:val="5"/>
    </w:rPr>
  </w:style>
  <w:style w:type="paragraph" w:styleId="Header">
    <w:name w:val="header"/>
    <w:basedOn w:val="Normal"/>
    <w:link w:val="HeaderChar"/>
    <w:uiPriority w:val="99"/>
    <w:unhideWhenUsed/>
    <w:rsid w:val="00C802F5"/>
    <w:pPr>
      <w:tabs>
        <w:tab w:val="center" w:pos="4252"/>
        <w:tab w:val="right" w:pos="8504"/>
      </w:tabs>
      <w:spacing w:after="0" w:line="240" w:lineRule="auto"/>
    </w:pPr>
  </w:style>
  <w:style w:type="character" w:customStyle="1" w:styleId="HeaderChar">
    <w:name w:val="Header Char"/>
    <w:basedOn w:val="DefaultParagraphFont"/>
    <w:link w:val="Header"/>
    <w:uiPriority w:val="99"/>
    <w:rsid w:val="00C802F5"/>
  </w:style>
  <w:style w:type="paragraph" w:styleId="Footer">
    <w:name w:val="footer"/>
    <w:basedOn w:val="Normal"/>
    <w:link w:val="FooterChar"/>
    <w:uiPriority w:val="99"/>
    <w:unhideWhenUsed/>
    <w:rsid w:val="00C802F5"/>
    <w:pPr>
      <w:tabs>
        <w:tab w:val="center" w:pos="4252"/>
        <w:tab w:val="right" w:pos="8504"/>
      </w:tabs>
      <w:spacing w:after="0" w:line="240" w:lineRule="auto"/>
    </w:pPr>
  </w:style>
  <w:style w:type="character" w:customStyle="1" w:styleId="FooterChar">
    <w:name w:val="Footer Char"/>
    <w:basedOn w:val="DefaultParagraphFont"/>
    <w:link w:val="Footer"/>
    <w:uiPriority w:val="99"/>
    <w:rsid w:val="00C802F5"/>
  </w:style>
  <w:style w:type="character" w:styleId="Hyperlink">
    <w:name w:val="Hyperlink"/>
    <w:basedOn w:val="DefaultParagraphFont"/>
    <w:uiPriority w:val="99"/>
    <w:unhideWhenUsed/>
    <w:rsid w:val="00C802F5"/>
    <w:rPr>
      <w:color w:val="0563C1" w:themeColor="hyperlink"/>
      <w:u w:val="single"/>
    </w:rPr>
  </w:style>
  <w:style w:type="character" w:styleId="UnresolvedMention">
    <w:name w:val="Unresolved Mention"/>
    <w:basedOn w:val="DefaultParagraphFont"/>
    <w:uiPriority w:val="99"/>
    <w:semiHidden/>
    <w:unhideWhenUsed/>
    <w:rsid w:val="00C802F5"/>
    <w:rPr>
      <w:color w:val="605E5C"/>
      <w:shd w:val="clear" w:color="auto" w:fill="E1DFDD"/>
    </w:rPr>
  </w:style>
  <w:style w:type="paragraph" w:styleId="FootnoteText">
    <w:name w:val="footnote text"/>
    <w:basedOn w:val="Normal"/>
    <w:link w:val="FootnoteTextChar"/>
    <w:uiPriority w:val="99"/>
    <w:semiHidden/>
    <w:unhideWhenUsed/>
    <w:rsid w:val="00C91B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1BC4"/>
    <w:rPr>
      <w:sz w:val="20"/>
      <w:szCs w:val="20"/>
      <w:lang w:val="es-419"/>
    </w:rPr>
  </w:style>
  <w:style w:type="character" w:styleId="FootnoteReference">
    <w:name w:val="footnote reference"/>
    <w:basedOn w:val="DefaultParagraphFont"/>
    <w:uiPriority w:val="99"/>
    <w:semiHidden/>
    <w:unhideWhenUsed/>
    <w:rsid w:val="00C91B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394ED-A23D-4557-B0A6-CDC0DFCEA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20</Pages>
  <Words>28205</Words>
  <Characters>155128</Characters>
  <Application>Microsoft Office Word</Application>
  <DocSecurity>0</DocSecurity>
  <Lines>1292</Lines>
  <Paragraphs>365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Matias Fleischmann</cp:lastModifiedBy>
  <cp:revision>11</cp:revision>
  <dcterms:created xsi:type="dcterms:W3CDTF">2026-03-14T03:50:00Z</dcterms:created>
  <dcterms:modified xsi:type="dcterms:W3CDTF">2026-07-12T23:01:00Z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14c5242c-8070-385c-bd15-8fd9fe19f8cc</vt:lpwstr>
  </property>
  <property fmtid="{D5CDD505-2E9C-101B-9397-08002B2CF9AE}" pid="24" name="Mendeley Citation Style_1">
    <vt:lpwstr>http://www.zotero.org/styles/apa</vt:lpwstr>
  </property>
</Properties>
</file>